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A42" w:rsidRPr="000F7457" w:rsidRDefault="00CB03D6" w:rsidP="002D6A42">
      <w:pPr>
        <w:pStyle w:val="EntityTitle"/>
        <w:rPr>
          <w:snapToGrid w:val="0"/>
          <w:color w:val="000000"/>
        </w:rPr>
      </w:pPr>
      <w:r w:rsidRPr="000F7457">
        <w:rPr>
          <w:snapToGrid w:val="0"/>
          <w:color w:val="000000"/>
        </w:rPr>
        <w:t>Australian Radiation Protection and Nuclear Safety Agency</w:t>
      </w:r>
    </w:p>
    <w:p w:rsidR="002D6A42" w:rsidRPr="000F7457" w:rsidRDefault="002D6A42" w:rsidP="00B05A28">
      <w:pPr>
        <w:rPr>
          <w:snapToGrid w:val="0"/>
          <w:color w:val="000000"/>
        </w:rPr>
      </w:pPr>
    </w:p>
    <w:p w:rsidR="002D6A42" w:rsidRPr="000F7457" w:rsidRDefault="00AC21A7" w:rsidP="00292400">
      <w:pPr>
        <w:pStyle w:val="EntitySubtitle"/>
        <w:rPr>
          <w:color w:val="000000"/>
        </w:rPr>
      </w:pPr>
      <w:r w:rsidRPr="000F7457">
        <w:rPr>
          <w:color w:val="000000"/>
        </w:rPr>
        <w:t>Entity Resources and</w:t>
      </w:r>
      <w:r w:rsidRPr="000F7457">
        <w:rPr>
          <w:color w:val="000000"/>
        </w:rPr>
        <w:br/>
        <w:t>Planned Performance</w:t>
      </w:r>
    </w:p>
    <w:p w:rsidR="002D6A42" w:rsidRPr="000F7457" w:rsidRDefault="002D6A42" w:rsidP="000032ED">
      <w:pPr>
        <w:rPr>
          <w:color w:val="000000"/>
        </w:rPr>
      </w:pPr>
      <w:r w:rsidRPr="000F7457">
        <w:rPr>
          <w:color w:val="000000"/>
        </w:rPr>
        <w:br w:type="page"/>
      </w:r>
    </w:p>
    <w:p w:rsidR="003F32B8" w:rsidRPr="000F7457" w:rsidRDefault="003F32B8" w:rsidP="000032ED">
      <w:pPr>
        <w:rPr>
          <w:color w:val="000000"/>
        </w:rPr>
      </w:pPr>
    </w:p>
    <w:p w:rsidR="002D6A42" w:rsidRPr="000F7457" w:rsidRDefault="002D6A42" w:rsidP="000032ED">
      <w:pPr>
        <w:rPr>
          <w:rFonts w:ascii="Arial" w:hAnsi="Arial" w:cs="Arial"/>
          <w:bCs/>
          <w:color w:val="000000"/>
          <w:sz w:val="24"/>
          <w:szCs w:val="32"/>
          <w:lang w:eastAsia="en-US"/>
        </w:rPr>
        <w:sectPr w:rsidR="002D6A42" w:rsidRPr="000F7457" w:rsidSect="00C439D3">
          <w:headerReference w:type="default" r:id="rId9"/>
          <w:footerReference w:type="even" r:id="rId10"/>
          <w:footerReference w:type="default" r:id="rId11"/>
          <w:headerReference w:type="first" r:id="rId12"/>
          <w:footerReference w:type="first" r:id="rId13"/>
          <w:pgSz w:w="11906" w:h="16838" w:code="9"/>
          <w:pgMar w:top="7055" w:right="2268" w:bottom="2126" w:left="2268" w:header="1899" w:footer="1899" w:gutter="0"/>
          <w:pgNumType w:start="235"/>
          <w:cols w:space="708"/>
          <w:titlePg/>
          <w:docGrid w:linePitch="360"/>
        </w:sectPr>
      </w:pPr>
    </w:p>
    <w:p w:rsidR="003F32B8" w:rsidRPr="000F7457" w:rsidRDefault="00CB03D6" w:rsidP="003F32B8">
      <w:pPr>
        <w:pStyle w:val="EntityContents"/>
        <w:rPr>
          <w:color w:val="000000"/>
        </w:rPr>
      </w:pPr>
      <w:r w:rsidRPr="000F7457">
        <w:rPr>
          <w:snapToGrid w:val="0"/>
          <w:color w:val="000000"/>
        </w:rPr>
        <w:lastRenderedPageBreak/>
        <w:t>Australian Radiation Protection and Nuclear Safety Agency</w:t>
      </w:r>
    </w:p>
    <w:p w:rsidR="003F32B8" w:rsidRPr="000F7457" w:rsidRDefault="003F32B8" w:rsidP="004B480F">
      <w:pPr>
        <w:pStyle w:val="HPE"/>
        <w:rPr>
          <w:color w:val="000000"/>
        </w:rPr>
      </w:pPr>
      <w:r w:rsidRPr="000F7457">
        <w:rPr>
          <w:color w:val="000000"/>
        </w:rPr>
        <w:t>Health Portfolio Entity</w:t>
      </w:r>
    </w:p>
    <w:p w:rsidR="003F32B8" w:rsidRPr="000F7457" w:rsidRDefault="003F32B8" w:rsidP="00C84C64">
      <w:pPr>
        <w:pStyle w:val="HPE"/>
        <w:rPr>
          <w:color w:val="000000"/>
        </w:rPr>
      </w:pPr>
    </w:p>
    <w:p w:rsidR="003F32B8" w:rsidRPr="000F7457" w:rsidRDefault="003F32B8" w:rsidP="004B480F">
      <w:pPr>
        <w:pStyle w:val="TOCHeading1"/>
        <w:rPr>
          <w:color w:val="000000"/>
        </w:rPr>
      </w:pPr>
      <w:r w:rsidRPr="000F7457">
        <w:rPr>
          <w:color w:val="000000"/>
        </w:rPr>
        <w:fldChar w:fldCharType="begin"/>
      </w:r>
      <w:r w:rsidRPr="000F7457">
        <w:rPr>
          <w:color w:val="000000"/>
        </w:rPr>
        <w:instrText xml:space="preserve"> TOC \t "Heading 2,1,Heading 3,2" </w:instrText>
      </w:r>
      <w:r w:rsidRPr="000F7457">
        <w:rPr>
          <w:color w:val="000000"/>
        </w:rPr>
        <w:fldChar w:fldCharType="separate"/>
      </w:r>
      <w:r w:rsidRPr="000F7457">
        <w:rPr>
          <w:color w:val="000000"/>
        </w:rPr>
        <w:t xml:space="preserve">Section 1: Entity Overview and Resources </w:t>
      </w:r>
    </w:p>
    <w:p w:rsidR="003F32B8" w:rsidRPr="000F7457" w:rsidRDefault="003F32B8" w:rsidP="004B480F">
      <w:pPr>
        <w:pStyle w:val="ToCSubHeading"/>
        <w:rPr>
          <w:color w:val="000000"/>
        </w:rPr>
      </w:pPr>
      <w:r w:rsidRPr="000F7457">
        <w:rPr>
          <w:color w:val="000000"/>
        </w:rPr>
        <w:t>1.1:</w:t>
      </w:r>
      <w:r w:rsidRPr="000F7457">
        <w:rPr>
          <w:color w:val="000000"/>
        </w:rPr>
        <w:tab/>
        <w:t>Strategic Direction Statement</w:t>
      </w:r>
      <w:r w:rsidRPr="000F7457">
        <w:rPr>
          <w:color w:val="000000"/>
        </w:rPr>
        <w:tab/>
      </w:r>
      <w:r w:rsidR="00C439D3">
        <w:rPr>
          <w:color w:val="000000"/>
        </w:rPr>
        <w:t>238</w:t>
      </w:r>
    </w:p>
    <w:p w:rsidR="003F32B8" w:rsidRPr="000F7457" w:rsidRDefault="003F32B8" w:rsidP="004B480F">
      <w:pPr>
        <w:pStyle w:val="ToCSubHeading"/>
        <w:rPr>
          <w:color w:val="000000"/>
        </w:rPr>
      </w:pPr>
      <w:r w:rsidRPr="000F7457">
        <w:rPr>
          <w:color w:val="000000"/>
        </w:rPr>
        <w:t>1.</w:t>
      </w:r>
      <w:r w:rsidR="00C439D3">
        <w:rPr>
          <w:color w:val="000000"/>
        </w:rPr>
        <w:t>2:</w:t>
      </w:r>
      <w:r w:rsidR="00C439D3">
        <w:rPr>
          <w:color w:val="000000"/>
        </w:rPr>
        <w:tab/>
        <w:t>Entity Resource Statement</w:t>
      </w:r>
      <w:r w:rsidR="00C439D3">
        <w:rPr>
          <w:color w:val="000000"/>
        </w:rPr>
        <w:tab/>
        <w:t>239</w:t>
      </w:r>
    </w:p>
    <w:p w:rsidR="003F32B8" w:rsidRPr="000F7457" w:rsidRDefault="00C439D3" w:rsidP="004B480F">
      <w:pPr>
        <w:pStyle w:val="ToCSubHeading"/>
        <w:rPr>
          <w:color w:val="000000"/>
        </w:rPr>
      </w:pPr>
      <w:r>
        <w:rPr>
          <w:color w:val="000000"/>
        </w:rPr>
        <w:t>1.3:</w:t>
      </w:r>
      <w:r>
        <w:rPr>
          <w:color w:val="000000"/>
        </w:rPr>
        <w:tab/>
        <w:t>Budget Measures</w:t>
      </w:r>
      <w:r>
        <w:rPr>
          <w:color w:val="000000"/>
        </w:rPr>
        <w:tab/>
        <w:t>241</w:t>
      </w:r>
    </w:p>
    <w:p w:rsidR="003F32B8" w:rsidRPr="000F7457" w:rsidRDefault="003F32B8" w:rsidP="004B480F">
      <w:pPr>
        <w:pStyle w:val="ToCHeading2"/>
        <w:rPr>
          <w:color w:val="000000"/>
        </w:rPr>
      </w:pPr>
      <w:r w:rsidRPr="000F7457">
        <w:rPr>
          <w:color w:val="000000"/>
        </w:rPr>
        <w:t xml:space="preserve">Section 2: Outcomes and Planned Performance </w:t>
      </w:r>
    </w:p>
    <w:p w:rsidR="0035620F" w:rsidRPr="000F7457" w:rsidRDefault="003F32B8" w:rsidP="004B480F">
      <w:pPr>
        <w:pStyle w:val="ToCSubHeading"/>
        <w:rPr>
          <w:color w:val="000000"/>
        </w:rPr>
      </w:pPr>
      <w:r w:rsidRPr="000F7457">
        <w:rPr>
          <w:color w:val="000000"/>
        </w:rPr>
        <w:t>2.1:</w:t>
      </w:r>
      <w:r w:rsidRPr="000F7457">
        <w:rPr>
          <w:color w:val="000000"/>
        </w:rPr>
        <w:tab/>
      </w:r>
      <w:r w:rsidR="0035620F" w:rsidRPr="000F7457">
        <w:rPr>
          <w:color w:val="000000"/>
        </w:rPr>
        <w:t>Budgeted Expenses and Performance</w:t>
      </w:r>
      <w:r w:rsidR="00C439D3">
        <w:rPr>
          <w:color w:val="000000"/>
        </w:rPr>
        <w:tab/>
        <w:t>242</w:t>
      </w:r>
    </w:p>
    <w:p w:rsidR="003F32B8" w:rsidRPr="000F7457" w:rsidRDefault="003F32B8" w:rsidP="004B480F">
      <w:pPr>
        <w:pStyle w:val="ToCHeading2"/>
        <w:rPr>
          <w:color w:val="000000"/>
        </w:rPr>
      </w:pPr>
      <w:r w:rsidRPr="000F7457">
        <w:rPr>
          <w:color w:val="000000"/>
        </w:rPr>
        <w:t xml:space="preserve">Section 3: Budgeted Financial Statements </w:t>
      </w:r>
    </w:p>
    <w:p w:rsidR="003F32B8" w:rsidRPr="000F7457" w:rsidRDefault="003F32B8" w:rsidP="004B480F">
      <w:pPr>
        <w:pStyle w:val="ToCSubHeading"/>
        <w:rPr>
          <w:color w:val="000000"/>
        </w:rPr>
      </w:pPr>
      <w:r w:rsidRPr="000F7457">
        <w:rPr>
          <w:color w:val="000000"/>
        </w:rPr>
        <w:t>3.1:</w:t>
      </w:r>
      <w:r w:rsidRPr="000F7457">
        <w:rPr>
          <w:color w:val="000000"/>
        </w:rPr>
        <w:tab/>
      </w:r>
      <w:r w:rsidR="0035620F" w:rsidRPr="000F7457">
        <w:rPr>
          <w:color w:val="000000"/>
        </w:rPr>
        <w:t>Budgeted Financial Statements</w:t>
      </w:r>
      <w:r w:rsidR="00C439D3">
        <w:rPr>
          <w:color w:val="000000"/>
        </w:rPr>
        <w:tab/>
        <w:t>248</w:t>
      </w:r>
    </w:p>
    <w:p w:rsidR="00B05422" w:rsidRPr="000F7457" w:rsidRDefault="00B05422" w:rsidP="004B480F">
      <w:pPr>
        <w:pStyle w:val="ToCSubHeading"/>
        <w:rPr>
          <w:color w:val="000000"/>
        </w:rPr>
      </w:pPr>
      <w:r w:rsidRPr="000F7457">
        <w:rPr>
          <w:color w:val="000000"/>
        </w:rPr>
        <w:t>3.2:</w:t>
      </w:r>
      <w:r w:rsidRPr="000F7457">
        <w:rPr>
          <w:color w:val="000000"/>
        </w:rPr>
        <w:tab/>
        <w:t>Budgeted</w:t>
      </w:r>
      <w:r w:rsidR="00C439D3">
        <w:rPr>
          <w:color w:val="000000"/>
        </w:rPr>
        <w:t xml:space="preserve"> Financial Statements Tables</w:t>
      </w:r>
      <w:r w:rsidR="00C439D3">
        <w:rPr>
          <w:color w:val="000000"/>
        </w:rPr>
        <w:tab/>
        <w:t>249</w:t>
      </w:r>
    </w:p>
    <w:p w:rsidR="002D6A42" w:rsidRPr="000F7457" w:rsidRDefault="003F32B8" w:rsidP="003F32B8">
      <w:pPr>
        <w:spacing w:after="0"/>
        <w:rPr>
          <w:color w:val="000000"/>
        </w:rPr>
      </w:pPr>
      <w:r w:rsidRPr="000F7457">
        <w:rPr>
          <w:rFonts w:ascii="Arial" w:hAnsi="Arial" w:cs="Arial"/>
          <w:b/>
          <w:color w:val="000000"/>
        </w:rPr>
        <w:fldChar w:fldCharType="end"/>
      </w:r>
    </w:p>
    <w:p w:rsidR="003F32B8" w:rsidRPr="000F7457" w:rsidRDefault="003F32B8" w:rsidP="000032ED">
      <w:pPr>
        <w:rPr>
          <w:color w:val="000000"/>
        </w:rPr>
        <w:sectPr w:rsidR="003F32B8" w:rsidRPr="000F7457" w:rsidSect="00BC27AA">
          <w:footerReference w:type="first" r:id="rId14"/>
          <w:pgSz w:w="11906" w:h="16838" w:code="9"/>
          <w:pgMar w:top="2665" w:right="2268" w:bottom="2126" w:left="2268" w:header="1899" w:footer="1899" w:gutter="0"/>
          <w:cols w:space="708"/>
          <w:titlePg/>
          <w:docGrid w:linePitch="360"/>
        </w:sectPr>
      </w:pPr>
    </w:p>
    <w:p w:rsidR="000E33CF" w:rsidRPr="000F7457" w:rsidRDefault="000E33CF" w:rsidP="000E33CF">
      <w:pPr>
        <w:pStyle w:val="SectionHeading"/>
        <w:rPr>
          <w:color w:val="000000"/>
        </w:rPr>
      </w:pPr>
      <w:r w:rsidRPr="000F7457">
        <w:rPr>
          <w:color w:val="000000"/>
        </w:rPr>
        <w:lastRenderedPageBreak/>
        <w:t xml:space="preserve">Section 1: </w:t>
      </w:r>
      <w:r w:rsidR="00683E6A" w:rsidRPr="000F7457">
        <w:rPr>
          <w:color w:val="000000"/>
        </w:rPr>
        <w:t>Entity</w:t>
      </w:r>
      <w:r w:rsidRPr="000F7457">
        <w:rPr>
          <w:color w:val="000000"/>
        </w:rPr>
        <w:t xml:space="preserve"> Overview and Resources</w:t>
      </w:r>
    </w:p>
    <w:p w:rsidR="00645FA0" w:rsidRPr="000F7457" w:rsidRDefault="00645FA0" w:rsidP="00BC60A5">
      <w:pPr>
        <w:pStyle w:val="SectionSubheading"/>
        <w:rPr>
          <w:color w:val="000000"/>
        </w:rPr>
      </w:pPr>
      <w:r w:rsidRPr="000F7457">
        <w:rPr>
          <w:color w:val="000000"/>
        </w:rPr>
        <w:t>1.1</w:t>
      </w:r>
      <w:r w:rsidRPr="000F7457">
        <w:rPr>
          <w:color w:val="000000"/>
        </w:rPr>
        <w:tab/>
        <w:t>Strategic Direction Statement</w:t>
      </w:r>
    </w:p>
    <w:p w:rsidR="00CB03D6" w:rsidRPr="000F7457" w:rsidRDefault="00CB03D6" w:rsidP="00CB03D6">
      <w:pPr>
        <w:rPr>
          <w:snapToGrid w:val="0"/>
          <w:color w:val="000000"/>
        </w:rPr>
      </w:pPr>
      <w:r w:rsidRPr="000F7457">
        <w:rPr>
          <w:snapToGrid w:val="0"/>
          <w:color w:val="000000"/>
        </w:rPr>
        <w:t>The Australian Radiation Protection and Nuclear Safety Agency (ARPANSA), on behalf of the Australian Government, aims to protect the Australian people and environment from the harmful effects of radiation.</w:t>
      </w:r>
    </w:p>
    <w:p w:rsidR="00CB03D6" w:rsidRPr="000F7457" w:rsidRDefault="00CB03D6" w:rsidP="00CB03D6">
      <w:pPr>
        <w:rPr>
          <w:snapToGrid w:val="0"/>
          <w:color w:val="000000"/>
        </w:rPr>
      </w:pPr>
      <w:r w:rsidRPr="000F7457">
        <w:rPr>
          <w:snapToGrid w:val="0"/>
          <w:color w:val="000000"/>
        </w:rPr>
        <w:t>ARPANSA provides advice and services to the Australian community on radiation protection, nuclear safety, security, and medical exposures to radiation, including related research. It promotes national uniformity of radiation protection and nuclear safety policy and practices across the Australian Government and States and Territories. It also independently regulates the radiation sources, radiation facilities and nuclear installations of Australian Government entities and contractors.</w:t>
      </w:r>
    </w:p>
    <w:p w:rsidR="009773E3" w:rsidRPr="000F7457" w:rsidRDefault="009773E3" w:rsidP="009773E3">
      <w:pPr>
        <w:rPr>
          <w:snapToGrid w:val="0"/>
          <w:color w:val="000000"/>
        </w:rPr>
      </w:pPr>
      <w:r w:rsidRPr="000F7457">
        <w:rPr>
          <w:snapToGrid w:val="0"/>
          <w:color w:val="000000"/>
        </w:rPr>
        <w:t>ARPANSA’s regulatory and advisory frameworks are based on evidence regarding levels of ionising and non-ionising</w:t>
      </w:r>
      <w:r w:rsidRPr="000F7457">
        <w:rPr>
          <w:rStyle w:val="FootnoteReference"/>
          <w:snapToGrid w:val="0"/>
          <w:color w:val="000000"/>
          <w:sz w:val="20"/>
        </w:rPr>
        <w:footnoteReference w:id="1"/>
      </w:r>
      <w:r w:rsidRPr="000F7457">
        <w:rPr>
          <w:snapToGrid w:val="0"/>
          <w:color w:val="000000"/>
        </w:rPr>
        <w:t xml:space="preserve"> radiation in the environment and the effect on human and environmental health and wellbeing. </w:t>
      </w:r>
    </w:p>
    <w:p w:rsidR="00202447" w:rsidRPr="000F7457" w:rsidRDefault="009773E3" w:rsidP="009773E3">
      <w:pPr>
        <w:rPr>
          <w:rFonts w:eastAsiaTheme="minorHAnsi" w:cs="Book Antiqua"/>
          <w:color w:val="000000"/>
          <w:lang w:eastAsia="en-US"/>
        </w:rPr>
      </w:pPr>
      <w:r w:rsidRPr="000F7457">
        <w:rPr>
          <w:snapToGrid w:val="0"/>
          <w:color w:val="000000"/>
        </w:rPr>
        <w:t>In 2016-17, ARPANSA will refine its risk</w:t>
      </w:r>
      <w:r w:rsidRPr="000F7457">
        <w:rPr>
          <w:snapToGrid w:val="0"/>
          <w:color w:val="000000"/>
        </w:rPr>
        <w:noBreakHyphen/>
        <w:t xml:space="preserve">informed approach to the regulation of radiation and nuclear facilities and practices. </w:t>
      </w:r>
      <w:r w:rsidRPr="000F7457">
        <w:rPr>
          <w:rFonts w:eastAsiaTheme="minorHAnsi" w:cs="Book Antiqua"/>
          <w:color w:val="000000"/>
          <w:lang w:eastAsia="en-US"/>
        </w:rPr>
        <w:t>ARPANSA will also assess exposure to the public, workers and the environment to ionising and non-ionising radiation from natural and man-made sources.</w:t>
      </w:r>
    </w:p>
    <w:p w:rsidR="00805C44" w:rsidRPr="000F7457" w:rsidRDefault="00CB03D6" w:rsidP="00805C44">
      <w:pPr>
        <w:rPr>
          <w:color w:val="000000"/>
        </w:rPr>
      </w:pPr>
      <w:r w:rsidRPr="000F7457">
        <w:rPr>
          <w:snapToGrid w:val="0"/>
          <w:color w:val="000000"/>
        </w:rPr>
        <w:t xml:space="preserve">The role and functions of ARPANSA are set out in the </w:t>
      </w:r>
      <w:r w:rsidRPr="000F7457">
        <w:rPr>
          <w:i/>
          <w:snapToGrid w:val="0"/>
          <w:color w:val="000000"/>
        </w:rPr>
        <w:t>Australian Radiation Protection and Nuclear Safety Act 1998</w:t>
      </w:r>
      <w:r w:rsidRPr="000F7457">
        <w:rPr>
          <w:snapToGrid w:val="0"/>
          <w:color w:val="000000"/>
        </w:rPr>
        <w:t>. ARPANSA is</w:t>
      </w:r>
      <w:r w:rsidRPr="000F7457">
        <w:rPr>
          <w:color w:val="000000"/>
        </w:rPr>
        <w:t xml:space="preserve"> a Non-corporate Commonwealth Entity under the </w:t>
      </w:r>
      <w:r w:rsidRPr="000F7457">
        <w:rPr>
          <w:i/>
          <w:color w:val="000000"/>
        </w:rPr>
        <w:t>Public Governance, Performance and Accountability Act 2013</w:t>
      </w:r>
      <w:r w:rsidRPr="000F7457">
        <w:rPr>
          <w:color w:val="000000"/>
        </w:rPr>
        <w:t>.</w:t>
      </w:r>
      <w:r w:rsidR="00BB04F9" w:rsidRPr="000F7457">
        <w:rPr>
          <w:color w:val="000000"/>
        </w:rPr>
        <w:t xml:space="preserve"> </w:t>
      </w:r>
      <w:r w:rsidR="00805C44" w:rsidRPr="000F7457">
        <w:rPr>
          <w:color w:val="000000"/>
        </w:rPr>
        <w:t>Operational details are contained in the Corporate Plan, which is available on the ARPANSA website.</w:t>
      </w:r>
    </w:p>
    <w:p w:rsidR="000E33CF" w:rsidRPr="000F7457" w:rsidRDefault="000E33CF" w:rsidP="00805C44">
      <w:pPr>
        <w:rPr>
          <w:color w:val="000000"/>
          <w:lang w:eastAsia="en-US"/>
        </w:rPr>
      </w:pPr>
      <w:r w:rsidRPr="000F7457">
        <w:rPr>
          <w:color w:val="000000"/>
        </w:rPr>
        <w:br w:type="page"/>
      </w:r>
    </w:p>
    <w:p w:rsidR="00A76D89" w:rsidRPr="000F7457" w:rsidRDefault="00A76D89" w:rsidP="00BC60A5">
      <w:pPr>
        <w:pStyle w:val="SectionSubheading"/>
        <w:rPr>
          <w:color w:val="000000"/>
        </w:rPr>
      </w:pPr>
      <w:r w:rsidRPr="000F7457">
        <w:rPr>
          <w:color w:val="000000"/>
        </w:rPr>
        <w:lastRenderedPageBreak/>
        <w:t>1.2</w:t>
      </w:r>
      <w:r w:rsidRPr="000F7457">
        <w:rPr>
          <w:color w:val="000000"/>
        </w:rPr>
        <w:tab/>
      </w:r>
      <w:r w:rsidR="00B07E5C" w:rsidRPr="000F7457">
        <w:rPr>
          <w:color w:val="000000"/>
        </w:rPr>
        <w:t>Entity</w:t>
      </w:r>
      <w:r w:rsidRPr="000F7457">
        <w:rPr>
          <w:color w:val="000000"/>
        </w:rPr>
        <w:t xml:space="preserve"> Resource</w:t>
      </w:r>
      <w:r w:rsidR="0035620F" w:rsidRPr="000F7457">
        <w:rPr>
          <w:color w:val="000000"/>
        </w:rPr>
        <w:t xml:space="preserve"> Statement</w:t>
      </w:r>
    </w:p>
    <w:p w:rsidR="0035620F" w:rsidRPr="000F7457" w:rsidRDefault="0035620F" w:rsidP="0035620F">
      <w:pPr>
        <w:rPr>
          <w:color w:val="000000"/>
        </w:rPr>
      </w:pPr>
      <w:r w:rsidRPr="000F7457">
        <w:rPr>
          <w:color w:val="000000"/>
        </w:rPr>
        <w:t xml:space="preserve">Table 1.1 shows the total funding from all sources available to the entity for its operations and to deliver programs and services on behalf of the </w:t>
      </w:r>
      <w:r w:rsidR="009468D5" w:rsidRPr="000F7457">
        <w:rPr>
          <w:color w:val="000000"/>
        </w:rPr>
        <w:t>G</w:t>
      </w:r>
      <w:r w:rsidRPr="000F7457">
        <w:rPr>
          <w:color w:val="000000"/>
        </w:rPr>
        <w:t xml:space="preserve">overnment. </w:t>
      </w:r>
    </w:p>
    <w:p w:rsidR="0035620F" w:rsidRPr="000F7457" w:rsidRDefault="0035620F" w:rsidP="0035620F">
      <w:pPr>
        <w:rPr>
          <w:color w:val="000000"/>
        </w:rPr>
      </w:pPr>
      <w:r w:rsidRPr="000F7457">
        <w:rPr>
          <w:color w:val="000000"/>
        </w:rPr>
        <w:t xml:space="preserve">The table summarises how resources will be applied by </w:t>
      </w:r>
      <w:r w:rsidR="009468D5" w:rsidRPr="000F7457">
        <w:rPr>
          <w:color w:val="000000"/>
        </w:rPr>
        <w:t>O</w:t>
      </w:r>
      <w:r w:rsidRPr="000F7457">
        <w:rPr>
          <w:color w:val="000000"/>
        </w:rPr>
        <w:t>utcome (</w:t>
      </w:r>
      <w:r w:rsidR="009468D5" w:rsidRPr="000F7457">
        <w:rPr>
          <w:color w:val="000000"/>
        </w:rPr>
        <w:t>G</w:t>
      </w:r>
      <w:r w:rsidRPr="000F7457">
        <w:rPr>
          <w:color w:val="000000"/>
        </w:rPr>
        <w:t>overnment strategic policy ob</w:t>
      </w:r>
      <w:r w:rsidR="00BB04F9" w:rsidRPr="000F7457">
        <w:rPr>
          <w:color w:val="000000"/>
        </w:rPr>
        <w:t>jectives) and by A</w:t>
      </w:r>
      <w:r w:rsidRPr="000F7457">
        <w:rPr>
          <w:color w:val="000000"/>
        </w:rPr>
        <w:t xml:space="preserve">dministered (on behalf of the </w:t>
      </w:r>
      <w:r w:rsidR="009468D5" w:rsidRPr="000F7457">
        <w:rPr>
          <w:color w:val="000000"/>
        </w:rPr>
        <w:t>G</w:t>
      </w:r>
      <w:r w:rsidR="00BB04F9" w:rsidRPr="000F7457">
        <w:rPr>
          <w:color w:val="000000"/>
        </w:rPr>
        <w:t>overnment or the public) and D</w:t>
      </w:r>
      <w:r w:rsidRPr="000F7457">
        <w:rPr>
          <w:color w:val="000000"/>
        </w:rPr>
        <w:t>epartmental (for the entity’s operations) classification.</w:t>
      </w:r>
    </w:p>
    <w:p w:rsidR="0035620F" w:rsidRPr="000F7457" w:rsidRDefault="0035620F" w:rsidP="0035620F">
      <w:pPr>
        <w:rPr>
          <w:color w:val="000000"/>
        </w:rPr>
      </w:pPr>
      <w:r w:rsidRPr="000F7457">
        <w:rPr>
          <w:color w:val="000000"/>
        </w:rPr>
        <w:t xml:space="preserve">For more detailed information on special accounts and special appropriations, please refer to </w:t>
      </w:r>
      <w:r w:rsidRPr="000F7457">
        <w:rPr>
          <w:i/>
          <w:color w:val="000000"/>
        </w:rPr>
        <w:t>Budget Paper No. 4 – Agency Resourcing</w:t>
      </w:r>
      <w:r w:rsidRPr="000F7457">
        <w:rPr>
          <w:color w:val="000000"/>
        </w:rPr>
        <w:t>.</w:t>
      </w:r>
    </w:p>
    <w:p w:rsidR="0035620F" w:rsidRPr="000F7457" w:rsidRDefault="0035620F" w:rsidP="0035620F">
      <w:pPr>
        <w:rPr>
          <w:color w:val="000000"/>
        </w:rPr>
      </w:pPr>
      <w:r w:rsidRPr="000F7457">
        <w:rPr>
          <w:color w:val="000000"/>
        </w:rPr>
        <w:t>Information in this table is presented on a resourcing (i.e. appropriations/cash available) basis, whilst the ‘Budgeted expenses by Outcome’ tables in Section 2 and the financial statements in Section 3 are presented on an accrual basis.</w:t>
      </w:r>
    </w:p>
    <w:p w:rsidR="00B7658A" w:rsidRPr="000F7457" w:rsidRDefault="00B7658A">
      <w:pPr>
        <w:spacing w:after="0"/>
        <w:rPr>
          <w:rFonts w:ascii="Arial" w:hAnsi="Arial"/>
          <w:b/>
          <w:color w:val="000000"/>
        </w:rPr>
      </w:pPr>
      <w:r w:rsidRPr="000F7457">
        <w:rPr>
          <w:color w:val="000000"/>
        </w:rPr>
        <w:br w:type="page"/>
      </w:r>
    </w:p>
    <w:p w:rsidR="00A76D89" w:rsidRPr="000F7457" w:rsidRDefault="00A76D89" w:rsidP="00CB4CB3">
      <w:pPr>
        <w:pStyle w:val="TableReference"/>
        <w:rPr>
          <w:color w:val="000000"/>
        </w:rPr>
      </w:pPr>
      <w:r w:rsidRPr="000F7457">
        <w:rPr>
          <w:color w:val="000000"/>
        </w:rPr>
        <w:lastRenderedPageBreak/>
        <w:t xml:space="preserve">Table 1.1: </w:t>
      </w:r>
      <w:r w:rsidR="00CB03D6" w:rsidRPr="000F7457">
        <w:rPr>
          <w:color w:val="000000"/>
        </w:rPr>
        <w:t>ARPANSA</w:t>
      </w:r>
      <w:r w:rsidRPr="000F7457">
        <w:rPr>
          <w:color w:val="000000"/>
        </w:rPr>
        <w:t xml:space="preserve"> Resource Statement – Budget Estimates for 201</w:t>
      </w:r>
      <w:r w:rsidR="00522395" w:rsidRPr="000F7457">
        <w:rPr>
          <w:color w:val="000000"/>
        </w:rPr>
        <w:t>6</w:t>
      </w:r>
      <w:r w:rsidRPr="000F7457">
        <w:rPr>
          <w:color w:val="000000"/>
        </w:rPr>
        <w:t>-1</w:t>
      </w:r>
      <w:r w:rsidR="00522395" w:rsidRPr="000F7457">
        <w:rPr>
          <w:color w:val="000000"/>
        </w:rPr>
        <w:t>7</w:t>
      </w:r>
      <w:r w:rsidR="00610BD0" w:rsidRPr="000F7457">
        <w:rPr>
          <w:color w:val="000000"/>
        </w:rPr>
        <w:t xml:space="preserve"> </w:t>
      </w:r>
      <w:r w:rsidRPr="000F7457">
        <w:rPr>
          <w:color w:val="000000"/>
        </w:rPr>
        <w:t>as</w:t>
      </w:r>
      <w:r w:rsidR="00610BD0" w:rsidRPr="000F7457">
        <w:rPr>
          <w:color w:val="000000"/>
        </w:rPr>
        <w:t> </w:t>
      </w:r>
      <w:r w:rsidRPr="000F7457">
        <w:rPr>
          <w:color w:val="000000"/>
        </w:rPr>
        <w:t>at Budget May</w:t>
      </w:r>
      <w:r w:rsidR="00020BE9" w:rsidRPr="000F7457">
        <w:rPr>
          <w:color w:val="000000"/>
        </w:rPr>
        <w:t> </w:t>
      </w:r>
      <w:r w:rsidRPr="000F7457">
        <w:rPr>
          <w:color w:val="000000"/>
        </w:rPr>
        <w:t>2016</w:t>
      </w:r>
    </w:p>
    <w:tbl>
      <w:tblPr>
        <w:tblW w:w="7380" w:type="dxa"/>
        <w:tblInd w:w="93" w:type="dxa"/>
        <w:tblLook w:val="04A0" w:firstRow="1" w:lastRow="0" w:firstColumn="1" w:lastColumn="0" w:noHBand="0" w:noVBand="1"/>
        <w:tblCaption w:val="Table 1.1: ARPANSA Resource Statement – Budget Estimates for 2016-17 as at Budget May 2016"/>
        <w:tblDescription w:val="Table 1.1 shows the total resources from all sources. The table summarises how resources will be applied by Outcome and by administered and departmental classification. Read the first column for the portfolio resources and then across the table for the amount for each appropriation movement. Note that there is no data for some categories."/>
      </w:tblPr>
      <w:tblGrid>
        <w:gridCol w:w="4660"/>
        <w:gridCol w:w="1360"/>
        <w:gridCol w:w="1360"/>
      </w:tblGrid>
      <w:tr w:rsidR="000F7457" w:rsidRPr="000F7457" w:rsidTr="00B7658A">
        <w:trPr>
          <w:trHeight w:val="420"/>
        </w:trPr>
        <w:tc>
          <w:tcPr>
            <w:tcW w:w="4660" w:type="dxa"/>
            <w:tcBorders>
              <w:top w:val="single" w:sz="4" w:space="0" w:color="auto"/>
              <w:left w:val="nil"/>
              <w:bottom w:val="nil"/>
              <w:right w:val="nil"/>
            </w:tcBorders>
            <w:shd w:val="clear" w:color="auto" w:fill="auto"/>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1360" w:type="dxa"/>
            <w:tcBorders>
              <w:top w:val="single" w:sz="4" w:space="0" w:color="auto"/>
              <w:left w:val="nil"/>
              <w:bottom w:val="single" w:sz="4" w:space="0" w:color="auto"/>
              <w:right w:val="nil"/>
            </w:tcBorders>
            <w:shd w:val="clear" w:color="auto" w:fill="auto"/>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w:t>
            </w:r>
            <w:r w:rsidRPr="000F7457">
              <w:rPr>
                <w:rFonts w:ascii="Arial" w:hAnsi="Arial" w:cs="Arial"/>
                <w:b/>
                <w:bCs/>
                <w:color w:val="000000"/>
                <w:sz w:val="16"/>
                <w:szCs w:val="16"/>
              </w:rPr>
              <w:br/>
              <w:t>Estimated</w:t>
            </w:r>
            <w:r w:rsidRPr="000F7457">
              <w:rPr>
                <w:rFonts w:ascii="Arial" w:hAnsi="Arial" w:cs="Arial"/>
                <w:b/>
                <w:bCs/>
                <w:color w:val="000000"/>
                <w:sz w:val="16"/>
                <w:szCs w:val="16"/>
              </w:rPr>
              <w:br/>
              <w:t>actual</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1360" w:type="dxa"/>
            <w:tcBorders>
              <w:top w:val="single" w:sz="4" w:space="0" w:color="auto"/>
              <w:left w:val="nil"/>
              <w:bottom w:val="single" w:sz="4" w:space="0" w:color="auto"/>
              <w:right w:val="nil"/>
            </w:tcBorders>
            <w:shd w:val="clear" w:color="000000" w:fill="D9D9D9"/>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2016-17</w:t>
            </w:r>
            <w:r w:rsidRPr="000F7457">
              <w:rPr>
                <w:rFonts w:ascii="Arial" w:hAnsi="Arial" w:cs="Arial"/>
                <w:b/>
                <w:bCs/>
                <w:color w:val="000000"/>
                <w:sz w:val="16"/>
                <w:szCs w:val="16"/>
              </w:rPr>
              <w:br/>
              <w:t>Estimate</w:t>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color w:val="000000"/>
                <w:sz w:val="16"/>
                <w:szCs w:val="16"/>
              </w:rPr>
              <w:t>$'000</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24154F" w:rsidP="00B7658A">
            <w:pPr>
              <w:spacing w:after="0"/>
              <w:rPr>
                <w:rFonts w:ascii="Arial" w:hAnsi="Arial" w:cs="Arial"/>
                <w:b/>
                <w:bCs/>
                <w:color w:val="000000"/>
                <w:sz w:val="18"/>
                <w:szCs w:val="18"/>
              </w:rPr>
            </w:pPr>
            <w:r w:rsidRPr="000F7457">
              <w:rPr>
                <w:rFonts w:ascii="Arial" w:hAnsi="Arial" w:cs="Arial"/>
                <w:b/>
                <w:bCs/>
                <w:color w:val="000000"/>
                <w:sz w:val="16"/>
                <w:szCs w:val="18"/>
              </w:rPr>
              <w:t>DEPARTMENTAL</w:t>
            </w:r>
          </w:p>
        </w:tc>
        <w:tc>
          <w:tcPr>
            <w:tcW w:w="1360" w:type="dxa"/>
            <w:tcBorders>
              <w:top w:val="nil"/>
              <w:left w:val="nil"/>
              <w:bottom w:val="nil"/>
              <w:right w:val="nil"/>
            </w:tcBorders>
            <w:shd w:val="clear" w:color="auto" w:fill="auto"/>
            <w:vAlign w:val="bottom"/>
            <w:hideMark/>
          </w:tcPr>
          <w:p w:rsidR="00B7658A" w:rsidRPr="000F7457" w:rsidRDefault="00B7658A" w:rsidP="00B7658A">
            <w:pPr>
              <w:spacing w:after="0"/>
              <w:jc w:val="right"/>
              <w:rPr>
                <w:rFonts w:ascii="Arial" w:hAnsi="Arial" w:cs="Arial"/>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100" w:firstLine="160"/>
              <w:rPr>
                <w:rFonts w:ascii="Arial" w:hAnsi="Arial" w:cs="Arial"/>
                <w:color w:val="000000"/>
                <w:sz w:val="16"/>
                <w:szCs w:val="16"/>
              </w:rPr>
            </w:pPr>
            <w:r w:rsidRPr="000F7457">
              <w:rPr>
                <w:rFonts w:ascii="Arial" w:hAnsi="Arial" w:cs="Arial"/>
                <w:color w:val="000000"/>
                <w:sz w:val="16"/>
                <w:szCs w:val="16"/>
              </w:rPr>
              <w:t>Prior year appropriation available</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4,450</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3,832</w:t>
            </w:r>
          </w:p>
        </w:tc>
      </w:tr>
      <w:tr w:rsidR="000F7457" w:rsidRPr="000F7457" w:rsidTr="00B7658A">
        <w:trPr>
          <w:trHeight w:val="300"/>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Annual appropriations</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Ordinary annual services</w:t>
            </w:r>
            <w:r w:rsidRPr="000F7457">
              <w:rPr>
                <w:rFonts w:ascii="Arial" w:hAnsi="Arial" w:cs="Arial"/>
                <w:color w:val="000000"/>
                <w:sz w:val="16"/>
                <w:szCs w:val="16"/>
                <w:vertAlign w:val="superscript"/>
              </w:rPr>
              <w:t>1</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300" w:firstLine="480"/>
              <w:rPr>
                <w:rFonts w:ascii="Arial" w:hAnsi="Arial" w:cs="Arial"/>
                <w:color w:val="000000"/>
                <w:sz w:val="16"/>
                <w:szCs w:val="16"/>
              </w:rPr>
            </w:pPr>
            <w:r w:rsidRPr="000F7457">
              <w:rPr>
                <w:rFonts w:ascii="Arial" w:hAnsi="Arial" w:cs="Arial"/>
                <w:color w:val="000000"/>
                <w:sz w:val="16"/>
                <w:szCs w:val="16"/>
              </w:rPr>
              <w:t>Departmental appropriation</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13,056</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13,049</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300" w:firstLine="480"/>
              <w:rPr>
                <w:rFonts w:ascii="Arial" w:hAnsi="Arial" w:cs="Arial"/>
                <w:color w:val="000000"/>
                <w:sz w:val="16"/>
                <w:szCs w:val="16"/>
              </w:rPr>
            </w:pPr>
            <w:r w:rsidRPr="000F7457">
              <w:rPr>
                <w:rFonts w:ascii="Arial" w:hAnsi="Arial" w:cs="Arial"/>
                <w:color w:val="000000"/>
                <w:sz w:val="16"/>
                <w:szCs w:val="16"/>
              </w:rPr>
              <w:t>s74 retained revenue receipts</w:t>
            </w:r>
            <w:r w:rsidRPr="000F7457">
              <w:rPr>
                <w:rFonts w:ascii="Arial" w:hAnsi="Arial" w:cs="Arial"/>
                <w:color w:val="000000"/>
                <w:sz w:val="14"/>
                <w:szCs w:val="14"/>
                <w:vertAlign w:val="superscript"/>
              </w:rPr>
              <w:t>2</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10,046</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10,046</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300" w:firstLine="480"/>
              <w:rPr>
                <w:rFonts w:ascii="Arial" w:hAnsi="Arial" w:cs="Arial"/>
                <w:color w:val="000000"/>
                <w:sz w:val="16"/>
                <w:szCs w:val="16"/>
              </w:rPr>
            </w:pPr>
            <w:r w:rsidRPr="000F7457">
              <w:rPr>
                <w:rFonts w:ascii="Arial" w:hAnsi="Arial" w:cs="Arial"/>
                <w:color w:val="000000"/>
                <w:sz w:val="16"/>
                <w:szCs w:val="16"/>
              </w:rPr>
              <w:t>Departmental capital budget</w:t>
            </w:r>
            <w:r w:rsidRPr="000F7457">
              <w:rPr>
                <w:rFonts w:ascii="Arial" w:hAnsi="Arial" w:cs="Arial"/>
                <w:color w:val="000000"/>
                <w:sz w:val="14"/>
                <w:szCs w:val="14"/>
                <w:vertAlign w:val="superscript"/>
              </w:rPr>
              <w:t>3</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1,979</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2,124</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Other services</w:t>
            </w:r>
            <w:r w:rsidRPr="000F7457">
              <w:rPr>
                <w:rFonts w:ascii="Arial" w:hAnsi="Arial" w:cs="Arial"/>
                <w:color w:val="000000"/>
                <w:sz w:val="14"/>
                <w:szCs w:val="14"/>
                <w:vertAlign w:val="superscript"/>
              </w:rPr>
              <w:t>4</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300" w:firstLine="480"/>
              <w:rPr>
                <w:rFonts w:ascii="Arial" w:hAnsi="Arial" w:cs="Arial"/>
                <w:color w:val="000000"/>
                <w:sz w:val="16"/>
                <w:szCs w:val="16"/>
              </w:rPr>
            </w:pPr>
            <w:r w:rsidRPr="000F7457">
              <w:rPr>
                <w:rFonts w:ascii="Arial" w:hAnsi="Arial" w:cs="Arial"/>
                <w:color w:val="000000"/>
                <w:sz w:val="16"/>
                <w:szCs w:val="16"/>
              </w:rPr>
              <w:t>Equity injection</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25,081</w:t>
            </w:r>
          </w:p>
        </w:tc>
        <w:tc>
          <w:tcPr>
            <w:tcW w:w="1360" w:type="dxa"/>
            <w:tcBorders>
              <w:top w:val="nil"/>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25,219</w:t>
            </w:r>
          </w:p>
        </w:tc>
      </w:tr>
      <w:tr w:rsidR="000F7457" w:rsidRPr="000F7457" w:rsidTr="00B7658A">
        <w:trPr>
          <w:trHeight w:val="300"/>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Special Accounts</w:t>
            </w:r>
            <w:r w:rsidRPr="000F7457">
              <w:rPr>
                <w:rFonts w:ascii="Arial" w:hAnsi="Arial" w:cs="Arial"/>
                <w:b/>
                <w:bCs/>
                <w:color w:val="000000"/>
                <w:sz w:val="14"/>
                <w:szCs w:val="14"/>
                <w:vertAlign w:val="superscript"/>
              </w:rPr>
              <w:t>5</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Appropriation receipts</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15,889</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15,173</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 xml:space="preserve">Non-appropriation receipts </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10,046</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10,046</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special account</w:t>
            </w:r>
          </w:p>
        </w:tc>
        <w:tc>
          <w:tcPr>
            <w:tcW w:w="1360"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25,935</w:t>
            </w:r>
          </w:p>
        </w:tc>
        <w:tc>
          <w:tcPr>
            <w:tcW w:w="1360" w:type="dxa"/>
            <w:tcBorders>
              <w:top w:val="nil"/>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25,219</w:t>
            </w:r>
          </w:p>
        </w:tc>
      </w:tr>
      <w:tr w:rsidR="000F7457" w:rsidRPr="000F7457" w:rsidTr="00B7658A">
        <w:trPr>
          <w:trHeight w:val="300"/>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Less appropriations drawn from annual or</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special appropriations above and credited</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ind w:firstLineChars="200" w:firstLine="320"/>
              <w:rPr>
                <w:rFonts w:ascii="Arial" w:hAnsi="Arial" w:cs="Arial"/>
                <w:color w:val="000000"/>
                <w:sz w:val="16"/>
                <w:szCs w:val="16"/>
              </w:rPr>
            </w:pPr>
            <w:r w:rsidRPr="000F7457">
              <w:rPr>
                <w:rFonts w:ascii="Arial" w:hAnsi="Arial" w:cs="Arial"/>
                <w:color w:val="000000"/>
                <w:sz w:val="16"/>
                <w:szCs w:val="16"/>
              </w:rPr>
              <w:t>to Special Accounts</w:t>
            </w:r>
            <w:r w:rsidRPr="000F7457">
              <w:rPr>
                <w:rFonts w:ascii="Arial" w:hAnsi="Arial" w:cs="Arial"/>
                <w:color w:val="000000"/>
                <w:sz w:val="14"/>
                <w:szCs w:val="14"/>
                <w:vertAlign w:val="superscript"/>
              </w:rPr>
              <w:t>6</w:t>
            </w: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(25,935)</w:t>
            </w:r>
          </w:p>
        </w:tc>
        <w:tc>
          <w:tcPr>
            <w:tcW w:w="1360" w:type="dxa"/>
            <w:tcBorders>
              <w:top w:val="nil"/>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(25,219)</w:t>
            </w:r>
          </w:p>
        </w:tc>
      </w:tr>
      <w:tr w:rsidR="000F7457" w:rsidRPr="000F7457" w:rsidTr="00B7658A">
        <w:trPr>
          <w:trHeight w:val="300"/>
        </w:trPr>
        <w:tc>
          <w:tcPr>
            <w:tcW w:w="4660" w:type="dxa"/>
            <w:tcBorders>
              <w:top w:val="nil"/>
              <w:left w:val="nil"/>
              <w:bottom w:val="nil"/>
              <w:right w:val="nil"/>
            </w:tcBorders>
            <w:shd w:val="clear" w:color="auto" w:fill="auto"/>
            <w:noWrap/>
            <w:vAlign w:val="bottom"/>
            <w:hideMark/>
          </w:tcPr>
          <w:p w:rsidR="00B7658A" w:rsidRPr="000F7457" w:rsidRDefault="00B7658A" w:rsidP="001B2C13">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29,531</w:t>
            </w:r>
          </w:p>
        </w:tc>
        <w:tc>
          <w:tcPr>
            <w:tcW w:w="1360" w:type="dxa"/>
            <w:tcBorders>
              <w:top w:val="nil"/>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29,051</w:t>
            </w:r>
          </w:p>
        </w:tc>
      </w:tr>
      <w:tr w:rsidR="000F7457" w:rsidRPr="000F7457" w:rsidTr="00B7658A">
        <w:trPr>
          <w:trHeight w:val="300"/>
        </w:trPr>
        <w:tc>
          <w:tcPr>
            <w:tcW w:w="4660"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rPr>
                <w:rFonts w:ascii="Arial" w:hAnsi="Arial" w:cs="Arial"/>
                <w:b/>
                <w:bCs/>
                <w:color w:val="000000"/>
                <w:sz w:val="16"/>
                <w:szCs w:val="16"/>
              </w:rPr>
            </w:pPr>
            <w:r w:rsidRPr="000F7457">
              <w:rPr>
                <w:rFonts w:ascii="Arial" w:hAnsi="Arial" w:cs="Arial"/>
                <w:b/>
                <w:bCs/>
                <w:color w:val="000000"/>
                <w:sz w:val="16"/>
                <w:szCs w:val="16"/>
              </w:rPr>
              <w:t>Total resourcing for ARPANSA</w:t>
            </w:r>
          </w:p>
        </w:tc>
        <w:tc>
          <w:tcPr>
            <w:tcW w:w="1360"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29,531</w:t>
            </w:r>
          </w:p>
        </w:tc>
        <w:tc>
          <w:tcPr>
            <w:tcW w:w="1360" w:type="dxa"/>
            <w:tcBorders>
              <w:top w:val="nil"/>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29,051</w:t>
            </w:r>
          </w:p>
        </w:tc>
      </w:tr>
      <w:tr w:rsidR="000F7457" w:rsidRPr="000F7457" w:rsidTr="00B7658A">
        <w:trPr>
          <w:trHeight w:val="225"/>
        </w:trPr>
        <w:tc>
          <w:tcPr>
            <w:tcW w:w="4660" w:type="dxa"/>
            <w:tcBorders>
              <w:top w:val="nil"/>
              <w:left w:val="nil"/>
              <w:bottom w:val="nil"/>
              <w:right w:val="nil"/>
            </w:tcBorders>
            <w:shd w:val="clear" w:color="auto" w:fill="auto"/>
            <w:noWrap/>
            <w:vAlign w:val="bottom"/>
            <w:hideMark/>
          </w:tcPr>
          <w:p w:rsidR="00B7658A" w:rsidRPr="000F7457" w:rsidRDefault="00B7658A" w:rsidP="00B7658A">
            <w:pPr>
              <w:spacing w:after="0"/>
              <w:rPr>
                <w:rFonts w:ascii="Arial" w:hAnsi="Arial" w:cs="Arial"/>
                <w:b/>
                <w:bCs/>
                <w:color w:val="000000"/>
                <w:sz w:val="16"/>
                <w:szCs w:val="16"/>
              </w:rPr>
            </w:pP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rPr>
                <w:rFonts w:ascii="Arial" w:hAnsi="Arial" w:cs="Arial"/>
                <w:b/>
                <w:bCs/>
                <w:color w:val="000000"/>
                <w:sz w:val="16"/>
                <w:szCs w:val="16"/>
              </w:rPr>
            </w:pPr>
          </w:p>
        </w:tc>
        <w:tc>
          <w:tcPr>
            <w:tcW w:w="1360" w:type="dxa"/>
            <w:tcBorders>
              <w:top w:val="nil"/>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p>
        </w:tc>
      </w:tr>
      <w:tr w:rsidR="000F7457" w:rsidRPr="000F7457" w:rsidTr="00B7658A">
        <w:trPr>
          <w:trHeight w:val="225"/>
        </w:trPr>
        <w:tc>
          <w:tcPr>
            <w:tcW w:w="4660" w:type="dxa"/>
            <w:tcBorders>
              <w:top w:val="single" w:sz="4" w:space="0" w:color="auto"/>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1360" w:type="dxa"/>
            <w:tcBorders>
              <w:top w:val="single" w:sz="4" w:space="0" w:color="auto"/>
              <w:left w:val="nil"/>
              <w:bottom w:val="nil"/>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2015-16</w:t>
            </w:r>
          </w:p>
        </w:tc>
        <w:tc>
          <w:tcPr>
            <w:tcW w:w="1360" w:type="dxa"/>
            <w:tcBorders>
              <w:top w:val="single" w:sz="4" w:space="0" w:color="auto"/>
              <w:left w:val="nil"/>
              <w:bottom w:val="nil"/>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2016-17</w:t>
            </w:r>
          </w:p>
        </w:tc>
      </w:tr>
      <w:tr w:rsidR="000F7457" w:rsidRPr="000F7457" w:rsidTr="00B7658A">
        <w:trPr>
          <w:trHeight w:val="225"/>
        </w:trPr>
        <w:tc>
          <w:tcPr>
            <w:tcW w:w="4660"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rPr>
                <w:rFonts w:ascii="Arial" w:hAnsi="Arial" w:cs="Arial"/>
                <w:b/>
                <w:bCs/>
                <w:color w:val="000000"/>
                <w:sz w:val="16"/>
                <w:szCs w:val="16"/>
              </w:rPr>
            </w:pPr>
            <w:r w:rsidRPr="000F7457">
              <w:rPr>
                <w:rFonts w:ascii="Arial" w:hAnsi="Arial" w:cs="Arial"/>
                <w:b/>
                <w:bCs/>
                <w:color w:val="000000"/>
                <w:sz w:val="16"/>
                <w:szCs w:val="16"/>
              </w:rPr>
              <w:t>Average staffing level (number)</w:t>
            </w:r>
          </w:p>
        </w:tc>
        <w:tc>
          <w:tcPr>
            <w:tcW w:w="1360" w:type="dxa"/>
            <w:tcBorders>
              <w:top w:val="single" w:sz="4" w:space="0" w:color="auto"/>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135</w:t>
            </w:r>
          </w:p>
        </w:tc>
        <w:tc>
          <w:tcPr>
            <w:tcW w:w="1360" w:type="dxa"/>
            <w:tcBorders>
              <w:top w:val="single" w:sz="4" w:space="0" w:color="auto"/>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131</w:t>
            </w:r>
          </w:p>
        </w:tc>
      </w:tr>
    </w:tbl>
    <w:p w:rsidR="00B7658A" w:rsidRPr="000F7457" w:rsidRDefault="00B7658A" w:rsidP="007533B9">
      <w:pPr>
        <w:pStyle w:val="FootnoteText"/>
        <w:spacing w:before="120"/>
        <w:rPr>
          <w:color w:val="000000"/>
        </w:rPr>
      </w:pPr>
      <w:r w:rsidRPr="000F7457">
        <w:rPr>
          <w:color w:val="000000"/>
        </w:rPr>
        <w:t>All figures are GST exclusive.</w:t>
      </w:r>
    </w:p>
    <w:p w:rsidR="00B7658A" w:rsidRPr="000F7457" w:rsidRDefault="00B7658A" w:rsidP="00B7658A">
      <w:pPr>
        <w:pStyle w:val="FootnoteText"/>
        <w:rPr>
          <w:color w:val="000000"/>
        </w:rPr>
      </w:pPr>
      <w:r w:rsidRPr="000F7457">
        <w:rPr>
          <w:color w:val="000000"/>
          <w:vertAlign w:val="superscript"/>
        </w:rPr>
        <w:t>1</w:t>
      </w:r>
      <w:r w:rsidRPr="000F7457">
        <w:rPr>
          <w:color w:val="000000"/>
        </w:rPr>
        <w:t xml:space="preserve"> </w:t>
      </w:r>
      <w:r w:rsidRPr="000F7457">
        <w:rPr>
          <w:color w:val="000000"/>
        </w:rPr>
        <w:tab/>
        <w:t>Appropriation Bill (No. 1) 2016-17.</w:t>
      </w:r>
    </w:p>
    <w:p w:rsidR="00B7658A" w:rsidRPr="000F7457" w:rsidRDefault="00B7658A" w:rsidP="00B7658A">
      <w:pPr>
        <w:pStyle w:val="FootnoteText"/>
        <w:rPr>
          <w:color w:val="000000"/>
        </w:rPr>
      </w:pPr>
      <w:r w:rsidRPr="000F7457">
        <w:rPr>
          <w:color w:val="000000"/>
          <w:vertAlign w:val="superscript"/>
        </w:rPr>
        <w:t>2</w:t>
      </w:r>
      <w:r w:rsidRPr="000F7457">
        <w:rPr>
          <w:color w:val="000000"/>
        </w:rPr>
        <w:t xml:space="preserve"> </w:t>
      </w:r>
      <w:r w:rsidRPr="000F7457">
        <w:rPr>
          <w:color w:val="000000"/>
        </w:rPr>
        <w:tab/>
        <w:t>Estimated retained revenue receipts under section 74 of the PGPA Act 2013.</w:t>
      </w:r>
    </w:p>
    <w:p w:rsidR="00B7658A" w:rsidRPr="000F7457" w:rsidRDefault="00B7658A" w:rsidP="00B7658A">
      <w:pPr>
        <w:pStyle w:val="FootnoteText"/>
        <w:rPr>
          <w:color w:val="000000"/>
        </w:rPr>
      </w:pPr>
      <w:r w:rsidRPr="000F7457">
        <w:rPr>
          <w:color w:val="000000"/>
          <w:vertAlign w:val="superscript"/>
        </w:rPr>
        <w:t>3</w:t>
      </w:r>
      <w:r w:rsidRPr="000F7457">
        <w:rPr>
          <w:color w:val="000000"/>
        </w:rPr>
        <w:t xml:space="preserve"> </w:t>
      </w:r>
      <w:r w:rsidRPr="000F7457">
        <w:rPr>
          <w:color w:val="000000"/>
        </w:rPr>
        <w:tab/>
        <w:t xml:space="preserve">Departmental capital budgets </w:t>
      </w:r>
      <w:r w:rsidR="00AC1BDF" w:rsidRPr="000F7457">
        <w:rPr>
          <w:color w:val="000000"/>
        </w:rPr>
        <w:t xml:space="preserve">(DCB) </w:t>
      </w:r>
      <w:r w:rsidRPr="000F7457">
        <w:rPr>
          <w:color w:val="000000"/>
        </w:rPr>
        <w:t xml:space="preserve">are not separately identified in Appropriation Bill (No. 1) and form part of </w:t>
      </w:r>
      <w:r w:rsidR="0024154F" w:rsidRPr="000F7457">
        <w:rPr>
          <w:color w:val="000000"/>
        </w:rPr>
        <w:t>ordinary annual services items.</w:t>
      </w:r>
      <w:r w:rsidRPr="000F7457">
        <w:rPr>
          <w:color w:val="000000"/>
        </w:rPr>
        <w:t xml:space="preserve"> </w:t>
      </w:r>
      <w:r w:rsidR="00DD2CCC" w:rsidRPr="000F7457">
        <w:rPr>
          <w:color w:val="000000"/>
        </w:rPr>
        <w:t>R</w:t>
      </w:r>
      <w:r w:rsidRPr="000F7457">
        <w:rPr>
          <w:color w:val="000000"/>
        </w:rPr>
        <w:t>efer to Table 3.5 for further details. For accounting purposes, this amount has been designated as a 'contribution by owner'.</w:t>
      </w:r>
    </w:p>
    <w:p w:rsidR="00B7658A" w:rsidRPr="000F7457" w:rsidRDefault="00B7658A" w:rsidP="00B7658A">
      <w:pPr>
        <w:pStyle w:val="FootnoteText"/>
        <w:rPr>
          <w:color w:val="000000"/>
        </w:rPr>
      </w:pPr>
      <w:r w:rsidRPr="000F7457">
        <w:rPr>
          <w:color w:val="000000"/>
          <w:vertAlign w:val="superscript"/>
        </w:rPr>
        <w:t>4</w:t>
      </w:r>
      <w:r w:rsidRPr="000F7457">
        <w:rPr>
          <w:color w:val="000000"/>
        </w:rPr>
        <w:t xml:space="preserve"> </w:t>
      </w:r>
      <w:r w:rsidRPr="000F7457">
        <w:rPr>
          <w:color w:val="000000"/>
        </w:rPr>
        <w:tab/>
        <w:t>Appropriation Bill (No. 2) 2016-17.</w:t>
      </w:r>
    </w:p>
    <w:p w:rsidR="00B7658A" w:rsidRPr="000F7457" w:rsidRDefault="00B7658A" w:rsidP="00B7658A">
      <w:pPr>
        <w:pStyle w:val="FootnoteText"/>
        <w:rPr>
          <w:color w:val="000000"/>
        </w:rPr>
      </w:pPr>
      <w:r w:rsidRPr="000F7457">
        <w:rPr>
          <w:color w:val="000000"/>
          <w:vertAlign w:val="superscript"/>
        </w:rPr>
        <w:t>5</w:t>
      </w:r>
      <w:r w:rsidRPr="000F7457">
        <w:rPr>
          <w:color w:val="000000"/>
        </w:rPr>
        <w:t xml:space="preserve"> </w:t>
      </w:r>
      <w:r w:rsidRPr="000F7457">
        <w:rPr>
          <w:color w:val="000000"/>
        </w:rPr>
        <w:tab/>
        <w:t xml:space="preserve">For further information on special appropriations and special accounts, please refer to </w:t>
      </w:r>
      <w:r w:rsidRPr="000F7457">
        <w:rPr>
          <w:i/>
          <w:color w:val="000000"/>
        </w:rPr>
        <w:t>Budget Paper No. 4 - Agency Resourcing</w:t>
      </w:r>
      <w:r w:rsidR="0024154F" w:rsidRPr="000F7457">
        <w:rPr>
          <w:color w:val="000000"/>
        </w:rPr>
        <w:t>. A</w:t>
      </w:r>
      <w:r w:rsidRPr="000F7457">
        <w:rPr>
          <w:color w:val="000000"/>
        </w:rPr>
        <w:t>lso see Table 2.1 for further information on outcome and program e</w:t>
      </w:r>
      <w:r w:rsidR="0024154F" w:rsidRPr="000F7457">
        <w:rPr>
          <w:color w:val="000000"/>
        </w:rPr>
        <w:t xml:space="preserve">xpenses broken down by various </w:t>
      </w:r>
      <w:r w:rsidRPr="000F7457">
        <w:rPr>
          <w:color w:val="000000"/>
        </w:rPr>
        <w:t xml:space="preserve">funding sources, </w:t>
      </w:r>
      <w:proofErr w:type="spellStart"/>
      <w:r w:rsidRPr="000F7457">
        <w:rPr>
          <w:color w:val="000000"/>
        </w:rPr>
        <w:t>e.g</w:t>
      </w:r>
      <w:proofErr w:type="spellEnd"/>
      <w:r w:rsidRPr="000F7457">
        <w:rPr>
          <w:color w:val="000000"/>
        </w:rPr>
        <w:t xml:space="preserve"> annual appropriations, special appropriations and special accounts.</w:t>
      </w:r>
    </w:p>
    <w:p w:rsidR="00A76D89" w:rsidRPr="000F7457" w:rsidRDefault="00B7658A" w:rsidP="00B7658A">
      <w:pPr>
        <w:pStyle w:val="FootnoteText"/>
        <w:rPr>
          <w:color w:val="000000"/>
        </w:rPr>
      </w:pPr>
      <w:r w:rsidRPr="000F7457">
        <w:rPr>
          <w:color w:val="000000"/>
          <w:vertAlign w:val="superscript"/>
        </w:rPr>
        <w:t>6</w:t>
      </w:r>
      <w:r w:rsidRPr="000F7457">
        <w:rPr>
          <w:color w:val="000000"/>
        </w:rPr>
        <w:t xml:space="preserve"> </w:t>
      </w:r>
      <w:r w:rsidRPr="000F7457">
        <w:rPr>
          <w:color w:val="000000"/>
        </w:rPr>
        <w:tab/>
        <w:t>Appropriation receipts included above.</w:t>
      </w:r>
    </w:p>
    <w:p w:rsidR="00B7658A" w:rsidRPr="000F7457" w:rsidRDefault="00B7658A">
      <w:pPr>
        <w:spacing w:after="0"/>
        <w:rPr>
          <w:rFonts w:ascii="Arial" w:hAnsi="Arial" w:cs="Arial"/>
          <w:b/>
          <w:color w:val="000000"/>
          <w:sz w:val="26"/>
          <w:szCs w:val="22"/>
        </w:rPr>
      </w:pPr>
      <w:r w:rsidRPr="000F7457">
        <w:rPr>
          <w:color w:val="000000"/>
        </w:rPr>
        <w:br w:type="page"/>
      </w:r>
    </w:p>
    <w:p w:rsidR="00A76D89" w:rsidRPr="000F7457" w:rsidRDefault="00A76D89" w:rsidP="00BC60A5">
      <w:pPr>
        <w:pStyle w:val="SectionSubheading"/>
        <w:rPr>
          <w:color w:val="000000"/>
        </w:rPr>
      </w:pPr>
      <w:r w:rsidRPr="000F7457">
        <w:rPr>
          <w:color w:val="000000"/>
        </w:rPr>
        <w:lastRenderedPageBreak/>
        <w:t>1.3</w:t>
      </w:r>
      <w:r w:rsidRPr="000F7457">
        <w:rPr>
          <w:color w:val="000000"/>
        </w:rPr>
        <w:tab/>
        <w:t>Budget Measures</w:t>
      </w:r>
    </w:p>
    <w:p w:rsidR="00B7658A" w:rsidRPr="000F7457" w:rsidRDefault="00B7658A" w:rsidP="00B7658A">
      <w:pPr>
        <w:rPr>
          <w:color w:val="000000"/>
        </w:rPr>
      </w:pPr>
      <w:r w:rsidRPr="000F7457">
        <w:rPr>
          <w:color w:val="000000"/>
        </w:rPr>
        <w:t xml:space="preserve">Budget measures in Part 1 relating to ARPANSA </w:t>
      </w:r>
      <w:proofErr w:type="gramStart"/>
      <w:r w:rsidRPr="000F7457">
        <w:rPr>
          <w:color w:val="000000"/>
        </w:rPr>
        <w:t>are</w:t>
      </w:r>
      <w:proofErr w:type="gramEnd"/>
      <w:r w:rsidRPr="000F7457">
        <w:rPr>
          <w:color w:val="000000"/>
        </w:rPr>
        <w:t xml:space="preserve"> detailed in </w:t>
      </w:r>
      <w:r w:rsidRPr="000F7457">
        <w:rPr>
          <w:i/>
          <w:color w:val="000000"/>
        </w:rPr>
        <w:t>Budget Paper No. 2</w:t>
      </w:r>
      <w:r w:rsidRPr="000F7457">
        <w:rPr>
          <w:color w:val="000000"/>
        </w:rPr>
        <w:t xml:space="preserve"> and are summarised below.</w:t>
      </w:r>
    </w:p>
    <w:p w:rsidR="00B7658A" w:rsidRPr="000F7457" w:rsidRDefault="00B7658A" w:rsidP="00CB4CB3">
      <w:pPr>
        <w:pStyle w:val="TableReference"/>
        <w:rPr>
          <w:color w:val="000000"/>
        </w:rPr>
      </w:pPr>
      <w:r w:rsidRPr="000F7457">
        <w:rPr>
          <w:color w:val="000000"/>
        </w:rPr>
        <w:t xml:space="preserve">Table 1.2: </w:t>
      </w:r>
      <w:r w:rsidR="003D5F21" w:rsidRPr="000F7457">
        <w:rPr>
          <w:color w:val="000000"/>
        </w:rPr>
        <w:t>ARPANSA</w:t>
      </w:r>
      <w:r w:rsidRPr="000F7457">
        <w:rPr>
          <w:color w:val="000000"/>
        </w:rPr>
        <w:t xml:space="preserve"> 2016-17 Budget Measures</w:t>
      </w:r>
    </w:p>
    <w:tbl>
      <w:tblPr>
        <w:tblW w:w="7493" w:type="dxa"/>
        <w:tblInd w:w="93" w:type="dxa"/>
        <w:tblLook w:val="04A0" w:firstRow="1" w:lastRow="0" w:firstColumn="1" w:lastColumn="0" w:noHBand="0" w:noVBand="1"/>
        <w:tblCaption w:val="Table 1.2: ARPANSA 2016-17 Budget Measures"/>
        <w:tblDescription w:val="Table 1.2 provides a summary of Government measures and identifies the relevant Outcomes and Programs associated with each measure. Read the first column for the portfolio resources and then across the table for the amount for each appropriation movement. Note that there is no data for some categories."/>
      </w:tblPr>
      <w:tblGrid>
        <w:gridCol w:w="2073"/>
        <w:gridCol w:w="935"/>
        <w:gridCol w:w="897"/>
        <w:gridCol w:w="897"/>
        <w:gridCol w:w="897"/>
        <w:gridCol w:w="897"/>
        <w:gridCol w:w="897"/>
      </w:tblGrid>
      <w:tr w:rsidR="000F7457" w:rsidRPr="000F7457" w:rsidTr="00B7658A">
        <w:trPr>
          <w:trHeight w:val="299"/>
        </w:trPr>
        <w:tc>
          <w:tcPr>
            <w:tcW w:w="2073" w:type="dxa"/>
            <w:tcBorders>
              <w:top w:val="single" w:sz="4" w:space="0" w:color="auto"/>
              <w:left w:val="nil"/>
              <w:bottom w:val="nil"/>
              <w:right w:val="nil"/>
            </w:tcBorders>
            <w:shd w:val="clear" w:color="auto" w:fill="auto"/>
            <w:noWrap/>
            <w:hideMark/>
          </w:tcPr>
          <w:p w:rsidR="00B7658A" w:rsidRPr="000F7457" w:rsidRDefault="00B7658A" w:rsidP="00B7658A">
            <w:pPr>
              <w:spacing w:before="40" w:after="0"/>
              <w:jc w:val="right"/>
              <w:rPr>
                <w:rFonts w:ascii="Arial" w:hAnsi="Arial" w:cs="Arial"/>
                <w:color w:val="000000"/>
                <w:sz w:val="16"/>
                <w:szCs w:val="16"/>
              </w:rPr>
            </w:pPr>
            <w:r w:rsidRPr="000F7457">
              <w:rPr>
                <w:rFonts w:ascii="Arial" w:hAnsi="Arial" w:cs="Arial"/>
                <w:color w:val="000000"/>
                <w:sz w:val="16"/>
                <w:szCs w:val="16"/>
              </w:rPr>
              <w:t> </w:t>
            </w:r>
          </w:p>
        </w:tc>
        <w:tc>
          <w:tcPr>
            <w:tcW w:w="935" w:type="dxa"/>
            <w:tcBorders>
              <w:top w:val="single" w:sz="4" w:space="0" w:color="auto"/>
              <w:left w:val="nil"/>
              <w:bottom w:val="nil"/>
              <w:right w:val="nil"/>
            </w:tcBorders>
            <w:shd w:val="clear" w:color="auto" w:fill="auto"/>
            <w:noWrap/>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Program</w:t>
            </w:r>
          </w:p>
        </w:tc>
        <w:tc>
          <w:tcPr>
            <w:tcW w:w="897" w:type="dxa"/>
            <w:tcBorders>
              <w:top w:val="single" w:sz="4" w:space="0" w:color="000000"/>
              <w:left w:val="nil"/>
              <w:bottom w:val="single" w:sz="4" w:space="0" w:color="000000"/>
              <w:right w:val="nil"/>
            </w:tcBorders>
            <w:shd w:val="clear" w:color="auto" w:fill="auto"/>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897" w:type="dxa"/>
            <w:tcBorders>
              <w:top w:val="single" w:sz="4" w:space="0" w:color="000000"/>
              <w:left w:val="nil"/>
              <w:bottom w:val="single" w:sz="4" w:space="0" w:color="000000"/>
              <w:right w:val="nil"/>
            </w:tcBorders>
            <w:shd w:val="clear" w:color="000000" w:fill="D9D9D9"/>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2016-17</w:t>
            </w:r>
            <w:r w:rsidRPr="000F7457">
              <w:rPr>
                <w:rFonts w:ascii="Arial" w:hAnsi="Arial" w:cs="Arial"/>
                <w:color w:val="000000"/>
                <w:sz w:val="16"/>
                <w:szCs w:val="16"/>
              </w:rPr>
              <w:t xml:space="preserve"> </w:t>
            </w:r>
            <w:r w:rsidRPr="000F7457">
              <w:rPr>
                <w:rFonts w:ascii="Arial" w:hAnsi="Arial" w:cs="Arial"/>
                <w:color w:val="000000"/>
                <w:sz w:val="16"/>
                <w:szCs w:val="16"/>
              </w:rPr>
              <w:br/>
              <w:t>$'000</w:t>
            </w:r>
          </w:p>
        </w:tc>
        <w:tc>
          <w:tcPr>
            <w:tcW w:w="897" w:type="dxa"/>
            <w:tcBorders>
              <w:top w:val="single" w:sz="4" w:space="0" w:color="000000"/>
              <w:left w:val="nil"/>
              <w:bottom w:val="single" w:sz="4" w:space="0" w:color="000000"/>
              <w:right w:val="nil"/>
            </w:tcBorders>
            <w:shd w:val="clear" w:color="auto" w:fill="auto"/>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2017-18</w:t>
            </w:r>
            <w:r w:rsidRPr="000F7457">
              <w:rPr>
                <w:rFonts w:ascii="Arial" w:hAnsi="Arial" w:cs="Arial"/>
                <w:color w:val="000000"/>
                <w:sz w:val="16"/>
                <w:szCs w:val="16"/>
              </w:rPr>
              <w:t xml:space="preserve"> </w:t>
            </w:r>
            <w:r w:rsidRPr="000F7457">
              <w:rPr>
                <w:rFonts w:ascii="Arial" w:hAnsi="Arial" w:cs="Arial"/>
                <w:color w:val="000000"/>
                <w:sz w:val="16"/>
                <w:szCs w:val="16"/>
              </w:rPr>
              <w:br/>
              <w:t>$'000</w:t>
            </w:r>
          </w:p>
        </w:tc>
        <w:tc>
          <w:tcPr>
            <w:tcW w:w="897" w:type="dxa"/>
            <w:tcBorders>
              <w:top w:val="single" w:sz="4" w:space="0" w:color="000000"/>
              <w:left w:val="nil"/>
              <w:bottom w:val="single" w:sz="4" w:space="0" w:color="000000"/>
              <w:right w:val="nil"/>
            </w:tcBorders>
            <w:shd w:val="clear" w:color="auto" w:fill="auto"/>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2018-19</w:t>
            </w:r>
            <w:r w:rsidRPr="000F7457">
              <w:rPr>
                <w:rFonts w:ascii="Arial" w:hAnsi="Arial" w:cs="Arial"/>
                <w:color w:val="000000"/>
                <w:sz w:val="16"/>
                <w:szCs w:val="16"/>
              </w:rPr>
              <w:t xml:space="preserve"> </w:t>
            </w:r>
            <w:r w:rsidRPr="000F7457">
              <w:rPr>
                <w:rFonts w:ascii="Arial" w:hAnsi="Arial" w:cs="Arial"/>
                <w:color w:val="000000"/>
                <w:sz w:val="16"/>
                <w:szCs w:val="16"/>
              </w:rPr>
              <w:br/>
              <w:t>$'000</w:t>
            </w:r>
          </w:p>
        </w:tc>
        <w:tc>
          <w:tcPr>
            <w:tcW w:w="897" w:type="dxa"/>
            <w:tcBorders>
              <w:top w:val="single" w:sz="4" w:space="0" w:color="000000"/>
              <w:left w:val="nil"/>
              <w:bottom w:val="single" w:sz="4" w:space="0" w:color="000000"/>
              <w:right w:val="nil"/>
            </w:tcBorders>
            <w:shd w:val="clear" w:color="auto" w:fill="auto"/>
            <w:hideMark/>
          </w:tcPr>
          <w:p w:rsidR="00B7658A" w:rsidRPr="000F7457" w:rsidRDefault="00B7658A" w:rsidP="00B7658A">
            <w:pPr>
              <w:spacing w:before="40" w:after="0"/>
              <w:jc w:val="right"/>
              <w:rPr>
                <w:rFonts w:ascii="Arial" w:hAnsi="Arial" w:cs="Arial"/>
                <w:b/>
                <w:bCs/>
                <w:color w:val="000000"/>
                <w:sz w:val="16"/>
                <w:szCs w:val="16"/>
              </w:rPr>
            </w:pPr>
            <w:r w:rsidRPr="000F7457">
              <w:rPr>
                <w:rFonts w:ascii="Arial" w:hAnsi="Arial" w:cs="Arial"/>
                <w:b/>
                <w:bCs/>
                <w:color w:val="000000"/>
                <w:sz w:val="16"/>
                <w:szCs w:val="16"/>
              </w:rPr>
              <w:t xml:space="preserve">2019-20 </w:t>
            </w:r>
            <w:r w:rsidRPr="000F7457">
              <w:rPr>
                <w:rFonts w:ascii="Arial" w:hAnsi="Arial" w:cs="Arial"/>
                <w:b/>
                <w:bCs/>
                <w:color w:val="000000"/>
                <w:sz w:val="16"/>
                <w:szCs w:val="16"/>
              </w:rPr>
              <w:br/>
            </w:r>
            <w:r w:rsidRPr="000F7457">
              <w:rPr>
                <w:rFonts w:ascii="Arial" w:hAnsi="Arial" w:cs="Arial"/>
                <w:color w:val="000000"/>
                <w:sz w:val="16"/>
                <w:szCs w:val="16"/>
              </w:rPr>
              <w:t>$'000</w:t>
            </w:r>
          </w:p>
        </w:tc>
      </w:tr>
      <w:tr w:rsidR="000F7457" w:rsidRPr="000F7457" w:rsidTr="00B7658A">
        <w:trPr>
          <w:trHeight w:val="300"/>
        </w:trPr>
        <w:tc>
          <w:tcPr>
            <w:tcW w:w="7493" w:type="dxa"/>
            <w:gridSpan w:val="7"/>
            <w:tcBorders>
              <w:top w:val="nil"/>
              <w:left w:val="nil"/>
              <w:bottom w:val="nil"/>
              <w:right w:val="nil"/>
            </w:tcBorders>
            <w:shd w:val="clear" w:color="auto" w:fill="auto"/>
            <w:noWrap/>
            <w:vAlign w:val="bottom"/>
            <w:hideMark/>
          </w:tcPr>
          <w:p w:rsidR="00B7658A" w:rsidRPr="000F7457" w:rsidRDefault="00B7658A" w:rsidP="00B7658A">
            <w:pPr>
              <w:spacing w:after="0"/>
              <w:rPr>
                <w:rFonts w:ascii="Arial" w:hAnsi="Arial" w:cs="Arial"/>
                <w:b/>
                <w:bCs/>
                <w:color w:val="000000"/>
                <w:sz w:val="16"/>
                <w:szCs w:val="16"/>
              </w:rPr>
            </w:pPr>
            <w:r w:rsidRPr="000F7457">
              <w:rPr>
                <w:rFonts w:ascii="Arial" w:hAnsi="Arial" w:cs="Arial"/>
                <w:b/>
                <w:bCs/>
                <w:color w:val="000000"/>
                <w:sz w:val="16"/>
                <w:szCs w:val="16"/>
              </w:rPr>
              <w:t>International Trade Agreements - government procurement reforms</w:t>
            </w:r>
          </w:p>
        </w:tc>
      </w:tr>
      <w:tr w:rsidR="000F7457" w:rsidRPr="000F7457" w:rsidTr="00B7658A">
        <w:trPr>
          <w:trHeight w:val="225"/>
        </w:trPr>
        <w:tc>
          <w:tcPr>
            <w:tcW w:w="7493" w:type="dxa"/>
            <w:gridSpan w:val="7"/>
            <w:tcBorders>
              <w:top w:val="nil"/>
              <w:left w:val="nil"/>
              <w:bottom w:val="nil"/>
              <w:right w:val="nil"/>
            </w:tcBorders>
            <w:shd w:val="clear" w:color="auto" w:fill="auto"/>
            <w:noWrap/>
            <w:vAlign w:val="bottom"/>
            <w:hideMark/>
          </w:tcPr>
          <w:p w:rsidR="00B7658A" w:rsidRPr="000F7457" w:rsidRDefault="00B7658A" w:rsidP="00B7658A">
            <w:pPr>
              <w:spacing w:after="0"/>
              <w:rPr>
                <w:rFonts w:ascii="Arial" w:hAnsi="Arial" w:cs="Arial"/>
                <w:color w:val="000000"/>
                <w:sz w:val="16"/>
                <w:szCs w:val="16"/>
              </w:rPr>
            </w:pPr>
            <w:r w:rsidRPr="000F7457">
              <w:rPr>
                <w:rFonts w:ascii="Arial" w:hAnsi="Arial" w:cs="Arial"/>
                <w:color w:val="000000"/>
                <w:sz w:val="16"/>
                <w:szCs w:val="16"/>
              </w:rPr>
              <w:t>Australian Radiation Protection and Nuclear Safety Agency</w:t>
            </w:r>
          </w:p>
        </w:tc>
      </w:tr>
      <w:tr w:rsidR="000F7457" w:rsidRPr="000F7457" w:rsidTr="005D2671">
        <w:trPr>
          <w:trHeight w:val="225"/>
        </w:trPr>
        <w:tc>
          <w:tcPr>
            <w:tcW w:w="2073" w:type="dxa"/>
            <w:tcBorders>
              <w:top w:val="nil"/>
              <w:left w:val="nil"/>
              <w:bottom w:val="nil"/>
              <w:right w:val="nil"/>
            </w:tcBorders>
            <w:shd w:val="clear" w:color="auto" w:fill="auto"/>
            <w:noWrap/>
            <w:vAlign w:val="bottom"/>
            <w:hideMark/>
          </w:tcPr>
          <w:p w:rsidR="00B7658A" w:rsidRPr="000F7457" w:rsidRDefault="00B7658A" w:rsidP="00E31CC7">
            <w:pPr>
              <w:spacing w:after="0"/>
              <w:ind w:firstLineChars="100" w:firstLine="160"/>
              <w:rPr>
                <w:rFonts w:ascii="Arial" w:hAnsi="Arial" w:cs="Arial"/>
                <w:color w:val="000000"/>
                <w:sz w:val="16"/>
                <w:szCs w:val="16"/>
              </w:rPr>
            </w:pPr>
            <w:r w:rsidRPr="000F7457">
              <w:rPr>
                <w:rFonts w:ascii="Arial" w:hAnsi="Arial" w:cs="Arial"/>
                <w:color w:val="000000"/>
                <w:sz w:val="16"/>
                <w:szCs w:val="16"/>
              </w:rPr>
              <w:t xml:space="preserve">Departmental </w:t>
            </w:r>
            <w:r w:rsidR="00E31CC7" w:rsidRPr="000F7457">
              <w:rPr>
                <w:rFonts w:ascii="Arial" w:hAnsi="Arial" w:cs="Arial"/>
                <w:color w:val="000000"/>
                <w:sz w:val="16"/>
                <w:szCs w:val="16"/>
              </w:rPr>
              <w:t>capital</w:t>
            </w:r>
          </w:p>
        </w:tc>
        <w:tc>
          <w:tcPr>
            <w:tcW w:w="935" w:type="dxa"/>
            <w:tcBorders>
              <w:top w:val="nil"/>
              <w:left w:val="nil"/>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1.1</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897" w:type="dxa"/>
            <w:tcBorders>
              <w:top w:val="nil"/>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150</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3D5F21">
        <w:trPr>
          <w:trHeight w:val="225"/>
        </w:trPr>
        <w:tc>
          <w:tcPr>
            <w:tcW w:w="2073"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rPr>
                <w:rFonts w:ascii="Arial" w:hAnsi="Arial" w:cs="Arial"/>
                <w:b/>
                <w:bCs/>
                <w:color w:val="000000"/>
                <w:sz w:val="16"/>
                <w:szCs w:val="16"/>
              </w:rPr>
            </w:pPr>
            <w:r w:rsidRPr="000F7457">
              <w:rPr>
                <w:rFonts w:ascii="Arial" w:hAnsi="Arial" w:cs="Arial"/>
                <w:b/>
                <w:bCs/>
                <w:color w:val="000000"/>
                <w:sz w:val="16"/>
                <w:szCs w:val="16"/>
              </w:rPr>
              <w:t>Total</w:t>
            </w:r>
          </w:p>
        </w:tc>
        <w:tc>
          <w:tcPr>
            <w:tcW w:w="935"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897" w:type="dxa"/>
            <w:tcBorders>
              <w:top w:val="nil"/>
              <w:left w:val="nil"/>
              <w:bottom w:val="single" w:sz="4" w:space="0" w:color="auto"/>
              <w:right w:val="nil"/>
            </w:tcBorders>
            <w:shd w:val="clear" w:color="000000" w:fill="D9D9D9"/>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150</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897" w:type="dxa"/>
            <w:tcBorders>
              <w:top w:val="nil"/>
              <w:left w:val="nil"/>
              <w:bottom w:val="single" w:sz="4" w:space="0" w:color="auto"/>
              <w:right w:val="nil"/>
            </w:tcBorders>
            <w:shd w:val="clear" w:color="auto" w:fill="auto"/>
            <w:noWrap/>
            <w:vAlign w:val="bottom"/>
            <w:hideMark/>
          </w:tcPr>
          <w:p w:rsidR="00B7658A" w:rsidRPr="000F7457" w:rsidRDefault="00B7658A" w:rsidP="00B7658A">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r>
    </w:tbl>
    <w:p w:rsidR="00386085" w:rsidRPr="000F7457" w:rsidRDefault="00386085" w:rsidP="00FA4C35">
      <w:pPr>
        <w:pStyle w:val="FootnoteText"/>
        <w:spacing w:before="120"/>
        <w:ind w:left="0" w:firstLine="0"/>
        <w:rPr>
          <w:color w:val="000000"/>
        </w:rPr>
      </w:pPr>
      <w:r w:rsidRPr="000F7457">
        <w:rPr>
          <w:color w:val="000000"/>
        </w:rPr>
        <w:t xml:space="preserve">Only ARPANSA inputs of this measure are shown here. For all </w:t>
      </w:r>
      <w:r w:rsidR="00AE54EB" w:rsidRPr="000F7457">
        <w:rPr>
          <w:color w:val="000000"/>
        </w:rPr>
        <w:t>entity</w:t>
      </w:r>
      <w:r w:rsidRPr="000F7457">
        <w:rPr>
          <w:color w:val="000000"/>
        </w:rPr>
        <w:t xml:space="preserve"> impact</w:t>
      </w:r>
      <w:r w:rsidR="00AE54EB" w:rsidRPr="000F7457">
        <w:rPr>
          <w:color w:val="000000"/>
        </w:rPr>
        <w:t>s</w:t>
      </w:r>
      <w:r w:rsidRPr="000F7457">
        <w:rPr>
          <w:color w:val="000000"/>
        </w:rPr>
        <w:t xml:space="preserve"> of this measure refer Table </w:t>
      </w:r>
      <w:r w:rsidR="00292400" w:rsidRPr="000F7457">
        <w:rPr>
          <w:color w:val="000000"/>
        </w:rPr>
        <w:t>1.2</w:t>
      </w:r>
      <w:r w:rsidRPr="000F7457">
        <w:rPr>
          <w:color w:val="000000"/>
        </w:rPr>
        <w:t xml:space="preserve"> in the Department of Health and the National Mental Health Commission chapters of this publication.</w:t>
      </w:r>
    </w:p>
    <w:p w:rsidR="008117C3" w:rsidRPr="000F7457" w:rsidRDefault="008117C3" w:rsidP="00FA4C35">
      <w:pPr>
        <w:pStyle w:val="FootnoteText"/>
        <w:spacing w:before="120"/>
        <w:ind w:left="0" w:firstLine="0"/>
        <w:rPr>
          <w:color w:val="000000"/>
        </w:rPr>
      </w:pPr>
      <w:r w:rsidRPr="000F7457">
        <w:rPr>
          <w:color w:val="000000"/>
        </w:rPr>
        <w:t xml:space="preserve">This entity was impacted by the </w:t>
      </w:r>
      <w:r w:rsidRPr="000F7457">
        <w:rPr>
          <w:i/>
          <w:iCs/>
          <w:color w:val="000000"/>
        </w:rPr>
        <w:t>2015-16 Mid-Year Economic and Fiscal Outlook</w:t>
      </w:r>
      <w:r w:rsidRPr="000F7457">
        <w:rPr>
          <w:color w:val="000000"/>
        </w:rPr>
        <w:t xml:space="preserve"> measure </w:t>
      </w:r>
      <w:r w:rsidRPr="000F7457">
        <w:rPr>
          <w:i/>
          <w:iCs/>
          <w:color w:val="000000"/>
        </w:rPr>
        <w:t>Public Sector Savings – Shared and Common Services Program</w:t>
      </w:r>
      <w:r w:rsidRPr="000F7457">
        <w:rPr>
          <w:color w:val="000000"/>
        </w:rPr>
        <w:t>. For details refer to Table 1.2 in the Department of Health chapter of this publication.</w:t>
      </w:r>
    </w:p>
    <w:p w:rsidR="00386085" w:rsidRPr="000F7457" w:rsidRDefault="00386085" w:rsidP="000032ED">
      <w:pPr>
        <w:rPr>
          <w:color w:val="000000"/>
        </w:rPr>
      </w:pPr>
    </w:p>
    <w:p w:rsidR="00522395" w:rsidRPr="000F7457" w:rsidRDefault="00522395" w:rsidP="000032ED">
      <w:pPr>
        <w:rPr>
          <w:color w:val="000000"/>
        </w:rPr>
        <w:sectPr w:rsidR="00522395" w:rsidRPr="000F7457" w:rsidSect="00A144DA">
          <w:headerReference w:type="even" r:id="rId15"/>
          <w:headerReference w:type="default" r:id="rId16"/>
          <w:footerReference w:type="even" r:id="rId17"/>
          <w:footerReference w:type="default" r:id="rId18"/>
          <w:pgSz w:w="11906" w:h="16838" w:code="9"/>
          <w:pgMar w:top="2665" w:right="2268" w:bottom="2126" w:left="2268" w:header="1899" w:footer="1899" w:gutter="0"/>
          <w:cols w:space="708"/>
          <w:docGrid w:linePitch="360"/>
        </w:sectPr>
      </w:pPr>
    </w:p>
    <w:p w:rsidR="00032336" w:rsidRPr="000F7457" w:rsidRDefault="00032336" w:rsidP="00032336">
      <w:pPr>
        <w:pStyle w:val="SectionHeading"/>
        <w:rPr>
          <w:color w:val="000000"/>
        </w:rPr>
      </w:pPr>
      <w:r w:rsidRPr="000F7457">
        <w:rPr>
          <w:color w:val="000000"/>
        </w:rPr>
        <w:lastRenderedPageBreak/>
        <w:t>Section 2: Outcomes and Planned Performance</w:t>
      </w:r>
    </w:p>
    <w:p w:rsidR="00A52AC7" w:rsidRPr="000F7457" w:rsidRDefault="00A52AC7" w:rsidP="00A52AC7">
      <w:pPr>
        <w:rPr>
          <w:color w:val="000000"/>
        </w:rPr>
      </w:pPr>
      <w:r w:rsidRPr="000F7457">
        <w:rPr>
          <w:color w:val="00000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A52AC7" w:rsidRPr="000F7457" w:rsidRDefault="00A52AC7" w:rsidP="00A52AC7">
      <w:pPr>
        <w:rPr>
          <w:color w:val="000000"/>
        </w:rPr>
      </w:pPr>
      <w:r w:rsidRPr="000F7457">
        <w:rPr>
          <w:color w:val="000000"/>
        </w:rPr>
        <w:t>Each outcome is described below together with its related programs. The following provides detailed information on expenses for each outcome and program, further</w:t>
      </w:r>
      <w:r w:rsidR="00F60C0B" w:rsidRPr="000F7457">
        <w:rPr>
          <w:color w:val="000000"/>
        </w:rPr>
        <w:t xml:space="preserve"> broken down by funding source.</w:t>
      </w:r>
    </w:p>
    <w:p w:rsidR="002A4D5E" w:rsidRPr="000F7457" w:rsidRDefault="002A4D5E" w:rsidP="00B90928">
      <w:pPr>
        <w:pBdr>
          <w:top w:val="single" w:sz="4" w:space="1" w:color="auto"/>
          <w:left w:val="single" w:sz="4" w:space="4" w:color="auto"/>
          <w:bottom w:val="single" w:sz="4" w:space="1" w:color="auto"/>
          <w:right w:val="single" w:sz="4" w:space="4" w:color="auto"/>
        </w:pBdr>
        <w:rPr>
          <w:color w:val="000000"/>
        </w:rPr>
      </w:pPr>
      <w:r w:rsidRPr="000F7457">
        <w:rPr>
          <w:b/>
          <w:color w:val="000000"/>
        </w:rPr>
        <w:t>Note:</w:t>
      </w:r>
      <w:r w:rsidR="00B90928" w:rsidRPr="000F7457">
        <w:rPr>
          <w:color w:val="000000"/>
        </w:rPr>
        <w:t xml:space="preserve"> </w:t>
      </w:r>
      <w:r w:rsidRPr="000F7457">
        <w:rPr>
          <w:color w:val="000000"/>
        </w:rPr>
        <w:t xml:space="preserve">From 1 July 2015, performance reporting requirements in the Portfolio Budget Statements sit alongside those required under the </w:t>
      </w:r>
      <w:r w:rsidR="00C5279A" w:rsidRPr="000F7457">
        <w:rPr>
          <w:color w:val="000000"/>
        </w:rPr>
        <w:t>E</w:t>
      </w:r>
      <w:r w:rsidRPr="000F7457">
        <w:rPr>
          <w:color w:val="000000"/>
        </w:rPr>
        <w:t xml:space="preserve">nhanced </w:t>
      </w:r>
      <w:r w:rsidR="00F63FE8" w:rsidRPr="000F7457">
        <w:rPr>
          <w:color w:val="000000"/>
        </w:rPr>
        <w:t>C</w:t>
      </w:r>
      <w:r w:rsidRPr="000F7457">
        <w:rPr>
          <w:color w:val="000000"/>
        </w:rPr>
        <w:t xml:space="preserve">ommonwealth </w:t>
      </w:r>
      <w:r w:rsidR="00C5279A" w:rsidRPr="000F7457">
        <w:rPr>
          <w:color w:val="000000"/>
        </w:rPr>
        <w:t>P</w:t>
      </w:r>
      <w:r w:rsidRPr="000F7457">
        <w:rPr>
          <w:color w:val="000000"/>
        </w:rPr>
        <w:t xml:space="preserve">erformance </w:t>
      </w:r>
      <w:r w:rsidR="00C5279A" w:rsidRPr="000F7457">
        <w:rPr>
          <w:color w:val="000000"/>
        </w:rPr>
        <w:t>F</w:t>
      </w:r>
      <w:r w:rsidRPr="000F7457">
        <w:rPr>
          <w:color w:val="000000"/>
        </w:rPr>
        <w:t>ramework. It is anticipated that the performance criteria described in Portfolio Budget Statements will be read with broader information provided in an entity’s corporate plans and annual performance statements – included in Annual Reports from October 2016 – to provide an entity’s complete performance story.</w:t>
      </w:r>
    </w:p>
    <w:p w:rsidR="00032336" w:rsidRPr="000F7457" w:rsidRDefault="00032336" w:rsidP="00BC60A5">
      <w:pPr>
        <w:pStyle w:val="SectionSubheading"/>
        <w:rPr>
          <w:color w:val="000000"/>
        </w:rPr>
      </w:pPr>
      <w:r w:rsidRPr="000F7457">
        <w:rPr>
          <w:color w:val="000000"/>
        </w:rPr>
        <w:t>2.1</w:t>
      </w:r>
      <w:r w:rsidRPr="000F7457">
        <w:rPr>
          <w:color w:val="000000"/>
        </w:rPr>
        <w:tab/>
      </w:r>
      <w:r w:rsidR="002A4D5E" w:rsidRPr="000F7457">
        <w:rPr>
          <w:color w:val="000000"/>
        </w:rPr>
        <w:t>Budgeted Expenses and Performance</w:t>
      </w:r>
    </w:p>
    <w:p w:rsidR="000F6F21" w:rsidRPr="000F7457" w:rsidRDefault="002C1C4A" w:rsidP="002A6F8D">
      <w:pPr>
        <w:pStyle w:val="OutcomeStatement"/>
        <w:rPr>
          <w:color w:val="000000"/>
        </w:rPr>
      </w:pPr>
      <w:r w:rsidRPr="000F7457">
        <w:rPr>
          <w:color w:val="000000"/>
        </w:rPr>
        <w:t>Outcome 1:</w:t>
      </w:r>
      <w:r w:rsidRPr="000F7457">
        <w:rPr>
          <w:color w:val="000000"/>
        </w:rPr>
        <w:tab/>
      </w:r>
      <w:r w:rsidR="00CB03D6" w:rsidRPr="000F7457">
        <w:rPr>
          <w:color w:val="000000"/>
        </w:rPr>
        <w:t>Protection of people and the environment through radiation protection and nuclear safety research, policy, advice, codes, standards, services and regulation</w:t>
      </w:r>
    </w:p>
    <w:p w:rsidR="00F24392" w:rsidRPr="000F7457" w:rsidRDefault="00F24392" w:rsidP="00A92D45">
      <w:pPr>
        <w:pStyle w:val="Sectionsubsubheading"/>
        <w:spacing w:before="360"/>
        <w:rPr>
          <w:color w:val="000000"/>
        </w:rPr>
      </w:pPr>
      <w:r w:rsidRPr="000F7457">
        <w:rPr>
          <w:color w:val="000000"/>
        </w:rPr>
        <w:t>Linked Programs</w:t>
      </w:r>
    </w:p>
    <w:tbl>
      <w:tblPr>
        <w:tblStyle w:val="TableGrid"/>
        <w:tblW w:w="0" w:type="auto"/>
        <w:tblLook w:val="04A0" w:firstRow="1" w:lastRow="0" w:firstColumn="1" w:lastColumn="0" w:noHBand="0" w:noVBand="1"/>
        <w:tblCaption w:val="Linked programs"/>
        <w:tblDescription w:val="This table shows a list of programs delivered by Commonwealth entities that contribute to the programs under this Outcome. Read the first column for the list of entities and linked programs, and the second column for a description of the contribution made by linked programs."/>
      </w:tblPr>
      <w:tblGrid>
        <w:gridCol w:w="2260"/>
        <w:gridCol w:w="5326"/>
      </w:tblGrid>
      <w:tr w:rsidR="000F7457" w:rsidRPr="000F7457" w:rsidTr="007850AD">
        <w:trPr>
          <w:tblHeader/>
        </w:trPr>
        <w:tc>
          <w:tcPr>
            <w:tcW w:w="2260" w:type="dxa"/>
            <w:shd w:val="clear" w:color="auto" w:fill="D9D9D9" w:themeFill="background1" w:themeFillShade="D9"/>
          </w:tcPr>
          <w:p w:rsidR="00F24392" w:rsidRPr="000F7457" w:rsidRDefault="00F24392" w:rsidP="00C84C64">
            <w:pPr>
              <w:pStyle w:val="LinkedProgramHeading"/>
              <w:rPr>
                <w:color w:val="000000"/>
              </w:rPr>
            </w:pPr>
            <w:r w:rsidRPr="000F7457">
              <w:rPr>
                <w:color w:val="000000"/>
              </w:rPr>
              <w:t>Commonwealth entity and linked program</w:t>
            </w:r>
          </w:p>
        </w:tc>
        <w:tc>
          <w:tcPr>
            <w:tcW w:w="5326" w:type="dxa"/>
            <w:shd w:val="clear" w:color="auto" w:fill="D9D9D9" w:themeFill="background1" w:themeFillShade="D9"/>
          </w:tcPr>
          <w:p w:rsidR="00F24392" w:rsidRPr="000F7457" w:rsidRDefault="002C1C4A" w:rsidP="00C84C64">
            <w:pPr>
              <w:pStyle w:val="LinkedProgramHeading"/>
              <w:rPr>
                <w:color w:val="000000"/>
              </w:rPr>
            </w:pPr>
            <w:r w:rsidRPr="000F7457">
              <w:rPr>
                <w:color w:val="000000"/>
              </w:rPr>
              <w:t>Contribution to Outcome 1 made by linked programs</w:t>
            </w:r>
          </w:p>
        </w:tc>
      </w:tr>
      <w:tr w:rsidR="000F7457" w:rsidRPr="000F7457" w:rsidTr="00045526">
        <w:tc>
          <w:tcPr>
            <w:tcW w:w="2260" w:type="dxa"/>
            <w:shd w:val="clear" w:color="auto" w:fill="F2F2F2" w:themeFill="background1" w:themeFillShade="F2"/>
          </w:tcPr>
          <w:p w:rsidR="00F24392" w:rsidRPr="000F7457" w:rsidRDefault="00AC2602" w:rsidP="00C84C64">
            <w:pPr>
              <w:pStyle w:val="LinkedProgramHeading"/>
              <w:rPr>
                <w:color w:val="000000"/>
              </w:rPr>
            </w:pPr>
            <w:r w:rsidRPr="000F7457">
              <w:rPr>
                <w:color w:val="000000"/>
              </w:rPr>
              <w:t>Department of Health</w:t>
            </w:r>
          </w:p>
          <w:p w:rsidR="00AC2602" w:rsidRPr="000F7457" w:rsidRDefault="00AC2602" w:rsidP="00CA71C0">
            <w:pPr>
              <w:pStyle w:val="LinkedProgram-NoName"/>
              <w:rPr>
                <w:b/>
                <w:color w:val="000000"/>
              </w:rPr>
            </w:pPr>
            <w:r w:rsidRPr="000F7457">
              <w:rPr>
                <w:b/>
                <w:color w:val="000000"/>
              </w:rPr>
              <w:t xml:space="preserve">Program </w:t>
            </w:r>
            <w:r w:rsidR="00B20918" w:rsidRPr="000F7457">
              <w:rPr>
                <w:b/>
                <w:color w:val="000000"/>
              </w:rPr>
              <w:t>5.1</w:t>
            </w:r>
            <w:r w:rsidR="00C84C64" w:rsidRPr="000F7457">
              <w:rPr>
                <w:b/>
                <w:color w:val="000000"/>
              </w:rPr>
              <w:t>:</w:t>
            </w:r>
            <w:r w:rsidR="00CA71C0" w:rsidRPr="000F7457">
              <w:rPr>
                <w:b/>
                <w:color w:val="000000"/>
              </w:rPr>
              <w:t xml:space="preserve"> </w:t>
            </w:r>
            <w:r w:rsidR="00B20918" w:rsidRPr="000F7457">
              <w:rPr>
                <w:color w:val="000000"/>
              </w:rPr>
              <w:t>Protect the Health and Safety of the Community through Regulation</w:t>
            </w:r>
          </w:p>
        </w:tc>
        <w:tc>
          <w:tcPr>
            <w:tcW w:w="5326" w:type="dxa"/>
          </w:tcPr>
          <w:p w:rsidR="00B20918" w:rsidRPr="000F7457" w:rsidRDefault="00A32D4A" w:rsidP="002A6F8D">
            <w:pPr>
              <w:pStyle w:val="TableTextNormal"/>
              <w:rPr>
                <w:color w:val="000000"/>
              </w:rPr>
            </w:pPr>
            <w:r w:rsidRPr="000F7457">
              <w:rPr>
                <w:color w:val="000000"/>
              </w:rPr>
              <w:t>The Department of Health has strategic regulatory policy and national leadership responsibility for radiation protection and nuclear safety with particular regard to the regulatory framework. This includes best practice for health technologies related to radiation and nuclear safety.</w:t>
            </w:r>
          </w:p>
        </w:tc>
      </w:tr>
    </w:tbl>
    <w:p w:rsidR="00BC60A5" w:rsidRPr="000F7457" w:rsidRDefault="00BC60A5" w:rsidP="00C84C64">
      <w:pPr>
        <w:rPr>
          <w:color w:val="000000"/>
          <w:lang w:eastAsia="en-US"/>
        </w:rPr>
      </w:pPr>
      <w:r w:rsidRPr="000F7457">
        <w:rPr>
          <w:color w:val="000000"/>
          <w:lang w:eastAsia="en-US"/>
        </w:rPr>
        <w:br w:type="page"/>
      </w:r>
    </w:p>
    <w:p w:rsidR="00B05422" w:rsidRPr="000F7457" w:rsidRDefault="00B05422" w:rsidP="00B05422">
      <w:pPr>
        <w:pStyle w:val="Sectionsubsubheading"/>
        <w:rPr>
          <w:color w:val="000000"/>
        </w:rPr>
      </w:pPr>
      <w:r w:rsidRPr="000F7457">
        <w:rPr>
          <w:color w:val="000000"/>
          <w:lang w:eastAsia="en-US"/>
        </w:rPr>
        <w:lastRenderedPageBreak/>
        <w:t>Budgeted Expenses for ARPANSA</w:t>
      </w:r>
    </w:p>
    <w:p w:rsidR="002A4D5E" w:rsidRPr="000F7457" w:rsidRDefault="002A4D5E" w:rsidP="002A4D5E">
      <w:pPr>
        <w:rPr>
          <w:color w:val="000000"/>
        </w:rPr>
      </w:pPr>
      <w:r w:rsidRPr="000F7457">
        <w:rPr>
          <w:color w:val="000000"/>
        </w:rPr>
        <w:t xml:space="preserve">This table shows how much the entity intends to spend (on an accrual basis) on achieving the </w:t>
      </w:r>
      <w:r w:rsidR="000B62C7" w:rsidRPr="000F7457">
        <w:rPr>
          <w:color w:val="000000"/>
        </w:rPr>
        <w:t>O</w:t>
      </w:r>
      <w:r w:rsidRPr="000F7457">
        <w:rPr>
          <w:color w:val="000000"/>
        </w:rPr>
        <w:t xml:space="preserve">utcome, broken down by program, as well as by Administered and Departmental funding sources. </w:t>
      </w:r>
    </w:p>
    <w:p w:rsidR="00B05422" w:rsidRPr="000F7457" w:rsidRDefault="00B05422" w:rsidP="00B05422">
      <w:pPr>
        <w:pStyle w:val="TableReference"/>
        <w:rPr>
          <w:color w:val="000000"/>
          <w:lang w:eastAsia="en-US"/>
        </w:rPr>
      </w:pPr>
      <w:r w:rsidRPr="000F7457">
        <w:rPr>
          <w:color w:val="000000"/>
          <w:lang w:eastAsia="en-US"/>
        </w:rPr>
        <w:t>Table 2.1.1: Budgeted Expenses for ARPANSA</w:t>
      </w:r>
    </w:p>
    <w:tbl>
      <w:tblPr>
        <w:tblW w:w="7441" w:type="dxa"/>
        <w:tblInd w:w="93" w:type="dxa"/>
        <w:tblLook w:val="04A0" w:firstRow="1" w:lastRow="0" w:firstColumn="1" w:lastColumn="0" w:noHBand="0" w:noVBand="1"/>
        <w:tblCaption w:val="Table 2.1.1: Budgeted Expenses for ARPANSA"/>
        <w:tblDescription w:val="Table 2.1.1 shows the budgeted expenses and resources for the outcome by program. Read the first column for the portfolio resources and then across the table for the amount for each appropriation movement. Note that there is no data for some categories."/>
      </w:tblPr>
      <w:tblGrid>
        <w:gridCol w:w="2860"/>
        <w:gridCol w:w="981"/>
        <w:gridCol w:w="900"/>
        <w:gridCol w:w="900"/>
        <w:gridCol w:w="900"/>
        <w:gridCol w:w="900"/>
      </w:tblGrid>
      <w:tr w:rsidR="000F7457" w:rsidRPr="000F7457" w:rsidTr="00A40EDA">
        <w:trPr>
          <w:trHeight w:val="699"/>
        </w:trPr>
        <w:tc>
          <w:tcPr>
            <w:tcW w:w="2860" w:type="dxa"/>
            <w:tcBorders>
              <w:top w:val="single" w:sz="4" w:space="0" w:color="auto"/>
              <w:left w:val="nil"/>
              <w:bottom w:val="nil"/>
              <w:right w:val="nil"/>
            </w:tcBorders>
            <w:shd w:val="clear" w:color="auto" w:fill="auto"/>
            <w:hideMark/>
          </w:tcPr>
          <w:p w:rsidR="00A40EDA" w:rsidRPr="000F7457" w:rsidRDefault="00A40EDA" w:rsidP="00A40EDA">
            <w:pPr>
              <w:spacing w:before="40"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81" w:type="dxa"/>
            <w:tcBorders>
              <w:top w:val="single" w:sz="4" w:space="0" w:color="auto"/>
              <w:left w:val="nil"/>
              <w:bottom w:val="single" w:sz="4" w:space="0" w:color="auto"/>
              <w:right w:val="nil"/>
            </w:tcBorders>
            <w:shd w:val="clear" w:color="auto" w:fill="auto"/>
            <w:hideMark/>
          </w:tcPr>
          <w:p w:rsidR="00A40EDA" w:rsidRPr="000F7457" w:rsidRDefault="00A40EDA" w:rsidP="00A40ED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 Estimated actual</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000000" w:fill="D9D9D9"/>
            <w:hideMark/>
          </w:tcPr>
          <w:p w:rsidR="00A40EDA" w:rsidRPr="000F7457" w:rsidRDefault="00A40EDA" w:rsidP="00A40EDA">
            <w:pPr>
              <w:spacing w:before="40" w:after="0"/>
              <w:jc w:val="right"/>
              <w:rPr>
                <w:rFonts w:ascii="Arial" w:hAnsi="Arial" w:cs="Arial"/>
                <w:b/>
                <w:bCs/>
                <w:color w:val="000000"/>
                <w:sz w:val="16"/>
                <w:szCs w:val="16"/>
              </w:rPr>
            </w:pPr>
            <w:r w:rsidRPr="000F7457">
              <w:rPr>
                <w:rFonts w:ascii="Arial" w:hAnsi="Arial" w:cs="Arial"/>
                <w:b/>
                <w:bCs/>
                <w:color w:val="000000"/>
                <w:sz w:val="16"/>
                <w:szCs w:val="16"/>
              </w:rPr>
              <w:t xml:space="preserve">2016-17 Budget </w:t>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A40EDA" w:rsidRPr="000F7457" w:rsidRDefault="00A40EDA" w:rsidP="00A40ED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2017-18 Forward Year 1</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A40EDA" w:rsidRPr="000F7457" w:rsidRDefault="00A40EDA" w:rsidP="00A40ED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2018-19 Forward Year 2</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A40EDA" w:rsidRPr="000F7457" w:rsidRDefault="00A40EDA" w:rsidP="00A40EDA">
            <w:pPr>
              <w:spacing w:before="40" w:after="0"/>
              <w:jc w:val="right"/>
              <w:rPr>
                <w:rFonts w:ascii="Arial" w:hAnsi="Arial" w:cs="Arial"/>
                <w:b/>
                <w:bCs/>
                <w:color w:val="000000"/>
                <w:sz w:val="16"/>
                <w:szCs w:val="16"/>
              </w:rPr>
            </w:pPr>
            <w:r w:rsidRPr="000F7457">
              <w:rPr>
                <w:rFonts w:ascii="Arial" w:hAnsi="Arial" w:cs="Arial"/>
                <w:b/>
                <w:bCs/>
                <w:color w:val="000000"/>
                <w:sz w:val="16"/>
                <w:szCs w:val="16"/>
              </w:rPr>
              <w:t>2019-20 Forward Year 3</w:t>
            </w:r>
            <w:r w:rsidRPr="000F7457">
              <w:rPr>
                <w:rFonts w:ascii="Arial" w:hAnsi="Arial" w:cs="Arial"/>
                <w:b/>
                <w:bCs/>
                <w:color w:val="000000"/>
                <w:sz w:val="16"/>
                <w:szCs w:val="16"/>
              </w:rPr>
              <w:br/>
            </w:r>
            <w:r w:rsidRPr="000F7457">
              <w:rPr>
                <w:rFonts w:ascii="Arial" w:hAnsi="Arial" w:cs="Arial"/>
                <w:color w:val="000000"/>
                <w:sz w:val="16"/>
                <w:szCs w:val="16"/>
              </w:rPr>
              <w:t>$'000</w:t>
            </w:r>
          </w:p>
        </w:tc>
      </w:tr>
      <w:tr w:rsidR="000F7457" w:rsidRPr="000F7457" w:rsidTr="00A40EDA">
        <w:trPr>
          <w:trHeight w:val="300"/>
        </w:trPr>
        <w:tc>
          <w:tcPr>
            <w:tcW w:w="4741" w:type="dxa"/>
            <w:gridSpan w:val="3"/>
            <w:tcBorders>
              <w:top w:val="nil"/>
              <w:left w:val="nil"/>
              <w:bottom w:val="nil"/>
              <w:right w:val="nil"/>
            </w:tcBorders>
            <w:shd w:val="clear" w:color="auto" w:fill="auto"/>
            <w:noWrap/>
            <w:vAlign w:val="bottom"/>
            <w:hideMark/>
          </w:tcPr>
          <w:p w:rsidR="00A40EDA" w:rsidRPr="000F7457" w:rsidRDefault="00A40EDA" w:rsidP="00A40EDA">
            <w:pPr>
              <w:spacing w:after="0"/>
              <w:rPr>
                <w:rFonts w:ascii="Arial" w:hAnsi="Arial" w:cs="Arial"/>
                <w:b/>
                <w:bCs/>
                <w:color w:val="000000"/>
                <w:sz w:val="16"/>
                <w:szCs w:val="16"/>
              </w:rPr>
            </w:pPr>
            <w:r w:rsidRPr="000F7457">
              <w:rPr>
                <w:rFonts w:ascii="Arial" w:hAnsi="Arial" w:cs="Arial"/>
                <w:b/>
                <w:bCs/>
                <w:color w:val="000000"/>
                <w:sz w:val="16"/>
                <w:szCs w:val="16"/>
              </w:rPr>
              <w:t>Program 1.1: Radiation protection and nuclear safety</w:t>
            </w:r>
          </w:p>
        </w:tc>
        <w:tc>
          <w:tcPr>
            <w:tcW w:w="900" w:type="dxa"/>
            <w:tcBorders>
              <w:top w:val="nil"/>
              <w:left w:val="nil"/>
              <w:bottom w:val="nil"/>
              <w:right w:val="nil"/>
            </w:tcBorders>
            <w:shd w:val="clear" w:color="auto" w:fill="auto"/>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vAlign w:val="bottom"/>
            <w:hideMark/>
          </w:tcPr>
          <w:p w:rsidR="00A40EDA" w:rsidRPr="000F7457" w:rsidRDefault="00A40EDA" w:rsidP="00A40EDA">
            <w:pPr>
              <w:spacing w:after="0"/>
              <w:jc w:val="right"/>
              <w:rPr>
                <w:rFonts w:ascii="Arial" w:hAnsi="Arial" w:cs="Arial"/>
                <w:color w:val="000000"/>
                <w:sz w:val="16"/>
                <w:szCs w:val="16"/>
              </w:rPr>
            </w:pPr>
          </w:p>
        </w:tc>
      </w:tr>
      <w:tr w:rsidR="000F7457" w:rsidRPr="000F7457" w:rsidTr="00A40EDA">
        <w:trPr>
          <w:trHeight w:val="300"/>
        </w:trPr>
        <w:tc>
          <w:tcPr>
            <w:tcW w:w="2860" w:type="dxa"/>
            <w:tcBorders>
              <w:top w:val="nil"/>
              <w:left w:val="nil"/>
              <w:bottom w:val="nil"/>
              <w:right w:val="nil"/>
            </w:tcBorders>
            <w:shd w:val="clear" w:color="auto" w:fill="auto"/>
            <w:noWrap/>
            <w:vAlign w:val="bottom"/>
            <w:hideMark/>
          </w:tcPr>
          <w:p w:rsidR="00A40EDA" w:rsidRPr="000F7457" w:rsidRDefault="00A40EDA" w:rsidP="00A40EDA">
            <w:pPr>
              <w:spacing w:after="0"/>
              <w:ind w:firstLineChars="100" w:firstLine="160"/>
              <w:rPr>
                <w:rFonts w:ascii="Arial" w:hAnsi="Arial" w:cs="Arial"/>
                <w:color w:val="000000"/>
                <w:sz w:val="16"/>
                <w:szCs w:val="16"/>
              </w:rPr>
            </w:pPr>
            <w:r w:rsidRPr="000F7457">
              <w:rPr>
                <w:rFonts w:ascii="Arial" w:hAnsi="Arial" w:cs="Arial"/>
                <w:color w:val="000000"/>
                <w:sz w:val="16"/>
                <w:szCs w:val="16"/>
              </w:rPr>
              <w:t>Departmental expenses</w:t>
            </w:r>
          </w:p>
        </w:tc>
        <w:tc>
          <w:tcPr>
            <w:tcW w:w="981"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r>
      <w:tr w:rsidR="000F7457" w:rsidRPr="000F7457" w:rsidTr="00A40EDA">
        <w:trPr>
          <w:trHeight w:val="225"/>
        </w:trPr>
        <w:tc>
          <w:tcPr>
            <w:tcW w:w="2860" w:type="dxa"/>
            <w:tcBorders>
              <w:top w:val="nil"/>
              <w:left w:val="nil"/>
              <w:bottom w:val="nil"/>
              <w:right w:val="nil"/>
            </w:tcBorders>
            <w:shd w:val="clear" w:color="auto" w:fill="auto"/>
            <w:noWrap/>
            <w:vAlign w:val="bottom"/>
            <w:hideMark/>
          </w:tcPr>
          <w:p w:rsidR="00A40EDA" w:rsidRPr="000F7457" w:rsidRDefault="00A40EDA" w:rsidP="00A40EDA">
            <w:pPr>
              <w:spacing w:after="0"/>
              <w:ind w:firstLineChars="200" w:firstLine="320"/>
              <w:rPr>
                <w:rFonts w:ascii="Arial" w:hAnsi="Arial" w:cs="Arial"/>
                <w:color w:val="000000"/>
                <w:sz w:val="16"/>
                <w:szCs w:val="16"/>
              </w:rPr>
            </w:pPr>
            <w:r w:rsidRPr="000F7457">
              <w:rPr>
                <w:rFonts w:ascii="Arial" w:hAnsi="Arial" w:cs="Arial"/>
                <w:color w:val="000000"/>
                <w:sz w:val="16"/>
                <w:szCs w:val="16"/>
              </w:rPr>
              <w:t>Ordinary annual services</w:t>
            </w:r>
            <w:r w:rsidRPr="000F7457">
              <w:rPr>
                <w:rFonts w:ascii="Arial" w:hAnsi="Arial" w:cs="Arial"/>
                <w:color w:val="000000"/>
                <w:sz w:val="14"/>
                <w:szCs w:val="14"/>
                <w:vertAlign w:val="superscript"/>
              </w:rPr>
              <w:t>1</w:t>
            </w:r>
          </w:p>
        </w:tc>
        <w:tc>
          <w:tcPr>
            <w:tcW w:w="981"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13,056</w:t>
            </w:r>
          </w:p>
        </w:tc>
        <w:tc>
          <w:tcPr>
            <w:tcW w:w="900" w:type="dxa"/>
            <w:tcBorders>
              <w:top w:val="nil"/>
              <w:left w:val="nil"/>
              <w:bottom w:val="nil"/>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13,049</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13,067</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13,135</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13,215</w:t>
            </w:r>
          </w:p>
        </w:tc>
      </w:tr>
      <w:tr w:rsidR="000F7457" w:rsidRPr="000F7457" w:rsidTr="00A40EDA">
        <w:trPr>
          <w:trHeight w:val="225"/>
        </w:trPr>
        <w:tc>
          <w:tcPr>
            <w:tcW w:w="2860" w:type="dxa"/>
            <w:tcBorders>
              <w:top w:val="nil"/>
              <w:left w:val="nil"/>
              <w:bottom w:val="nil"/>
              <w:right w:val="nil"/>
            </w:tcBorders>
            <w:shd w:val="clear" w:color="auto" w:fill="auto"/>
            <w:noWrap/>
            <w:vAlign w:val="bottom"/>
            <w:hideMark/>
          </w:tcPr>
          <w:p w:rsidR="00A40EDA" w:rsidRPr="000F7457" w:rsidRDefault="00A40EDA" w:rsidP="00A40EDA">
            <w:pPr>
              <w:spacing w:after="0"/>
              <w:ind w:firstLineChars="200" w:firstLine="320"/>
              <w:rPr>
                <w:rFonts w:ascii="Arial" w:hAnsi="Arial" w:cs="Arial"/>
                <w:color w:val="000000"/>
                <w:sz w:val="16"/>
                <w:szCs w:val="16"/>
              </w:rPr>
            </w:pPr>
            <w:r w:rsidRPr="000F7457">
              <w:rPr>
                <w:rFonts w:ascii="Arial" w:hAnsi="Arial" w:cs="Arial"/>
                <w:color w:val="000000"/>
                <w:sz w:val="16"/>
                <w:szCs w:val="16"/>
              </w:rPr>
              <w:t>Special Accounts</w:t>
            </w:r>
          </w:p>
        </w:tc>
        <w:tc>
          <w:tcPr>
            <w:tcW w:w="981"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10,046</w:t>
            </w:r>
          </w:p>
        </w:tc>
        <w:tc>
          <w:tcPr>
            <w:tcW w:w="900" w:type="dxa"/>
            <w:tcBorders>
              <w:top w:val="nil"/>
              <w:left w:val="nil"/>
              <w:bottom w:val="nil"/>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10,046</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10,046</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10,046</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10,046</w:t>
            </w:r>
          </w:p>
        </w:tc>
      </w:tr>
      <w:tr w:rsidR="000F7457" w:rsidRPr="000F7457" w:rsidTr="00A40EDA">
        <w:trPr>
          <w:trHeight w:val="225"/>
        </w:trPr>
        <w:tc>
          <w:tcPr>
            <w:tcW w:w="3841" w:type="dxa"/>
            <w:gridSpan w:val="2"/>
            <w:tcBorders>
              <w:top w:val="nil"/>
              <w:left w:val="nil"/>
              <w:bottom w:val="nil"/>
              <w:right w:val="nil"/>
            </w:tcBorders>
            <w:shd w:val="clear" w:color="auto" w:fill="auto"/>
            <w:noWrap/>
            <w:vAlign w:val="bottom"/>
            <w:hideMark/>
          </w:tcPr>
          <w:p w:rsidR="00A40EDA" w:rsidRPr="000F7457" w:rsidRDefault="00A40EDA" w:rsidP="00A40EDA">
            <w:pPr>
              <w:spacing w:after="0"/>
              <w:ind w:firstLineChars="200" w:firstLine="320"/>
              <w:rPr>
                <w:rFonts w:ascii="Arial" w:hAnsi="Arial" w:cs="Arial"/>
                <w:color w:val="000000"/>
                <w:sz w:val="16"/>
                <w:szCs w:val="16"/>
              </w:rPr>
            </w:pPr>
            <w:r w:rsidRPr="000F7457">
              <w:rPr>
                <w:rFonts w:ascii="Arial" w:hAnsi="Arial" w:cs="Arial"/>
                <w:color w:val="000000"/>
                <w:sz w:val="16"/>
                <w:szCs w:val="16"/>
              </w:rPr>
              <w:t>Expenses not requiring appropriation</w:t>
            </w:r>
          </w:p>
        </w:tc>
        <w:tc>
          <w:tcPr>
            <w:tcW w:w="900" w:type="dxa"/>
            <w:tcBorders>
              <w:top w:val="nil"/>
              <w:left w:val="nil"/>
              <w:bottom w:val="nil"/>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r>
      <w:tr w:rsidR="000F7457" w:rsidRPr="000F7457" w:rsidTr="00A40EDA">
        <w:trPr>
          <w:trHeight w:val="240"/>
        </w:trPr>
        <w:tc>
          <w:tcPr>
            <w:tcW w:w="2860" w:type="dxa"/>
            <w:tcBorders>
              <w:top w:val="nil"/>
              <w:left w:val="nil"/>
              <w:bottom w:val="nil"/>
              <w:right w:val="nil"/>
            </w:tcBorders>
            <w:shd w:val="clear" w:color="auto" w:fill="auto"/>
            <w:noWrap/>
            <w:vAlign w:val="bottom"/>
            <w:hideMark/>
          </w:tcPr>
          <w:p w:rsidR="00A40EDA" w:rsidRPr="000F7457" w:rsidRDefault="00A40EDA" w:rsidP="00A40EDA">
            <w:pPr>
              <w:spacing w:after="0"/>
              <w:ind w:firstLineChars="300" w:firstLine="480"/>
              <w:rPr>
                <w:rFonts w:ascii="Arial" w:hAnsi="Arial" w:cs="Arial"/>
                <w:color w:val="000000"/>
                <w:sz w:val="16"/>
                <w:szCs w:val="16"/>
              </w:rPr>
            </w:pPr>
            <w:r w:rsidRPr="000F7457">
              <w:rPr>
                <w:rFonts w:ascii="Arial" w:hAnsi="Arial" w:cs="Arial"/>
                <w:color w:val="000000"/>
                <w:sz w:val="16"/>
                <w:szCs w:val="16"/>
              </w:rPr>
              <w:t>in the budget year</w:t>
            </w:r>
            <w:r w:rsidR="00634270" w:rsidRPr="000F7457">
              <w:rPr>
                <w:rFonts w:ascii="Arial" w:hAnsi="Arial" w:cs="Arial"/>
                <w:color w:val="000000"/>
                <w:sz w:val="14"/>
                <w:szCs w:val="14"/>
                <w:vertAlign w:val="superscript"/>
              </w:rPr>
              <w:t>2</w:t>
            </w:r>
          </w:p>
        </w:tc>
        <w:tc>
          <w:tcPr>
            <w:tcW w:w="981"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2,171</w:t>
            </w:r>
          </w:p>
        </w:tc>
      </w:tr>
      <w:tr w:rsidR="000F7457" w:rsidRPr="000F7457" w:rsidTr="00A40EDA">
        <w:trPr>
          <w:trHeight w:val="240"/>
        </w:trPr>
        <w:tc>
          <w:tcPr>
            <w:tcW w:w="2860" w:type="dxa"/>
            <w:tcBorders>
              <w:top w:val="nil"/>
              <w:left w:val="nil"/>
              <w:bottom w:val="nil"/>
              <w:right w:val="nil"/>
            </w:tcBorders>
            <w:shd w:val="clear" w:color="auto" w:fill="auto"/>
            <w:noWrap/>
            <w:vAlign w:val="bottom"/>
            <w:hideMark/>
          </w:tcPr>
          <w:p w:rsidR="00A40EDA" w:rsidRPr="000F7457" w:rsidRDefault="00F60C0B" w:rsidP="00A40EDA">
            <w:pPr>
              <w:spacing w:after="0"/>
              <w:ind w:firstLineChars="200" w:firstLine="320"/>
              <w:rPr>
                <w:rFonts w:ascii="Arial" w:hAnsi="Arial" w:cs="Arial"/>
                <w:color w:val="000000"/>
                <w:sz w:val="16"/>
                <w:szCs w:val="16"/>
              </w:rPr>
            </w:pPr>
            <w:r w:rsidRPr="000F7457">
              <w:rPr>
                <w:rFonts w:ascii="Arial" w:hAnsi="Arial" w:cs="Arial"/>
                <w:color w:val="000000"/>
                <w:sz w:val="16"/>
                <w:szCs w:val="16"/>
              </w:rPr>
              <w:t>Operating loss (s</w:t>
            </w:r>
            <w:r w:rsidR="00A40EDA" w:rsidRPr="000F7457">
              <w:rPr>
                <w:rFonts w:ascii="Arial" w:hAnsi="Arial" w:cs="Arial"/>
                <w:color w:val="000000"/>
                <w:sz w:val="16"/>
                <w:szCs w:val="16"/>
              </w:rPr>
              <w:t>urplus)</w:t>
            </w:r>
          </w:p>
        </w:tc>
        <w:tc>
          <w:tcPr>
            <w:tcW w:w="981"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643</w:t>
            </w:r>
          </w:p>
        </w:tc>
        <w:tc>
          <w:tcPr>
            <w:tcW w:w="900" w:type="dxa"/>
            <w:tcBorders>
              <w:top w:val="nil"/>
              <w:left w:val="nil"/>
              <w:bottom w:val="single" w:sz="4" w:space="0" w:color="auto"/>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A40EDA">
        <w:trPr>
          <w:trHeight w:val="300"/>
        </w:trPr>
        <w:tc>
          <w:tcPr>
            <w:tcW w:w="2860" w:type="dxa"/>
            <w:tcBorders>
              <w:top w:val="nil"/>
              <w:left w:val="nil"/>
              <w:bottom w:val="nil"/>
              <w:right w:val="nil"/>
            </w:tcBorders>
            <w:shd w:val="clear" w:color="auto" w:fill="auto"/>
            <w:vAlign w:val="bottom"/>
            <w:hideMark/>
          </w:tcPr>
          <w:p w:rsidR="00A40EDA" w:rsidRPr="000F7457" w:rsidRDefault="00A40EDA" w:rsidP="00A40EDA">
            <w:pPr>
              <w:spacing w:after="0"/>
              <w:rPr>
                <w:rFonts w:ascii="Arial" w:hAnsi="Arial" w:cs="Arial"/>
                <w:b/>
                <w:bCs/>
                <w:color w:val="000000"/>
                <w:sz w:val="16"/>
                <w:szCs w:val="16"/>
              </w:rPr>
            </w:pPr>
            <w:r w:rsidRPr="000F7457">
              <w:rPr>
                <w:rFonts w:ascii="Arial" w:hAnsi="Arial" w:cs="Arial"/>
                <w:b/>
                <w:bCs/>
                <w:color w:val="000000"/>
                <w:sz w:val="16"/>
                <w:szCs w:val="16"/>
              </w:rPr>
              <w:t>Total for Program 1.1</w:t>
            </w:r>
          </w:p>
        </w:tc>
        <w:tc>
          <w:tcPr>
            <w:tcW w:w="981"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25,916</w:t>
            </w:r>
          </w:p>
        </w:tc>
        <w:tc>
          <w:tcPr>
            <w:tcW w:w="900" w:type="dxa"/>
            <w:tcBorders>
              <w:top w:val="nil"/>
              <w:left w:val="nil"/>
              <w:bottom w:val="single" w:sz="4" w:space="0" w:color="auto"/>
              <w:right w:val="nil"/>
            </w:tcBorders>
            <w:shd w:val="clear" w:color="000000" w:fill="D9D9D9"/>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25,266</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25,284</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25,352</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25,432</w:t>
            </w:r>
          </w:p>
        </w:tc>
      </w:tr>
      <w:tr w:rsidR="000F7457" w:rsidRPr="000F7457" w:rsidTr="00A40EDA">
        <w:trPr>
          <w:trHeight w:val="300"/>
        </w:trPr>
        <w:tc>
          <w:tcPr>
            <w:tcW w:w="286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rPr>
                <w:rFonts w:ascii="Arial" w:hAnsi="Arial" w:cs="Arial"/>
                <w:b/>
                <w:bCs/>
                <w:color w:val="000000"/>
                <w:sz w:val="16"/>
                <w:szCs w:val="16"/>
              </w:rPr>
            </w:pPr>
            <w:r w:rsidRPr="000F7457">
              <w:rPr>
                <w:rFonts w:ascii="Arial" w:hAnsi="Arial" w:cs="Arial"/>
                <w:b/>
                <w:bCs/>
                <w:color w:val="000000"/>
                <w:sz w:val="16"/>
                <w:szCs w:val="16"/>
              </w:rPr>
              <w:t>Total expenses for Outcome 1</w:t>
            </w:r>
          </w:p>
        </w:tc>
        <w:tc>
          <w:tcPr>
            <w:tcW w:w="981"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25,916</w:t>
            </w:r>
          </w:p>
        </w:tc>
        <w:tc>
          <w:tcPr>
            <w:tcW w:w="900" w:type="dxa"/>
            <w:tcBorders>
              <w:top w:val="nil"/>
              <w:left w:val="nil"/>
              <w:bottom w:val="single" w:sz="4" w:space="0" w:color="auto"/>
              <w:right w:val="nil"/>
            </w:tcBorders>
            <w:shd w:val="clear" w:color="000000" w:fill="D9D9D9"/>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25,266</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25,284</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25,352</w:t>
            </w:r>
          </w:p>
        </w:tc>
        <w:tc>
          <w:tcPr>
            <w:tcW w:w="90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25,432</w:t>
            </w:r>
          </w:p>
        </w:tc>
      </w:tr>
      <w:tr w:rsidR="000F7457" w:rsidRPr="000F7457" w:rsidTr="00A40EDA">
        <w:trPr>
          <w:trHeight w:val="225"/>
        </w:trPr>
        <w:tc>
          <w:tcPr>
            <w:tcW w:w="2860"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ind w:firstLineChars="100" w:firstLine="160"/>
              <w:rPr>
                <w:rFonts w:ascii="Arial" w:hAnsi="Arial" w:cs="Arial"/>
                <w:color w:val="000000"/>
                <w:sz w:val="16"/>
                <w:szCs w:val="16"/>
              </w:rPr>
            </w:pPr>
            <w:r w:rsidRPr="000F7457">
              <w:rPr>
                <w:rFonts w:ascii="Arial" w:hAnsi="Arial" w:cs="Arial"/>
                <w:color w:val="000000"/>
                <w:sz w:val="16"/>
                <w:szCs w:val="16"/>
              </w:rPr>
              <w:t> </w:t>
            </w:r>
          </w:p>
        </w:tc>
        <w:tc>
          <w:tcPr>
            <w:tcW w:w="981" w:type="dxa"/>
            <w:tcBorders>
              <w:top w:val="nil"/>
              <w:left w:val="nil"/>
              <w:bottom w:val="single" w:sz="4" w:space="0" w:color="auto"/>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single" w:sz="4" w:space="0" w:color="auto"/>
              <w:right w:val="nil"/>
            </w:tcBorders>
            <w:shd w:val="clear" w:color="000000" w:fill="FFFFFF"/>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r>
      <w:tr w:rsidR="000F7457" w:rsidRPr="000F7457" w:rsidTr="00A40EDA">
        <w:trPr>
          <w:trHeight w:val="225"/>
        </w:trPr>
        <w:tc>
          <w:tcPr>
            <w:tcW w:w="2860" w:type="dxa"/>
            <w:tcBorders>
              <w:top w:val="nil"/>
              <w:left w:val="nil"/>
              <w:bottom w:val="nil"/>
              <w:right w:val="nil"/>
            </w:tcBorders>
            <w:shd w:val="clear" w:color="auto" w:fill="auto"/>
            <w:noWrap/>
            <w:vAlign w:val="bottom"/>
            <w:hideMark/>
          </w:tcPr>
          <w:p w:rsidR="00A40EDA" w:rsidRPr="000F7457" w:rsidRDefault="00A40EDA" w:rsidP="00A40EDA">
            <w:pPr>
              <w:spacing w:after="0"/>
              <w:rPr>
                <w:rFonts w:ascii="Arial" w:hAnsi="Arial" w:cs="Arial"/>
                <w:color w:val="000000"/>
                <w:sz w:val="16"/>
                <w:szCs w:val="16"/>
              </w:rPr>
            </w:pPr>
          </w:p>
        </w:tc>
        <w:tc>
          <w:tcPr>
            <w:tcW w:w="981" w:type="dxa"/>
            <w:tcBorders>
              <w:top w:val="nil"/>
              <w:left w:val="nil"/>
              <w:bottom w:val="nil"/>
              <w:right w:val="nil"/>
            </w:tcBorders>
            <w:shd w:val="clear" w:color="auto" w:fill="auto"/>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2015-16</w:t>
            </w:r>
          </w:p>
        </w:tc>
        <w:tc>
          <w:tcPr>
            <w:tcW w:w="900" w:type="dxa"/>
            <w:tcBorders>
              <w:top w:val="nil"/>
              <w:left w:val="nil"/>
              <w:bottom w:val="nil"/>
              <w:right w:val="nil"/>
            </w:tcBorders>
            <w:shd w:val="clear" w:color="000000" w:fill="D9D9D9"/>
            <w:vAlign w:val="bottom"/>
            <w:hideMark/>
          </w:tcPr>
          <w:p w:rsidR="00A40EDA" w:rsidRPr="000F7457" w:rsidRDefault="00A40EDA" w:rsidP="00A40EDA">
            <w:pPr>
              <w:spacing w:after="0"/>
              <w:jc w:val="right"/>
              <w:rPr>
                <w:rFonts w:ascii="Arial" w:hAnsi="Arial" w:cs="Arial"/>
                <w:b/>
                <w:bCs/>
                <w:color w:val="000000"/>
                <w:sz w:val="16"/>
                <w:szCs w:val="16"/>
              </w:rPr>
            </w:pPr>
            <w:r w:rsidRPr="000F7457">
              <w:rPr>
                <w:rFonts w:ascii="Arial" w:hAnsi="Arial" w:cs="Arial"/>
                <w:b/>
                <w:bCs/>
                <w:color w:val="000000"/>
                <w:sz w:val="16"/>
                <w:szCs w:val="16"/>
              </w:rPr>
              <w:t>2016-17</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r>
      <w:tr w:rsidR="000F7457" w:rsidRPr="000F7457" w:rsidTr="00A40EDA">
        <w:trPr>
          <w:trHeight w:val="225"/>
        </w:trPr>
        <w:tc>
          <w:tcPr>
            <w:tcW w:w="2860" w:type="dxa"/>
            <w:tcBorders>
              <w:top w:val="nil"/>
              <w:left w:val="nil"/>
              <w:bottom w:val="single" w:sz="4" w:space="0" w:color="000000"/>
              <w:right w:val="nil"/>
            </w:tcBorders>
            <w:shd w:val="clear" w:color="auto" w:fill="auto"/>
            <w:noWrap/>
            <w:vAlign w:val="bottom"/>
            <w:hideMark/>
          </w:tcPr>
          <w:p w:rsidR="00A40EDA" w:rsidRPr="000F7457" w:rsidRDefault="00A40EDA" w:rsidP="00A40EDA">
            <w:pPr>
              <w:spacing w:after="0"/>
              <w:rPr>
                <w:rFonts w:ascii="Arial" w:hAnsi="Arial" w:cs="Arial"/>
                <w:b/>
                <w:bCs/>
                <w:color w:val="000000"/>
                <w:sz w:val="16"/>
                <w:szCs w:val="16"/>
              </w:rPr>
            </w:pPr>
            <w:r w:rsidRPr="000F7457">
              <w:rPr>
                <w:rFonts w:ascii="Arial" w:hAnsi="Arial" w:cs="Arial"/>
                <w:b/>
                <w:bCs/>
                <w:color w:val="000000"/>
                <w:sz w:val="16"/>
                <w:szCs w:val="16"/>
              </w:rPr>
              <w:t>Average staffing level (number)</w:t>
            </w:r>
          </w:p>
        </w:tc>
        <w:tc>
          <w:tcPr>
            <w:tcW w:w="981" w:type="dxa"/>
            <w:tcBorders>
              <w:top w:val="single" w:sz="4" w:space="0" w:color="000000"/>
              <w:left w:val="nil"/>
              <w:bottom w:val="single" w:sz="4" w:space="0" w:color="000000"/>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135</w:t>
            </w:r>
          </w:p>
        </w:tc>
        <w:tc>
          <w:tcPr>
            <w:tcW w:w="900" w:type="dxa"/>
            <w:tcBorders>
              <w:top w:val="single" w:sz="4" w:space="0" w:color="000000"/>
              <w:left w:val="nil"/>
              <w:bottom w:val="single" w:sz="4" w:space="0" w:color="000000"/>
              <w:right w:val="nil"/>
            </w:tcBorders>
            <w:shd w:val="clear" w:color="000000" w:fill="D9D9D9"/>
            <w:noWrap/>
            <w:vAlign w:val="bottom"/>
            <w:hideMark/>
          </w:tcPr>
          <w:p w:rsidR="00A40EDA" w:rsidRPr="000F7457" w:rsidRDefault="00A40EDA" w:rsidP="00A40EDA">
            <w:pPr>
              <w:spacing w:after="0"/>
              <w:jc w:val="right"/>
              <w:rPr>
                <w:rFonts w:ascii="Arial" w:hAnsi="Arial" w:cs="Arial"/>
                <w:color w:val="000000"/>
                <w:sz w:val="16"/>
                <w:szCs w:val="16"/>
              </w:rPr>
            </w:pPr>
            <w:r w:rsidRPr="000F7457">
              <w:rPr>
                <w:rFonts w:ascii="Arial" w:hAnsi="Arial" w:cs="Arial"/>
                <w:color w:val="000000"/>
                <w:sz w:val="16"/>
                <w:szCs w:val="16"/>
              </w:rPr>
              <w:t>131</w:t>
            </w: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A40EDA" w:rsidRPr="000F7457" w:rsidRDefault="00A40EDA" w:rsidP="00A40EDA">
            <w:pPr>
              <w:spacing w:after="0"/>
              <w:jc w:val="right"/>
              <w:rPr>
                <w:rFonts w:ascii="Arial" w:hAnsi="Arial" w:cs="Arial"/>
                <w:color w:val="000000"/>
                <w:sz w:val="16"/>
                <w:szCs w:val="16"/>
              </w:rPr>
            </w:pPr>
          </w:p>
        </w:tc>
      </w:tr>
    </w:tbl>
    <w:p w:rsidR="00A40EDA" w:rsidRPr="000F7457" w:rsidRDefault="00A40EDA" w:rsidP="00A40EDA">
      <w:pPr>
        <w:pStyle w:val="FootnoteText"/>
        <w:spacing w:before="120"/>
        <w:rPr>
          <w:color w:val="000000"/>
          <w:lang w:eastAsia="en-US"/>
        </w:rPr>
      </w:pPr>
      <w:r w:rsidRPr="000F7457">
        <w:rPr>
          <w:color w:val="000000"/>
          <w:vertAlign w:val="superscript"/>
          <w:lang w:eastAsia="en-US"/>
        </w:rPr>
        <w:t>1</w:t>
      </w:r>
      <w:r w:rsidRPr="000F7457">
        <w:rPr>
          <w:color w:val="000000"/>
          <w:lang w:eastAsia="en-US"/>
        </w:rPr>
        <w:t xml:space="preserve"> </w:t>
      </w:r>
      <w:r w:rsidRPr="000F7457">
        <w:rPr>
          <w:color w:val="000000"/>
          <w:lang w:eastAsia="en-US"/>
        </w:rPr>
        <w:tab/>
        <w:t>Appropriation (Bill No. 1) 2016-17.</w:t>
      </w:r>
    </w:p>
    <w:p w:rsidR="002A4D5E" w:rsidRPr="000F7457" w:rsidRDefault="00A40EDA" w:rsidP="00A40EDA">
      <w:pPr>
        <w:pStyle w:val="FootnoteText"/>
        <w:rPr>
          <w:color w:val="000000"/>
          <w:lang w:eastAsia="en-US"/>
        </w:rPr>
      </w:pPr>
      <w:r w:rsidRPr="000F7457">
        <w:rPr>
          <w:color w:val="000000"/>
          <w:vertAlign w:val="superscript"/>
          <w:lang w:eastAsia="en-US"/>
        </w:rPr>
        <w:t xml:space="preserve">2 </w:t>
      </w:r>
      <w:r w:rsidRPr="000F7457">
        <w:rPr>
          <w:color w:val="000000"/>
          <w:lang w:eastAsia="en-US"/>
        </w:rPr>
        <w:tab/>
        <w:t>Expenses not requiring appropriation in the Budget year are made up of depreciation expense, amortisation expense, makegood expense and audit fees.</w:t>
      </w:r>
    </w:p>
    <w:p w:rsidR="007D169E" w:rsidRPr="000F7457" w:rsidRDefault="007D169E" w:rsidP="00E94D80">
      <w:pPr>
        <w:rPr>
          <w:color w:val="000000"/>
          <w:lang w:eastAsia="en-US"/>
        </w:rPr>
      </w:pPr>
      <w:r w:rsidRPr="000F7457">
        <w:rPr>
          <w:color w:val="000000"/>
          <w:lang w:eastAsia="en-US"/>
        </w:rPr>
        <w:br w:type="page"/>
      </w:r>
    </w:p>
    <w:p w:rsidR="002E7B43" w:rsidRPr="000F7457" w:rsidRDefault="002E7B43" w:rsidP="00B05422">
      <w:pPr>
        <w:pStyle w:val="Sectionsubsubheading"/>
        <w:rPr>
          <w:color w:val="000000"/>
        </w:rPr>
      </w:pPr>
      <w:r w:rsidRPr="000F7457">
        <w:rPr>
          <w:color w:val="000000"/>
        </w:rPr>
        <w:lastRenderedPageBreak/>
        <w:t>Table 2.</w:t>
      </w:r>
      <w:r w:rsidR="008E731A" w:rsidRPr="000F7457">
        <w:rPr>
          <w:color w:val="000000"/>
        </w:rPr>
        <w:t>1</w:t>
      </w:r>
      <w:r w:rsidRPr="000F7457">
        <w:rPr>
          <w:color w:val="000000"/>
        </w:rPr>
        <w:t>.</w:t>
      </w:r>
      <w:r w:rsidR="008E731A" w:rsidRPr="000F7457">
        <w:rPr>
          <w:color w:val="000000"/>
        </w:rPr>
        <w:t>2</w:t>
      </w:r>
      <w:r w:rsidR="00587F2C" w:rsidRPr="000F7457">
        <w:rPr>
          <w:color w:val="000000"/>
        </w:rPr>
        <w:t>: Performance C</w:t>
      </w:r>
      <w:r w:rsidRPr="000F7457">
        <w:rPr>
          <w:color w:val="000000"/>
        </w:rPr>
        <w:t>riteria for</w:t>
      </w:r>
      <w:r w:rsidR="00F63FE8" w:rsidRPr="000F7457">
        <w:rPr>
          <w:color w:val="000000"/>
        </w:rPr>
        <w:t xml:space="preserve"> </w:t>
      </w:r>
      <w:r w:rsidR="00B20918" w:rsidRPr="000F7457">
        <w:rPr>
          <w:color w:val="000000"/>
        </w:rPr>
        <w:t>ARPANSA</w:t>
      </w:r>
    </w:p>
    <w:p w:rsidR="002E7B43" w:rsidRPr="000F7457" w:rsidRDefault="002E7B43" w:rsidP="002E7B43">
      <w:pPr>
        <w:rPr>
          <w:i/>
          <w:color w:val="000000"/>
        </w:rPr>
      </w:pPr>
      <w:r w:rsidRPr="000F7457">
        <w:rPr>
          <w:color w:val="000000"/>
        </w:rPr>
        <w:t>Table 2.</w:t>
      </w:r>
      <w:r w:rsidR="008E731A" w:rsidRPr="000F7457">
        <w:rPr>
          <w:color w:val="000000"/>
        </w:rPr>
        <w:t>1</w:t>
      </w:r>
      <w:r w:rsidRPr="000F7457">
        <w:rPr>
          <w:color w:val="000000"/>
        </w:rPr>
        <w:t>.</w:t>
      </w:r>
      <w:r w:rsidR="008E731A" w:rsidRPr="000F7457">
        <w:rPr>
          <w:color w:val="000000"/>
        </w:rPr>
        <w:t>2</w:t>
      </w:r>
      <w:r w:rsidRPr="000F7457">
        <w:rPr>
          <w:color w:val="000000"/>
        </w:rPr>
        <w:t xml:space="preserve"> below details the performance criteria for each program associated with </w:t>
      </w:r>
      <w:r w:rsidR="002A01CB" w:rsidRPr="000F7457">
        <w:rPr>
          <w:color w:val="000000"/>
        </w:rPr>
        <w:t>Outcome 1</w:t>
      </w:r>
      <w:r w:rsidRPr="000F7457">
        <w:rPr>
          <w:color w:val="000000"/>
        </w:rPr>
        <w:t>.</w:t>
      </w:r>
      <w:r w:rsidR="0014145E" w:rsidRPr="000F7457">
        <w:rPr>
          <w:rStyle w:val="FootnoteReference"/>
          <w:color w:val="000000"/>
          <w:sz w:val="20"/>
        </w:rPr>
        <w:footnoteReference w:id="2"/>
      </w:r>
      <w:r w:rsidRPr="000F7457">
        <w:rPr>
          <w:color w:val="000000"/>
        </w:rPr>
        <w:t xml:space="preserve"> It also summarises how each program is delivered and where 2016-17 Budget measures have created new programs or materially changed existing programs.</w:t>
      </w:r>
      <w:r w:rsidRPr="000F7457">
        <w:rPr>
          <w:i/>
          <w:color w:val="000000"/>
        </w:rPr>
        <w:t xml:space="preserve"> </w:t>
      </w:r>
    </w:p>
    <w:tbl>
      <w:tblPr>
        <w:tblStyle w:val="TableGrid"/>
        <w:tblW w:w="5000" w:type="pct"/>
        <w:tblCellMar>
          <w:top w:w="28" w:type="dxa"/>
          <w:left w:w="85" w:type="dxa"/>
          <w:bottom w:w="28" w:type="dxa"/>
          <w:right w:w="85" w:type="dxa"/>
        </w:tblCellMar>
        <w:tblLook w:val="04A0" w:firstRow="1" w:lastRow="0" w:firstColumn="1" w:lastColumn="0" w:noHBand="0" w:noVBand="1"/>
        <w:tblCaption w:val="Table 2.1.2: Performance Criteria for the ARPANSA"/>
        <w:tblDescription w:val="Table 2.1.2 details the performance criteria for each program associated with this outcome. It also summarises how each program is delivered and where 2016-17 Budget measures have created new programs or materially changed existing programs."/>
      </w:tblPr>
      <w:tblGrid>
        <w:gridCol w:w="1049"/>
        <w:gridCol w:w="2013"/>
        <w:gridCol w:w="712"/>
        <w:gridCol w:w="184"/>
        <w:gridCol w:w="896"/>
        <w:gridCol w:w="896"/>
        <w:gridCol w:w="896"/>
        <w:gridCol w:w="894"/>
      </w:tblGrid>
      <w:tr w:rsidR="000F7457" w:rsidRPr="000F7457" w:rsidTr="00CA71C0">
        <w:tc>
          <w:tcPr>
            <w:tcW w:w="696" w:type="pct"/>
            <w:shd w:val="clear" w:color="auto" w:fill="D9D9D9" w:themeFill="background1" w:themeFillShade="D9"/>
          </w:tcPr>
          <w:p w:rsidR="00A14719" w:rsidRPr="000F7457" w:rsidRDefault="00A14719" w:rsidP="00045526">
            <w:pPr>
              <w:pStyle w:val="TableHeadingRow"/>
              <w:rPr>
                <w:color w:val="000000"/>
              </w:rPr>
            </w:pPr>
            <w:r w:rsidRPr="000F7457">
              <w:rPr>
                <w:color w:val="000000"/>
              </w:rPr>
              <w:t>Outcome</w:t>
            </w:r>
          </w:p>
        </w:tc>
        <w:tc>
          <w:tcPr>
            <w:tcW w:w="4304" w:type="pct"/>
            <w:gridSpan w:val="7"/>
            <w:shd w:val="clear" w:color="auto" w:fill="auto"/>
          </w:tcPr>
          <w:p w:rsidR="00A14719" w:rsidRPr="000F7457" w:rsidRDefault="00A14719" w:rsidP="00277C81">
            <w:pPr>
              <w:pStyle w:val="OutcomeandProgramDescription"/>
              <w:rPr>
                <w:color w:val="000000"/>
              </w:rPr>
            </w:pPr>
            <w:r w:rsidRPr="000F7457">
              <w:rPr>
                <w:color w:val="000000"/>
              </w:rPr>
              <w:t xml:space="preserve">1: </w:t>
            </w:r>
            <w:r w:rsidRPr="000F7457">
              <w:rPr>
                <w:color w:val="000000"/>
              </w:rPr>
              <w:tab/>
              <w:t>Protection of people and the environment through radiation protection and nuclear safety research, policy, advice, codes, standards, services and regulation</w:t>
            </w:r>
          </w:p>
        </w:tc>
      </w:tr>
      <w:tr w:rsidR="000F7457" w:rsidRPr="000F7457" w:rsidTr="00CA71C0">
        <w:tc>
          <w:tcPr>
            <w:tcW w:w="696" w:type="pct"/>
            <w:shd w:val="clear" w:color="auto" w:fill="D9D9D9" w:themeFill="background1" w:themeFillShade="D9"/>
          </w:tcPr>
          <w:p w:rsidR="00F24392" w:rsidRPr="000F7457" w:rsidRDefault="00F24392" w:rsidP="00045526">
            <w:pPr>
              <w:pStyle w:val="TableHeadingRow"/>
              <w:rPr>
                <w:color w:val="000000"/>
              </w:rPr>
            </w:pPr>
            <w:r w:rsidRPr="000F7457">
              <w:rPr>
                <w:color w:val="000000"/>
              </w:rPr>
              <w:t>Program</w:t>
            </w:r>
          </w:p>
        </w:tc>
        <w:tc>
          <w:tcPr>
            <w:tcW w:w="4304" w:type="pct"/>
            <w:gridSpan w:val="7"/>
            <w:shd w:val="clear" w:color="auto" w:fill="auto"/>
          </w:tcPr>
          <w:p w:rsidR="00F24392" w:rsidRPr="000F7457" w:rsidRDefault="00986801" w:rsidP="002A6F8D">
            <w:pPr>
              <w:pStyle w:val="OutcomeandProgramDescription"/>
              <w:rPr>
                <w:color w:val="000000"/>
              </w:rPr>
            </w:pPr>
            <w:r w:rsidRPr="000F7457">
              <w:rPr>
                <w:color w:val="000000"/>
              </w:rPr>
              <w:t>1</w:t>
            </w:r>
            <w:r w:rsidR="00F24392" w:rsidRPr="000F7457">
              <w:rPr>
                <w:color w:val="000000"/>
              </w:rPr>
              <w:t>.1:</w:t>
            </w:r>
            <w:r w:rsidR="002A6F8D" w:rsidRPr="000F7457">
              <w:rPr>
                <w:color w:val="000000"/>
              </w:rPr>
              <w:tab/>
            </w:r>
            <w:r w:rsidR="00CB03D6" w:rsidRPr="000F7457">
              <w:rPr>
                <w:color w:val="000000"/>
              </w:rPr>
              <w:t>Radiation Protection and Nuclear Safety</w:t>
            </w:r>
          </w:p>
          <w:p w:rsidR="00A35391" w:rsidRPr="000F7457" w:rsidRDefault="00A35391" w:rsidP="00CA71C0">
            <w:pPr>
              <w:pStyle w:val="TableTextNormal"/>
              <w:rPr>
                <w:color w:val="000000"/>
              </w:rPr>
            </w:pPr>
            <w:r w:rsidRPr="000F7457">
              <w:rPr>
                <w:color w:val="000000"/>
              </w:rPr>
              <w:t xml:space="preserve">The Australian Government, through ARPANSA, aims to protect </w:t>
            </w:r>
            <w:r w:rsidR="00D92657" w:rsidRPr="000F7457">
              <w:rPr>
                <w:color w:val="000000"/>
              </w:rPr>
              <w:t xml:space="preserve">the Australian </w:t>
            </w:r>
            <w:r w:rsidRPr="000F7457">
              <w:rPr>
                <w:color w:val="000000"/>
              </w:rPr>
              <w:t>people and the environment from the</w:t>
            </w:r>
            <w:r w:rsidR="00087BA8" w:rsidRPr="000F7457">
              <w:rPr>
                <w:color w:val="000000"/>
              </w:rPr>
              <w:t xml:space="preserve"> harmful effects of radiation. </w:t>
            </w:r>
            <w:r w:rsidRPr="000F7457">
              <w:rPr>
                <w:color w:val="000000"/>
              </w:rPr>
              <w:t xml:space="preserve">Scientific knowledge and international best practice is applied to promote awareness of the effects of radiation, and a nationally uniform approach to radiation protection of people (the public, workers and patients undergoing medical procedures using radiation) and the environment. </w:t>
            </w:r>
          </w:p>
          <w:p w:rsidR="00F24392" w:rsidRPr="000F7457" w:rsidRDefault="00A35391" w:rsidP="00CA71C0">
            <w:pPr>
              <w:pStyle w:val="TableTextNormal"/>
              <w:rPr>
                <w:rFonts w:ascii="Arial" w:eastAsiaTheme="minorEastAsia" w:hAnsi="Arial"/>
                <w:color w:val="000000"/>
              </w:rPr>
            </w:pPr>
            <w:r w:rsidRPr="000F7457">
              <w:rPr>
                <w:color w:val="000000"/>
              </w:rPr>
              <w:t>ARPANSA regulates the use of radiation sources, facilities and nuclear installations controlled by the Australian Government. It provides expert support to national and regional arrangements for safety, security and response to nuclear and radiological emergencies.</w:t>
            </w:r>
          </w:p>
        </w:tc>
      </w:tr>
      <w:tr w:rsidR="000F7457" w:rsidRPr="000F7457" w:rsidTr="00CA71C0">
        <w:tc>
          <w:tcPr>
            <w:tcW w:w="696" w:type="pct"/>
            <w:shd w:val="clear" w:color="auto" w:fill="D9D9D9" w:themeFill="background1" w:themeFillShade="D9"/>
          </w:tcPr>
          <w:p w:rsidR="00F24392" w:rsidRPr="000F7457" w:rsidRDefault="00F24392" w:rsidP="00045526">
            <w:pPr>
              <w:pStyle w:val="TableHeadingRow"/>
              <w:rPr>
                <w:color w:val="000000"/>
              </w:rPr>
            </w:pPr>
            <w:r w:rsidRPr="000F7457">
              <w:rPr>
                <w:color w:val="000000"/>
              </w:rPr>
              <w:t>Purpose</w:t>
            </w:r>
          </w:p>
        </w:tc>
        <w:tc>
          <w:tcPr>
            <w:tcW w:w="4304" w:type="pct"/>
            <w:gridSpan w:val="7"/>
            <w:tcBorders>
              <w:bottom w:val="single" w:sz="4" w:space="0" w:color="auto"/>
            </w:tcBorders>
            <w:shd w:val="clear" w:color="auto" w:fill="auto"/>
          </w:tcPr>
          <w:p w:rsidR="00F24392" w:rsidRPr="000F7457" w:rsidRDefault="00BC60A5" w:rsidP="00CA71C0">
            <w:pPr>
              <w:pStyle w:val="TableTextNormal"/>
              <w:rPr>
                <w:color w:val="000000"/>
              </w:rPr>
            </w:pPr>
            <w:r w:rsidRPr="000F7457">
              <w:rPr>
                <w:color w:val="000000"/>
              </w:rPr>
              <w:t>T</w:t>
            </w:r>
            <w:r w:rsidR="00202447" w:rsidRPr="000F7457">
              <w:rPr>
                <w:color w:val="000000"/>
              </w:rPr>
              <w:t xml:space="preserve">o protect the Australian </w:t>
            </w:r>
            <w:r w:rsidR="00765E32" w:rsidRPr="000F7457">
              <w:rPr>
                <w:color w:val="000000"/>
              </w:rPr>
              <w:t>people and the environment from the harmful effects of radiation.</w:t>
            </w:r>
            <w:r w:rsidR="00AE797C" w:rsidRPr="000F7457">
              <w:rPr>
                <w:color w:val="000000"/>
                <w:vertAlign w:val="superscript"/>
              </w:rPr>
              <w:footnoteReference w:id="3"/>
            </w:r>
          </w:p>
        </w:tc>
      </w:tr>
      <w:tr w:rsidR="000F7457" w:rsidRPr="000F7457" w:rsidTr="00CA71C0">
        <w:tc>
          <w:tcPr>
            <w:tcW w:w="696" w:type="pct"/>
            <w:shd w:val="clear" w:color="auto" w:fill="D9D9D9" w:themeFill="background1" w:themeFillShade="D9"/>
          </w:tcPr>
          <w:p w:rsidR="00F24392" w:rsidRPr="000F7457" w:rsidRDefault="00F24392" w:rsidP="00045526">
            <w:pPr>
              <w:pStyle w:val="TableHeadingRow"/>
              <w:rPr>
                <w:color w:val="000000"/>
              </w:rPr>
            </w:pPr>
            <w:r w:rsidRPr="000F7457">
              <w:rPr>
                <w:color w:val="000000"/>
              </w:rPr>
              <w:t>Delivery</w:t>
            </w:r>
          </w:p>
        </w:tc>
        <w:tc>
          <w:tcPr>
            <w:tcW w:w="4304" w:type="pct"/>
            <w:gridSpan w:val="7"/>
            <w:shd w:val="clear" w:color="auto" w:fill="auto"/>
          </w:tcPr>
          <w:p w:rsidR="002962C2" w:rsidRPr="000F7457" w:rsidRDefault="002962C2" w:rsidP="002962C2">
            <w:pPr>
              <w:pStyle w:val="TableTextNormal"/>
              <w:rPr>
                <w:color w:val="000000"/>
              </w:rPr>
            </w:pPr>
            <w:r w:rsidRPr="000F7457">
              <w:rPr>
                <w:color w:val="000000"/>
              </w:rPr>
              <w:t>Program activities, intended to benefit the Australian community and the environment, will be delivered under the following program objectives:</w:t>
            </w:r>
          </w:p>
          <w:p w:rsidR="00F24392" w:rsidRPr="000F7457" w:rsidRDefault="00F24392" w:rsidP="00277C81">
            <w:pPr>
              <w:pStyle w:val="DeliveryList"/>
              <w:rPr>
                <w:color w:val="000000"/>
              </w:rPr>
            </w:pPr>
            <w:r w:rsidRPr="000F7457">
              <w:rPr>
                <w:color w:val="000000"/>
              </w:rPr>
              <w:t>A.</w:t>
            </w:r>
            <w:r w:rsidRPr="000F7457">
              <w:rPr>
                <w:color w:val="000000"/>
              </w:rPr>
              <w:tab/>
            </w:r>
            <w:r w:rsidR="00CB03D6" w:rsidRPr="000F7457">
              <w:rPr>
                <w:color w:val="000000"/>
              </w:rPr>
              <w:t>Protect</w:t>
            </w:r>
            <w:r w:rsidR="00B20918" w:rsidRPr="000F7457">
              <w:rPr>
                <w:color w:val="000000"/>
              </w:rPr>
              <w:t>ing</w:t>
            </w:r>
            <w:r w:rsidR="00CB03D6" w:rsidRPr="000F7457">
              <w:rPr>
                <w:color w:val="000000"/>
              </w:rPr>
              <w:t xml:space="preserve"> the public, workers and the environment from radiation exposure</w:t>
            </w:r>
          </w:p>
          <w:p w:rsidR="00044B2A" w:rsidRPr="000F7457" w:rsidRDefault="00044B2A" w:rsidP="00277C81">
            <w:pPr>
              <w:pStyle w:val="DeliveryList"/>
              <w:rPr>
                <w:color w:val="000000"/>
              </w:rPr>
            </w:pPr>
            <w:r w:rsidRPr="000F7457">
              <w:rPr>
                <w:color w:val="000000"/>
              </w:rPr>
              <w:t>B.</w:t>
            </w:r>
            <w:r w:rsidRPr="000F7457">
              <w:rPr>
                <w:color w:val="000000"/>
              </w:rPr>
              <w:tab/>
            </w:r>
            <w:r w:rsidR="00CB03D6" w:rsidRPr="000F7457">
              <w:rPr>
                <w:color w:val="000000"/>
              </w:rPr>
              <w:t>Promot</w:t>
            </w:r>
            <w:r w:rsidR="00B20918" w:rsidRPr="000F7457">
              <w:rPr>
                <w:color w:val="000000"/>
              </w:rPr>
              <w:t>ing</w:t>
            </w:r>
            <w:r w:rsidR="00CB03D6" w:rsidRPr="000F7457">
              <w:rPr>
                <w:color w:val="000000"/>
              </w:rPr>
              <w:t xml:space="preserve"> radiological and nuclear safety and security, and emergency preparedness</w:t>
            </w:r>
          </w:p>
          <w:p w:rsidR="00044B2A" w:rsidRPr="000F7457" w:rsidRDefault="00044B2A" w:rsidP="00277C81">
            <w:pPr>
              <w:pStyle w:val="DeliveryList"/>
              <w:rPr>
                <w:color w:val="000000"/>
              </w:rPr>
            </w:pPr>
            <w:r w:rsidRPr="000F7457">
              <w:rPr>
                <w:color w:val="000000"/>
              </w:rPr>
              <w:t>C.</w:t>
            </w:r>
            <w:r w:rsidRPr="000F7457">
              <w:rPr>
                <w:color w:val="000000"/>
              </w:rPr>
              <w:tab/>
            </w:r>
            <w:r w:rsidR="00CB03D6" w:rsidRPr="000F7457">
              <w:rPr>
                <w:color w:val="000000"/>
              </w:rPr>
              <w:t>Promot</w:t>
            </w:r>
            <w:r w:rsidR="00B20918" w:rsidRPr="000F7457">
              <w:rPr>
                <w:color w:val="000000"/>
              </w:rPr>
              <w:t>ing</w:t>
            </w:r>
            <w:r w:rsidR="00CB03D6" w:rsidRPr="000F7457">
              <w:rPr>
                <w:color w:val="000000"/>
              </w:rPr>
              <w:t xml:space="preserve"> the effective use of ionising radiation in medicine</w:t>
            </w:r>
          </w:p>
          <w:p w:rsidR="00F24392" w:rsidRPr="000F7457" w:rsidRDefault="00044B2A" w:rsidP="00277C81">
            <w:pPr>
              <w:pStyle w:val="DeliveryList"/>
              <w:rPr>
                <w:rFonts w:ascii="Arial" w:hAnsi="Arial"/>
                <w:bCs/>
                <w:iCs/>
                <w:color w:val="000000"/>
                <w:spacing w:val="-6"/>
              </w:rPr>
            </w:pPr>
            <w:r w:rsidRPr="000F7457">
              <w:rPr>
                <w:color w:val="000000"/>
              </w:rPr>
              <w:t>D.</w:t>
            </w:r>
            <w:r w:rsidRPr="000F7457">
              <w:rPr>
                <w:color w:val="000000"/>
              </w:rPr>
              <w:tab/>
            </w:r>
            <w:r w:rsidR="00CB03D6" w:rsidRPr="000F7457">
              <w:rPr>
                <w:color w:val="000000"/>
              </w:rPr>
              <w:t>Ensur</w:t>
            </w:r>
            <w:r w:rsidR="00B20918" w:rsidRPr="000F7457">
              <w:rPr>
                <w:color w:val="000000"/>
              </w:rPr>
              <w:t>ing</w:t>
            </w:r>
            <w:r w:rsidR="00CB03D6" w:rsidRPr="000F7457">
              <w:rPr>
                <w:color w:val="000000"/>
              </w:rPr>
              <w:t xml:space="preserve"> effective and proportionate regulation and enforcement activities</w:t>
            </w:r>
          </w:p>
        </w:tc>
      </w:tr>
      <w:tr w:rsidR="000F7457" w:rsidRPr="000F7457" w:rsidTr="00045526">
        <w:tc>
          <w:tcPr>
            <w:tcW w:w="5000" w:type="pct"/>
            <w:gridSpan w:val="8"/>
            <w:shd w:val="clear" w:color="auto" w:fill="D9D9D9" w:themeFill="background1" w:themeFillShade="D9"/>
          </w:tcPr>
          <w:p w:rsidR="00F24392" w:rsidRPr="000F7457" w:rsidRDefault="00F24392" w:rsidP="00045526">
            <w:pPr>
              <w:pStyle w:val="TableHeadingRow"/>
              <w:rPr>
                <w:color w:val="000000"/>
              </w:rPr>
            </w:pPr>
            <w:r w:rsidRPr="000F7457">
              <w:rPr>
                <w:color w:val="000000"/>
              </w:rPr>
              <w:t>Program objective</w:t>
            </w:r>
          </w:p>
        </w:tc>
      </w:tr>
      <w:tr w:rsidR="000F7457" w:rsidRPr="000F7457" w:rsidTr="00045526">
        <w:tc>
          <w:tcPr>
            <w:tcW w:w="5000" w:type="pct"/>
            <w:gridSpan w:val="8"/>
            <w:tcBorders>
              <w:bottom w:val="single" w:sz="4" w:space="0" w:color="auto"/>
            </w:tcBorders>
            <w:shd w:val="clear" w:color="auto" w:fill="FFFFFF" w:themeFill="background1"/>
          </w:tcPr>
          <w:p w:rsidR="00F24392" w:rsidRPr="000F7457" w:rsidRDefault="00F24392" w:rsidP="00303A65">
            <w:pPr>
              <w:pStyle w:val="ProgramObjectiveHeadingRow"/>
              <w:rPr>
                <w:color w:val="000000"/>
              </w:rPr>
            </w:pPr>
            <w:r w:rsidRPr="000F7457">
              <w:rPr>
                <w:rFonts w:eastAsia="Cambria"/>
                <w:color w:val="000000"/>
              </w:rPr>
              <w:t>A</w:t>
            </w:r>
            <w:r w:rsidR="00BB04F9" w:rsidRPr="000F7457">
              <w:rPr>
                <w:rFonts w:eastAsia="Cambria"/>
                <w:color w:val="000000"/>
              </w:rPr>
              <w:t>.</w:t>
            </w:r>
            <w:r w:rsidRPr="000F7457">
              <w:rPr>
                <w:rFonts w:eastAsia="Cambria"/>
                <w:color w:val="000000"/>
              </w:rPr>
              <w:tab/>
            </w:r>
            <w:r w:rsidR="00CB03D6" w:rsidRPr="000F7457">
              <w:rPr>
                <w:color w:val="000000"/>
              </w:rPr>
              <w:t>Protect</w:t>
            </w:r>
            <w:r w:rsidR="00B20918" w:rsidRPr="000F7457">
              <w:rPr>
                <w:color w:val="000000"/>
              </w:rPr>
              <w:t>ing</w:t>
            </w:r>
            <w:r w:rsidR="00CB03D6" w:rsidRPr="000F7457">
              <w:rPr>
                <w:color w:val="000000"/>
              </w:rPr>
              <w:t xml:space="preserve"> the public, workers and the environment from radiation exposure</w:t>
            </w:r>
          </w:p>
        </w:tc>
      </w:tr>
      <w:tr w:rsidR="000F7457" w:rsidRPr="000F7457" w:rsidTr="00045526">
        <w:tc>
          <w:tcPr>
            <w:tcW w:w="5000" w:type="pct"/>
            <w:gridSpan w:val="8"/>
            <w:shd w:val="clear" w:color="auto" w:fill="auto"/>
          </w:tcPr>
          <w:p w:rsidR="00CB03D6" w:rsidRPr="000F7457" w:rsidRDefault="00CB03D6" w:rsidP="00CB03D6">
            <w:pPr>
              <w:pStyle w:val="TableTextNormal"/>
              <w:rPr>
                <w:color w:val="000000"/>
              </w:rPr>
            </w:pPr>
            <w:r w:rsidRPr="000F7457">
              <w:rPr>
                <w:color w:val="000000"/>
              </w:rPr>
              <w:t xml:space="preserve">To protect the public from the harmful effects of radiation, ARPANSA gathers scientific knowledge to inform its regulatory activities and to provide evidence-based expert advice to the Australian Government and community. In 2016-17, these activities will continue to focus on the assessment of sources of, and exposures to, ionising radiation (naturally occurring as well as resulting from regulated and legacy activities), ultraviolet radiation (UV), </w:t>
            </w:r>
            <w:r w:rsidR="00BB04F9" w:rsidRPr="000F7457">
              <w:rPr>
                <w:color w:val="000000"/>
              </w:rPr>
              <w:t>electromagnetic radiation (EMR),</w:t>
            </w:r>
            <w:r w:rsidRPr="000F7457">
              <w:rPr>
                <w:color w:val="000000"/>
              </w:rPr>
              <w:t xml:space="preserve"> and associated health and environmental risks.</w:t>
            </w:r>
          </w:p>
          <w:p w:rsidR="00F24392" w:rsidRPr="000F7457" w:rsidRDefault="00CB03D6" w:rsidP="00CB03D6">
            <w:pPr>
              <w:pStyle w:val="TableTextNormal"/>
              <w:rPr>
                <w:color w:val="000000"/>
              </w:rPr>
            </w:pPr>
            <w:r w:rsidRPr="000F7457">
              <w:rPr>
                <w:color w:val="000000"/>
              </w:rPr>
              <w:t>ARPANSA will evaluate and monitor work environments to ensure workers are adequately protected and well informed about health risks from exposure to radiation. In 2016-17, ARPANSA will expand the Australian National Radiation Dose Register to include the collection of worker dose records from the Commonwealth licence holders and from the mineral sands mining and milling sector.</w:t>
            </w:r>
          </w:p>
        </w:tc>
      </w:tr>
      <w:tr w:rsidR="000F7457" w:rsidRPr="000F7457" w:rsidTr="00045526">
        <w:tc>
          <w:tcPr>
            <w:tcW w:w="2503" w:type="pct"/>
            <w:gridSpan w:val="3"/>
            <w:shd w:val="clear" w:color="auto" w:fill="D9D9D9" w:themeFill="background1" w:themeFillShade="D9"/>
          </w:tcPr>
          <w:p w:rsidR="00F24392" w:rsidRPr="000F7457" w:rsidRDefault="00F24392" w:rsidP="00045526">
            <w:pPr>
              <w:pStyle w:val="TableHeadingRow"/>
              <w:rPr>
                <w:color w:val="000000"/>
              </w:rPr>
            </w:pPr>
            <w:r w:rsidRPr="000F7457">
              <w:rPr>
                <w:color w:val="000000"/>
              </w:rPr>
              <w:lastRenderedPageBreak/>
              <w:t>Qualitative performance criteria</w:t>
            </w:r>
          </w:p>
        </w:tc>
        <w:tc>
          <w:tcPr>
            <w:tcW w:w="2497" w:type="pct"/>
            <w:gridSpan w:val="5"/>
            <w:shd w:val="clear" w:color="auto" w:fill="D9D9D9" w:themeFill="background1" w:themeFillShade="D9"/>
          </w:tcPr>
          <w:p w:rsidR="00F24392" w:rsidRPr="000F7457" w:rsidRDefault="00F24392" w:rsidP="00EF59DC">
            <w:pPr>
              <w:pStyle w:val="TableHeadingRow"/>
              <w:rPr>
                <w:color w:val="000000"/>
              </w:rPr>
            </w:pPr>
            <w:r w:rsidRPr="000F7457">
              <w:rPr>
                <w:color w:val="000000"/>
              </w:rPr>
              <w:t xml:space="preserve">2016-17 Reference </w:t>
            </w:r>
            <w:r w:rsidR="00EF59DC" w:rsidRPr="000F7457">
              <w:rPr>
                <w:color w:val="000000"/>
              </w:rPr>
              <w:t>p</w:t>
            </w:r>
            <w:r w:rsidRPr="000F7457">
              <w:rPr>
                <w:color w:val="000000"/>
              </w:rPr>
              <w:t xml:space="preserve">oint or </w:t>
            </w:r>
            <w:r w:rsidR="00EF59DC" w:rsidRPr="000F7457">
              <w:rPr>
                <w:color w:val="000000"/>
              </w:rPr>
              <w:t>ta</w:t>
            </w:r>
            <w:r w:rsidRPr="000F7457">
              <w:rPr>
                <w:color w:val="000000"/>
              </w:rPr>
              <w:t>rget</w:t>
            </w:r>
          </w:p>
        </w:tc>
      </w:tr>
      <w:tr w:rsidR="000F7457" w:rsidRPr="000F7457" w:rsidTr="00045526">
        <w:tc>
          <w:tcPr>
            <w:tcW w:w="2503" w:type="pct"/>
            <w:gridSpan w:val="3"/>
            <w:shd w:val="clear" w:color="auto" w:fill="auto"/>
          </w:tcPr>
          <w:p w:rsidR="007649F1" w:rsidRPr="000F7457" w:rsidRDefault="007649F1" w:rsidP="00045526">
            <w:pPr>
              <w:pStyle w:val="TableTextNormal"/>
              <w:rPr>
                <w:color w:val="000000"/>
              </w:rPr>
            </w:pPr>
            <w:r w:rsidRPr="000F7457">
              <w:rPr>
                <w:snapToGrid w:val="0"/>
                <w:color w:val="000000"/>
              </w:rPr>
              <w:t>Develop high quality advice for the Australian Government and other stakeholders on radiation protection issues.</w:t>
            </w:r>
          </w:p>
        </w:tc>
        <w:tc>
          <w:tcPr>
            <w:tcW w:w="2497" w:type="pct"/>
            <w:gridSpan w:val="5"/>
            <w:shd w:val="clear" w:color="auto" w:fill="auto"/>
          </w:tcPr>
          <w:p w:rsidR="007649F1" w:rsidRPr="000F7457" w:rsidRDefault="007649F1" w:rsidP="007649F1">
            <w:pPr>
              <w:pStyle w:val="TableTextNormal"/>
              <w:rPr>
                <w:color w:val="000000"/>
              </w:rPr>
            </w:pPr>
            <w:r w:rsidRPr="000F7457">
              <w:rPr>
                <w:color w:val="000000"/>
              </w:rPr>
              <w:t>Relevant, evidence-based advice developed and provided in a timely manner.</w:t>
            </w:r>
            <w:r w:rsidRPr="000F7457">
              <w:rPr>
                <w:rStyle w:val="FootnoteReference"/>
                <w:color w:val="000000"/>
                <w:sz w:val="18"/>
              </w:rPr>
              <w:footnoteReference w:id="4"/>
            </w:r>
          </w:p>
        </w:tc>
      </w:tr>
      <w:tr w:rsidR="000F7457" w:rsidRPr="000F7457" w:rsidTr="00045526">
        <w:tc>
          <w:tcPr>
            <w:tcW w:w="2503" w:type="pct"/>
            <w:gridSpan w:val="3"/>
            <w:shd w:val="clear" w:color="auto" w:fill="auto"/>
          </w:tcPr>
          <w:p w:rsidR="007649F1" w:rsidRPr="000F7457" w:rsidRDefault="007649F1" w:rsidP="00045526">
            <w:pPr>
              <w:pStyle w:val="TableTextNormal"/>
              <w:rPr>
                <w:color w:val="000000"/>
              </w:rPr>
            </w:pPr>
            <w:r w:rsidRPr="000F7457">
              <w:rPr>
                <w:color w:val="000000"/>
              </w:rPr>
              <w:t>Monitor radiation doses to occupationally exposed workers including uranium mining workers.</w:t>
            </w:r>
          </w:p>
        </w:tc>
        <w:tc>
          <w:tcPr>
            <w:tcW w:w="2497" w:type="pct"/>
            <w:gridSpan w:val="5"/>
            <w:shd w:val="clear" w:color="auto" w:fill="auto"/>
          </w:tcPr>
          <w:p w:rsidR="007649F1" w:rsidRPr="000F7457" w:rsidRDefault="007649F1" w:rsidP="00045526">
            <w:pPr>
              <w:pStyle w:val="TableTextNormal"/>
              <w:rPr>
                <w:color w:val="000000"/>
              </w:rPr>
            </w:pPr>
            <w:r w:rsidRPr="000F7457">
              <w:rPr>
                <w:color w:val="000000"/>
              </w:rPr>
              <w:t xml:space="preserve">Annual reporting of trend in radiation doses received by workers determined from quantitative dose </w:t>
            </w:r>
            <w:proofErr w:type="gramStart"/>
            <w:r w:rsidRPr="000F7457">
              <w:rPr>
                <w:color w:val="000000"/>
              </w:rPr>
              <w:t>measurement,</w:t>
            </w:r>
            <w:proofErr w:type="gramEnd"/>
            <w:r w:rsidRPr="000F7457">
              <w:rPr>
                <w:color w:val="000000"/>
              </w:rPr>
              <w:t xml:space="preserve"> provides evidence of optimisation of radiation protection.</w:t>
            </w:r>
          </w:p>
        </w:tc>
      </w:tr>
      <w:tr w:rsidR="000F7457" w:rsidRPr="000F7457" w:rsidTr="00045526">
        <w:tc>
          <w:tcPr>
            <w:tcW w:w="2031" w:type="pct"/>
            <w:gridSpan w:val="2"/>
            <w:shd w:val="clear" w:color="auto" w:fill="D9D9D9" w:themeFill="background1" w:themeFillShade="D9"/>
            <w:vAlign w:val="center"/>
          </w:tcPr>
          <w:p w:rsidR="007649F1" w:rsidRPr="000F7457" w:rsidRDefault="007649F1" w:rsidP="00045526">
            <w:pPr>
              <w:pStyle w:val="TableHeadingRow"/>
              <w:rPr>
                <w:color w:val="000000"/>
              </w:rPr>
            </w:pPr>
            <w:r w:rsidRPr="000F7457">
              <w:rPr>
                <w:color w:val="000000"/>
              </w:rPr>
              <w:t>Quantitative performance criteria</w:t>
            </w:r>
          </w:p>
        </w:tc>
        <w:tc>
          <w:tcPr>
            <w:tcW w:w="594" w:type="pct"/>
            <w:gridSpan w:val="2"/>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2015-16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2016-17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2017-18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2018-19 Target</w:t>
            </w:r>
          </w:p>
        </w:tc>
        <w:tc>
          <w:tcPr>
            <w:tcW w:w="593"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2019-20 Target</w:t>
            </w:r>
          </w:p>
        </w:tc>
      </w:tr>
      <w:tr w:rsidR="000F7457" w:rsidRPr="000F7457" w:rsidTr="00045526">
        <w:tc>
          <w:tcPr>
            <w:tcW w:w="2031" w:type="pct"/>
            <w:gridSpan w:val="2"/>
            <w:shd w:val="clear" w:color="auto" w:fill="auto"/>
          </w:tcPr>
          <w:p w:rsidR="007649F1" w:rsidRPr="000F7457" w:rsidRDefault="007649F1" w:rsidP="00045526">
            <w:pPr>
              <w:pStyle w:val="TableTextNormal"/>
              <w:rPr>
                <w:color w:val="000000"/>
              </w:rPr>
            </w:pPr>
            <w:r w:rsidRPr="000F7457">
              <w:rPr>
                <w:color w:val="000000"/>
              </w:rPr>
              <w:t>Number of organisations submitting worker exposure records to the Australian National Radiation Dose Register.</w:t>
            </w:r>
          </w:p>
        </w:tc>
        <w:tc>
          <w:tcPr>
            <w:tcW w:w="594" w:type="pct"/>
            <w:gridSpan w:val="2"/>
            <w:shd w:val="clear" w:color="auto" w:fill="auto"/>
            <w:vAlign w:val="center"/>
          </w:tcPr>
          <w:p w:rsidR="007649F1" w:rsidRPr="000F7457" w:rsidRDefault="007649F1" w:rsidP="008B1F68">
            <w:pPr>
              <w:pStyle w:val="TableFigures"/>
              <w:rPr>
                <w:color w:val="000000"/>
              </w:rPr>
            </w:pPr>
            <w:r w:rsidRPr="000F7457">
              <w:rPr>
                <w:color w:val="000000"/>
              </w:rPr>
              <w:t>N/A</w:t>
            </w:r>
            <w:r w:rsidRPr="000F7457">
              <w:rPr>
                <w:rStyle w:val="FootnoteReference"/>
                <w:color w:val="000000"/>
                <w:sz w:val="18"/>
              </w:rPr>
              <w:footnoteReference w:id="5"/>
            </w:r>
          </w:p>
        </w:tc>
        <w:tc>
          <w:tcPr>
            <w:tcW w:w="594" w:type="pct"/>
            <w:shd w:val="clear" w:color="auto" w:fill="D9D9D9" w:themeFill="background1" w:themeFillShade="D9"/>
            <w:vAlign w:val="center"/>
          </w:tcPr>
          <w:p w:rsidR="007649F1" w:rsidRPr="000F7457" w:rsidRDefault="007649F1" w:rsidP="008B1F68">
            <w:pPr>
              <w:pStyle w:val="TableFigures"/>
              <w:rPr>
                <w:color w:val="000000"/>
              </w:rPr>
            </w:pPr>
            <w:r w:rsidRPr="000F7457">
              <w:rPr>
                <w:color w:val="000000"/>
              </w:rPr>
              <w:t>8</w:t>
            </w:r>
          </w:p>
        </w:tc>
        <w:tc>
          <w:tcPr>
            <w:tcW w:w="594" w:type="pct"/>
            <w:shd w:val="clear" w:color="auto" w:fill="auto"/>
            <w:vAlign w:val="center"/>
          </w:tcPr>
          <w:p w:rsidR="007649F1" w:rsidRPr="000F7457" w:rsidRDefault="007649F1" w:rsidP="008B1F68">
            <w:pPr>
              <w:pStyle w:val="TableFigures"/>
              <w:rPr>
                <w:color w:val="000000"/>
              </w:rPr>
            </w:pPr>
            <w:r w:rsidRPr="000F7457">
              <w:rPr>
                <w:color w:val="000000"/>
              </w:rPr>
              <w:t>10</w:t>
            </w:r>
          </w:p>
        </w:tc>
        <w:tc>
          <w:tcPr>
            <w:tcW w:w="594" w:type="pct"/>
            <w:shd w:val="clear" w:color="auto" w:fill="auto"/>
            <w:vAlign w:val="center"/>
          </w:tcPr>
          <w:p w:rsidR="007649F1" w:rsidRPr="000F7457" w:rsidRDefault="007649F1" w:rsidP="008B1F68">
            <w:pPr>
              <w:pStyle w:val="TableFigures"/>
              <w:rPr>
                <w:color w:val="000000"/>
              </w:rPr>
            </w:pPr>
            <w:r w:rsidRPr="000F7457">
              <w:rPr>
                <w:color w:val="000000"/>
              </w:rPr>
              <w:t>12</w:t>
            </w:r>
          </w:p>
        </w:tc>
        <w:tc>
          <w:tcPr>
            <w:tcW w:w="593" w:type="pct"/>
            <w:shd w:val="clear" w:color="auto" w:fill="auto"/>
            <w:vAlign w:val="center"/>
          </w:tcPr>
          <w:p w:rsidR="007649F1" w:rsidRPr="000F7457" w:rsidRDefault="007649F1" w:rsidP="008B1F68">
            <w:pPr>
              <w:pStyle w:val="TableFigures"/>
              <w:rPr>
                <w:color w:val="000000"/>
              </w:rPr>
            </w:pPr>
            <w:r w:rsidRPr="000F7457">
              <w:rPr>
                <w:color w:val="000000"/>
              </w:rPr>
              <w:t>14</w:t>
            </w:r>
          </w:p>
        </w:tc>
      </w:tr>
      <w:tr w:rsidR="000F7457" w:rsidRPr="000F7457" w:rsidTr="00045526">
        <w:tc>
          <w:tcPr>
            <w:tcW w:w="5000" w:type="pct"/>
            <w:gridSpan w:val="8"/>
            <w:shd w:val="clear" w:color="auto" w:fill="D9D9D9" w:themeFill="background1" w:themeFillShade="D9"/>
          </w:tcPr>
          <w:p w:rsidR="007649F1" w:rsidRPr="000F7457" w:rsidRDefault="007649F1" w:rsidP="00045526">
            <w:pPr>
              <w:pStyle w:val="TableHeadingRow"/>
              <w:rPr>
                <w:color w:val="000000"/>
              </w:rPr>
            </w:pPr>
            <w:r w:rsidRPr="000F7457">
              <w:rPr>
                <w:color w:val="000000"/>
              </w:rPr>
              <w:t>Program objective</w:t>
            </w:r>
          </w:p>
        </w:tc>
      </w:tr>
      <w:tr w:rsidR="000F7457" w:rsidRPr="000F7457" w:rsidTr="00045526">
        <w:tc>
          <w:tcPr>
            <w:tcW w:w="5000" w:type="pct"/>
            <w:gridSpan w:val="8"/>
            <w:tcBorders>
              <w:bottom w:val="single" w:sz="4" w:space="0" w:color="auto"/>
            </w:tcBorders>
            <w:shd w:val="clear" w:color="auto" w:fill="FFFFFF" w:themeFill="background1"/>
          </w:tcPr>
          <w:p w:rsidR="007649F1" w:rsidRPr="000F7457" w:rsidRDefault="007649F1" w:rsidP="00303A65">
            <w:pPr>
              <w:pStyle w:val="ProgramObjectiveHeadingRow"/>
              <w:rPr>
                <w:color w:val="000000"/>
              </w:rPr>
            </w:pPr>
            <w:r w:rsidRPr="000F7457">
              <w:rPr>
                <w:color w:val="000000"/>
              </w:rPr>
              <w:t>B.</w:t>
            </w:r>
            <w:r w:rsidRPr="000F7457">
              <w:rPr>
                <w:color w:val="000000"/>
              </w:rPr>
              <w:tab/>
              <w:t>Promot</w:t>
            </w:r>
            <w:r w:rsidR="00B20918" w:rsidRPr="000F7457">
              <w:rPr>
                <w:color w:val="000000"/>
              </w:rPr>
              <w:t>ing</w:t>
            </w:r>
            <w:r w:rsidRPr="000F7457">
              <w:rPr>
                <w:color w:val="000000"/>
              </w:rPr>
              <w:t xml:space="preserve"> radiological and nuclear safety and security, and emergency preparedness</w:t>
            </w:r>
          </w:p>
        </w:tc>
      </w:tr>
      <w:tr w:rsidR="000F7457" w:rsidRPr="000F7457" w:rsidTr="00045526">
        <w:tc>
          <w:tcPr>
            <w:tcW w:w="5000" w:type="pct"/>
            <w:gridSpan w:val="8"/>
            <w:shd w:val="clear" w:color="auto" w:fill="auto"/>
          </w:tcPr>
          <w:p w:rsidR="007649F1" w:rsidRPr="000F7457" w:rsidRDefault="007649F1" w:rsidP="00CB03D6">
            <w:pPr>
              <w:pStyle w:val="TableTextNormal"/>
              <w:rPr>
                <w:color w:val="000000"/>
              </w:rPr>
            </w:pPr>
            <w:r w:rsidRPr="000F7457">
              <w:rPr>
                <w:color w:val="000000"/>
              </w:rPr>
              <w:t xml:space="preserve">ARPANSA will support a national approach to the secure management of radiation sources and the management of the National Radiation Security Advisor Accreditation Scheme across all jurisdictions. Security will also be supported by the continued oversight of nuclear and radiological imports and exports across our borders and the execution of ARPANSA’s safety and security monitoring and compliance regime for regulated entities. </w:t>
            </w:r>
          </w:p>
          <w:p w:rsidR="007649F1" w:rsidRPr="000F7457" w:rsidRDefault="007649F1" w:rsidP="00CB03D6">
            <w:pPr>
              <w:pStyle w:val="TableTextNormal"/>
              <w:rPr>
                <w:color w:val="000000"/>
              </w:rPr>
            </w:pPr>
            <w:r w:rsidRPr="000F7457">
              <w:rPr>
                <w:color w:val="000000"/>
              </w:rPr>
              <w:t xml:space="preserve">ARPANSA will develop its specialised radiation detection and characterisation capabilities, including training of its emergency response personnel. ARPANSA will promote a national network of </w:t>
            </w:r>
            <w:proofErr w:type="spellStart"/>
            <w:r w:rsidRPr="000F7457">
              <w:rPr>
                <w:color w:val="000000"/>
              </w:rPr>
              <w:t>radioanalytical</w:t>
            </w:r>
            <w:proofErr w:type="spellEnd"/>
            <w:r w:rsidRPr="000F7457">
              <w:rPr>
                <w:color w:val="000000"/>
              </w:rPr>
              <w:t xml:space="preserve"> laboratories and lead the revision of national guidance on protective measures during nuclear and radiological emergencies. It will support the Australian Government’s and other entities’ capabilities to deal with nuclear and radiological incidents and emergencies through the engagement in nuclear and radiological emergency response planning and exercises, both nationally and internationally. </w:t>
            </w:r>
          </w:p>
        </w:tc>
      </w:tr>
      <w:tr w:rsidR="000F7457" w:rsidRPr="000F7457" w:rsidTr="00045526">
        <w:tc>
          <w:tcPr>
            <w:tcW w:w="2503" w:type="pct"/>
            <w:gridSpan w:val="3"/>
            <w:shd w:val="clear" w:color="auto" w:fill="D9D9D9" w:themeFill="background1" w:themeFillShade="D9"/>
          </w:tcPr>
          <w:p w:rsidR="007649F1" w:rsidRPr="000F7457" w:rsidRDefault="007649F1" w:rsidP="00045526">
            <w:pPr>
              <w:pStyle w:val="TableHeadingRow"/>
              <w:rPr>
                <w:color w:val="000000"/>
              </w:rPr>
            </w:pPr>
            <w:r w:rsidRPr="000F7457">
              <w:rPr>
                <w:color w:val="000000"/>
              </w:rPr>
              <w:t>Qualitative performance criteria</w:t>
            </w:r>
          </w:p>
        </w:tc>
        <w:tc>
          <w:tcPr>
            <w:tcW w:w="2497" w:type="pct"/>
            <w:gridSpan w:val="5"/>
            <w:shd w:val="clear" w:color="auto" w:fill="D9D9D9" w:themeFill="background1" w:themeFillShade="D9"/>
          </w:tcPr>
          <w:p w:rsidR="007649F1" w:rsidRPr="000F7457" w:rsidRDefault="00B8316A" w:rsidP="00045526">
            <w:pPr>
              <w:pStyle w:val="TableHeadingRow"/>
              <w:rPr>
                <w:color w:val="000000"/>
              </w:rPr>
            </w:pPr>
            <w:r w:rsidRPr="000F7457">
              <w:rPr>
                <w:color w:val="000000"/>
              </w:rPr>
              <w:t>2016-17 Reference point or t</w:t>
            </w:r>
            <w:r w:rsidR="007649F1" w:rsidRPr="000F7457">
              <w:rPr>
                <w:color w:val="000000"/>
              </w:rPr>
              <w:t>arget</w:t>
            </w:r>
          </w:p>
        </w:tc>
      </w:tr>
      <w:tr w:rsidR="000F7457" w:rsidRPr="000F7457" w:rsidTr="00045526">
        <w:tc>
          <w:tcPr>
            <w:tcW w:w="2503" w:type="pct"/>
            <w:gridSpan w:val="3"/>
            <w:shd w:val="clear" w:color="auto" w:fill="auto"/>
          </w:tcPr>
          <w:p w:rsidR="007649F1" w:rsidRPr="000F7457" w:rsidRDefault="007649F1" w:rsidP="00045526">
            <w:pPr>
              <w:pStyle w:val="TableTextNormal"/>
              <w:rPr>
                <w:color w:val="000000"/>
              </w:rPr>
            </w:pPr>
            <w:r w:rsidRPr="000F7457">
              <w:rPr>
                <w:color w:val="000000"/>
              </w:rPr>
              <w:t>ARPANSA is prepared for a radiological or nuclear incident or emergency.</w:t>
            </w:r>
          </w:p>
        </w:tc>
        <w:tc>
          <w:tcPr>
            <w:tcW w:w="2497" w:type="pct"/>
            <w:gridSpan w:val="5"/>
            <w:shd w:val="clear" w:color="auto" w:fill="auto"/>
          </w:tcPr>
          <w:p w:rsidR="007649F1" w:rsidRPr="000F7457" w:rsidRDefault="007649F1" w:rsidP="00045526">
            <w:pPr>
              <w:pStyle w:val="TableTextNormal"/>
              <w:rPr>
                <w:color w:val="000000"/>
              </w:rPr>
            </w:pPr>
            <w:r w:rsidRPr="000F7457">
              <w:rPr>
                <w:color w:val="000000"/>
              </w:rPr>
              <w:t>Emergency preparedness and response systems for field, network and laboratory measurements, and information management and decision support systems are available, calibrated, tested and aligned with national planning.</w:t>
            </w:r>
          </w:p>
        </w:tc>
      </w:tr>
    </w:tbl>
    <w:p w:rsidR="00EC34FB" w:rsidRPr="000F7457" w:rsidRDefault="00EC34FB">
      <w:pPr>
        <w:rPr>
          <w:color w:val="000000"/>
        </w:rPr>
      </w:pPr>
      <w:r w:rsidRPr="000F7457">
        <w:rPr>
          <w:b/>
          <w:color w:val="000000"/>
        </w:rPr>
        <w:br w:type="page"/>
      </w:r>
    </w:p>
    <w:tbl>
      <w:tblPr>
        <w:tblStyle w:val="TableGrid"/>
        <w:tblW w:w="5000" w:type="pct"/>
        <w:tblCellMar>
          <w:top w:w="28" w:type="dxa"/>
          <w:left w:w="85" w:type="dxa"/>
          <w:bottom w:w="28" w:type="dxa"/>
          <w:right w:w="85" w:type="dxa"/>
        </w:tblCellMar>
        <w:tblLook w:val="04A0" w:firstRow="1" w:lastRow="0" w:firstColumn="1" w:lastColumn="0" w:noHBand="0" w:noVBand="1"/>
        <w:tblCaption w:val="Table 2.1.2: Performance Criteria for the ARPANSA"/>
        <w:tblDescription w:val="Table 2.1.2 details the performance criteria for each program associated with this outcome. It also summarises how each program is delivered and where 2016-17 Budget measures have created new programs or materially changed existing programs."/>
      </w:tblPr>
      <w:tblGrid>
        <w:gridCol w:w="3062"/>
        <w:gridCol w:w="896"/>
        <w:gridCol w:w="896"/>
        <w:gridCol w:w="896"/>
        <w:gridCol w:w="896"/>
        <w:gridCol w:w="894"/>
      </w:tblGrid>
      <w:tr w:rsidR="000F7457" w:rsidRPr="000F7457" w:rsidTr="00202CA7">
        <w:trPr>
          <w:tblHeader/>
        </w:trPr>
        <w:tc>
          <w:tcPr>
            <w:tcW w:w="5000" w:type="pct"/>
            <w:gridSpan w:val="6"/>
            <w:shd w:val="clear" w:color="auto" w:fill="D9D9D9" w:themeFill="background1" w:themeFillShade="D9"/>
          </w:tcPr>
          <w:p w:rsidR="007649F1" w:rsidRPr="000F7457" w:rsidRDefault="007649F1" w:rsidP="00045526">
            <w:pPr>
              <w:pStyle w:val="TableHeadingRow"/>
              <w:rPr>
                <w:color w:val="000000"/>
              </w:rPr>
            </w:pPr>
            <w:r w:rsidRPr="000F7457">
              <w:rPr>
                <w:color w:val="000000"/>
              </w:rPr>
              <w:lastRenderedPageBreak/>
              <w:t>Program objective</w:t>
            </w:r>
          </w:p>
        </w:tc>
      </w:tr>
      <w:tr w:rsidR="000F7457" w:rsidRPr="000F7457" w:rsidTr="00045526">
        <w:tc>
          <w:tcPr>
            <w:tcW w:w="5000" w:type="pct"/>
            <w:gridSpan w:val="6"/>
            <w:tcBorders>
              <w:bottom w:val="single" w:sz="4" w:space="0" w:color="auto"/>
            </w:tcBorders>
            <w:shd w:val="clear" w:color="auto" w:fill="FFFFFF" w:themeFill="background1"/>
          </w:tcPr>
          <w:p w:rsidR="007649F1" w:rsidRPr="000F7457" w:rsidRDefault="007649F1" w:rsidP="00303A65">
            <w:pPr>
              <w:pStyle w:val="ProgramObjectiveHeadingRow"/>
              <w:rPr>
                <w:color w:val="000000"/>
              </w:rPr>
            </w:pPr>
            <w:r w:rsidRPr="000F7457">
              <w:rPr>
                <w:rFonts w:eastAsia="Cambria"/>
                <w:color w:val="000000"/>
              </w:rPr>
              <w:t>C.</w:t>
            </w:r>
            <w:r w:rsidRPr="000F7457">
              <w:rPr>
                <w:rFonts w:eastAsia="Cambria"/>
                <w:color w:val="000000"/>
              </w:rPr>
              <w:tab/>
            </w:r>
            <w:r w:rsidRPr="000F7457">
              <w:rPr>
                <w:color w:val="000000"/>
              </w:rPr>
              <w:t>Promot</w:t>
            </w:r>
            <w:r w:rsidR="00B20918" w:rsidRPr="000F7457">
              <w:rPr>
                <w:color w:val="000000"/>
              </w:rPr>
              <w:t>ing</w:t>
            </w:r>
            <w:r w:rsidRPr="000F7457">
              <w:rPr>
                <w:color w:val="000000"/>
              </w:rPr>
              <w:t xml:space="preserve"> the effective use of ionising radiation in medicine</w:t>
            </w:r>
          </w:p>
        </w:tc>
      </w:tr>
      <w:tr w:rsidR="000F7457" w:rsidRPr="000F7457" w:rsidTr="00045526">
        <w:tc>
          <w:tcPr>
            <w:tcW w:w="5000" w:type="pct"/>
            <w:gridSpan w:val="6"/>
            <w:shd w:val="clear" w:color="auto" w:fill="auto"/>
          </w:tcPr>
          <w:p w:rsidR="009773E3" w:rsidRPr="000F7457" w:rsidRDefault="009773E3" w:rsidP="004C3787">
            <w:pPr>
              <w:pStyle w:val="TableTextNormal"/>
              <w:rPr>
                <w:snapToGrid w:val="0"/>
                <w:color w:val="000000"/>
              </w:rPr>
            </w:pPr>
            <w:r w:rsidRPr="000F7457">
              <w:rPr>
                <w:snapToGrid w:val="0"/>
                <w:color w:val="000000"/>
              </w:rPr>
              <w:t>Although medically</w:t>
            </w:r>
            <w:r w:rsidR="00BB04F9" w:rsidRPr="000F7457">
              <w:rPr>
                <w:snapToGrid w:val="0"/>
                <w:color w:val="000000"/>
              </w:rPr>
              <w:t xml:space="preserve"> beneficial</w:t>
            </w:r>
            <w:r w:rsidRPr="000F7457">
              <w:rPr>
                <w:snapToGrid w:val="0"/>
                <w:color w:val="000000"/>
              </w:rPr>
              <w:t>, diagnostic imaging procedures are the largest man-made source of ionising radiation exposure to the Australian population.</w:t>
            </w:r>
          </w:p>
          <w:p w:rsidR="007649F1" w:rsidRPr="000F7457" w:rsidRDefault="007649F1" w:rsidP="004C3787">
            <w:pPr>
              <w:pStyle w:val="TableTextNormal"/>
              <w:rPr>
                <w:color w:val="000000"/>
              </w:rPr>
            </w:pPr>
            <w:r w:rsidRPr="000F7457">
              <w:rPr>
                <w:color w:val="000000"/>
              </w:rPr>
              <w:t>In 2016-17, ARPANSA will promote radiation protection of patients exposed to ionising radiation in diagnostic imaging. ARPANSA will conduct surveys of radiation doses from computed tomography, nuclear medicine and interventional fluoroscopy that will either establish or develop Diagnostic Reference Levels for each of t</w:t>
            </w:r>
            <w:bookmarkStart w:id="0" w:name="_GoBack"/>
            <w:bookmarkEnd w:id="0"/>
            <w:r w:rsidRPr="000F7457">
              <w:rPr>
                <w:color w:val="000000"/>
              </w:rPr>
              <w:t>hese disciplines.</w:t>
            </w:r>
            <w:r w:rsidRPr="000F7457">
              <w:rPr>
                <w:rStyle w:val="FootnoteReference"/>
                <w:rFonts w:cs="Times New Roman"/>
                <w:color w:val="000000"/>
                <w:sz w:val="18"/>
              </w:rPr>
              <w:footnoteReference w:id="6"/>
            </w:r>
            <w:r w:rsidRPr="000F7457">
              <w:rPr>
                <w:color w:val="000000"/>
              </w:rPr>
              <w:t xml:space="preserve"> This work will also enable ARPANSA to estimate the amount of radiation being delivered to the Australian population from medical procedures.</w:t>
            </w:r>
          </w:p>
          <w:p w:rsidR="007649F1" w:rsidRPr="000F7457" w:rsidRDefault="007649F1" w:rsidP="004C3787">
            <w:pPr>
              <w:pStyle w:val="TableTextNormal"/>
              <w:rPr>
                <w:color w:val="000000"/>
              </w:rPr>
            </w:pPr>
            <w:r w:rsidRPr="000F7457">
              <w:rPr>
                <w:color w:val="000000"/>
              </w:rPr>
              <w:t>The four year Australian Clinical Dosimetry Service (ACDS) pilot program has developed and delivered a national audit program for radiotherapy facilities which ensures that patients undergoing radiation therapy are receiving the correct dose in their treatment. It has been funded to continue until December 2016. In 2016-17 the ACDS will develop existing audits to incorporate measurements which reflect advances in clinical practice. Additionally</w:t>
            </w:r>
            <w:r w:rsidR="00BB04F9" w:rsidRPr="000F7457">
              <w:rPr>
                <w:color w:val="000000"/>
              </w:rPr>
              <w:t>,</w:t>
            </w:r>
            <w:r w:rsidRPr="000F7457">
              <w:rPr>
                <w:color w:val="000000"/>
              </w:rPr>
              <w:t xml:space="preserve"> the program will engage with stakeholders and design an ongoing service incorporating a user contribution to the operational cost.</w:t>
            </w:r>
          </w:p>
          <w:p w:rsidR="007649F1" w:rsidRPr="000F7457" w:rsidRDefault="007649F1" w:rsidP="004C3787">
            <w:pPr>
              <w:pStyle w:val="TableTextNormal"/>
              <w:rPr>
                <w:color w:val="000000"/>
              </w:rPr>
            </w:pPr>
            <w:r w:rsidRPr="000F7457">
              <w:rPr>
                <w:color w:val="000000"/>
              </w:rPr>
              <w:t>To support the more advanced therapy machines which are now being used nationally, ARPANSA will provide traceable calibration services to ensure radiotherapy centres hold correct dose calibration standards.</w:t>
            </w:r>
          </w:p>
        </w:tc>
      </w:tr>
      <w:tr w:rsidR="000F7457" w:rsidRPr="000F7457" w:rsidTr="00045526">
        <w:tc>
          <w:tcPr>
            <w:tcW w:w="2031" w:type="pct"/>
            <w:shd w:val="clear" w:color="auto" w:fill="D9D9D9" w:themeFill="background1" w:themeFillShade="D9"/>
            <w:vAlign w:val="center"/>
          </w:tcPr>
          <w:p w:rsidR="007649F1" w:rsidRPr="000F7457" w:rsidRDefault="007649F1" w:rsidP="00045526">
            <w:pPr>
              <w:pStyle w:val="TableHeadingRow"/>
              <w:rPr>
                <w:color w:val="000000"/>
              </w:rPr>
            </w:pPr>
            <w:r w:rsidRPr="000F7457">
              <w:rPr>
                <w:color w:val="000000"/>
              </w:rPr>
              <w:t>Quantitative performance criteria</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2015-16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2016-17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2017-18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2018-19 Target</w:t>
            </w:r>
          </w:p>
        </w:tc>
        <w:tc>
          <w:tcPr>
            <w:tcW w:w="593"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2019-20 Target</w:t>
            </w:r>
          </w:p>
        </w:tc>
      </w:tr>
      <w:tr w:rsidR="000F7457" w:rsidRPr="000F7457" w:rsidTr="00045526">
        <w:tc>
          <w:tcPr>
            <w:tcW w:w="2031" w:type="pct"/>
            <w:shd w:val="clear" w:color="auto" w:fill="auto"/>
          </w:tcPr>
          <w:p w:rsidR="007649F1" w:rsidRPr="000F7457" w:rsidRDefault="007649F1" w:rsidP="00045526">
            <w:pPr>
              <w:pStyle w:val="TableTextNormal"/>
              <w:rPr>
                <w:color w:val="000000"/>
              </w:rPr>
            </w:pPr>
            <w:r w:rsidRPr="000F7457">
              <w:rPr>
                <w:color w:val="000000"/>
              </w:rPr>
              <w:t>Number of Diagnostic Reference Level surveys per annual survey period.</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N/A</w:t>
            </w:r>
            <w:r w:rsidRPr="000F7457">
              <w:rPr>
                <w:rStyle w:val="FootnoteReference"/>
                <w:color w:val="000000"/>
                <w:sz w:val="18"/>
              </w:rPr>
              <w:footnoteReference w:id="7"/>
            </w:r>
          </w:p>
        </w:tc>
        <w:tc>
          <w:tcPr>
            <w:tcW w:w="594" w:type="pct"/>
            <w:shd w:val="clear" w:color="auto" w:fill="D9D9D9" w:themeFill="background1" w:themeFillShade="D9"/>
            <w:vAlign w:val="center"/>
          </w:tcPr>
          <w:p w:rsidR="007649F1" w:rsidRPr="000F7457" w:rsidRDefault="007649F1" w:rsidP="004C3787">
            <w:pPr>
              <w:pStyle w:val="TableFigures"/>
              <w:rPr>
                <w:color w:val="000000"/>
              </w:rPr>
            </w:pPr>
            <w:r w:rsidRPr="000F7457">
              <w:rPr>
                <w:color w:val="000000"/>
              </w:rPr>
              <w:t>&gt;1,000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&gt;1,000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&gt;1,000</w:t>
            </w:r>
          </w:p>
        </w:tc>
        <w:tc>
          <w:tcPr>
            <w:tcW w:w="593" w:type="pct"/>
            <w:shd w:val="clear" w:color="auto" w:fill="auto"/>
            <w:vAlign w:val="center"/>
          </w:tcPr>
          <w:p w:rsidR="007649F1" w:rsidRPr="000F7457" w:rsidRDefault="007649F1" w:rsidP="004C3787">
            <w:pPr>
              <w:pStyle w:val="TableFigures"/>
              <w:rPr>
                <w:color w:val="000000"/>
              </w:rPr>
            </w:pPr>
            <w:r w:rsidRPr="000F7457">
              <w:rPr>
                <w:color w:val="000000"/>
              </w:rPr>
              <w:t>&gt;1,000</w:t>
            </w:r>
          </w:p>
        </w:tc>
      </w:tr>
      <w:tr w:rsidR="000F7457" w:rsidRPr="000F7457" w:rsidTr="00045526">
        <w:tc>
          <w:tcPr>
            <w:tcW w:w="2031" w:type="pct"/>
            <w:shd w:val="clear" w:color="auto" w:fill="auto"/>
          </w:tcPr>
          <w:p w:rsidR="007649F1" w:rsidRPr="000F7457" w:rsidRDefault="007649F1" w:rsidP="00045526">
            <w:pPr>
              <w:pStyle w:val="TableTextNormal"/>
              <w:rPr>
                <w:color w:val="000000"/>
              </w:rPr>
            </w:pPr>
            <w:r w:rsidRPr="000F7457">
              <w:rPr>
                <w:color w:val="000000"/>
              </w:rPr>
              <w:t xml:space="preserve">Percentage of Australian Radiotherapy Providers participating in the national </w:t>
            </w:r>
            <w:proofErr w:type="spellStart"/>
            <w:r w:rsidRPr="000F7457">
              <w:rPr>
                <w:color w:val="000000"/>
              </w:rPr>
              <w:t>dosimetric</w:t>
            </w:r>
            <w:proofErr w:type="spellEnd"/>
            <w:r w:rsidRPr="000F7457">
              <w:rPr>
                <w:color w:val="000000"/>
              </w:rPr>
              <w:t xml:space="preserve"> auditing program provided by the Australian Clinical Dosimetry Service.</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&gt;95%</w:t>
            </w:r>
          </w:p>
        </w:tc>
        <w:tc>
          <w:tcPr>
            <w:tcW w:w="594" w:type="pct"/>
            <w:shd w:val="clear" w:color="auto" w:fill="D9D9D9" w:themeFill="background1" w:themeFillShade="D9"/>
            <w:vAlign w:val="center"/>
          </w:tcPr>
          <w:p w:rsidR="007649F1" w:rsidRPr="000F7457" w:rsidRDefault="007649F1" w:rsidP="004C3787">
            <w:pPr>
              <w:pStyle w:val="TableFigures"/>
              <w:rPr>
                <w:color w:val="000000"/>
              </w:rPr>
            </w:pPr>
            <w:r w:rsidRPr="000F7457">
              <w:rPr>
                <w:color w:val="000000"/>
              </w:rPr>
              <w:t>&gt;80%</w:t>
            </w:r>
            <w:r w:rsidRPr="000F7457">
              <w:rPr>
                <w:rStyle w:val="FootnoteReference"/>
                <w:color w:val="000000"/>
                <w:sz w:val="18"/>
              </w:rPr>
              <w:footnoteReference w:id="8"/>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&gt;80%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&gt;80%</w:t>
            </w:r>
          </w:p>
        </w:tc>
        <w:tc>
          <w:tcPr>
            <w:tcW w:w="593" w:type="pct"/>
            <w:shd w:val="clear" w:color="auto" w:fill="auto"/>
            <w:vAlign w:val="center"/>
          </w:tcPr>
          <w:p w:rsidR="007649F1" w:rsidRPr="000F7457" w:rsidRDefault="007649F1" w:rsidP="004C3787">
            <w:pPr>
              <w:pStyle w:val="TableFigures"/>
              <w:rPr>
                <w:color w:val="000000"/>
              </w:rPr>
            </w:pPr>
            <w:r w:rsidRPr="000F7457">
              <w:rPr>
                <w:color w:val="000000"/>
              </w:rPr>
              <w:t>&gt;80%</w:t>
            </w:r>
          </w:p>
        </w:tc>
      </w:tr>
      <w:tr w:rsidR="000F7457" w:rsidRPr="000F7457" w:rsidTr="00045526">
        <w:tc>
          <w:tcPr>
            <w:tcW w:w="2031" w:type="pct"/>
            <w:shd w:val="clear" w:color="auto" w:fill="auto"/>
          </w:tcPr>
          <w:p w:rsidR="007649F1" w:rsidRPr="000F7457" w:rsidRDefault="007649F1" w:rsidP="00045526">
            <w:pPr>
              <w:pStyle w:val="TableTextNormal"/>
              <w:rPr>
                <w:color w:val="000000"/>
              </w:rPr>
            </w:pPr>
            <w:r w:rsidRPr="000F7457">
              <w:rPr>
                <w:color w:val="000000"/>
              </w:rPr>
              <w:t>Percentage of Australian Radiotherapy Providers covered by ARPANSA dose calibration services.</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&gt;70%</w:t>
            </w:r>
          </w:p>
        </w:tc>
        <w:tc>
          <w:tcPr>
            <w:tcW w:w="594" w:type="pct"/>
            <w:shd w:val="clear" w:color="auto" w:fill="D9D9D9" w:themeFill="background1" w:themeFillShade="D9"/>
            <w:vAlign w:val="center"/>
          </w:tcPr>
          <w:p w:rsidR="007649F1" w:rsidRPr="000F7457" w:rsidRDefault="007649F1" w:rsidP="004C3787">
            <w:pPr>
              <w:pStyle w:val="TableFigures"/>
              <w:rPr>
                <w:color w:val="000000"/>
              </w:rPr>
            </w:pPr>
            <w:r w:rsidRPr="000F7457">
              <w:rPr>
                <w:color w:val="000000"/>
              </w:rPr>
              <w:t>&gt;70%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&gt;70%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&gt;70%</w:t>
            </w:r>
          </w:p>
        </w:tc>
        <w:tc>
          <w:tcPr>
            <w:tcW w:w="593" w:type="pct"/>
            <w:shd w:val="clear" w:color="auto" w:fill="auto"/>
            <w:vAlign w:val="center"/>
          </w:tcPr>
          <w:p w:rsidR="007649F1" w:rsidRPr="000F7457" w:rsidRDefault="007649F1" w:rsidP="004C3787">
            <w:pPr>
              <w:pStyle w:val="TableFigures"/>
              <w:rPr>
                <w:color w:val="000000"/>
              </w:rPr>
            </w:pPr>
            <w:r w:rsidRPr="000F7457">
              <w:rPr>
                <w:color w:val="000000"/>
              </w:rPr>
              <w:t>&gt;70%</w:t>
            </w:r>
          </w:p>
        </w:tc>
      </w:tr>
    </w:tbl>
    <w:p w:rsidR="00EC34FB" w:rsidRPr="000F7457" w:rsidRDefault="00EC34FB">
      <w:pPr>
        <w:rPr>
          <w:color w:val="000000"/>
        </w:rPr>
      </w:pPr>
      <w:r w:rsidRPr="000F7457">
        <w:rPr>
          <w:b/>
          <w:color w:val="000000"/>
        </w:rPr>
        <w:br w:type="page"/>
      </w:r>
    </w:p>
    <w:tbl>
      <w:tblPr>
        <w:tblStyle w:val="TableGrid"/>
        <w:tblW w:w="5000" w:type="pct"/>
        <w:tblCellMar>
          <w:top w:w="28" w:type="dxa"/>
          <w:left w:w="85" w:type="dxa"/>
          <w:bottom w:w="28" w:type="dxa"/>
          <w:right w:w="85" w:type="dxa"/>
        </w:tblCellMar>
        <w:tblLook w:val="04A0" w:firstRow="1" w:lastRow="0" w:firstColumn="1" w:lastColumn="0" w:noHBand="0" w:noVBand="1"/>
        <w:tblCaption w:val="Table 2.1.2: Performance Criteria for the ARPANSA"/>
        <w:tblDescription w:val="Table 2.1.2 details the performance criteria for each program associated with this outcome. It also summarises how each program is delivered and where 2016-17 Budget measures have created new programs or materially changed existing programs."/>
      </w:tblPr>
      <w:tblGrid>
        <w:gridCol w:w="3062"/>
        <w:gridCol w:w="896"/>
        <w:gridCol w:w="896"/>
        <w:gridCol w:w="896"/>
        <w:gridCol w:w="896"/>
        <w:gridCol w:w="894"/>
      </w:tblGrid>
      <w:tr w:rsidR="000F7457" w:rsidRPr="000F7457" w:rsidTr="00202CA7">
        <w:trPr>
          <w:tblHeader/>
        </w:trPr>
        <w:tc>
          <w:tcPr>
            <w:tcW w:w="5000" w:type="pct"/>
            <w:gridSpan w:val="6"/>
            <w:shd w:val="clear" w:color="auto" w:fill="D9D9D9" w:themeFill="background1" w:themeFillShade="D9"/>
          </w:tcPr>
          <w:p w:rsidR="007649F1" w:rsidRPr="000F7457" w:rsidRDefault="007649F1" w:rsidP="00045526">
            <w:pPr>
              <w:pStyle w:val="TableHeadingRow"/>
              <w:rPr>
                <w:color w:val="000000"/>
              </w:rPr>
            </w:pPr>
            <w:r w:rsidRPr="000F7457">
              <w:rPr>
                <w:color w:val="000000"/>
              </w:rPr>
              <w:lastRenderedPageBreak/>
              <w:t>Program objective</w:t>
            </w:r>
          </w:p>
        </w:tc>
      </w:tr>
      <w:tr w:rsidR="000F7457" w:rsidRPr="000F7457" w:rsidTr="00045526">
        <w:tc>
          <w:tcPr>
            <w:tcW w:w="5000" w:type="pct"/>
            <w:gridSpan w:val="6"/>
            <w:tcBorders>
              <w:bottom w:val="single" w:sz="4" w:space="0" w:color="auto"/>
            </w:tcBorders>
            <w:shd w:val="clear" w:color="auto" w:fill="FFFFFF" w:themeFill="background1"/>
          </w:tcPr>
          <w:p w:rsidR="007649F1" w:rsidRPr="000F7457" w:rsidRDefault="007649F1" w:rsidP="00303A65">
            <w:pPr>
              <w:pStyle w:val="ProgramObjectiveHeadingRow"/>
              <w:rPr>
                <w:color w:val="000000"/>
              </w:rPr>
            </w:pPr>
            <w:r w:rsidRPr="000F7457">
              <w:rPr>
                <w:rFonts w:eastAsia="Cambria"/>
                <w:color w:val="000000"/>
              </w:rPr>
              <w:t>D.</w:t>
            </w:r>
            <w:r w:rsidRPr="000F7457">
              <w:rPr>
                <w:rFonts w:eastAsia="Cambria"/>
                <w:color w:val="000000"/>
              </w:rPr>
              <w:tab/>
            </w:r>
            <w:r w:rsidRPr="000F7457">
              <w:rPr>
                <w:color w:val="000000"/>
              </w:rPr>
              <w:t>Ensur</w:t>
            </w:r>
            <w:r w:rsidR="00B20918" w:rsidRPr="000F7457">
              <w:rPr>
                <w:color w:val="000000"/>
              </w:rPr>
              <w:t>ing</w:t>
            </w:r>
            <w:r w:rsidRPr="000F7457">
              <w:rPr>
                <w:color w:val="000000"/>
              </w:rPr>
              <w:t xml:space="preserve"> effective and proportionate regulation and enforcement activities</w:t>
            </w:r>
          </w:p>
        </w:tc>
      </w:tr>
      <w:tr w:rsidR="000F7457" w:rsidRPr="000F7457" w:rsidTr="00045526">
        <w:tc>
          <w:tcPr>
            <w:tcW w:w="5000" w:type="pct"/>
            <w:gridSpan w:val="6"/>
            <w:shd w:val="clear" w:color="auto" w:fill="auto"/>
          </w:tcPr>
          <w:p w:rsidR="007649F1" w:rsidRPr="000F7457" w:rsidRDefault="007649F1" w:rsidP="007C742A">
            <w:pPr>
              <w:pStyle w:val="TableTextNormal"/>
              <w:rPr>
                <w:color w:val="000000"/>
              </w:rPr>
            </w:pPr>
            <w:r w:rsidRPr="000F7457">
              <w:rPr>
                <w:color w:val="000000"/>
              </w:rPr>
              <w:t>ARPANSA is committed to the effective and efficient regulation of radiation sources, radiation facilities and nuclear installations, as well as to the safe transport of radioactive material. ARPANSA will enhance its regulatory framework through implementation and continuous improvement of the risk-informed regulatory delivery model. It will regulate the use of radiation by Commonwealth entities through licensing, inspection, monitoring, and enforcement when necessary. ARPANSA will also enhance awareness of radiation risks and promote good practice in radiation protection and nuclear safety. ARPANSA will, in collaboration with State and Territory regulators, further develop the national regulatory framework including the National Directory for Radiation Protection, building upon international best practice to ensure effective, efficient and internationally harmonised regulation and enforcement activities. It will also maintain the Australian Radiation Incident Register as a source of important information for regulatory activities.</w:t>
            </w:r>
          </w:p>
        </w:tc>
      </w:tr>
      <w:tr w:rsidR="000F7457" w:rsidRPr="000F7457" w:rsidTr="00045526">
        <w:tc>
          <w:tcPr>
            <w:tcW w:w="2031" w:type="pct"/>
            <w:shd w:val="clear" w:color="auto" w:fill="D9D9D9" w:themeFill="background1" w:themeFillShade="D9"/>
            <w:vAlign w:val="center"/>
          </w:tcPr>
          <w:p w:rsidR="007649F1" w:rsidRPr="000F7457" w:rsidRDefault="007649F1" w:rsidP="00045526">
            <w:pPr>
              <w:pStyle w:val="TableHeadingRow"/>
              <w:rPr>
                <w:color w:val="000000"/>
              </w:rPr>
            </w:pPr>
            <w:r w:rsidRPr="000F7457">
              <w:rPr>
                <w:color w:val="000000"/>
              </w:rPr>
              <w:t>Quantitative performance criteria</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2015-16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2016-17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2017-18 Target</w:t>
            </w:r>
          </w:p>
        </w:tc>
        <w:tc>
          <w:tcPr>
            <w:tcW w:w="594"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2018-19 Target</w:t>
            </w:r>
          </w:p>
        </w:tc>
        <w:tc>
          <w:tcPr>
            <w:tcW w:w="593" w:type="pct"/>
            <w:shd w:val="clear" w:color="auto" w:fill="D9D9D9" w:themeFill="background1" w:themeFillShade="D9"/>
          </w:tcPr>
          <w:p w:rsidR="007649F1" w:rsidRPr="000F7457" w:rsidRDefault="007649F1" w:rsidP="00045526">
            <w:pPr>
              <w:pStyle w:val="TableHeadingRow"/>
              <w:jc w:val="center"/>
              <w:rPr>
                <w:color w:val="000000"/>
              </w:rPr>
            </w:pPr>
            <w:r w:rsidRPr="000F7457">
              <w:rPr>
                <w:color w:val="000000"/>
              </w:rPr>
              <w:t>2019-20 Target</w:t>
            </w:r>
          </w:p>
        </w:tc>
      </w:tr>
      <w:tr w:rsidR="000F7457" w:rsidRPr="000F7457" w:rsidTr="00045526">
        <w:tc>
          <w:tcPr>
            <w:tcW w:w="2031" w:type="pct"/>
            <w:shd w:val="clear" w:color="auto" w:fill="auto"/>
          </w:tcPr>
          <w:p w:rsidR="007649F1" w:rsidRPr="000F7457" w:rsidRDefault="007649F1" w:rsidP="00BB04F9">
            <w:pPr>
              <w:pStyle w:val="TableTextNormal"/>
              <w:rPr>
                <w:color w:val="000000"/>
              </w:rPr>
            </w:pPr>
            <w:r w:rsidRPr="000F7457">
              <w:rPr>
                <w:color w:val="000000"/>
              </w:rPr>
              <w:t>Percentage of scheduled inspections performed on time for licensed Commonwealth facilities and nuclear installations.</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&gt;90%</w:t>
            </w:r>
          </w:p>
        </w:tc>
        <w:tc>
          <w:tcPr>
            <w:tcW w:w="594" w:type="pct"/>
            <w:shd w:val="clear" w:color="auto" w:fill="D9D9D9" w:themeFill="background1" w:themeFillShade="D9"/>
            <w:vAlign w:val="center"/>
          </w:tcPr>
          <w:p w:rsidR="007649F1" w:rsidRPr="000F7457" w:rsidRDefault="007649F1" w:rsidP="004C3787">
            <w:pPr>
              <w:pStyle w:val="TableFigures"/>
              <w:rPr>
                <w:color w:val="000000"/>
              </w:rPr>
            </w:pPr>
            <w:r w:rsidRPr="000F7457">
              <w:rPr>
                <w:color w:val="000000"/>
              </w:rPr>
              <w:t>&gt;90%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&gt;90%</w:t>
            </w:r>
          </w:p>
        </w:tc>
        <w:tc>
          <w:tcPr>
            <w:tcW w:w="593" w:type="pct"/>
            <w:shd w:val="clear" w:color="auto" w:fill="auto"/>
            <w:vAlign w:val="center"/>
          </w:tcPr>
          <w:p w:rsidR="007649F1" w:rsidRPr="000F7457" w:rsidRDefault="007649F1" w:rsidP="004C3787">
            <w:pPr>
              <w:pStyle w:val="TableFigures"/>
              <w:rPr>
                <w:color w:val="000000"/>
              </w:rPr>
            </w:pPr>
            <w:r w:rsidRPr="000F7457">
              <w:rPr>
                <w:color w:val="000000"/>
              </w:rPr>
              <w:t>&gt;90%</w:t>
            </w:r>
          </w:p>
        </w:tc>
      </w:tr>
      <w:tr w:rsidR="000F7457" w:rsidRPr="000F7457" w:rsidTr="00045526">
        <w:tc>
          <w:tcPr>
            <w:tcW w:w="2031" w:type="pct"/>
            <w:shd w:val="clear" w:color="auto" w:fill="auto"/>
          </w:tcPr>
          <w:p w:rsidR="007649F1" w:rsidRPr="000F7457" w:rsidRDefault="007649F1" w:rsidP="004C3787">
            <w:pPr>
              <w:pStyle w:val="TableTextNormal"/>
              <w:rPr>
                <w:color w:val="000000"/>
              </w:rPr>
            </w:pPr>
            <w:r w:rsidRPr="000F7457">
              <w:rPr>
                <w:color w:val="000000"/>
              </w:rPr>
              <w:t>Percentage of licence applications assessed within the time agreed with licence holder.</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&gt;90%</w:t>
            </w:r>
          </w:p>
        </w:tc>
        <w:tc>
          <w:tcPr>
            <w:tcW w:w="594" w:type="pct"/>
            <w:shd w:val="clear" w:color="auto" w:fill="D9D9D9" w:themeFill="background1" w:themeFillShade="D9"/>
            <w:vAlign w:val="center"/>
          </w:tcPr>
          <w:p w:rsidR="007649F1" w:rsidRPr="000F7457" w:rsidRDefault="007649F1" w:rsidP="004C3787">
            <w:pPr>
              <w:pStyle w:val="TableFigures"/>
              <w:rPr>
                <w:color w:val="000000"/>
              </w:rPr>
            </w:pPr>
            <w:r w:rsidRPr="000F7457">
              <w:rPr>
                <w:color w:val="000000"/>
              </w:rPr>
              <w:t>&gt;90%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&gt;90%</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&gt;90%</w:t>
            </w:r>
          </w:p>
        </w:tc>
        <w:tc>
          <w:tcPr>
            <w:tcW w:w="593" w:type="pct"/>
            <w:shd w:val="clear" w:color="auto" w:fill="auto"/>
            <w:vAlign w:val="center"/>
          </w:tcPr>
          <w:p w:rsidR="007649F1" w:rsidRPr="000F7457" w:rsidRDefault="007649F1" w:rsidP="004C3787">
            <w:pPr>
              <w:pStyle w:val="TableFigures"/>
              <w:rPr>
                <w:color w:val="000000"/>
              </w:rPr>
            </w:pPr>
            <w:r w:rsidRPr="000F7457">
              <w:rPr>
                <w:color w:val="000000"/>
              </w:rPr>
              <w:t>&gt;90%</w:t>
            </w:r>
          </w:p>
        </w:tc>
      </w:tr>
      <w:tr w:rsidR="000F7457" w:rsidRPr="000F7457" w:rsidTr="00045526">
        <w:tc>
          <w:tcPr>
            <w:tcW w:w="2031" w:type="pct"/>
            <w:shd w:val="clear" w:color="auto" w:fill="auto"/>
          </w:tcPr>
          <w:p w:rsidR="007649F1" w:rsidRPr="000F7457" w:rsidRDefault="007649F1" w:rsidP="004C3787">
            <w:pPr>
              <w:pStyle w:val="TableTextNormal"/>
              <w:rPr>
                <w:color w:val="000000"/>
              </w:rPr>
            </w:pPr>
            <w:r w:rsidRPr="000F7457">
              <w:rPr>
                <w:color w:val="000000"/>
              </w:rPr>
              <w:t xml:space="preserve">Number of improvements to the regulatory framework, implemented by ARPANSA, identified through self-assessment or external reviews such as the Integrated Regulatory Review Service conducted by the International Atomic Energy Agency. </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N/A</w:t>
            </w:r>
            <w:r w:rsidRPr="000F7457">
              <w:rPr>
                <w:rStyle w:val="FootnoteReference"/>
                <w:color w:val="000000"/>
                <w:sz w:val="18"/>
              </w:rPr>
              <w:footnoteReference w:id="9"/>
            </w:r>
          </w:p>
        </w:tc>
        <w:tc>
          <w:tcPr>
            <w:tcW w:w="594" w:type="pct"/>
            <w:shd w:val="clear" w:color="auto" w:fill="D9D9D9" w:themeFill="background1" w:themeFillShade="D9"/>
            <w:vAlign w:val="center"/>
          </w:tcPr>
          <w:p w:rsidR="007649F1" w:rsidRPr="000F7457" w:rsidRDefault="007649F1" w:rsidP="004C3787">
            <w:pPr>
              <w:pStyle w:val="TableFigures"/>
              <w:rPr>
                <w:color w:val="000000"/>
              </w:rPr>
            </w:pPr>
            <w:r w:rsidRPr="000F7457">
              <w:rPr>
                <w:color w:val="000000"/>
              </w:rPr>
              <w:t>&gt;3</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&gt;3</w:t>
            </w:r>
          </w:p>
        </w:tc>
        <w:tc>
          <w:tcPr>
            <w:tcW w:w="594" w:type="pct"/>
            <w:shd w:val="clear" w:color="auto" w:fill="auto"/>
            <w:vAlign w:val="center"/>
          </w:tcPr>
          <w:p w:rsidR="007649F1" w:rsidRPr="000F7457" w:rsidRDefault="007649F1" w:rsidP="004C3787">
            <w:pPr>
              <w:pStyle w:val="TableFigures"/>
              <w:rPr>
                <w:color w:val="000000"/>
              </w:rPr>
            </w:pPr>
            <w:r w:rsidRPr="000F7457">
              <w:rPr>
                <w:color w:val="000000"/>
              </w:rPr>
              <w:t>&gt;3</w:t>
            </w:r>
          </w:p>
        </w:tc>
        <w:tc>
          <w:tcPr>
            <w:tcW w:w="593" w:type="pct"/>
            <w:shd w:val="clear" w:color="auto" w:fill="auto"/>
            <w:vAlign w:val="center"/>
          </w:tcPr>
          <w:p w:rsidR="007649F1" w:rsidRPr="000F7457" w:rsidRDefault="007649F1" w:rsidP="004C3787">
            <w:pPr>
              <w:pStyle w:val="TableFigures"/>
              <w:rPr>
                <w:color w:val="000000"/>
              </w:rPr>
            </w:pPr>
            <w:r w:rsidRPr="000F7457">
              <w:rPr>
                <w:color w:val="000000"/>
              </w:rPr>
              <w:t>&gt;3</w:t>
            </w:r>
          </w:p>
        </w:tc>
      </w:tr>
      <w:tr w:rsidR="000F7457" w:rsidRPr="000F7457" w:rsidTr="00045526">
        <w:tc>
          <w:tcPr>
            <w:tcW w:w="5000" w:type="pct"/>
            <w:gridSpan w:val="6"/>
            <w:shd w:val="clear" w:color="auto" w:fill="D9D9D9" w:themeFill="background1" w:themeFillShade="D9"/>
          </w:tcPr>
          <w:p w:rsidR="007649F1" w:rsidRPr="000F7457" w:rsidRDefault="007649F1" w:rsidP="00045526">
            <w:pPr>
              <w:pStyle w:val="TableHeadingRow"/>
              <w:rPr>
                <w:color w:val="000000"/>
              </w:rPr>
            </w:pPr>
            <w:r w:rsidRPr="000F7457">
              <w:rPr>
                <w:color w:val="000000"/>
              </w:rPr>
              <w:t>Material changes to Program 1.1 resulting from the following measures:</w:t>
            </w:r>
          </w:p>
        </w:tc>
      </w:tr>
      <w:tr w:rsidR="000F7457" w:rsidRPr="000F7457" w:rsidTr="00045526">
        <w:tc>
          <w:tcPr>
            <w:tcW w:w="5000" w:type="pct"/>
            <w:gridSpan w:val="6"/>
            <w:shd w:val="clear" w:color="auto" w:fill="FFFFFF" w:themeFill="background1"/>
          </w:tcPr>
          <w:p w:rsidR="007649F1" w:rsidRPr="000F7457" w:rsidRDefault="00373764" w:rsidP="00373764">
            <w:pPr>
              <w:pStyle w:val="TableBullet"/>
              <w:numPr>
                <w:ilvl w:val="0"/>
                <w:numId w:val="0"/>
              </w:numPr>
              <w:ind w:left="357" w:hanging="357"/>
              <w:rPr>
                <w:i/>
                <w:color w:val="000000"/>
              </w:rPr>
            </w:pPr>
            <w:r w:rsidRPr="000F7457">
              <w:rPr>
                <w:color w:val="000000"/>
              </w:rPr>
              <w:t>There are no material changes to Program 1.1 resulting from measures.</w:t>
            </w:r>
          </w:p>
        </w:tc>
      </w:tr>
    </w:tbl>
    <w:p w:rsidR="00F24392" w:rsidRPr="000F7457" w:rsidRDefault="00F24392" w:rsidP="00C379BB">
      <w:pPr>
        <w:rPr>
          <w:i/>
          <w:color w:val="000000"/>
        </w:rPr>
      </w:pPr>
    </w:p>
    <w:p w:rsidR="00024CBD" w:rsidRPr="000F7457" w:rsidRDefault="00024CBD" w:rsidP="00C379BB">
      <w:pPr>
        <w:rPr>
          <w:i/>
          <w:color w:val="000000"/>
        </w:rPr>
        <w:sectPr w:rsidR="00024CBD" w:rsidRPr="000F7457" w:rsidSect="00A144DA">
          <w:headerReference w:type="even" r:id="rId19"/>
          <w:headerReference w:type="default" r:id="rId20"/>
          <w:pgSz w:w="11906" w:h="16838" w:code="9"/>
          <w:pgMar w:top="2665" w:right="2268" w:bottom="2126" w:left="2268" w:header="1899" w:footer="1899" w:gutter="0"/>
          <w:cols w:space="708"/>
          <w:docGrid w:linePitch="360"/>
        </w:sectPr>
      </w:pPr>
    </w:p>
    <w:p w:rsidR="00886BDB" w:rsidRPr="000F7457" w:rsidRDefault="00886BDB" w:rsidP="00886BDB">
      <w:pPr>
        <w:pStyle w:val="SectionHeading"/>
        <w:rPr>
          <w:color w:val="000000"/>
        </w:rPr>
      </w:pPr>
      <w:bookmarkStart w:id="1" w:name="_Toc190682315"/>
      <w:bookmarkStart w:id="2" w:name="_Toc190682532"/>
      <w:r w:rsidRPr="000F7457">
        <w:rPr>
          <w:color w:val="000000"/>
        </w:rPr>
        <w:lastRenderedPageBreak/>
        <w:t>Section 3: Budgeted Financial Statements</w:t>
      </w:r>
      <w:bookmarkEnd w:id="1"/>
      <w:bookmarkEnd w:id="2"/>
    </w:p>
    <w:p w:rsidR="002E7B43" w:rsidRPr="000F7457" w:rsidRDefault="002E7B43" w:rsidP="002E7B43">
      <w:pPr>
        <w:rPr>
          <w:color w:val="000000"/>
        </w:rPr>
      </w:pPr>
      <w:r w:rsidRPr="000F7457">
        <w:rPr>
          <w:color w:val="000000"/>
        </w:rPr>
        <w:t xml:space="preserve">Section 3 presents budgeted financial statements which provide a comprehensive snapshot of entity finances for the 2016-17 </w:t>
      </w:r>
      <w:r w:rsidR="007A040E" w:rsidRPr="000F7457">
        <w:rPr>
          <w:color w:val="000000"/>
        </w:rPr>
        <w:t>B</w:t>
      </w:r>
      <w:r w:rsidRPr="000F7457">
        <w:rPr>
          <w:color w:val="000000"/>
        </w:rPr>
        <w:t xml:space="preserve">udget </w:t>
      </w:r>
      <w:proofErr w:type="gramStart"/>
      <w:r w:rsidRPr="000F7457">
        <w:rPr>
          <w:color w:val="000000"/>
        </w:rPr>
        <w:t>year</w:t>
      </w:r>
      <w:proofErr w:type="gramEnd"/>
      <w:r w:rsidRPr="000F7457">
        <w:rPr>
          <w:color w:val="000000"/>
        </w:rPr>
        <w:t xml:space="preserve">, including the impact of </w:t>
      </w:r>
      <w:r w:rsidR="007A040E" w:rsidRPr="000F7457">
        <w:rPr>
          <w:color w:val="000000"/>
        </w:rPr>
        <w:t>B</w:t>
      </w:r>
      <w:r w:rsidRPr="000F7457">
        <w:rPr>
          <w:color w:val="000000"/>
        </w:rPr>
        <w:t>udget measures and resourcing on financial statements.</w:t>
      </w:r>
    </w:p>
    <w:p w:rsidR="00886BDB" w:rsidRPr="000F7457" w:rsidRDefault="00886BDB" w:rsidP="00BC60A5">
      <w:pPr>
        <w:pStyle w:val="SectionSubheading"/>
        <w:rPr>
          <w:color w:val="000000"/>
        </w:rPr>
      </w:pPr>
      <w:r w:rsidRPr="000F7457">
        <w:rPr>
          <w:color w:val="000000"/>
        </w:rPr>
        <w:t>3.1</w:t>
      </w:r>
      <w:r w:rsidRPr="000F7457">
        <w:rPr>
          <w:color w:val="000000"/>
        </w:rPr>
        <w:tab/>
      </w:r>
      <w:r w:rsidR="002E7B43" w:rsidRPr="000F7457">
        <w:rPr>
          <w:color w:val="000000"/>
        </w:rPr>
        <w:t>Budgeted Financial Statements</w:t>
      </w:r>
    </w:p>
    <w:p w:rsidR="00886BDB" w:rsidRPr="000F7457" w:rsidRDefault="00886BDB" w:rsidP="00B05422">
      <w:pPr>
        <w:pStyle w:val="Sectionsubsubheading"/>
        <w:rPr>
          <w:color w:val="000000"/>
        </w:rPr>
      </w:pPr>
      <w:r w:rsidRPr="000F7457">
        <w:rPr>
          <w:color w:val="000000"/>
        </w:rPr>
        <w:t xml:space="preserve">3.1.1 </w:t>
      </w:r>
      <w:r w:rsidR="002E7B43" w:rsidRPr="000F7457">
        <w:rPr>
          <w:color w:val="000000"/>
        </w:rPr>
        <w:t xml:space="preserve">Differences </w:t>
      </w:r>
      <w:proofErr w:type="gramStart"/>
      <w:r w:rsidR="002E7B43" w:rsidRPr="000F7457">
        <w:rPr>
          <w:color w:val="000000"/>
        </w:rPr>
        <w:t>Between</w:t>
      </w:r>
      <w:proofErr w:type="gramEnd"/>
      <w:r w:rsidR="002E7B43" w:rsidRPr="000F7457">
        <w:rPr>
          <w:color w:val="000000"/>
        </w:rPr>
        <w:t xml:space="preserve"> Entity Resourcing and Financial Statements</w:t>
      </w:r>
    </w:p>
    <w:p w:rsidR="00886BDB" w:rsidRPr="000F7457" w:rsidRDefault="00CC0E49" w:rsidP="00886BDB">
      <w:pPr>
        <w:rPr>
          <w:color w:val="000000"/>
        </w:rPr>
      </w:pPr>
      <w:r w:rsidRPr="000F7457">
        <w:rPr>
          <w:color w:val="000000"/>
        </w:rPr>
        <w:t>This section is not applicable to ARPANSA.</w:t>
      </w:r>
    </w:p>
    <w:p w:rsidR="00886BDB" w:rsidRPr="000F7457" w:rsidRDefault="00886BDB" w:rsidP="00B05422">
      <w:pPr>
        <w:pStyle w:val="Sectionsubsubheading"/>
        <w:rPr>
          <w:color w:val="000000"/>
        </w:rPr>
      </w:pPr>
      <w:r w:rsidRPr="000F7457">
        <w:rPr>
          <w:color w:val="000000"/>
        </w:rPr>
        <w:t xml:space="preserve">3.1.2 </w:t>
      </w:r>
      <w:r w:rsidR="002E7B43" w:rsidRPr="000F7457">
        <w:rPr>
          <w:color w:val="000000"/>
        </w:rPr>
        <w:t>Explanatory Notes and Analysis of Budgeted Financial Statements</w:t>
      </w:r>
    </w:p>
    <w:p w:rsidR="00CC0E49" w:rsidRPr="000F7457" w:rsidRDefault="00CC0E49" w:rsidP="00CC0E49">
      <w:pPr>
        <w:rPr>
          <w:color w:val="000000"/>
        </w:rPr>
      </w:pPr>
      <w:r w:rsidRPr="000F7457">
        <w:rPr>
          <w:color w:val="000000"/>
        </w:rPr>
        <w:t>An analysis of ARPANSA’s budgete</w:t>
      </w:r>
      <w:r w:rsidR="003D5F21" w:rsidRPr="000F7457">
        <w:rPr>
          <w:color w:val="000000"/>
        </w:rPr>
        <w:t>d financial statements for 2016-</w:t>
      </w:r>
      <w:r w:rsidRPr="000F7457">
        <w:rPr>
          <w:color w:val="000000"/>
        </w:rPr>
        <w:t>17 is provided below.</w:t>
      </w:r>
    </w:p>
    <w:p w:rsidR="00CC0E49" w:rsidRPr="000F7457" w:rsidRDefault="00CC0E49" w:rsidP="00CC0E49">
      <w:pPr>
        <w:pStyle w:val="DepartmentalResources"/>
        <w:rPr>
          <w:color w:val="000000"/>
          <w:sz w:val="20"/>
        </w:rPr>
      </w:pPr>
      <w:r w:rsidRPr="000F7457">
        <w:rPr>
          <w:color w:val="000000"/>
          <w:sz w:val="20"/>
        </w:rPr>
        <w:t>Departmental Resources</w:t>
      </w:r>
    </w:p>
    <w:p w:rsidR="00CC0E49" w:rsidRPr="000F7457" w:rsidRDefault="00CC0E49" w:rsidP="00CC0E49">
      <w:pPr>
        <w:pStyle w:val="DepartmentalResources"/>
        <w:rPr>
          <w:color w:val="000000"/>
        </w:rPr>
      </w:pPr>
      <w:r w:rsidRPr="000F7457">
        <w:rPr>
          <w:color w:val="000000"/>
        </w:rPr>
        <w:t>Comprehensive Income Statement</w:t>
      </w:r>
    </w:p>
    <w:p w:rsidR="00CC0E49" w:rsidRPr="000F7457" w:rsidRDefault="00CC0E49" w:rsidP="00CC0E49">
      <w:pPr>
        <w:rPr>
          <w:color w:val="000000"/>
        </w:rPr>
      </w:pPr>
      <w:r w:rsidRPr="000F7457">
        <w:rPr>
          <w:color w:val="000000"/>
        </w:rPr>
        <w:t>The estimated operating loss of $0.6</w:t>
      </w:r>
      <w:r w:rsidR="000C1DE8" w:rsidRPr="000F7457">
        <w:rPr>
          <w:color w:val="000000"/>
        </w:rPr>
        <w:t xml:space="preserve"> </w:t>
      </w:r>
      <w:r w:rsidRPr="000F7457">
        <w:rPr>
          <w:color w:val="000000"/>
        </w:rPr>
        <w:t>m</w:t>
      </w:r>
      <w:r w:rsidR="000C1DE8" w:rsidRPr="000F7457">
        <w:rPr>
          <w:color w:val="000000"/>
        </w:rPr>
        <w:t>illion</w:t>
      </w:r>
      <w:r w:rsidRPr="000F7457">
        <w:rPr>
          <w:color w:val="000000"/>
        </w:rPr>
        <w:t xml:space="preserve"> in 2015-16 after unfunded depreciation has been approved by the Minister for Finance. This deficit relates to the write-off of obsolete inventory due to the introduction of a new occupational dosimetry system within the Personal Radiation Monitoring Service</w:t>
      </w:r>
    </w:p>
    <w:p w:rsidR="00CC0E49" w:rsidRPr="000F7457" w:rsidRDefault="00CC0E49" w:rsidP="00CC0E49">
      <w:pPr>
        <w:rPr>
          <w:color w:val="000000"/>
        </w:rPr>
      </w:pPr>
      <w:r w:rsidRPr="000F7457">
        <w:rPr>
          <w:color w:val="000000"/>
        </w:rPr>
        <w:t>ARPANSA’s own sourced income is derived from the sale of scientific services such as the Personal Radiation Monitoring Service, the Comprehensive Nuclear-Test-Ban Treaty (CTBT) Organisation contracts to operate and maintain monitoring stations, and licence application fees and annual charges associated with ARPANSA’s regulatory activities.</w:t>
      </w:r>
    </w:p>
    <w:p w:rsidR="00CC0E49" w:rsidRPr="000F7457" w:rsidRDefault="00CC0E49" w:rsidP="00CC0E49">
      <w:pPr>
        <w:pStyle w:val="DepartmentalResources"/>
        <w:rPr>
          <w:color w:val="000000"/>
        </w:rPr>
      </w:pPr>
      <w:r w:rsidRPr="000F7457">
        <w:rPr>
          <w:color w:val="000000"/>
        </w:rPr>
        <w:t>Balance Sheet</w:t>
      </w:r>
    </w:p>
    <w:p w:rsidR="00CC0E49" w:rsidRPr="000F7457" w:rsidRDefault="00CC0E49" w:rsidP="00CC0E49">
      <w:pPr>
        <w:rPr>
          <w:color w:val="000000"/>
        </w:rPr>
      </w:pPr>
      <w:r w:rsidRPr="000F7457">
        <w:rPr>
          <w:color w:val="000000"/>
        </w:rPr>
        <w:t>ARPANSA’s total asset and liabilities are expected to remain stable over the forward years.</w:t>
      </w:r>
    </w:p>
    <w:p w:rsidR="00CC0E49" w:rsidRPr="000F7457" w:rsidRDefault="00CC0E49" w:rsidP="00CC0E49">
      <w:pPr>
        <w:pStyle w:val="DepartmentalResources"/>
        <w:rPr>
          <w:color w:val="000000"/>
        </w:rPr>
      </w:pPr>
      <w:r w:rsidRPr="000F7457">
        <w:rPr>
          <w:color w:val="000000"/>
        </w:rPr>
        <w:t>Cash Flow</w:t>
      </w:r>
    </w:p>
    <w:p w:rsidR="00CC0E49" w:rsidRPr="000F7457" w:rsidRDefault="00CC0E49" w:rsidP="008B1F68">
      <w:pPr>
        <w:rPr>
          <w:color w:val="000000"/>
        </w:rPr>
      </w:pPr>
      <w:r w:rsidRPr="000F7457">
        <w:rPr>
          <w:color w:val="000000"/>
        </w:rPr>
        <w:t>Cash flows are consistent with projected income and expense, capital injections from Government and investments in property, plant and equipment.</w:t>
      </w:r>
    </w:p>
    <w:p w:rsidR="00886BDB" w:rsidRPr="000F7457" w:rsidRDefault="00886BDB" w:rsidP="008B1F68">
      <w:pPr>
        <w:rPr>
          <w:color w:val="000000"/>
        </w:rPr>
      </w:pPr>
      <w:r w:rsidRPr="000F7457">
        <w:rPr>
          <w:color w:val="000000"/>
        </w:rPr>
        <w:br w:type="page"/>
      </w:r>
    </w:p>
    <w:p w:rsidR="00024CBD" w:rsidRPr="000F7457" w:rsidRDefault="00024CBD" w:rsidP="00BC60A5">
      <w:pPr>
        <w:pStyle w:val="SectionSubheading"/>
        <w:rPr>
          <w:color w:val="000000"/>
        </w:rPr>
      </w:pPr>
      <w:r w:rsidRPr="000F7457">
        <w:rPr>
          <w:color w:val="000000"/>
        </w:rPr>
        <w:lastRenderedPageBreak/>
        <w:t>3.2</w:t>
      </w:r>
      <w:r w:rsidRPr="000F7457">
        <w:rPr>
          <w:color w:val="000000"/>
        </w:rPr>
        <w:tab/>
        <w:t>Budgeted Financial Statements</w:t>
      </w:r>
      <w:r w:rsidR="002E7B43" w:rsidRPr="000F7457">
        <w:rPr>
          <w:color w:val="000000"/>
        </w:rPr>
        <w:t xml:space="preserve"> Tables</w:t>
      </w:r>
    </w:p>
    <w:p w:rsidR="00E85EA9" w:rsidRPr="000F7457" w:rsidRDefault="00E85EA9" w:rsidP="00E85EA9">
      <w:pPr>
        <w:pStyle w:val="TableReference"/>
        <w:rPr>
          <w:color w:val="000000"/>
        </w:rPr>
      </w:pPr>
      <w:r w:rsidRPr="000F7457">
        <w:rPr>
          <w:color w:val="000000"/>
        </w:rPr>
        <w:t xml:space="preserve">Table 3.1: </w:t>
      </w:r>
      <w:r w:rsidR="00587F2C" w:rsidRPr="000F7457">
        <w:rPr>
          <w:color w:val="000000"/>
        </w:rPr>
        <w:t>Comprehensive I</w:t>
      </w:r>
      <w:r w:rsidRPr="000F7457">
        <w:rPr>
          <w:color w:val="000000"/>
        </w:rPr>
        <w:t xml:space="preserve">ncome </w:t>
      </w:r>
      <w:r w:rsidR="00587F2C" w:rsidRPr="000F7457">
        <w:rPr>
          <w:color w:val="000000"/>
        </w:rPr>
        <w:t>S</w:t>
      </w:r>
      <w:r w:rsidRPr="000F7457">
        <w:rPr>
          <w:color w:val="000000"/>
        </w:rPr>
        <w:t>tatemen</w:t>
      </w:r>
      <w:r w:rsidR="00685B31" w:rsidRPr="000F7457">
        <w:rPr>
          <w:color w:val="000000"/>
        </w:rPr>
        <w:t>t (showing net cost of services</w:t>
      </w:r>
      <w:r w:rsidRPr="000F7457">
        <w:rPr>
          <w:color w:val="000000"/>
        </w:rPr>
        <w:t xml:space="preserve"> </w:t>
      </w:r>
      <w:r w:rsidRPr="000F7457">
        <w:rPr>
          <w:snapToGrid w:val="0"/>
          <w:color w:val="000000"/>
        </w:rPr>
        <w:t>for the period ended 30 June</w:t>
      </w:r>
      <w:r w:rsidR="00685B31" w:rsidRPr="000F7457">
        <w:rPr>
          <w:snapToGrid w:val="0"/>
          <w:color w:val="000000"/>
        </w:rPr>
        <w:t>)</w:t>
      </w:r>
    </w:p>
    <w:tbl>
      <w:tblPr>
        <w:tblW w:w="7441" w:type="dxa"/>
        <w:tblInd w:w="93" w:type="dxa"/>
        <w:tblLook w:val="04A0" w:firstRow="1" w:lastRow="0" w:firstColumn="1" w:lastColumn="0" w:noHBand="0" w:noVBand="1"/>
        <w:tblCaption w:val="Table 3.1: Comprehensive Income Statement (showing net cost of services for the period ended 30 June)"/>
        <w:tblDescription w:val="This statement provides a picture of the expected financial results for the department/entity by identifying full accrual expenses and revenues. This highlights whether the department/entity is operating at a sustainable level. Read the first column for the portfolio resources and then across the table for the amount for each appropriation movement. Note that there is no data for some categories."/>
      </w:tblPr>
      <w:tblGrid>
        <w:gridCol w:w="2860"/>
        <w:gridCol w:w="981"/>
        <w:gridCol w:w="900"/>
        <w:gridCol w:w="900"/>
        <w:gridCol w:w="900"/>
        <w:gridCol w:w="900"/>
      </w:tblGrid>
      <w:tr w:rsidR="000F7457" w:rsidRPr="000F7457" w:rsidTr="00045526">
        <w:trPr>
          <w:trHeight w:val="746"/>
        </w:trPr>
        <w:tc>
          <w:tcPr>
            <w:tcW w:w="2860" w:type="dxa"/>
            <w:tcBorders>
              <w:top w:val="single" w:sz="4" w:space="0" w:color="auto"/>
              <w:left w:val="nil"/>
              <w:bottom w:val="nil"/>
              <w:right w:val="nil"/>
            </w:tcBorders>
            <w:shd w:val="clear" w:color="auto" w:fill="auto"/>
            <w:hideMark/>
          </w:tcPr>
          <w:p w:rsidR="00045526" w:rsidRPr="000F7457" w:rsidRDefault="00045526" w:rsidP="00045526">
            <w:pPr>
              <w:spacing w:before="40" w:after="0"/>
              <w:jc w:val="right"/>
              <w:rPr>
                <w:rFonts w:ascii="Arial" w:hAnsi="Arial" w:cs="Arial"/>
                <w:color w:val="000000"/>
                <w:sz w:val="16"/>
                <w:szCs w:val="16"/>
              </w:rPr>
            </w:pPr>
            <w:r w:rsidRPr="000F7457">
              <w:rPr>
                <w:rFonts w:ascii="Arial" w:hAnsi="Arial" w:cs="Arial"/>
                <w:color w:val="000000"/>
                <w:sz w:val="16"/>
                <w:szCs w:val="16"/>
              </w:rPr>
              <w:t> </w:t>
            </w:r>
          </w:p>
        </w:tc>
        <w:tc>
          <w:tcPr>
            <w:tcW w:w="981"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w:t>
            </w:r>
            <w:r w:rsidRPr="000F7457">
              <w:rPr>
                <w:rFonts w:ascii="Arial" w:hAnsi="Arial" w:cs="Arial"/>
                <w:b/>
                <w:bCs/>
                <w:color w:val="000000"/>
                <w:sz w:val="16"/>
                <w:szCs w:val="16"/>
              </w:rPr>
              <w:br/>
              <w:t>Estimated actual</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000000" w:fill="D9D9D9"/>
            <w:hideMark/>
          </w:tcPr>
          <w:p w:rsidR="00045526" w:rsidRPr="000F7457" w:rsidRDefault="00045526" w:rsidP="00087BA8">
            <w:pPr>
              <w:spacing w:before="40" w:after="0"/>
              <w:jc w:val="right"/>
              <w:rPr>
                <w:rFonts w:ascii="Arial" w:hAnsi="Arial" w:cs="Arial"/>
                <w:b/>
                <w:bCs/>
                <w:color w:val="000000"/>
                <w:sz w:val="16"/>
                <w:szCs w:val="16"/>
              </w:rPr>
            </w:pPr>
            <w:r w:rsidRPr="000F7457">
              <w:rPr>
                <w:rFonts w:ascii="Arial" w:hAnsi="Arial" w:cs="Arial"/>
                <w:b/>
                <w:bCs/>
                <w:color w:val="000000"/>
                <w:sz w:val="16"/>
                <w:szCs w:val="16"/>
              </w:rPr>
              <w:t>2016-17</w:t>
            </w:r>
            <w:r w:rsidRPr="000F7457">
              <w:rPr>
                <w:rFonts w:ascii="Arial" w:hAnsi="Arial" w:cs="Arial"/>
                <w:b/>
                <w:bCs/>
                <w:color w:val="000000"/>
                <w:sz w:val="16"/>
                <w:szCs w:val="16"/>
              </w:rPr>
              <w:br/>
              <w:t>Budget</w:t>
            </w:r>
            <w:r w:rsidRPr="000F7457">
              <w:rPr>
                <w:rFonts w:ascii="Arial" w:hAnsi="Arial" w:cs="Arial"/>
                <w:color w:val="000000"/>
                <w:sz w:val="16"/>
                <w:szCs w:val="16"/>
              </w:rPr>
              <w:br/>
            </w:r>
            <w:r w:rsidRPr="000F7457">
              <w:rPr>
                <w:rFonts w:ascii="Arial" w:hAnsi="Arial" w:cs="Arial"/>
                <w:color w:val="000000"/>
                <w:sz w:val="16"/>
                <w:szCs w:val="16"/>
              </w:rPr>
              <w:br/>
              <w:t>$'000</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2017-18</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2018-19</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2019-20</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EXPENSES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Employee benefits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16,348</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16,502</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16,498</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16,494</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16,490</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Supplier expenses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6,754</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6,593</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6,615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6,687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6,771</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Depreciation and amortisation</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r>
      <w:tr w:rsidR="000F7457" w:rsidRPr="000F7457" w:rsidTr="00045526">
        <w:trPr>
          <w:trHeight w:val="225"/>
        </w:trPr>
        <w:tc>
          <w:tcPr>
            <w:tcW w:w="3841" w:type="dxa"/>
            <w:gridSpan w:val="2"/>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Write-down and impairment of</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assets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643</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expenses</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25,916</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25,266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25,284</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25,352</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25,432</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 xml:space="preserve">LESS: </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OWN-SOURCE INCOME</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Revenue</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Sale of goods and rendering of</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300" w:firstLine="480"/>
              <w:rPr>
                <w:rFonts w:ascii="Arial" w:hAnsi="Arial" w:cs="Arial"/>
                <w:color w:val="000000"/>
                <w:sz w:val="16"/>
                <w:szCs w:val="16"/>
              </w:rPr>
            </w:pPr>
            <w:r w:rsidRPr="000F7457">
              <w:rPr>
                <w:rFonts w:ascii="Arial" w:hAnsi="Arial" w:cs="Arial"/>
                <w:color w:val="000000"/>
                <w:sz w:val="16"/>
                <w:szCs w:val="16"/>
              </w:rPr>
              <w:t>services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5,275</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5,275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5,275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5,275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5,275</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Other revenue</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4,771</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revenue</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own-source income</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10,046</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Net cost of (contribution by)</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 xml:space="preserve">services </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15,870</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15,220</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15,238</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15,306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15,386</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Revenue from Government</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13,056</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13,049</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13,067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13,135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13,215</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634270" w:rsidP="00045526">
            <w:pPr>
              <w:spacing w:after="0"/>
              <w:rPr>
                <w:rFonts w:ascii="Arial" w:hAnsi="Arial" w:cs="Arial"/>
                <w:b/>
                <w:bCs/>
                <w:color w:val="000000"/>
                <w:sz w:val="16"/>
                <w:szCs w:val="16"/>
              </w:rPr>
            </w:pPr>
            <w:r w:rsidRPr="000F7457">
              <w:rPr>
                <w:rFonts w:ascii="Arial" w:hAnsi="Arial" w:cs="Arial"/>
                <w:b/>
                <w:bCs/>
                <w:color w:val="000000"/>
                <w:sz w:val="16"/>
                <w:szCs w:val="16"/>
              </w:rPr>
              <w:t>Surplus (d</w:t>
            </w:r>
            <w:r w:rsidR="00045526" w:rsidRPr="000F7457">
              <w:rPr>
                <w:rFonts w:ascii="Arial" w:hAnsi="Arial" w:cs="Arial"/>
                <w:b/>
                <w:bCs/>
                <w:color w:val="000000"/>
                <w:sz w:val="16"/>
                <w:szCs w:val="16"/>
              </w:rPr>
              <w:t>eficit)</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(2,814)</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634270" w:rsidP="00045526">
            <w:pPr>
              <w:spacing w:after="0"/>
              <w:rPr>
                <w:rFonts w:ascii="Arial" w:hAnsi="Arial" w:cs="Arial"/>
                <w:b/>
                <w:bCs/>
                <w:color w:val="000000"/>
                <w:sz w:val="16"/>
                <w:szCs w:val="16"/>
              </w:rPr>
            </w:pPr>
            <w:r w:rsidRPr="000F7457">
              <w:rPr>
                <w:rFonts w:ascii="Arial" w:hAnsi="Arial" w:cs="Arial"/>
                <w:b/>
                <w:bCs/>
                <w:color w:val="000000"/>
                <w:sz w:val="16"/>
                <w:szCs w:val="16"/>
              </w:rPr>
              <w:t>Surplus (d</w:t>
            </w:r>
            <w:r w:rsidR="00045526" w:rsidRPr="000F7457">
              <w:rPr>
                <w:rFonts w:ascii="Arial" w:hAnsi="Arial" w:cs="Arial"/>
                <w:b/>
                <w:bCs/>
                <w:color w:val="000000"/>
                <w:sz w:val="16"/>
                <w:szCs w:val="16"/>
              </w:rPr>
              <w:t>eficit) attributable to</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the Australian Government</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(2,814)</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r>
      <w:tr w:rsidR="000F7457" w:rsidRPr="000F7457" w:rsidTr="00045526">
        <w:trPr>
          <w:trHeight w:val="300"/>
        </w:trPr>
        <w:tc>
          <w:tcPr>
            <w:tcW w:w="3841" w:type="dxa"/>
            <w:gridSpan w:val="2"/>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color w:val="000000"/>
                <w:sz w:val="16"/>
                <w:szCs w:val="16"/>
              </w:rPr>
            </w:pPr>
            <w:r w:rsidRPr="000F7457">
              <w:rPr>
                <w:rFonts w:ascii="Arial" w:hAnsi="Arial" w:cs="Arial"/>
                <w:b/>
                <w:bCs/>
                <w:color w:val="000000"/>
                <w:sz w:val="16"/>
                <w:szCs w:val="16"/>
              </w:rPr>
              <w:t>OTHER COMPREHENSIVE INCOME</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Changes in asset revaluation</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reserves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other comprehensive</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income</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Total comprehensive income</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 xml:space="preserve">attributable to the </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r>
      <w:tr w:rsidR="000F7457" w:rsidRPr="000F7457" w:rsidTr="00045526">
        <w:trPr>
          <w:trHeight w:val="225"/>
        </w:trPr>
        <w:tc>
          <w:tcPr>
            <w:tcW w:w="286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Australian Government</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(2,814)</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r>
      <w:tr w:rsidR="000F7457" w:rsidRPr="000F7457" w:rsidTr="00045526">
        <w:trPr>
          <w:trHeight w:val="225"/>
        </w:trPr>
        <w:tc>
          <w:tcPr>
            <w:tcW w:w="2860" w:type="dxa"/>
            <w:tcBorders>
              <w:top w:val="nil"/>
              <w:left w:val="nil"/>
              <w:bottom w:val="nil"/>
              <w:right w:val="nil"/>
            </w:tcBorders>
            <w:shd w:val="clear" w:color="auto" w:fill="auto"/>
            <w:vAlign w:val="bottom"/>
            <w:hideMark/>
          </w:tcPr>
          <w:p w:rsidR="00045526" w:rsidRPr="000F7457" w:rsidRDefault="00045526" w:rsidP="00045526">
            <w:pPr>
              <w:spacing w:after="0"/>
              <w:rPr>
                <w:rFonts w:ascii="Arial" w:hAnsi="Arial" w:cs="Arial"/>
                <w:b/>
                <w:bCs/>
                <w:color w:val="000000"/>
                <w:sz w:val="16"/>
                <w:szCs w:val="16"/>
              </w:rPr>
            </w:pP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p>
        </w:tc>
      </w:tr>
      <w:tr w:rsidR="000F7457" w:rsidRPr="000F7457" w:rsidTr="00045526">
        <w:trPr>
          <w:trHeight w:val="225"/>
        </w:trPr>
        <w:tc>
          <w:tcPr>
            <w:tcW w:w="6541" w:type="dxa"/>
            <w:gridSpan w:val="5"/>
            <w:tcBorders>
              <w:top w:val="single" w:sz="4" w:space="0" w:color="auto"/>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Note: Reconciliation of comprehensive income attributable to the agency</w:t>
            </w:r>
          </w:p>
        </w:tc>
        <w:tc>
          <w:tcPr>
            <w:tcW w:w="900" w:type="dxa"/>
            <w:tcBorders>
              <w:top w:val="single" w:sz="4" w:space="0" w:color="auto"/>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045526">
        <w:trPr>
          <w:trHeight w:val="379"/>
        </w:trPr>
        <w:tc>
          <w:tcPr>
            <w:tcW w:w="2860" w:type="dxa"/>
            <w:tcBorders>
              <w:top w:val="nil"/>
              <w:left w:val="nil"/>
              <w:bottom w:val="nil"/>
              <w:right w:val="nil"/>
            </w:tcBorders>
            <w:shd w:val="clear" w:color="auto" w:fill="auto"/>
            <w:vAlign w:val="bottom"/>
            <w:hideMark/>
          </w:tcPr>
          <w:p w:rsidR="00045526" w:rsidRPr="000F7457" w:rsidRDefault="00045526" w:rsidP="00045526">
            <w:pPr>
              <w:spacing w:after="0"/>
              <w:rPr>
                <w:rFonts w:ascii="Arial" w:hAnsi="Arial" w:cs="Arial"/>
                <w:color w:val="000000"/>
                <w:sz w:val="16"/>
                <w:szCs w:val="16"/>
              </w:rPr>
            </w:pPr>
          </w:p>
        </w:tc>
        <w:tc>
          <w:tcPr>
            <w:tcW w:w="981" w:type="dxa"/>
            <w:tcBorders>
              <w:top w:val="nil"/>
              <w:left w:val="nil"/>
              <w:bottom w:val="single" w:sz="4" w:space="0" w:color="auto"/>
              <w:right w:val="nil"/>
            </w:tcBorders>
            <w:shd w:val="clear" w:color="auto" w:fill="auto"/>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xml:space="preserve">2015-16 </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nil"/>
              <w:left w:val="nil"/>
              <w:bottom w:val="single" w:sz="4" w:space="0" w:color="auto"/>
              <w:right w:val="nil"/>
            </w:tcBorders>
            <w:shd w:val="clear" w:color="000000" w:fill="D9D9D9"/>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2016-17 $'000</w:t>
            </w:r>
          </w:p>
        </w:tc>
        <w:tc>
          <w:tcPr>
            <w:tcW w:w="900" w:type="dxa"/>
            <w:tcBorders>
              <w:top w:val="nil"/>
              <w:left w:val="nil"/>
              <w:bottom w:val="single" w:sz="4" w:space="0" w:color="auto"/>
              <w:right w:val="nil"/>
            </w:tcBorders>
            <w:shd w:val="clear" w:color="auto" w:fill="auto"/>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2017-18 $'000</w:t>
            </w:r>
          </w:p>
        </w:tc>
        <w:tc>
          <w:tcPr>
            <w:tcW w:w="900" w:type="dxa"/>
            <w:tcBorders>
              <w:top w:val="nil"/>
              <w:left w:val="nil"/>
              <w:bottom w:val="single" w:sz="4" w:space="0" w:color="auto"/>
              <w:right w:val="nil"/>
            </w:tcBorders>
            <w:shd w:val="clear" w:color="auto" w:fill="auto"/>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2018-19 $'000</w:t>
            </w:r>
          </w:p>
        </w:tc>
        <w:tc>
          <w:tcPr>
            <w:tcW w:w="900" w:type="dxa"/>
            <w:tcBorders>
              <w:top w:val="nil"/>
              <w:left w:val="nil"/>
              <w:bottom w:val="single" w:sz="4" w:space="0" w:color="auto"/>
              <w:right w:val="nil"/>
            </w:tcBorders>
            <w:shd w:val="clear" w:color="auto" w:fill="auto"/>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xml:space="preserve">2019-20 </w:t>
            </w:r>
            <w:r w:rsidRPr="000F7457">
              <w:rPr>
                <w:rFonts w:ascii="Arial" w:hAnsi="Arial" w:cs="Arial"/>
                <w:color w:val="000000"/>
                <w:sz w:val="16"/>
                <w:szCs w:val="16"/>
              </w:rPr>
              <w:t>$'000</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Total comprehensive income</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 xml:space="preserve">(loss) attributable to the </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Australian Government</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(2,814)</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plus non-appropriated expenses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depreciation and amortisation</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expenses</w:t>
            </w:r>
          </w:p>
        </w:tc>
        <w:tc>
          <w:tcPr>
            <w:tcW w:w="981"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2,171</w:t>
            </w:r>
          </w:p>
        </w:tc>
      </w:tr>
      <w:tr w:rsidR="000F7457" w:rsidRPr="000F7457" w:rsidTr="00045526">
        <w:trPr>
          <w:trHeight w:val="300"/>
        </w:trPr>
        <w:tc>
          <w:tcPr>
            <w:tcW w:w="3841" w:type="dxa"/>
            <w:gridSpan w:val="2"/>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Total comprehensive income (loss)</w:t>
            </w:r>
          </w:p>
        </w:tc>
        <w:tc>
          <w:tcPr>
            <w:tcW w:w="900" w:type="dxa"/>
            <w:tcBorders>
              <w:top w:val="nil"/>
              <w:left w:val="nil"/>
              <w:bottom w:val="nil"/>
              <w:right w:val="nil"/>
            </w:tcBorders>
            <w:shd w:val="clear" w:color="000000" w:fill="D9D9D9"/>
            <w:vAlign w:val="center"/>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vAlign w:val="center"/>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vAlign w:val="center"/>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vAlign w:val="center"/>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attributable to the agency</w:t>
            </w:r>
          </w:p>
        </w:tc>
        <w:tc>
          <w:tcPr>
            <w:tcW w:w="981"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(643)</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r>
    </w:tbl>
    <w:p w:rsidR="008568AF" w:rsidRPr="000F7457" w:rsidRDefault="008568AF" w:rsidP="008568AF">
      <w:pPr>
        <w:pStyle w:val="TableReference"/>
        <w:rPr>
          <w:color w:val="000000"/>
        </w:rPr>
      </w:pPr>
      <w:r w:rsidRPr="000F7457">
        <w:rPr>
          <w:color w:val="000000"/>
        </w:rPr>
        <w:lastRenderedPageBreak/>
        <w:t>Table 3.2: Budg</w:t>
      </w:r>
      <w:r w:rsidR="00587F2C" w:rsidRPr="000F7457">
        <w:rPr>
          <w:color w:val="000000"/>
        </w:rPr>
        <w:t>eted D</w:t>
      </w:r>
      <w:r w:rsidRPr="000F7457">
        <w:rPr>
          <w:color w:val="000000"/>
        </w:rPr>
        <w:t xml:space="preserve">epartmental </w:t>
      </w:r>
      <w:r w:rsidR="00587F2C" w:rsidRPr="000F7457">
        <w:rPr>
          <w:color w:val="000000"/>
        </w:rPr>
        <w:t>B</w:t>
      </w:r>
      <w:r w:rsidRPr="000F7457">
        <w:rPr>
          <w:color w:val="000000"/>
        </w:rPr>
        <w:t xml:space="preserve">alance </w:t>
      </w:r>
      <w:r w:rsidR="00587F2C" w:rsidRPr="000F7457">
        <w:rPr>
          <w:color w:val="000000"/>
        </w:rPr>
        <w:t>S</w:t>
      </w:r>
      <w:r w:rsidRPr="000F7457">
        <w:rPr>
          <w:color w:val="000000"/>
        </w:rPr>
        <w:t>heet (as at 30 June)</w:t>
      </w:r>
    </w:p>
    <w:tbl>
      <w:tblPr>
        <w:tblW w:w="7360" w:type="dxa"/>
        <w:tblInd w:w="93" w:type="dxa"/>
        <w:tblLook w:val="04A0" w:firstRow="1" w:lastRow="0" w:firstColumn="1" w:lastColumn="0" w:noHBand="0" w:noVBand="1"/>
        <w:tblCaption w:val="Table 3.2: Budgeted Departmental Balance Sheet (as at 30 June)"/>
        <w:tblDescription w:val="This statement shows the financial position of the department/entity. It enables decision makers to track the management of the department’s/entity’s assets and liabilities. Read the first column for the portfolio resources and then across the table for the amount for each appropriation movement. Note that there is no data for some categories."/>
      </w:tblPr>
      <w:tblGrid>
        <w:gridCol w:w="2860"/>
        <w:gridCol w:w="981"/>
        <w:gridCol w:w="900"/>
        <w:gridCol w:w="900"/>
        <w:gridCol w:w="900"/>
        <w:gridCol w:w="900"/>
      </w:tblGrid>
      <w:tr w:rsidR="000F7457" w:rsidRPr="000F7457" w:rsidTr="00045526">
        <w:trPr>
          <w:trHeight w:val="652"/>
        </w:trPr>
        <w:tc>
          <w:tcPr>
            <w:tcW w:w="2860" w:type="dxa"/>
            <w:tcBorders>
              <w:top w:val="single" w:sz="4" w:space="0" w:color="auto"/>
              <w:left w:val="nil"/>
              <w:bottom w:val="nil"/>
              <w:right w:val="nil"/>
            </w:tcBorders>
            <w:shd w:val="clear" w:color="auto" w:fill="auto"/>
            <w:hideMark/>
          </w:tcPr>
          <w:p w:rsidR="00045526" w:rsidRPr="000F7457" w:rsidRDefault="00045526" w:rsidP="00045526">
            <w:pPr>
              <w:spacing w:before="40"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w:t>
            </w:r>
            <w:r w:rsidRPr="000F7457">
              <w:rPr>
                <w:rFonts w:ascii="Arial" w:hAnsi="Arial" w:cs="Arial"/>
                <w:b/>
                <w:bCs/>
                <w:color w:val="000000"/>
                <w:sz w:val="16"/>
                <w:szCs w:val="16"/>
              </w:rPr>
              <w:br/>
              <w:t>Estimated actual</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000000" w:fill="D9D9D9"/>
            <w:hideMark/>
          </w:tcPr>
          <w:p w:rsidR="00045526" w:rsidRPr="000F7457" w:rsidRDefault="00045526" w:rsidP="00087BA8">
            <w:pPr>
              <w:spacing w:before="40" w:after="0"/>
              <w:jc w:val="right"/>
              <w:rPr>
                <w:rFonts w:ascii="Arial" w:hAnsi="Arial" w:cs="Arial"/>
                <w:b/>
                <w:bCs/>
                <w:color w:val="000000"/>
                <w:sz w:val="16"/>
                <w:szCs w:val="16"/>
              </w:rPr>
            </w:pPr>
            <w:r w:rsidRPr="000F7457">
              <w:rPr>
                <w:rFonts w:ascii="Arial" w:hAnsi="Arial" w:cs="Arial"/>
                <w:b/>
                <w:bCs/>
                <w:color w:val="000000"/>
                <w:sz w:val="16"/>
                <w:szCs w:val="16"/>
              </w:rPr>
              <w:t>2016-17</w:t>
            </w:r>
            <w:r w:rsidRPr="000F7457">
              <w:rPr>
                <w:rFonts w:ascii="Arial" w:hAnsi="Arial" w:cs="Arial"/>
                <w:b/>
                <w:bCs/>
                <w:color w:val="000000"/>
                <w:sz w:val="16"/>
                <w:szCs w:val="16"/>
              </w:rPr>
              <w:br/>
              <w:t>Budget</w:t>
            </w:r>
            <w:r w:rsidRPr="000F7457">
              <w:rPr>
                <w:rFonts w:ascii="Arial" w:hAnsi="Arial" w:cs="Arial"/>
                <w:color w:val="000000"/>
                <w:sz w:val="16"/>
                <w:szCs w:val="16"/>
              </w:rPr>
              <w:br/>
            </w:r>
            <w:r w:rsidRPr="000F7457">
              <w:rPr>
                <w:rFonts w:ascii="Arial" w:hAnsi="Arial" w:cs="Arial"/>
                <w:color w:val="000000"/>
                <w:sz w:val="16"/>
                <w:szCs w:val="16"/>
              </w:rPr>
              <w:br/>
              <w:t>$'000</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2017-18</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2018-19</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045526" w:rsidRPr="000F7457" w:rsidRDefault="00045526" w:rsidP="00045526">
            <w:pPr>
              <w:spacing w:before="40" w:after="0"/>
              <w:jc w:val="right"/>
              <w:rPr>
                <w:rFonts w:ascii="Arial" w:hAnsi="Arial" w:cs="Arial"/>
                <w:b/>
                <w:bCs/>
                <w:color w:val="000000"/>
                <w:sz w:val="16"/>
                <w:szCs w:val="16"/>
              </w:rPr>
            </w:pPr>
            <w:r w:rsidRPr="000F7457">
              <w:rPr>
                <w:rFonts w:ascii="Arial" w:hAnsi="Arial" w:cs="Arial"/>
                <w:b/>
                <w:bCs/>
                <w:color w:val="000000"/>
                <w:sz w:val="16"/>
                <w:szCs w:val="16"/>
              </w:rPr>
              <w:t>2019-20</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ASSETS</w:t>
            </w:r>
          </w:p>
        </w:tc>
        <w:tc>
          <w:tcPr>
            <w:tcW w:w="900" w:type="dxa"/>
            <w:tcBorders>
              <w:top w:val="single" w:sz="4" w:space="0" w:color="auto"/>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Financial assets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Cash and cash equivalents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1,757</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Receivables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3,147</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3,147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3,147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3,147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3,147</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Accrued revenue</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4,952</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4,952</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4,952</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4,952</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4,952</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Non-financial assets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Land and buildings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24,522</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24,727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24,874</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25,021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25,168</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Property, plant and equipment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5,567</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5,150</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4,810</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4,482</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4,172</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Inventories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1,471</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1,471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1,471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1,471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1,471</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Intangibles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637</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802</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817</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832</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847</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Other</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403</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403</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403</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403</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403</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32,600</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32,553</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32,375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32,209</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32,061</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assets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37,552</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37,505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37,327</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37,161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37,013</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LIABILITIES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Payables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Suppliers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Other payables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1,705</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1,705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1,705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1,705</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1,705</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payables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1,705</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1,705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1,705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1,705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1,705</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Provisions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Employees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5,381</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5,381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5,381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5,381</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5,381</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provisions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5,381</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5,381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5,381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5,381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5,381</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liabilities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7,086</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7,086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7,086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7,086</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7,086</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Net Assets</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30,466</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30,419</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30,241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30,075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29,927</w:t>
            </w:r>
          </w:p>
        </w:tc>
      </w:tr>
      <w:tr w:rsidR="000F7457" w:rsidRPr="000F7457" w:rsidTr="00045526">
        <w:trPr>
          <w:trHeight w:val="300"/>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rPr>
                <w:rFonts w:ascii="Arial" w:hAnsi="Arial" w:cs="Arial"/>
                <w:b/>
                <w:bCs/>
                <w:color w:val="000000"/>
                <w:sz w:val="16"/>
                <w:szCs w:val="16"/>
              </w:rPr>
            </w:pPr>
            <w:r w:rsidRPr="000F7457">
              <w:rPr>
                <w:rFonts w:ascii="Arial" w:hAnsi="Arial" w:cs="Arial"/>
                <w:b/>
                <w:bCs/>
                <w:color w:val="000000"/>
                <w:sz w:val="16"/>
                <w:szCs w:val="16"/>
              </w:rPr>
              <w:t>EQUITY</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Contributed equity</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19,482</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21,606</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23,599</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25,604</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27,627</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Reserves</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13,644</w:t>
            </w: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13,644</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13,644</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13,644</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13,644</w:t>
            </w: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100" w:firstLine="160"/>
              <w:rPr>
                <w:rFonts w:ascii="Arial" w:hAnsi="Arial" w:cs="Arial"/>
                <w:color w:val="000000"/>
                <w:sz w:val="16"/>
                <w:szCs w:val="16"/>
              </w:rPr>
            </w:pPr>
            <w:r w:rsidRPr="000F7457">
              <w:rPr>
                <w:rFonts w:ascii="Arial" w:hAnsi="Arial" w:cs="Arial"/>
                <w:color w:val="000000"/>
                <w:sz w:val="16"/>
                <w:szCs w:val="16"/>
              </w:rPr>
              <w:t>Retained surpluses or</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p>
        </w:tc>
      </w:tr>
      <w:tr w:rsidR="000F7457" w:rsidRPr="000F7457" w:rsidTr="00045526">
        <w:trPr>
          <w:trHeight w:val="225"/>
        </w:trPr>
        <w:tc>
          <w:tcPr>
            <w:tcW w:w="2860" w:type="dxa"/>
            <w:tcBorders>
              <w:top w:val="nil"/>
              <w:left w:val="nil"/>
              <w:bottom w:val="nil"/>
              <w:right w:val="nil"/>
            </w:tcBorders>
            <w:shd w:val="clear" w:color="auto" w:fill="auto"/>
            <w:noWrap/>
            <w:vAlign w:val="bottom"/>
            <w:hideMark/>
          </w:tcPr>
          <w:p w:rsidR="00045526" w:rsidRPr="000F7457" w:rsidRDefault="00045526" w:rsidP="00045526">
            <w:pPr>
              <w:spacing w:after="0"/>
              <w:ind w:firstLineChars="200" w:firstLine="320"/>
              <w:rPr>
                <w:rFonts w:ascii="Arial" w:hAnsi="Arial" w:cs="Arial"/>
                <w:color w:val="000000"/>
                <w:sz w:val="16"/>
                <w:szCs w:val="16"/>
              </w:rPr>
            </w:pPr>
            <w:r w:rsidRPr="000F7457">
              <w:rPr>
                <w:rFonts w:ascii="Arial" w:hAnsi="Arial" w:cs="Arial"/>
                <w:color w:val="000000"/>
                <w:sz w:val="16"/>
                <w:szCs w:val="16"/>
              </w:rPr>
              <w:t>accumulated deficits</w:t>
            </w:r>
          </w:p>
        </w:tc>
        <w:tc>
          <w:tcPr>
            <w:tcW w:w="900" w:type="dxa"/>
            <w:tcBorders>
              <w:top w:val="nil"/>
              <w:left w:val="nil"/>
              <w:bottom w:val="single" w:sz="4" w:space="0" w:color="000000"/>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(2,660)</w:t>
            </w:r>
          </w:p>
        </w:tc>
        <w:tc>
          <w:tcPr>
            <w:tcW w:w="900" w:type="dxa"/>
            <w:tcBorders>
              <w:top w:val="nil"/>
              <w:left w:val="nil"/>
              <w:bottom w:val="single" w:sz="4" w:space="0" w:color="000000"/>
              <w:right w:val="nil"/>
            </w:tcBorders>
            <w:shd w:val="clear" w:color="000000" w:fill="D9D9D9"/>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(4,831)</w:t>
            </w:r>
          </w:p>
        </w:tc>
        <w:tc>
          <w:tcPr>
            <w:tcW w:w="900" w:type="dxa"/>
            <w:tcBorders>
              <w:top w:val="nil"/>
              <w:left w:val="nil"/>
              <w:bottom w:val="single" w:sz="4" w:space="0" w:color="000000"/>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(7,002)</w:t>
            </w:r>
          </w:p>
        </w:tc>
        <w:tc>
          <w:tcPr>
            <w:tcW w:w="900" w:type="dxa"/>
            <w:tcBorders>
              <w:top w:val="nil"/>
              <w:left w:val="nil"/>
              <w:bottom w:val="single" w:sz="4" w:space="0" w:color="000000"/>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(9,173)</w:t>
            </w:r>
          </w:p>
        </w:tc>
        <w:tc>
          <w:tcPr>
            <w:tcW w:w="900" w:type="dxa"/>
            <w:tcBorders>
              <w:top w:val="nil"/>
              <w:left w:val="nil"/>
              <w:bottom w:val="single" w:sz="4" w:space="0" w:color="000000"/>
              <w:right w:val="nil"/>
            </w:tcBorders>
            <w:shd w:val="clear" w:color="auto" w:fill="auto"/>
            <w:noWrap/>
            <w:vAlign w:val="bottom"/>
            <w:hideMark/>
          </w:tcPr>
          <w:p w:rsidR="00045526" w:rsidRPr="000F7457" w:rsidRDefault="00045526" w:rsidP="00045526">
            <w:pPr>
              <w:spacing w:after="0"/>
              <w:jc w:val="right"/>
              <w:rPr>
                <w:rFonts w:ascii="Arial" w:hAnsi="Arial" w:cs="Arial"/>
                <w:color w:val="000000"/>
                <w:sz w:val="16"/>
                <w:szCs w:val="16"/>
              </w:rPr>
            </w:pPr>
            <w:r w:rsidRPr="000F7457">
              <w:rPr>
                <w:rFonts w:ascii="Arial" w:hAnsi="Arial" w:cs="Arial"/>
                <w:color w:val="000000"/>
                <w:sz w:val="16"/>
                <w:szCs w:val="16"/>
              </w:rPr>
              <w:t>(11,344)</w:t>
            </w:r>
          </w:p>
        </w:tc>
      </w:tr>
      <w:tr w:rsidR="000F7457" w:rsidRPr="000F7457" w:rsidTr="00045526">
        <w:trPr>
          <w:trHeight w:val="225"/>
        </w:trPr>
        <w:tc>
          <w:tcPr>
            <w:tcW w:w="286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equity</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30,466</w:t>
            </w:r>
          </w:p>
        </w:tc>
        <w:tc>
          <w:tcPr>
            <w:tcW w:w="900" w:type="dxa"/>
            <w:tcBorders>
              <w:top w:val="nil"/>
              <w:left w:val="nil"/>
              <w:bottom w:val="single" w:sz="4" w:space="0" w:color="auto"/>
              <w:right w:val="nil"/>
            </w:tcBorders>
            <w:shd w:val="clear" w:color="000000" w:fill="D9D9D9"/>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30,419</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30,241</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30,075</w:t>
            </w:r>
          </w:p>
        </w:tc>
        <w:tc>
          <w:tcPr>
            <w:tcW w:w="900" w:type="dxa"/>
            <w:tcBorders>
              <w:top w:val="nil"/>
              <w:left w:val="nil"/>
              <w:bottom w:val="single" w:sz="4" w:space="0" w:color="auto"/>
              <w:right w:val="nil"/>
            </w:tcBorders>
            <w:shd w:val="clear" w:color="auto" w:fill="auto"/>
            <w:noWrap/>
            <w:vAlign w:val="bottom"/>
            <w:hideMark/>
          </w:tcPr>
          <w:p w:rsidR="00045526" w:rsidRPr="000F7457" w:rsidRDefault="00045526" w:rsidP="00045526">
            <w:pPr>
              <w:spacing w:after="0"/>
              <w:jc w:val="right"/>
              <w:rPr>
                <w:rFonts w:ascii="Arial" w:hAnsi="Arial" w:cs="Arial"/>
                <w:b/>
                <w:bCs/>
                <w:color w:val="000000"/>
                <w:sz w:val="16"/>
                <w:szCs w:val="16"/>
              </w:rPr>
            </w:pPr>
            <w:r w:rsidRPr="000F7457">
              <w:rPr>
                <w:rFonts w:ascii="Arial" w:hAnsi="Arial" w:cs="Arial"/>
                <w:b/>
                <w:bCs/>
                <w:color w:val="000000"/>
                <w:sz w:val="16"/>
                <w:szCs w:val="16"/>
              </w:rPr>
              <w:t>29,927</w:t>
            </w:r>
          </w:p>
        </w:tc>
      </w:tr>
    </w:tbl>
    <w:p w:rsidR="00FB2F0F" w:rsidRPr="000F7457" w:rsidRDefault="00FB2F0F">
      <w:pPr>
        <w:spacing w:after="0"/>
        <w:rPr>
          <w:color w:val="000000"/>
        </w:rPr>
      </w:pPr>
      <w:r w:rsidRPr="000F7457">
        <w:rPr>
          <w:color w:val="000000"/>
        </w:rPr>
        <w:br w:type="page"/>
      </w:r>
    </w:p>
    <w:p w:rsidR="008568AF" w:rsidRPr="000F7457" w:rsidRDefault="008568AF" w:rsidP="008568AF">
      <w:pPr>
        <w:pStyle w:val="TableReference"/>
        <w:rPr>
          <w:color w:val="000000"/>
        </w:rPr>
      </w:pPr>
      <w:r w:rsidRPr="000F7457">
        <w:rPr>
          <w:color w:val="000000"/>
        </w:rPr>
        <w:lastRenderedPageBreak/>
        <w:t xml:space="preserve">Table 3.3: Departmental </w:t>
      </w:r>
      <w:r w:rsidR="00587F2C" w:rsidRPr="000F7457">
        <w:rPr>
          <w:color w:val="000000"/>
        </w:rPr>
        <w:t>S</w:t>
      </w:r>
      <w:r w:rsidRPr="000F7457">
        <w:rPr>
          <w:color w:val="000000"/>
        </w:rPr>
        <w:t xml:space="preserve">tatement of </w:t>
      </w:r>
      <w:r w:rsidR="00587F2C" w:rsidRPr="000F7457">
        <w:rPr>
          <w:color w:val="000000"/>
        </w:rPr>
        <w:t>C</w:t>
      </w:r>
      <w:r w:rsidRPr="000F7457">
        <w:rPr>
          <w:color w:val="000000"/>
        </w:rPr>
        <w:t xml:space="preserve">hanges in </w:t>
      </w:r>
      <w:r w:rsidR="00587F2C" w:rsidRPr="000F7457">
        <w:rPr>
          <w:color w:val="000000"/>
        </w:rPr>
        <w:t>E</w:t>
      </w:r>
      <w:r w:rsidRPr="000F7457">
        <w:rPr>
          <w:color w:val="000000"/>
        </w:rPr>
        <w:t xml:space="preserve">quity — </w:t>
      </w:r>
      <w:r w:rsidR="00587F2C" w:rsidRPr="000F7457">
        <w:rPr>
          <w:color w:val="000000"/>
        </w:rPr>
        <w:t>S</w:t>
      </w:r>
      <w:r w:rsidRPr="000F7457">
        <w:rPr>
          <w:color w:val="000000"/>
        </w:rPr>
        <w:t xml:space="preserve">ummary of </w:t>
      </w:r>
      <w:r w:rsidR="00587F2C" w:rsidRPr="000F7457">
        <w:rPr>
          <w:color w:val="000000"/>
        </w:rPr>
        <w:t>M</w:t>
      </w:r>
      <w:r w:rsidRPr="000F7457">
        <w:rPr>
          <w:color w:val="000000"/>
        </w:rPr>
        <w:t>ovement (Budget year 2016-17)</w:t>
      </w:r>
    </w:p>
    <w:tbl>
      <w:tblPr>
        <w:tblW w:w="7380" w:type="dxa"/>
        <w:tblInd w:w="93" w:type="dxa"/>
        <w:tblLook w:val="04A0" w:firstRow="1" w:lastRow="0" w:firstColumn="1" w:lastColumn="0" w:noHBand="0" w:noVBand="1"/>
        <w:tblCaption w:val="Table 3.3: Departmental Statement of Changes in Equity — Summary of Movement (Budget year 2016-17)"/>
        <w:tblDescription w:val="This table shows the movements in equity during the Budget year. Read the first column for the portfolio resources and then across the table for the amount for each appropriation movement. Note that there is no data for some categories."/>
      </w:tblPr>
      <w:tblGrid>
        <w:gridCol w:w="2860"/>
        <w:gridCol w:w="1060"/>
        <w:gridCol w:w="1200"/>
        <w:gridCol w:w="1200"/>
        <w:gridCol w:w="1060"/>
      </w:tblGrid>
      <w:tr w:rsidR="000F7457" w:rsidRPr="000F7457" w:rsidTr="00FB2F0F">
        <w:trPr>
          <w:trHeight w:val="726"/>
        </w:trPr>
        <w:tc>
          <w:tcPr>
            <w:tcW w:w="2860" w:type="dxa"/>
            <w:tcBorders>
              <w:top w:val="single" w:sz="4" w:space="0" w:color="auto"/>
              <w:left w:val="nil"/>
              <w:bottom w:val="nil"/>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p>
        </w:tc>
        <w:tc>
          <w:tcPr>
            <w:tcW w:w="106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r w:rsidRPr="000F7457">
              <w:rPr>
                <w:rFonts w:ascii="Arial" w:hAnsi="Arial" w:cs="Arial"/>
                <w:b/>
                <w:bCs/>
                <w:color w:val="000000"/>
                <w:sz w:val="16"/>
                <w:szCs w:val="16"/>
              </w:rPr>
              <w:t xml:space="preserve">Retained earnings </w:t>
            </w:r>
            <w:r w:rsidRPr="000F7457">
              <w:rPr>
                <w:rFonts w:ascii="Arial" w:hAnsi="Arial" w:cs="Arial"/>
                <w:color w:val="000000"/>
                <w:sz w:val="16"/>
                <w:szCs w:val="16"/>
              </w:rPr>
              <w:br/>
            </w:r>
            <w:r w:rsidRPr="000F7457">
              <w:rPr>
                <w:rFonts w:ascii="Arial" w:hAnsi="Arial"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r w:rsidRPr="000F7457">
              <w:rPr>
                <w:rFonts w:ascii="Arial" w:hAnsi="Arial" w:cs="Arial"/>
                <w:b/>
                <w:bCs/>
                <w:color w:val="000000"/>
                <w:sz w:val="16"/>
                <w:szCs w:val="16"/>
              </w:rPr>
              <w:t xml:space="preserve">Asset revaluation reserve </w:t>
            </w:r>
            <w:r w:rsidRPr="000F7457">
              <w:rPr>
                <w:rFonts w:ascii="Arial" w:hAnsi="Arial" w:cs="Arial"/>
                <w:color w:val="000000"/>
                <w:sz w:val="16"/>
                <w:szCs w:val="16"/>
              </w:rPr>
              <w:br/>
              <w:t>$'000</w:t>
            </w:r>
          </w:p>
        </w:tc>
        <w:tc>
          <w:tcPr>
            <w:tcW w:w="12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r w:rsidRPr="000F7457">
              <w:rPr>
                <w:rFonts w:ascii="Arial" w:hAnsi="Arial" w:cs="Arial"/>
                <w:b/>
                <w:bCs/>
                <w:color w:val="000000"/>
                <w:sz w:val="16"/>
                <w:szCs w:val="16"/>
              </w:rPr>
              <w:t>Contributed equity/</w:t>
            </w:r>
            <w:r w:rsidRPr="000F7457">
              <w:rPr>
                <w:rFonts w:ascii="Arial" w:hAnsi="Arial" w:cs="Arial"/>
                <w:b/>
                <w:bCs/>
                <w:color w:val="000000"/>
                <w:sz w:val="16"/>
                <w:szCs w:val="16"/>
              </w:rPr>
              <w:br/>
              <w:t xml:space="preserve">capital </w:t>
            </w:r>
            <w:r w:rsidRPr="000F7457">
              <w:rPr>
                <w:rFonts w:ascii="Arial" w:hAnsi="Arial" w:cs="Arial"/>
                <w:color w:val="000000"/>
                <w:sz w:val="16"/>
                <w:szCs w:val="16"/>
              </w:rPr>
              <w:br/>
              <w:t>$'000</w:t>
            </w:r>
          </w:p>
        </w:tc>
        <w:tc>
          <w:tcPr>
            <w:tcW w:w="106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r w:rsidRPr="000F7457">
              <w:rPr>
                <w:rFonts w:ascii="Arial" w:hAnsi="Arial" w:cs="Arial"/>
                <w:b/>
                <w:bCs/>
                <w:color w:val="000000"/>
                <w:sz w:val="16"/>
                <w:szCs w:val="16"/>
              </w:rPr>
              <w:t xml:space="preserve">Total </w:t>
            </w:r>
            <w:r w:rsidRPr="000F7457">
              <w:rPr>
                <w:rFonts w:ascii="Arial" w:hAnsi="Arial" w:cs="Arial"/>
                <w:b/>
                <w:bCs/>
                <w:color w:val="000000"/>
                <w:sz w:val="16"/>
                <w:szCs w:val="16"/>
              </w:rPr>
              <w:br/>
              <w:t xml:space="preserve">equity </w:t>
            </w:r>
            <w:r w:rsidRPr="000F7457">
              <w:rPr>
                <w:rFonts w:ascii="Arial" w:hAnsi="Arial" w:cs="Arial"/>
                <w:color w:val="000000"/>
                <w:sz w:val="16"/>
                <w:szCs w:val="16"/>
              </w:rPr>
              <w:br/>
            </w:r>
            <w:r w:rsidRPr="000F7457">
              <w:rPr>
                <w:rFonts w:ascii="Arial" w:hAnsi="Arial" w:cs="Arial"/>
                <w:color w:val="000000"/>
                <w:sz w:val="16"/>
                <w:szCs w:val="16"/>
              </w:rPr>
              <w:br/>
              <w:t>$'000</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Opening balance as at 1 July 2016</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195905">
        <w:trPr>
          <w:trHeight w:val="227"/>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Balance carried forward from</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195905">
        <w:trPr>
          <w:trHeight w:val="227"/>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previous period</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(2,660)</w:t>
            </w: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13,644</w:t>
            </w: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19,482</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30,466</w:t>
            </w:r>
          </w:p>
        </w:tc>
      </w:tr>
      <w:tr w:rsidR="000F7457" w:rsidRPr="000F7457" w:rsidTr="00195905">
        <w:trPr>
          <w:trHeight w:val="227"/>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Surplus (deficit) for the period</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(2,171)</w:t>
            </w: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r>
      <w:tr w:rsidR="000F7457" w:rsidRPr="000F7457" w:rsidTr="00195905">
        <w:trPr>
          <w:trHeight w:val="227"/>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Capital budget - Bill 1 (DCB)</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2,124</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r>
      <w:tr w:rsidR="000F7457" w:rsidRPr="000F7457" w:rsidTr="00195905">
        <w:trPr>
          <w:trHeight w:val="227"/>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 xml:space="preserve">Equity </w:t>
            </w:r>
            <w:r w:rsidR="00F60C0B" w:rsidRPr="000F7457">
              <w:rPr>
                <w:rFonts w:ascii="Arial" w:hAnsi="Arial" w:cs="Arial"/>
                <w:color w:val="000000"/>
                <w:sz w:val="16"/>
                <w:szCs w:val="16"/>
              </w:rPr>
              <w:t>injection - a</w:t>
            </w:r>
            <w:r w:rsidRPr="000F7457">
              <w:rPr>
                <w:rFonts w:ascii="Arial" w:hAnsi="Arial" w:cs="Arial"/>
                <w:color w:val="000000"/>
                <w:sz w:val="16"/>
                <w:szCs w:val="16"/>
              </w:rPr>
              <w:t>ppropriation</w:t>
            </w:r>
          </w:p>
        </w:tc>
        <w:tc>
          <w:tcPr>
            <w:tcW w:w="106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2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106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r>
      <w:tr w:rsidR="000F7457" w:rsidRPr="000F7457" w:rsidTr="00FB2F0F">
        <w:trPr>
          <w:trHeight w:val="300"/>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Estimated closing balance</w:t>
            </w: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2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as at 30 June 2017</w:t>
            </w:r>
          </w:p>
        </w:tc>
        <w:tc>
          <w:tcPr>
            <w:tcW w:w="106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(4,831)</w:t>
            </w:r>
          </w:p>
        </w:tc>
        <w:tc>
          <w:tcPr>
            <w:tcW w:w="12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13,644</w:t>
            </w:r>
          </w:p>
        </w:tc>
        <w:tc>
          <w:tcPr>
            <w:tcW w:w="12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21,606</w:t>
            </w:r>
          </w:p>
        </w:tc>
        <w:tc>
          <w:tcPr>
            <w:tcW w:w="106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30,419</w:t>
            </w:r>
          </w:p>
        </w:tc>
      </w:tr>
    </w:tbl>
    <w:p w:rsidR="00FB2F0F" w:rsidRPr="000F7457" w:rsidRDefault="00FB2F0F">
      <w:pPr>
        <w:spacing w:after="0"/>
        <w:rPr>
          <w:rFonts w:ascii="Arial" w:hAnsi="Arial"/>
          <w:b/>
          <w:color w:val="000000"/>
          <w:sz w:val="18"/>
        </w:rPr>
      </w:pPr>
      <w:r w:rsidRPr="000F7457">
        <w:rPr>
          <w:color w:val="000000"/>
        </w:rPr>
        <w:br w:type="page"/>
      </w:r>
    </w:p>
    <w:p w:rsidR="008568AF" w:rsidRPr="000F7457" w:rsidRDefault="008568AF" w:rsidP="008568AF">
      <w:pPr>
        <w:pStyle w:val="TableReference"/>
        <w:rPr>
          <w:color w:val="000000"/>
        </w:rPr>
      </w:pPr>
      <w:r w:rsidRPr="000F7457">
        <w:rPr>
          <w:color w:val="000000"/>
        </w:rPr>
        <w:lastRenderedPageBreak/>
        <w:t xml:space="preserve">Table 3.4: Budgeted </w:t>
      </w:r>
      <w:r w:rsidR="00587F2C" w:rsidRPr="000F7457">
        <w:rPr>
          <w:color w:val="000000"/>
        </w:rPr>
        <w:t>D</w:t>
      </w:r>
      <w:r w:rsidRPr="000F7457">
        <w:rPr>
          <w:color w:val="000000"/>
        </w:rPr>
        <w:t xml:space="preserve">epartmental </w:t>
      </w:r>
      <w:r w:rsidR="00587F2C" w:rsidRPr="000F7457">
        <w:rPr>
          <w:color w:val="000000"/>
        </w:rPr>
        <w:t>S</w:t>
      </w:r>
      <w:r w:rsidRPr="000F7457">
        <w:rPr>
          <w:color w:val="000000"/>
        </w:rPr>
        <w:t xml:space="preserve">tatement of </w:t>
      </w:r>
      <w:r w:rsidR="00587F2C" w:rsidRPr="000F7457">
        <w:rPr>
          <w:color w:val="000000"/>
        </w:rPr>
        <w:t>C</w:t>
      </w:r>
      <w:r w:rsidRPr="000F7457">
        <w:rPr>
          <w:color w:val="000000"/>
        </w:rPr>
        <w:t xml:space="preserve">ash </w:t>
      </w:r>
      <w:r w:rsidR="00587F2C" w:rsidRPr="000F7457">
        <w:rPr>
          <w:color w:val="000000"/>
        </w:rPr>
        <w:t>F</w:t>
      </w:r>
      <w:r w:rsidRPr="000F7457">
        <w:rPr>
          <w:color w:val="000000"/>
        </w:rPr>
        <w:t>lows (for the period ended 30 June)</w:t>
      </w:r>
    </w:p>
    <w:tbl>
      <w:tblPr>
        <w:tblW w:w="7441" w:type="dxa"/>
        <w:tblInd w:w="93" w:type="dxa"/>
        <w:tblLook w:val="04A0" w:firstRow="1" w:lastRow="0" w:firstColumn="1" w:lastColumn="0" w:noHBand="0" w:noVBand="1"/>
        <w:tblCaption w:val="Table 3.4: Budgeted Departmental Statement of Cash Flows (for the period ended 30 June)"/>
        <w:tblDescription w:val="Budgeted cash flows as reflected in the statement of cash flows, provides important information on the extent and nature of cash flows by characterising them into expected cash flows from operating activities, investing activities and financing activities. Read the first column for the portfolio resources and then across the table for the amount for each appropriation movement. Note that there is no data for some categories."/>
      </w:tblPr>
      <w:tblGrid>
        <w:gridCol w:w="2860"/>
        <w:gridCol w:w="981"/>
        <w:gridCol w:w="900"/>
        <w:gridCol w:w="900"/>
        <w:gridCol w:w="900"/>
        <w:gridCol w:w="900"/>
      </w:tblGrid>
      <w:tr w:rsidR="000F7457" w:rsidRPr="000F7457" w:rsidTr="00FB2F0F">
        <w:trPr>
          <w:trHeight w:val="726"/>
        </w:trPr>
        <w:tc>
          <w:tcPr>
            <w:tcW w:w="2860" w:type="dxa"/>
            <w:tcBorders>
              <w:top w:val="single" w:sz="4" w:space="0" w:color="auto"/>
              <w:left w:val="nil"/>
              <w:bottom w:val="nil"/>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r w:rsidRPr="000F7457">
              <w:rPr>
                <w:rFonts w:ascii="Arial" w:hAnsi="Arial" w:cs="Arial"/>
                <w:color w:val="000000"/>
                <w:sz w:val="16"/>
                <w:szCs w:val="16"/>
              </w:rPr>
              <w:t> </w:t>
            </w:r>
          </w:p>
        </w:tc>
        <w:tc>
          <w:tcPr>
            <w:tcW w:w="981"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w:t>
            </w:r>
            <w:r w:rsidRPr="000F7457">
              <w:rPr>
                <w:rFonts w:ascii="Arial" w:hAnsi="Arial" w:cs="Arial"/>
                <w:b/>
                <w:bCs/>
                <w:color w:val="000000"/>
                <w:sz w:val="16"/>
                <w:szCs w:val="16"/>
              </w:rPr>
              <w:br/>
              <w:t>Estimated actual</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000000" w:fill="D9D9D9"/>
            <w:hideMark/>
          </w:tcPr>
          <w:p w:rsidR="00FB2F0F" w:rsidRPr="000F7457" w:rsidRDefault="00FB2F0F" w:rsidP="00087BA8">
            <w:pPr>
              <w:spacing w:before="40" w:after="0"/>
              <w:jc w:val="right"/>
              <w:rPr>
                <w:rFonts w:ascii="Arial" w:hAnsi="Arial" w:cs="Arial"/>
                <w:b/>
                <w:bCs/>
                <w:color w:val="000000"/>
                <w:sz w:val="16"/>
                <w:szCs w:val="16"/>
              </w:rPr>
            </w:pPr>
            <w:r w:rsidRPr="000F7457">
              <w:rPr>
                <w:rFonts w:ascii="Arial" w:hAnsi="Arial" w:cs="Arial"/>
                <w:b/>
                <w:bCs/>
                <w:color w:val="000000"/>
                <w:sz w:val="16"/>
                <w:szCs w:val="16"/>
              </w:rPr>
              <w:t>2016-17</w:t>
            </w:r>
            <w:r w:rsidRPr="000F7457">
              <w:rPr>
                <w:rFonts w:ascii="Arial" w:hAnsi="Arial" w:cs="Arial"/>
                <w:b/>
                <w:bCs/>
                <w:color w:val="000000"/>
                <w:sz w:val="16"/>
                <w:szCs w:val="16"/>
              </w:rPr>
              <w:br/>
              <w:t>Budget</w:t>
            </w:r>
            <w:r w:rsidRPr="000F7457">
              <w:rPr>
                <w:rFonts w:ascii="Arial" w:hAnsi="Arial" w:cs="Arial"/>
                <w:color w:val="000000"/>
                <w:sz w:val="16"/>
                <w:szCs w:val="16"/>
              </w:rPr>
              <w:br/>
            </w:r>
            <w:r w:rsidRPr="000F7457">
              <w:rPr>
                <w:rFonts w:ascii="Arial" w:hAnsi="Arial" w:cs="Arial"/>
                <w:color w:val="000000"/>
                <w:sz w:val="16"/>
                <w:szCs w:val="16"/>
              </w:rPr>
              <w:br/>
              <w:t>$'000</w:t>
            </w:r>
          </w:p>
        </w:tc>
        <w:tc>
          <w:tcPr>
            <w:tcW w:w="9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2017-18</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2018-19</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2019-20</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OPERATING ACTIVITIES</w:t>
            </w:r>
          </w:p>
        </w:tc>
        <w:tc>
          <w:tcPr>
            <w:tcW w:w="981" w:type="dxa"/>
            <w:tcBorders>
              <w:top w:val="single" w:sz="4" w:space="0" w:color="auto"/>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Cash received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Goods and services</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4,790</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4,790</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4,790</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4,790</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4,790</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Appropriations</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13,920</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13,049</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13,067</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13,135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13,215</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Net GST received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485</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485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485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485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485</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Other cash received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4,771</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4,771</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23,966</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23,095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23,113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23,181</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23,261</w:t>
            </w:r>
          </w:p>
        </w:tc>
      </w:tr>
      <w:tr w:rsidR="000F7457" w:rsidRPr="000F7457" w:rsidTr="00FB2F0F">
        <w:trPr>
          <w:trHeight w:val="300"/>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Cash used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Employees</w:t>
            </w:r>
          </w:p>
        </w:tc>
        <w:tc>
          <w:tcPr>
            <w:tcW w:w="981"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16,349</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16,503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16,498</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16,494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16,490</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Suppliers</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6,670</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5,891</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5,932</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6,004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6,088</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Net GST paid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701</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701</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683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683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683</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23,720</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23,095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23,113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23,181</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23,261</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Net cash from (or used by)</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operating activities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246</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r>
      <w:tr w:rsidR="000F7457" w:rsidRPr="000F7457" w:rsidTr="00FB2F0F">
        <w:trPr>
          <w:trHeight w:val="300"/>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INVESTING ACTIVITIES</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Cash used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 xml:space="preserve">Purchase of property, plant </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300" w:firstLine="480"/>
              <w:rPr>
                <w:rFonts w:ascii="Arial" w:hAnsi="Arial" w:cs="Arial"/>
                <w:color w:val="000000"/>
                <w:sz w:val="16"/>
                <w:szCs w:val="16"/>
              </w:rPr>
            </w:pPr>
            <w:r w:rsidRPr="000F7457">
              <w:rPr>
                <w:rFonts w:ascii="Arial" w:hAnsi="Arial" w:cs="Arial"/>
                <w:color w:val="000000"/>
                <w:sz w:val="16"/>
                <w:szCs w:val="16"/>
              </w:rPr>
              <w:t>and equipment</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1,979</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2,124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1,993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2,005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cash used</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087BA8">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Net cash from (or used by)</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investing activities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300"/>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FINANCING ACTIVITIES</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Cash received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Capital budget - Bill 1 (DCB)</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1,979</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2,124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1,993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2,005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Total cash received</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Net cash from (or used by)</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financing activities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300"/>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Net increase (or decrease)</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in cash held</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246</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Cash and cash equivalents at the</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beginning of the reporting period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1,511</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1,757</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1,757</w:t>
            </w:r>
          </w:p>
        </w:tc>
      </w:tr>
      <w:tr w:rsidR="000F7457" w:rsidRPr="000F7457" w:rsidTr="00FB2F0F">
        <w:trPr>
          <w:trHeight w:val="300"/>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 xml:space="preserve">Cash and cash equivalents at the </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end of the reporting period</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1,757</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1,757</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1,757</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1,757</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1,757</w:t>
            </w:r>
          </w:p>
        </w:tc>
      </w:tr>
    </w:tbl>
    <w:p w:rsidR="00FB2F0F" w:rsidRPr="000F7457" w:rsidRDefault="00FB2F0F">
      <w:pPr>
        <w:spacing w:after="0"/>
        <w:rPr>
          <w:rFonts w:ascii="Arial" w:hAnsi="Arial"/>
          <w:b/>
          <w:color w:val="000000"/>
          <w:sz w:val="18"/>
        </w:rPr>
      </w:pPr>
      <w:r w:rsidRPr="000F7457">
        <w:rPr>
          <w:color w:val="000000"/>
        </w:rPr>
        <w:br w:type="page"/>
      </w:r>
    </w:p>
    <w:p w:rsidR="008568AF" w:rsidRPr="000F7457" w:rsidRDefault="008568AF" w:rsidP="008568AF">
      <w:pPr>
        <w:pStyle w:val="TableReference"/>
        <w:rPr>
          <w:color w:val="000000"/>
        </w:rPr>
      </w:pPr>
      <w:r w:rsidRPr="000F7457">
        <w:rPr>
          <w:color w:val="000000"/>
        </w:rPr>
        <w:lastRenderedPageBreak/>
        <w:t xml:space="preserve">Table 3.5: </w:t>
      </w:r>
      <w:r w:rsidR="00587F2C" w:rsidRPr="000F7457">
        <w:rPr>
          <w:color w:val="000000"/>
        </w:rPr>
        <w:t>Departmental C</w:t>
      </w:r>
      <w:r w:rsidRPr="000F7457">
        <w:rPr>
          <w:color w:val="000000"/>
        </w:rPr>
        <w:t xml:space="preserve">apital </w:t>
      </w:r>
      <w:r w:rsidR="00587F2C" w:rsidRPr="000F7457">
        <w:rPr>
          <w:color w:val="000000"/>
        </w:rPr>
        <w:t>B</w:t>
      </w:r>
      <w:r w:rsidRPr="000F7457">
        <w:rPr>
          <w:color w:val="000000"/>
        </w:rPr>
        <w:t xml:space="preserve">udget </w:t>
      </w:r>
      <w:r w:rsidR="00587F2C" w:rsidRPr="000F7457">
        <w:rPr>
          <w:color w:val="000000"/>
        </w:rPr>
        <w:t>S</w:t>
      </w:r>
      <w:r w:rsidRPr="000F7457">
        <w:rPr>
          <w:color w:val="000000"/>
        </w:rPr>
        <w:t>tatement (for the period ended 30 June)</w:t>
      </w:r>
    </w:p>
    <w:tbl>
      <w:tblPr>
        <w:tblW w:w="7441" w:type="dxa"/>
        <w:tblInd w:w="93" w:type="dxa"/>
        <w:tblLook w:val="04A0" w:firstRow="1" w:lastRow="0" w:firstColumn="1" w:lastColumn="0" w:noHBand="0" w:noVBand="1"/>
        <w:tblCaption w:val="Table 3.5: Departmental Capital Budget Statement (for the period ended 30 June)"/>
        <w:tblDescription w:val="This table shows the appropriations from Government for the purchase of capital items and purchases of non-financial assets from capital and internal sources. Read the first column for the portfolio resources and then across the table for the amount for each appropriation movement. Note that there is no data for some categories."/>
      </w:tblPr>
      <w:tblGrid>
        <w:gridCol w:w="2860"/>
        <w:gridCol w:w="981"/>
        <w:gridCol w:w="900"/>
        <w:gridCol w:w="900"/>
        <w:gridCol w:w="900"/>
        <w:gridCol w:w="900"/>
      </w:tblGrid>
      <w:tr w:rsidR="000F7457" w:rsidRPr="000F7457" w:rsidTr="00FB2F0F">
        <w:trPr>
          <w:trHeight w:val="510"/>
        </w:trPr>
        <w:tc>
          <w:tcPr>
            <w:tcW w:w="2860" w:type="dxa"/>
            <w:tcBorders>
              <w:top w:val="single" w:sz="4" w:space="0" w:color="auto"/>
              <w:left w:val="nil"/>
              <w:bottom w:val="nil"/>
              <w:right w:val="nil"/>
            </w:tcBorders>
            <w:shd w:val="clear" w:color="auto" w:fill="auto"/>
            <w:hideMark/>
          </w:tcPr>
          <w:p w:rsidR="00FB2F0F" w:rsidRPr="000F7457" w:rsidRDefault="00FB2F0F" w:rsidP="00FB2F0F">
            <w:pPr>
              <w:spacing w:before="40" w:after="0"/>
              <w:jc w:val="right"/>
              <w:rPr>
                <w:rFonts w:ascii="Arial" w:hAnsi="Arial" w:cs="Arial"/>
                <w:color w:val="000000"/>
                <w:sz w:val="16"/>
                <w:szCs w:val="16"/>
              </w:rPr>
            </w:pPr>
            <w:r w:rsidRPr="000F7457">
              <w:rPr>
                <w:rFonts w:ascii="Arial" w:hAnsi="Arial" w:cs="Arial"/>
                <w:color w:val="000000"/>
                <w:sz w:val="16"/>
                <w:szCs w:val="16"/>
              </w:rPr>
              <w:t> </w:t>
            </w:r>
          </w:p>
        </w:tc>
        <w:tc>
          <w:tcPr>
            <w:tcW w:w="981"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2015-16</w:t>
            </w:r>
            <w:r w:rsidRPr="000F7457">
              <w:rPr>
                <w:rFonts w:ascii="Arial" w:hAnsi="Arial" w:cs="Arial"/>
                <w:b/>
                <w:bCs/>
                <w:color w:val="000000"/>
                <w:sz w:val="16"/>
                <w:szCs w:val="16"/>
              </w:rPr>
              <w:br/>
              <w:t>Estimated actual</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000000" w:fill="D9D9D9"/>
            <w:hideMark/>
          </w:tcPr>
          <w:p w:rsidR="00FB2F0F" w:rsidRPr="000F7457" w:rsidRDefault="00FB2F0F" w:rsidP="00087BA8">
            <w:pPr>
              <w:spacing w:before="40" w:after="0"/>
              <w:jc w:val="right"/>
              <w:rPr>
                <w:rFonts w:ascii="Arial" w:hAnsi="Arial" w:cs="Arial"/>
                <w:b/>
                <w:bCs/>
                <w:color w:val="000000"/>
                <w:sz w:val="16"/>
                <w:szCs w:val="16"/>
              </w:rPr>
            </w:pPr>
            <w:r w:rsidRPr="000F7457">
              <w:rPr>
                <w:rFonts w:ascii="Arial" w:hAnsi="Arial" w:cs="Arial"/>
                <w:b/>
                <w:bCs/>
                <w:color w:val="000000"/>
                <w:sz w:val="16"/>
                <w:szCs w:val="16"/>
              </w:rPr>
              <w:t>2016-17</w:t>
            </w:r>
            <w:r w:rsidRPr="000F7457">
              <w:rPr>
                <w:rFonts w:ascii="Arial" w:hAnsi="Arial" w:cs="Arial"/>
                <w:b/>
                <w:bCs/>
                <w:color w:val="000000"/>
                <w:sz w:val="16"/>
                <w:szCs w:val="16"/>
              </w:rPr>
              <w:br/>
              <w:t>Budget</w:t>
            </w:r>
            <w:r w:rsidRPr="000F7457">
              <w:rPr>
                <w:rFonts w:ascii="Arial" w:hAnsi="Arial" w:cs="Arial"/>
                <w:color w:val="000000"/>
                <w:sz w:val="16"/>
                <w:szCs w:val="16"/>
              </w:rPr>
              <w:br/>
            </w:r>
            <w:r w:rsidRPr="000F7457">
              <w:rPr>
                <w:rFonts w:ascii="Arial" w:hAnsi="Arial" w:cs="Arial"/>
                <w:color w:val="000000"/>
                <w:sz w:val="16"/>
                <w:szCs w:val="16"/>
              </w:rPr>
              <w:br/>
              <w:t>$'000</w:t>
            </w:r>
          </w:p>
        </w:tc>
        <w:tc>
          <w:tcPr>
            <w:tcW w:w="9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2017-18</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2018-19</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c>
          <w:tcPr>
            <w:tcW w:w="900"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2019-20</w:t>
            </w:r>
            <w:r w:rsidRPr="000F7457">
              <w:rPr>
                <w:rFonts w:ascii="Arial" w:hAnsi="Arial" w:cs="Arial"/>
                <w:b/>
                <w:bCs/>
                <w:color w:val="000000"/>
                <w:sz w:val="16"/>
                <w:szCs w:val="16"/>
              </w:rPr>
              <w:br/>
              <w:t xml:space="preserve">Forward estimate </w:t>
            </w:r>
            <w:r w:rsidRPr="000F7457">
              <w:rPr>
                <w:rFonts w:ascii="Arial" w:hAnsi="Arial" w:cs="Arial"/>
                <w:color w:val="000000"/>
                <w:sz w:val="16"/>
                <w:szCs w:val="16"/>
              </w:rPr>
              <w:t>$'000</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CAPITAL APPROPRIATIONS</w:t>
            </w:r>
          </w:p>
        </w:tc>
        <w:tc>
          <w:tcPr>
            <w:tcW w:w="981" w:type="dxa"/>
            <w:tcBorders>
              <w:top w:val="single" w:sz="4" w:space="0" w:color="auto"/>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single" w:sz="4" w:space="0" w:color="auto"/>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Capital budget - Bill 1 (DCB)</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1,979</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2,124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1,993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2,005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Equity injections - Bill 2</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capital appropriations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300"/>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Total new capital appropriations</w:t>
            </w:r>
          </w:p>
        </w:tc>
        <w:tc>
          <w:tcPr>
            <w:tcW w:w="981"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represented by:</w:t>
            </w:r>
          </w:p>
        </w:tc>
        <w:tc>
          <w:tcPr>
            <w:tcW w:w="981"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Purchase of non-financial assets</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1,979</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2,124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1,993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2,005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items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300"/>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PURCHASE OF NON-FINANCIAL</w:t>
            </w:r>
          </w:p>
        </w:tc>
        <w:tc>
          <w:tcPr>
            <w:tcW w:w="981"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ASSETS</w:t>
            </w:r>
          </w:p>
        </w:tc>
        <w:tc>
          <w:tcPr>
            <w:tcW w:w="981"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000000" w:fill="FFFFFF"/>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Funded by capital</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appropriation - DCB</w:t>
            </w:r>
            <w:r w:rsidRPr="000F7457">
              <w:rPr>
                <w:rFonts w:ascii="Arial" w:hAnsi="Arial" w:cs="Arial"/>
                <w:color w:val="000000"/>
                <w:sz w:val="16"/>
                <w:szCs w:val="16"/>
                <w:vertAlign w:val="superscript"/>
              </w:rPr>
              <w:t>1</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1,979</w:t>
            </w: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2,124</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1,993</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2,005</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acquisitions of</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non-financial assets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300"/>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RECONCILIATION OF CASH USED</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 ACQUIRE ASSETS TO</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ASSET MOVEMENT TABLE</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purchases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r w:rsidR="000F7457" w:rsidRPr="000F7457" w:rsidTr="00FB2F0F">
        <w:trPr>
          <w:trHeight w:val="225"/>
        </w:trPr>
        <w:tc>
          <w:tcPr>
            <w:tcW w:w="2860" w:type="dxa"/>
            <w:tcBorders>
              <w:top w:val="nil"/>
              <w:left w:val="nil"/>
              <w:bottom w:val="nil"/>
              <w:right w:val="nil"/>
            </w:tcBorders>
            <w:shd w:val="clear" w:color="000000" w:fill="FFFFFF"/>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cash used to acquire</w:t>
            </w:r>
          </w:p>
        </w:tc>
        <w:tc>
          <w:tcPr>
            <w:tcW w:w="98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 </w:t>
            </w: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00"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60" w:type="dxa"/>
            <w:tcBorders>
              <w:top w:val="nil"/>
              <w:left w:val="nil"/>
              <w:bottom w:val="single" w:sz="4" w:space="0" w:color="auto"/>
              <w:right w:val="nil"/>
            </w:tcBorders>
            <w:shd w:val="clear" w:color="000000" w:fill="FFFFFF"/>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assets</w:t>
            </w:r>
          </w:p>
        </w:tc>
        <w:tc>
          <w:tcPr>
            <w:tcW w:w="98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1,979</w:t>
            </w:r>
          </w:p>
        </w:tc>
        <w:tc>
          <w:tcPr>
            <w:tcW w:w="900" w:type="dxa"/>
            <w:tcBorders>
              <w:top w:val="nil"/>
              <w:left w:val="nil"/>
              <w:bottom w:val="single" w:sz="4" w:space="0" w:color="auto"/>
              <w:right w:val="nil"/>
            </w:tcBorders>
            <w:shd w:val="clear" w:color="000000" w:fill="D9D9D9"/>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1,993</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2,005</w:t>
            </w:r>
          </w:p>
        </w:tc>
        <w:tc>
          <w:tcPr>
            <w:tcW w:w="900"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2,023</w:t>
            </w:r>
          </w:p>
        </w:tc>
      </w:tr>
    </w:tbl>
    <w:p w:rsidR="008568AF" w:rsidRPr="000F7457" w:rsidRDefault="00FB2F0F" w:rsidP="000E47EF">
      <w:pPr>
        <w:pStyle w:val="FootnoteText"/>
        <w:spacing w:before="120"/>
        <w:rPr>
          <w:color w:val="000000"/>
        </w:rPr>
      </w:pPr>
      <w:r w:rsidRPr="000F7457">
        <w:rPr>
          <w:color w:val="000000"/>
          <w:vertAlign w:val="superscript"/>
        </w:rPr>
        <w:t>1</w:t>
      </w:r>
      <w:r w:rsidRPr="000F7457">
        <w:rPr>
          <w:color w:val="000000"/>
        </w:rPr>
        <w:tab/>
        <w:t xml:space="preserve">Does not include annual finance lease costs. </w:t>
      </w:r>
      <w:proofErr w:type="gramStart"/>
      <w:r w:rsidRPr="000F7457">
        <w:rPr>
          <w:color w:val="000000"/>
        </w:rPr>
        <w:t>Includes purchases from current and previous years' Departmental Capital Budgets</w:t>
      </w:r>
      <w:r w:rsidR="00AC1BDF" w:rsidRPr="000F7457">
        <w:rPr>
          <w:color w:val="000000"/>
        </w:rPr>
        <w:t xml:space="preserve"> (DCB)</w:t>
      </w:r>
      <w:r w:rsidRPr="000F7457">
        <w:rPr>
          <w:color w:val="000000"/>
        </w:rPr>
        <w:t>.</w:t>
      </w:r>
      <w:proofErr w:type="gramEnd"/>
    </w:p>
    <w:p w:rsidR="00FB2F0F" w:rsidRPr="000F7457" w:rsidRDefault="00FB2F0F">
      <w:pPr>
        <w:spacing w:after="0"/>
        <w:rPr>
          <w:rFonts w:ascii="Arial" w:hAnsi="Arial"/>
          <w:b/>
          <w:color w:val="000000"/>
          <w:sz w:val="18"/>
        </w:rPr>
      </w:pPr>
      <w:r w:rsidRPr="000F7457">
        <w:rPr>
          <w:color w:val="000000"/>
        </w:rPr>
        <w:br w:type="page"/>
      </w:r>
    </w:p>
    <w:p w:rsidR="008568AF" w:rsidRPr="000F7457" w:rsidRDefault="008568AF" w:rsidP="008568AF">
      <w:pPr>
        <w:pStyle w:val="TableReference"/>
        <w:rPr>
          <w:color w:val="000000"/>
        </w:rPr>
      </w:pPr>
      <w:r w:rsidRPr="000F7457">
        <w:rPr>
          <w:color w:val="000000"/>
        </w:rPr>
        <w:lastRenderedPageBreak/>
        <w:t xml:space="preserve">Table 3.6: </w:t>
      </w:r>
      <w:r w:rsidR="00587F2C" w:rsidRPr="000F7457">
        <w:rPr>
          <w:color w:val="000000"/>
        </w:rPr>
        <w:t>Statement of A</w:t>
      </w:r>
      <w:r w:rsidRPr="000F7457">
        <w:rPr>
          <w:color w:val="000000"/>
        </w:rPr>
        <w:t xml:space="preserve">sset </w:t>
      </w:r>
      <w:r w:rsidR="00587F2C" w:rsidRPr="000F7457">
        <w:rPr>
          <w:color w:val="000000"/>
        </w:rPr>
        <w:t>M</w:t>
      </w:r>
      <w:r w:rsidRPr="000F7457">
        <w:rPr>
          <w:color w:val="000000"/>
        </w:rPr>
        <w:t>ovements (Budget year 2016</w:t>
      </w:r>
      <w:r w:rsidRPr="000F7457">
        <w:rPr>
          <w:color w:val="000000"/>
        </w:rPr>
        <w:noBreakHyphen/>
        <w:t>17)</w:t>
      </w:r>
    </w:p>
    <w:tbl>
      <w:tblPr>
        <w:tblW w:w="7493" w:type="dxa"/>
        <w:tblInd w:w="93" w:type="dxa"/>
        <w:tblLook w:val="04A0" w:firstRow="1" w:lastRow="0" w:firstColumn="1" w:lastColumn="0" w:noHBand="0" w:noVBand="1"/>
        <w:tblCaption w:val="Table 3.6: Statement of Asset Movements (Budget year 2016-17)"/>
        <w:tblDescription w:val="This table shows the movements in asset classes through addition (e.g. purchases) and other movements (e.g. depreciation and amortisation). Read the first column for the portfolio resources and then across the table for the amount for each appropriation movement. Note that there is no data for some categories."/>
      </w:tblPr>
      <w:tblGrid>
        <w:gridCol w:w="2858"/>
        <w:gridCol w:w="701"/>
        <w:gridCol w:w="992"/>
        <w:gridCol w:w="1069"/>
        <w:gridCol w:w="1061"/>
        <w:gridCol w:w="812"/>
      </w:tblGrid>
      <w:tr w:rsidR="000F7457" w:rsidRPr="000F7457" w:rsidTr="00FB2F0F">
        <w:trPr>
          <w:trHeight w:val="794"/>
        </w:trPr>
        <w:tc>
          <w:tcPr>
            <w:tcW w:w="2858" w:type="dxa"/>
            <w:tcBorders>
              <w:top w:val="single" w:sz="4" w:space="0" w:color="auto"/>
              <w:left w:val="nil"/>
              <w:bottom w:val="nil"/>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p>
        </w:tc>
        <w:tc>
          <w:tcPr>
            <w:tcW w:w="701" w:type="dxa"/>
            <w:tcBorders>
              <w:top w:val="single" w:sz="4" w:space="0" w:color="auto"/>
              <w:left w:val="nil"/>
              <w:bottom w:val="single" w:sz="4" w:space="0" w:color="auto"/>
              <w:right w:val="nil"/>
            </w:tcBorders>
            <w:shd w:val="clear" w:color="auto" w:fill="auto"/>
            <w:hideMark/>
          </w:tcPr>
          <w:p w:rsidR="00FB2F0F" w:rsidRPr="000F7457" w:rsidRDefault="00FB2F0F" w:rsidP="007850AD">
            <w:pPr>
              <w:spacing w:before="40" w:after="0"/>
              <w:jc w:val="right"/>
              <w:rPr>
                <w:rFonts w:ascii="Arial" w:hAnsi="Arial" w:cs="Arial"/>
                <w:b/>
                <w:bCs/>
                <w:color w:val="000000"/>
                <w:sz w:val="16"/>
                <w:szCs w:val="16"/>
              </w:rPr>
            </w:pPr>
            <w:r w:rsidRPr="000F7457">
              <w:rPr>
                <w:rFonts w:ascii="Arial" w:hAnsi="Arial" w:cs="Arial"/>
                <w:b/>
                <w:bCs/>
                <w:color w:val="000000"/>
                <w:sz w:val="16"/>
                <w:szCs w:val="16"/>
              </w:rPr>
              <w:t>Land</w:t>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992" w:type="dxa"/>
            <w:tcBorders>
              <w:top w:val="single" w:sz="4" w:space="0" w:color="auto"/>
              <w:left w:val="nil"/>
              <w:bottom w:val="single" w:sz="4" w:space="0" w:color="auto"/>
              <w:right w:val="nil"/>
            </w:tcBorders>
            <w:shd w:val="clear" w:color="auto" w:fill="auto"/>
            <w:hideMark/>
          </w:tcPr>
          <w:p w:rsidR="00FB2F0F" w:rsidRPr="000F7457" w:rsidRDefault="00FB2F0F" w:rsidP="007850AD">
            <w:pPr>
              <w:spacing w:before="40" w:after="0"/>
              <w:jc w:val="right"/>
              <w:rPr>
                <w:rFonts w:ascii="Arial" w:hAnsi="Arial" w:cs="Arial"/>
                <w:b/>
                <w:bCs/>
                <w:color w:val="000000"/>
                <w:sz w:val="16"/>
                <w:szCs w:val="16"/>
              </w:rPr>
            </w:pPr>
            <w:r w:rsidRPr="000F7457">
              <w:rPr>
                <w:rFonts w:ascii="Arial" w:hAnsi="Arial" w:cs="Arial"/>
                <w:b/>
                <w:bCs/>
                <w:color w:val="000000"/>
                <w:sz w:val="16"/>
                <w:szCs w:val="16"/>
              </w:rPr>
              <w:t>Buildings</w:t>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1069" w:type="dxa"/>
            <w:tcBorders>
              <w:top w:val="single" w:sz="4" w:space="0" w:color="auto"/>
              <w:left w:val="nil"/>
              <w:bottom w:val="single" w:sz="4" w:space="0" w:color="auto"/>
              <w:right w:val="nil"/>
            </w:tcBorders>
            <w:shd w:val="clear" w:color="auto" w:fill="auto"/>
            <w:hideMark/>
          </w:tcPr>
          <w:p w:rsidR="00FB2F0F" w:rsidRPr="000F7457" w:rsidRDefault="00FB2F0F" w:rsidP="00FB2F0F">
            <w:pPr>
              <w:spacing w:before="40" w:after="0"/>
              <w:jc w:val="right"/>
              <w:rPr>
                <w:rFonts w:ascii="Arial" w:hAnsi="Arial" w:cs="Arial"/>
                <w:b/>
                <w:bCs/>
                <w:color w:val="000000"/>
                <w:sz w:val="16"/>
                <w:szCs w:val="16"/>
              </w:rPr>
            </w:pPr>
            <w:r w:rsidRPr="000F7457">
              <w:rPr>
                <w:rFonts w:ascii="Arial" w:hAnsi="Arial" w:cs="Arial"/>
                <w:b/>
                <w:bCs/>
                <w:color w:val="000000"/>
                <w:sz w:val="16"/>
                <w:szCs w:val="16"/>
              </w:rPr>
              <w:t xml:space="preserve">Other property, plant and equipment </w:t>
            </w:r>
            <w:r w:rsidRPr="000F7457">
              <w:rPr>
                <w:rFonts w:ascii="Arial" w:hAnsi="Arial" w:cs="Arial"/>
                <w:b/>
                <w:bCs/>
                <w:color w:val="000000"/>
                <w:sz w:val="16"/>
                <w:szCs w:val="16"/>
              </w:rPr>
              <w:br/>
            </w:r>
            <w:r w:rsidRPr="000F7457">
              <w:rPr>
                <w:rFonts w:ascii="Arial" w:hAnsi="Arial" w:cs="Arial"/>
                <w:color w:val="000000"/>
                <w:sz w:val="16"/>
                <w:szCs w:val="16"/>
              </w:rPr>
              <w:t>$'000</w:t>
            </w:r>
          </w:p>
        </w:tc>
        <w:tc>
          <w:tcPr>
            <w:tcW w:w="1061" w:type="dxa"/>
            <w:tcBorders>
              <w:top w:val="single" w:sz="4" w:space="0" w:color="auto"/>
              <w:left w:val="nil"/>
              <w:bottom w:val="single" w:sz="4" w:space="0" w:color="auto"/>
              <w:right w:val="nil"/>
            </w:tcBorders>
            <w:shd w:val="clear" w:color="auto" w:fill="auto"/>
            <w:hideMark/>
          </w:tcPr>
          <w:p w:rsidR="00FB2F0F" w:rsidRPr="000F7457" w:rsidRDefault="00FB2F0F" w:rsidP="007850AD">
            <w:pPr>
              <w:spacing w:before="40" w:after="0"/>
              <w:jc w:val="right"/>
              <w:rPr>
                <w:rFonts w:ascii="Arial" w:hAnsi="Arial" w:cs="Arial"/>
                <w:b/>
                <w:bCs/>
                <w:color w:val="000000"/>
                <w:sz w:val="16"/>
                <w:szCs w:val="16"/>
              </w:rPr>
            </w:pPr>
            <w:r w:rsidRPr="000F7457">
              <w:rPr>
                <w:rFonts w:ascii="Arial" w:hAnsi="Arial" w:cs="Arial"/>
                <w:b/>
                <w:bCs/>
                <w:color w:val="000000"/>
                <w:sz w:val="16"/>
                <w:szCs w:val="16"/>
              </w:rPr>
              <w:t>Intangibles</w:t>
            </w:r>
            <w:r w:rsidRPr="000F7457">
              <w:rPr>
                <w:rFonts w:ascii="Arial" w:hAnsi="Arial" w:cs="Arial"/>
                <w:color w:val="000000"/>
                <w:sz w:val="16"/>
                <w:szCs w:val="16"/>
              </w:rPr>
              <w:br/>
            </w:r>
            <w:r w:rsidRPr="000F7457">
              <w:rPr>
                <w:rFonts w:ascii="Arial" w:hAnsi="Arial" w:cs="Arial"/>
                <w:color w:val="000000"/>
                <w:sz w:val="16"/>
                <w:szCs w:val="16"/>
              </w:rPr>
              <w:br/>
            </w:r>
            <w:r w:rsidRPr="000F7457">
              <w:rPr>
                <w:rFonts w:ascii="Arial" w:hAnsi="Arial" w:cs="Arial"/>
                <w:color w:val="000000"/>
                <w:sz w:val="16"/>
                <w:szCs w:val="16"/>
              </w:rPr>
              <w:br/>
            </w:r>
            <w:r w:rsidRPr="000F7457">
              <w:rPr>
                <w:rFonts w:ascii="Arial" w:hAnsi="Arial" w:cs="Arial"/>
                <w:color w:val="000000"/>
                <w:sz w:val="16"/>
                <w:szCs w:val="16"/>
              </w:rPr>
              <w:br/>
              <w:t>$'000</w:t>
            </w:r>
          </w:p>
        </w:tc>
        <w:tc>
          <w:tcPr>
            <w:tcW w:w="812" w:type="dxa"/>
            <w:tcBorders>
              <w:top w:val="single" w:sz="4" w:space="0" w:color="auto"/>
              <w:left w:val="nil"/>
              <w:bottom w:val="single" w:sz="4" w:space="0" w:color="auto"/>
              <w:right w:val="nil"/>
            </w:tcBorders>
            <w:shd w:val="clear" w:color="auto" w:fill="auto"/>
            <w:hideMark/>
          </w:tcPr>
          <w:p w:rsidR="00FB2F0F" w:rsidRPr="000F7457" w:rsidRDefault="00FB2F0F" w:rsidP="007850AD">
            <w:pPr>
              <w:spacing w:before="40" w:after="0"/>
              <w:jc w:val="right"/>
              <w:rPr>
                <w:rFonts w:ascii="Arial" w:hAnsi="Arial" w:cs="Arial"/>
                <w:b/>
                <w:bCs/>
                <w:color w:val="000000"/>
                <w:sz w:val="16"/>
                <w:szCs w:val="16"/>
              </w:rPr>
            </w:pPr>
            <w:r w:rsidRPr="000F7457">
              <w:rPr>
                <w:rFonts w:ascii="Arial" w:hAnsi="Arial" w:cs="Arial"/>
                <w:b/>
                <w:bCs/>
                <w:color w:val="000000"/>
                <w:sz w:val="16"/>
                <w:szCs w:val="16"/>
              </w:rPr>
              <w:t>Total</w:t>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b/>
                <w:bCs/>
                <w:color w:val="000000"/>
                <w:sz w:val="16"/>
                <w:szCs w:val="16"/>
              </w:rPr>
              <w:br/>
            </w:r>
            <w:r w:rsidRPr="000F7457">
              <w:rPr>
                <w:rFonts w:ascii="Arial" w:hAnsi="Arial" w:cs="Arial"/>
                <w:color w:val="000000"/>
                <w:sz w:val="16"/>
                <w:szCs w:val="16"/>
              </w:rPr>
              <w:t>$'000</w:t>
            </w: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As at 1 July 2016</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 xml:space="preserve">Gross book value </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7,500</w:t>
            </w: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23,103</w:t>
            </w: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16,258</w:t>
            </w: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3,535</w:t>
            </w: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50,396</w:t>
            </w: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Accumulated depreciation</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amortisation and impairment</w:t>
            </w:r>
          </w:p>
        </w:tc>
        <w:tc>
          <w:tcPr>
            <w:tcW w:w="70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9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(6,081)</w:t>
            </w:r>
          </w:p>
        </w:tc>
        <w:tc>
          <w:tcPr>
            <w:tcW w:w="1069"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(10,691)</w:t>
            </w:r>
          </w:p>
        </w:tc>
        <w:tc>
          <w:tcPr>
            <w:tcW w:w="106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(2,898)</w:t>
            </w:r>
          </w:p>
        </w:tc>
        <w:tc>
          <w:tcPr>
            <w:tcW w:w="81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(19,670)</w:t>
            </w: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Opening net book balance</w:t>
            </w:r>
          </w:p>
        </w:tc>
        <w:tc>
          <w:tcPr>
            <w:tcW w:w="70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7,500</w:t>
            </w:r>
          </w:p>
        </w:tc>
        <w:tc>
          <w:tcPr>
            <w:tcW w:w="99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17,022</w:t>
            </w:r>
          </w:p>
        </w:tc>
        <w:tc>
          <w:tcPr>
            <w:tcW w:w="1069"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5,567</w:t>
            </w:r>
          </w:p>
        </w:tc>
        <w:tc>
          <w:tcPr>
            <w:tcW w:w="106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637</w:t>
            </w:r>
          </w:p>
        </w:tc>
        <w:tc>
          <w:tcPr>
            <w:tcW w:w="81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30,726</w:t>
            </w:r>
          </w:p>
        </w:tc>
      </w:tr>
      <w:tr w:rsidR="000F7457" w:rsidRPr="000F7457" w:rsidTr="00FB2F0F">
        <w:trPr>
          <w:trHeight w:val="300"/>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CAPITAL ASSET ADDITIONS</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3559" w:type="dxa"/>
            <w:gridSpan w:val="2"/>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Estimated expenditure on new or</w:t>
            </w: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1"/>
              <w:rPr>
                <w:rFonts w:ascii="Arial" w:hAnsi="Arial" w:cs="Arial"/>
                <w:b/>
                <w:bCs/>
                <w:color w:val="000000"/>
                <w:sz w:val="16"/>
                <w:szCs w:val="16"/>
              </w:rPr>
            </w:pPr>
            <w:r w:rsidRPr="000F7457">
              <w:rPr>
                <w:rFonts w:ascii="Arial" w:hAnsi="Arial" w:cs="Arial"/>
                <w:b/>
                <w:bCs/>
                <w:color w:val="000000"/>
                <w:sz w:val="16"/>
                <w:szCs w:val="16"/>
              </w:rPr>
              <w:t>replacement assets</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By purchase - appropriation</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ordinary annual services</w:t>
            </w:r>
          </w:p>
        </w:tc>
        <w:tc>
          <w:tcPr>
            <w:tcW w:w="70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9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785</w:t>
            </w:r>
          </w:p>
        </w:tc>
        <w:tc>
          <w:tcPr>
            <w:tcW w:w="1069"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742</w:t>
            </w:r>
          </w:p>
        </w:tc>
        <w:tc>
          <w:tcPr>
            <w:tcW w:w="106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597</w:t>
            </w:r>
          </w:p>
        </w:tc>
        <w:tc>
          <w:tcPr>
            <w:tcW w:w="81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additions</w:t>
            </w:r>
          </w:p>
        </w:tc>
        <w:tc>
          <w:tcPr>
            <w:tcW w:w="70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9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785</w:t>
            </w:r>
          </w:p>
        </w:tc>
        <w:tc>
          <w:tcPr>
            <w:tcW w:w="1069"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742</w:t>
            </w:r>
          </w:p>
        </w:tc>
        <w:tc>
          <w:tcPr>
            <w:tcW w:w="106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597</w:t>
            </w:r>
          </w:p>
        </w:tc>
        <w:tc>
          <w:tcPr>
            <w:tcW w:w="81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2,124</w:t>
            </w:r>
          </w:p>
        </w:tc>
      </w:tr>
      <w:tr w:rsidR="000F7457" w:rsidRPr="000F7457" w:rsidTr="00FB2F0F">
        <w:trPr>
          <w:trHeight w:val="300"/>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Other movements</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Depreciation/amortisation expense</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(580)</w:t>
            </w: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(1,159)</w:t>
            </w: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(432)</w:t>
            </w: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Total other movements</w:t>
            </w:r>
          </w:p>
        </w:tc>
        <w:tc>
          <w:tcPr>
            <w:tcW w:w="701" w:type="dxa"/>
            <w:tcBorders>
              <w:top w:val="single" w:sz="4" w:space="0" w:color="auto"/>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w:t>
            </w:r>
          </w:p>
        </w:tc>
        <w:tc>
          <w:tcPr>
            <w:tcW w:w="992" w:type="dxa"/>
            <w:tcBorders>
              <w:top w:val="single" w:sz="4" w:space="0" w:color="auto"/>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(580)</w:t>
            </w:r>
          </w:p>
        </w:tc>
        <w:tc>
          <w:tcPr>
            <w:tcW w:w="1069" w:type="dxa"/>
            <w:tcBorders>
              <w:top w:val="single" w:sz="4" w:space="0" w:color="auto"/>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(1,159)</w:t>
            </w:r>
          </w:p>
        </w:tc>
        <w:tc>
          <w:tcPr>
            <w:tcW w:w="1061" w:type="dxa"/>
            <w:tcBorders>
              <w:top w:val="single" w:sz="4" w:space="0" w:color="auto"/>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(432)</w:t>
            </w:r>
          </w:p>
        </w:tc>
        <w:tc>
          <w:tcPr>
            <w:tcW w:w="812" w:type="dxa"/>
            <w:tcBorders>
              <w:top w:val="single" w:sz="4" w:space="0" w:color="auto"/>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(2,171)</w:t>
            </w:r>
          </w:p>
        </w:tc>
      </w:tr>
      <w:tr w:rsidR="000F7457" w:rsidRPr="000F7457" w:rsidTr="00FB2F0F">
        <w:trPr>
          <w:trHeight w:val="300"/>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rPr>
                <w:rFonts w:ascii="Arial" w:hAnsi="Arial" w:cs="Arial"/>
                <w:b/>
                <w:bCs/>
                <w:color w:val="000000"/>
                <w:sz w:val="16"/>
                <w:szCs w:val="16"/>
              </w:rPr>
            </w:pPr>
            <w:r w:rsidRPr="000F7457">
              <w:rPr>
                <w:rFonts w:ascii="Arial" w:hAnsi="Arial" w:cs="Arial"/>
                <w:b/>
                <w:bCs/>
                <w:color w:val="000000"/>
                <w:sz w:val="16"/>
                <w:szCs w:val="16"/>
              </w:rPr>
              <w:t>As at 30 June 2017</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Gross book value</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7,500</w:t>
            </w: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23,888</w:t>
            </w: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17,000</w:t>
            </w: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4,132</w:t>
            </w: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52,520</w:t>
            </w: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100" w:firstLine="160"/>
              <w:rPr>
                <w:rFonts w:ascii="Arial" w:hAnsi="Arial" w:cs="Arial"/>
                <w:color w:val="000000"/>
                <w:sz w:val="16"/>
                <w:szCs w:val="16"/>
              </w:rPr>
            </w:pPr>
            <w:r w:rsidRPr="000F7457">
              <w:rPr>
                <w:rFonts w:ascii="Arial" w:hAnsi="Arial" w:cs="Arial"/>
                <w:color w:val="000000"/>
                <w:sz w:val="16"/>
                <w:szCs w:val="16"/>
              </w:rPr>
              <w:t>Accumulated depreciation</w:t>
            </w:r>
          </w:p>
        </w:tc>
        <w:tc>
          <w:tcPr>
            <w:tcW w:w="70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99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9"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1061"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p>
        </w:tc>
        <w:tc>
          <w:tcPr>
            <w:tcW w:w="812" w:type="dxa"/>
            <w:tcBorders>
              <w:top w:val="nil"/>
              <w:left w:val="nil"/>
              <w:bottom w:val="nil"/>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p>
        </w:tc>
      </w:tr>
      <w:tr w:rsidR="000F7457" w:rsidRPr="000F7457" w:rsidTr="00FB2F0F">
        <w:trPr>
          <w:trHeight w:val="225"/>
        </w:trPr>
        <w:tc>
          <w:tcPr>
            <w:tcW w:w="2858" w:type="dxa"/>
            <w:tcBorders>
              <w:top w:val="nil"/>
              <w:left w:val="nil"/>
              <w:bottom w:val="nil"/>
              <w:right w:val="nil"/>
            </w:tcBorders>
            <w:shd w:val="clear" w:color="auto" w:fill="auto"/>
            <w:noWrap/>
            <w:vAlign w:val="bottom"/>
            <w:hideMark/>
          </w:tcPr>
          <w:p w:rsidR="00FB2F0F" w:rsidRPr="000F7457" w:rsidRDefault="00FB2F0F" w:rsidP="00FB2F0F">
            <w:pPr>
              <w:spacing w:after="0"/>
              <w:ind w:firstLineChars="200" w:firstLine="320"/>
              <w:rPr>
                <w:rFonts w:ascii="Arial" w:hAnsi="Arial" w:cs="Arial"/>
                <w:color w:val="000000"/>
                <w:sz w:val="16"/>
                <w:szCs w:val="16"/>
              </w:rPr>
            </w:pPr>
            <w:r w:rsidRPr="000F7457">
              <w:rPr>
                <w:rFonts w:ascii="Arial" w:hAnsi="Arial" w:cs="Arial"/>
                <w:color w:val="000000"/>
                <w:sz w:val="16"/>
                <w:szCs w:val="16"/>
              </w:rPr>
              <w:t>amortisation and impairment</w:t>
            </w:r>
          </w:p>
        </w:tc>
        <w:tc>
          <w:tcPr>
            <w:tcW w:w="70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w:t>
            </w:r>
          </w:p>
        </w:tc>
        <w:tc>
          <w:tcPr>
            <w:tcW w:w="99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(6,661)</w:t>
            </w:r>
          </w:p>
        </w:tc>
        <w:tc>
          <w:tcPr>
            <w:tcW w:w="1069"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(11,850)</w:t>
            </w:r>
          </w:p>
        </w:tc>
        <w:tc>
          <w:tcPr>
            <w:tcW w:w="106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color w:val="000000"/>
                <w:sz w:val="16"/>
                <w:szCs w:val="16"/>
              </w:rPr>
            </w:pPr>
            <w:r w:rsidRPr="000F7457">
              <w:rPr>
                <w:rFonts w:ascii="Arial" w:hAnsi="Arial" w:cs="Arial"/>
                <w:color w:val="000000"/>
                <w:sz w:val="16"/>
                <w:szCs w:val="16"/>
              </w:rPr>
              <w:t>(3,330)</w:t>
            </w:r>
          </w:p>
        </w:tc>
        <w:tc>
          <w:tcPr>
            <w:tcW w:w="81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(21,841)</w:t>
            </w:r>
          </w:p>
        </w:tc>
      </w:tr>
      <w:tr w:rsidR="00FB2F0F" w:rsidRPr="000F7457" w:rsidTr="00FB2F0F">
        <w:trPr>
          <w:trHeight w:val="225"/>
        </w:trPr>
        <w:tc>
          <w:tcPr>
            <w:tcW w:w="2858"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ind w:firstLineChars="100" w:firstLine="161"/>
              <w:rPr>
                <w:rFonts w:ascii="Arial" w:hAnsi="Arial" w:cs="Arial"/>
                <w:b/>
                <w:bCs/>
                <w:color w:val="000000"/>
                <w:sz w:val="16"/>
                <w:szCs w:val="16"/>
              </w:rPr>
            </w:pPr>
            <w:r w:rsidRPr="000F7457">
              <w:rPr>
                <w:rFonts w:ascii="Arial" w:hAnsi="Arial" w:cs="Arial"/>
                <w:b/>
                <w:bCs/>
                <w:color w:val="000000"/>
                <w:sz w:val="16"/>
                <w:szCs w:val="16"/>
              </w:rPr>
              <w:t>Closing net book balance</w:t>
            </w:r>
          </w:p>
        </w:tc>
        <w:tc>
          <w:tcPr>
            <w:tcW w:w="70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7,500</w:t>
            </w:r>
          </w:p>
        </w:tc>
        <w:tc>
          <w:tcPr>
            <w:tcW w:w="99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17,227</w:t>
            </w:r>
          </w:p>
        </w:tc>
        <w:tc>
          <w:tcPr>
            <w:tcW w:w="1069"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5,150</w:t>
            </w:r>
          </w:p>
        </w:tc>
        <w:tc>
          <w:tcPr>
            <w:tcW w:w="1061"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802</w:t>
            </w:r>
          </w:p>
        </w:tc>
        <w:tc>
          <w:tcPr>
            <w:tcW w:w="812" w:type="dxa"/>
            <w:tcBorders>
              <w:top w:val="nil"/>
              <w:left w:val="nil"/>
              <w:bottom w:val="single" w:sz="4" w:space="0" w:color="auto"/>
              <w:right w:val="nil"/>
            </w:tcBorders>
            <w:shd w:val="clear" w:color="auto" w:fill="auto"/>
            <w:noWrap/>
            <w:vAlign w:val="bottom"/>
            <w:hideMark/>
          </w:tcPr>
          <w:p w:rsidR="00FB2F0F" w:rsidRPr="000F7457" w:rsidRDefault="00FB2F0F" w:rsidP="00FB2F0F">
            <w:pPr>
              <w:spacing w:after="0"/>
              <w:jc w:val="right"/>
              <w:rPr>
                <w:rFonts w:ascii="Arial" w:hAnsi="Arial" w:cs="Arial"/>
                <w:b/>
                <w:bCs/>
                <w:color w:val="000000"/>
                <w:sz w:val="16"/>
                <w:szCs w:val="16"/>
              </w:rPr>
            </w:pPr>
            <w:r w:rsidRPr="000F7457">
              <w:rPr>
                <w:rFonts w:ascii="Arial" w:hAnsi="Arial" w:cs="Arial"/>
                <w:b/>
                <w:bCs/>
                <w:color w:val="000000"/>
                <w:sz w:val="16"/>
                <w:szCs w:val="16"/>
              </w:rPr>
              <w:t>30,679</w:t>
            </w:r>
          </w:p>
        </w:tc>
      </w:tr>
    </w:tbl>
    <w:p w:rsidR="008568AF" w:rsidRPr="000F7457" w:rsidRDefault="008568AF" w:rsidP="008568AF">
      <w:pPr>
        <w:rPr>
          <w:color w:val="000000"/>
        </w:rPr>
      </w:pPr>
    </w:p>
    <w:sectPr w:rsidR="008568AF" w:rsidRPr="000F7457" w:rsidSect="00A144DA">
      <w:headerReference w:type="even" r:id="rId21"/>
      <w:headerReference w:type="default" r:id="rId22"/>
      <w:pgSz w:w="11906" w:h="16838" w:code="9"/>
      <w:pgMar w:top="2665" w:right="2268" w:bottom="2126" w:left="2268" w:header="1899"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26" w:rsidRDefault="00045526" w:rsidP="00E45C02">
      <w:pPr>
        <w:spacing w:after="0"/>
      </w:pPr>
      <w:r>
        <w:separator/>
      </w:r>
    </w:p>
  </w:endnote>
  <w:endnote w:type="continuationSeparator" w:id="0">
    <w:p w:rsidR="00045526" w:rsidRDefault="00045526" w:rsidP="00E45C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4649545"/>
      <w:docPartObj>
        <w:docPartGallery w:val="Page Numbers (Bottom of Page)"/>
        <w:docPartUnique/>
      </w:docPartObj>
    </w:sdtPr>
    <w:sdtEndPr/>
    <w:sdtContent>
      <w:p w:rsidR="00045526" w:rsidRPr="00B93660" w:rsidRDefault="00045526" w:rsidP="002D6A42">
        <w:pPr>
          <w:pStyle w:val="Footer"/>
          <w:pBdr>
            <w:top w:val="none" w:sz="0" w:space="0" w:color="auto"/>
          </w:pBdr>
        </w:pPr>
        <w:r w:rsidRPr="00B93660">
          <w:fldChar w:fldCharType="begin"/>
        </w:r>
        <w:r w:rsidRPr="00B93660">
          <w:instrText xml:space="preserve"> PAGE   \* MERGEFORMAT </w:instrText>
        </w:r>
        <w:r w:rsidRPr="00B93660">
          <w:fldChar w:fldCharType="separate"/>
        </w:r>
        <w:r w:rsidR="00202CA7">
          <w:rPr>
            <w:noProof/>
          </w:rPr>
          <w:t>236</w:t>
        </w:r>
        <w:r w:rsidRPr="00B93660">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675040"/>
      <w:docPartObj>
        <w:docPartGallery w:val="Page Numbers (Bottom of Page)"/>
        <w:docPartUnique/>
      </w:docPartObj>
    </w:sdtPr>
    <w:sdtEndPr/>
    <w:sdtContent>
      <w:p w:rsidR="00045526" w:rsidRPr="00DC6E9A" w:rsidRDefault="00045526">
        <w:pPr>
          <w:pStyle w:val="Footer"/>
        </w:pPr>
        <w:r w:rsidRPr="00DC6E9A">
          <w:fldChar w:fldCharType="begin"/>
        </w:r>
        <w:r w:rsidRPr="00DC6E9A">
          <w:instrText xml:space="preserve"> PAGE   \* MERGEFORMAT </w:instrText>
        </w:r>
        <w:r w:rsidRPr="00DC6E9A">
          <w:fldChar w:fldCharType="separate"/>
        </w:r>
        <w:r>
          <w:rPr>
            <w:noProof/>
          </w:rPr>
          <w:t>3</w:t>
        </w:r>
        <w:r w:rsidRPr="00DC6E9A">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85872"/>
      <w:docPartObj>
        <w:docPartGallery w:val="Page Numbers (Bottom of Page)"/>
        <w:docPartUnique/>
      </w:docPartObj>
    </w:sdtPr>
    <w:sdtEndPr/>
    <w:sdtContent>
      <w:p w:rsidR="00045526" w:rsidRDefault="00045526" w:rsidP="00661A1E">
        <w:pPr>
          <w:pStyle w:val="Footer"/>
          <w:pBdr>
            <w:top w:val="none" w:sz="0" w:space="0" w:color="auto"/>
          </w:pBdr>
        </w:pPr>
        <w:r w:rsidRPr="00B93660">
          <w:fldChar w:fldCharType="begin"/>
        </w:r>
        <w:r w:rsidRPr="00B93660">
          <w:instrText xml:space="preserve"> PAGE   \* MERGEFORMAT </w:instrText>
        </w:r>
        <w:r w:rsidRPr="00B93660">
          <w:fldChar w:fldCharType="separate"/>
        </w:r>
        <w:r w:rsidR="007850AD">
          <w:rPr>
            <w:noProof/>
          </w:rPr>
          <w:t>235</w:t>
        </w:r>
        <w:r w:rsidRPr="00B93660">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58959"/>
      <w:docPartObj>
        <w:docPartGallery w:val="Page Numbers (Bottom of Page)"/>
        <w:docPartUnique/>
      </w:docPartObj>
    </w:sdtPr>
    <w:sdtEndPr/>
    <w:sdtContent>
      <w:p w:rsidR="00045526" w:rsidRDefault="00045526" w:rsidP="00074593">
        <w:pPr>
          <w:pStyle w:val="Footer"/>
        </w:pPr>
        <w:r w:rsidRPr="00DC6E9A">
          <w:fldChar w:fldCharType="begin"/>
        </w:r>
        <w:r w:rsidRPr="00DC6E9A">
          <w:instrText xml:space="preserve"> PAGE   \* MERGEFORMAT </w:instrText>
        </w:r>
        <w:r w:rsidRPr="00DC6E9A">
          <w:fldChar w:fldCharType="separate"/>
        </w:r>
        <w:r w:rsidR="00202CA7">
          <w:rPr>
            <w:noProof/>
          </w:rPr>
          <w:t>237</w:t>
        </w:r>
        <w:r w:rsidRPr="00DC6E9A">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369309"/>
      <w:docPartObj>
        <w:docPartGallery w:val="Page Numbers (Bottom of Page)"/>
        <w:docPartUnique/>
      </w:docPartObj>
    </w:sdtPr>
    <w:sdtEndPr/>
    <w:sdtContent>
      <w:p w:rsidR="00045526" w:rsidRPr="00B93660" w:rsidRDefault="00045526" w:rsidP="00B93660">
        <w:pPr>
          <w:pStyle w:val="Footer"/>
        </w:pPr>
        <w:r w:rsidRPr="00B93660">
          <w:fldChar w:fldCharType="begin"/>
        </w:r>
        <w:r w:rsidRPr="00B93660">
          <w:instrText xml:space="preserve"> PAGE   \* MERGEFORMAT </w:instrText>
        </w:r>
        <w:r w:rsidRPr="00B93660">
          <w:fldChar w:fldCharType="separate"/>
        </w:r>
        <w:r w:rsidR="00202CA7">
          <w:rPr>
            <w:noProof/>
          </w:rPr>
          <w:t>246</w:t>
        </w:r>
        <w:r w:rsidRPr="00B93660">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100445"/>
      <w:docPartObj>
        <w:docPartGallery w:val="Page Numbers (Bottom of Page)"/>
        <w:docPartUnique/>
      </w:docPartObj>
    </w:sdtPr>
    <w:sdtEndPr/>
    <w:sdtContent>
      <w:p w:rsidR="00045526" w:rsidRPr="00DC6E9A" w:rsidRDefault="00045526">
        <w:pPr>
          <w:pStyle w:val="Footer"/>
        </w:pPr>
        <w:r w:rsidRPr="00DC6E9A">
          <w:fldChar w:fldCharType="begin"/>
        </w:r>
        <w:r w:rsidRPr="00DC6E9A">
          <w:instrText xml:space="preserve"> PAGE   \* MERGEFORMAT </w:instrText>
        </w:r>
        <w:r w:rsidRPr="00DC6E9A">
          <w:fldChar w:fldCharType="separate"/>
        </w:r>
        <w:r w:rsidR="00202CA7">
          <w:rPr>
            <w:noProof/>
          </w:rPr>
          <w:t>245</w:t>
        </w:r>
        <w:r w:rsidRPr="00DC6E9A">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26" w:rsidRDefault="00045526" w:rsidP="00E45C02">
      <w:pPr>
        <w:spacing w:after="0"/>
      </w:pPr>
      <w:r>
        <w:separator/>
      </w:r>
    </w:p>
  </w:footnote>
  <w:footnote w:type="continuationSeparator" w:id="0">
    <w:p w:rsidR="00045526" w:rsidRDefault="00045526" w:rsidP="00E45C02">
      <w:pPr>
        <w:spacing w:after="0"/>
      </w:pPr>
      <w:r>
        <w:continuationSeparator/>
      </w:r>
    </w:p>
  </w:footnote>
  <w:footnote w:id="1">
    <w:p w:rsidR="00045526" w:rsidRPr="000F7457" w:rsidRDefault="00045526" w:rsidP="00AE797C">
      <w:pPr>
        <w:pStyle w:val="FootnoteText"/>
        <w:tabs>
          <w:tab w:val="clear" w:pos="284"/>
        </w:tabs>
        <w:rPr>
          <w:color w:val="000000"/>
        </w:rPr>
      </w:pPr>
      <w:r w:rsidRPr="000F7457">
        <w:rPr>
          <w:rStyle w:val="FootnoteReference"/>
          <w:color w:val="000000"/>
        </w:rPr>
        <w:footnoteRef/>
      </w:r>
      <w:r w:rsidRPr="000F7457">
        <w:rPr>
          <w:color w:val="000000"/>
        </w:rPr>
        <w:t xml:space="preserve"> </w:t>
      </w:r>
      <w:r w:rsidRPr="000F7457">
        <w:rPr>
          <w:color w:val="000000"/>
        </w:rPr>
        <w:tab/>
        <w:t>Ionising radiation can produce ionisation in matter, for example, gamma rays and x-rays. They have sufficient energy to damage DNA. Non-ionising radiation does not produce ionisation in matter, for example, ultraviolet and radio frequency radiation.</w:t>
      </w:r>
    </w:p>
  </w:footnote>
  <w:footnote w:id="2">
    <w:p w:rsidR="00045526" w:rsidRPr="000F7457" w:rsidRDefault="00045526" w:rsidP="0014145E">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t xml:space="preserve">Progress against the performance criteria published in </w:t>
      </w:r>
      <w:r w:rsidRPr="000F7457">
        <w:rPr>
          <w:i/>
          <w:color w:val="000000"/>
        </w:rPr>
        <w:t>the 2015-16 Portfolio Budget Statements</w:t>
      </w:r>
      <w:r w:rsidRPr="000F7457">
        <w:rPr>
          <w:color w:val="000000"/>
        </w:rPr>
        <w:t xml:space="preserve"> will be reported </w:t>
      </w:r>
      <w:proofErr w:type="gramStart"/>
      <w:r w:rsidRPr="000F7457">
        <w:rPr>
          <w:color w:val="000000"/>
        </w:rPr>
        <w:t>in the 2015-16 ARPANSA Annual Report</w:t>
      </w:r>
      <w:proofErr w:type="gramEnd"/>
      <w:r w:rsidRPr="000F7457">
        <w:rPr>
          <w:color w:val="000000"/>
        </w:rPr>
        <w:t>.</w:t>
      </w:r>
    </w:p>
  </w:footnote>
  <w:footnote w:id="3">
    <w:p w:rsidR="00045526" w:rsidRPr="000F7457" w:rsidRDefault="00045526">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t xml:space="preserve">This purpose text will be reflected </w:t>
      </w:r>
      <w:proofErr w:type="gramStart"/>
      <w:r w:rsidRPr="000F7457">
        <w:rPr>
          <w:color w:val="000000"/>
        </w:rPr>
        <w:t>in the 2016-17 ARPANSA Corporate Plan</w:t>
      </w:r>
      <w:proofErr w:type="gramEnd"/>
      <w:r w:rsidRPr="000F7457">
        <w:rPr>
          <w:color w:val="000000"/>
        </w:rPr>
        <w:t>.</w:t>
      </w:r>
    </w:p>
  </w:footnote>
  <w:footnote w:id="4">
    <w:p w:rsidR="00045526" w:rsidRPr="000F7457" w:rsidRDefault="00045526" w:rsidP="00045526">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t>This performance criterion was revised to refer to ARPANSA’s role in advising a wide range of stakeholders, with each group to be assessed by targeted surveys.</w:t>
      </w:r>
    </w:p>
  </w:footnote>
  <w:footnote w:id="5">
    <w:p w:rsidR="00045526" w:rsidRPr="000F7457" w:rsidRDefault="00045526">
      <w:pPr>
        <w:pStyle w:val="FootnoteText"/>
        <w:rPr>
          <w:color w:val="000000"/>
        </w:rPr>
      </w:pPr>
      <w:r w:rsidRPr="000F7457">
        <w:rPr>
          <w:rStyle w:val="FootnoteReference"/>
          <w:color w:val="000000"/>
        </w:rPr>
        <w:footnoteRef/>
      </w:r>
      <w:r w:rsidRPr="000F7457">
        <w:rPr>
          <w:color w:val="000000"/>
        </w:rPr>
        <w:tab/>
        <w:t>This is a new performance criterion for 2016-</w:t>
      </w:r>
      <w:proofErr w:type="gramStart"/>
      <w:r w:rsidRPr="000F7457">
        <w:rPr>
          <w:color w:val="000000"/>
        </w:rPr>
        <w:t>17,</w:t>
      </w:r>
      <w:proofErr w:type="gramEnd"/>
      <w:r w:rsidRPr="000F7457">
        <w:rPr>
          <w:color w:val="000000"/>
        </w:rPr>
        <w:t xml:space="preserve"> therefore there is no target for 2015</w:t>
      </w:r>
      <w:r w:rsidRPr="000F7457">
        <w:rPr>
          <w:color w:val="000000"/>
        </w:rPr>
        <w:noBreakHyphen/>
        <w:t>16.</w:t>
      </w:r>
    </w:p>
  </w:footnote>
  <w:footnote w:id="6">
    <w:p w:rsidR="00045526" w:rsidRPr="000F7457" w:rsidRDefault="00045526" w:rsidP="00CB03D6">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t>Diagnostic Reference Levels allow facilities to compare operating standards against their peers and international best practice.</w:t>
      </w:r>
    </w:p>
  </w:footnote>
  <w:footnote w:id="7">
    <w:p w:rsidR="00045526" w:rsidRPr="000F7457" w:rsidRDefault="00045526">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t>This is a new performance criterion for 2016-</w:t>
      </w:r>
      <w:proofErr w:type="gramStart"/>
      <w:r w:rsidRPr="000F7457">
        <w:rPr>
          <w:color w:val="000000"/>
        </w:rPr>
        <w:t>17,</w:t>
      </w:r>
      <w:proofErr w:type="gramEnd"/>
      <w:r w:rsidRPr="000F7457">
        <w:rPr>
          <w:color w:val="000000"/>
        </w:rPr>
        <w:t xml:space="preserve"> therefore there is no target for 2015-16.</w:t>
      </w:r>
    </w:p>
  </w:footnote>
  <w:footnote w:id="8">
    <w:p w:rsidR="00045526" w:rsidRPr="000F7457" w:rsidRDefault="00045526" w:rsidP="00045526">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r>
      <w:r w:rsidRPr="000F7457">
        <w:rPr>
          <w:color w:val="000000"/>
          <w:szCs w:val="16"/>
        </w:rPr>
        <w:t>From 2016-17, a user contribution to the operational cost will be required from providers. This may lead to a reduction in the number of participating providers</w:t>
      </w:r>
      <w:r w:rsidRPr="000F7457">
        <w:rPr>
          <w:color w:val="000000"/>
        </w:rPr>
        <w:t>.</w:t>
      </w:r>
    </w:p>
  </w:footnote>
  <w:footnote w:id="9">
    <w:p w:rsidR="00045526" w:rsidRPr="000F7457" w:rsidRDefault="00045526">
      <w:pPr>
        <w:pStyle w:val="FootnoteText"/>
        <w:rPr>
          <w:color w:val="000000"/>
        </w:rPr>
      </w:pPr>
      <w:r w:rsidRPr="000F7457">
        <w:rPr>
          <w:rStyle w:val="FootnoteReference"/>
          <w:color w:val="000000"/>
        </w:rPr>
        <w:footnoteRef/>
      </w:r>
      <w:r w:rsidRPr="000F7457">
        <w:rPr>
          <w:color w:val="000000"/>
        </w:rPr>
        <w:t xml:space="preserve"> </w:t>
      </w:r>
      <w:r w:rsidRPr="000F7457">
        <w:rPr>
          <w:color w:val="000000"/>
        </w:rPr>
        <w:tab/>
        <w:t>This is a new performance criterion for 2016-</w:t>
      </w:r>
      <w:proofErr w:type="gramStart"/>
      <w:r w:rsidRPr="000F7457">
        <w:rPr>
          <w:color w:val="000000"/>
        </w:rPr>
        <w:t>17,</w:t>
      </w:r>
      <w:proofErr w:type="gramEnd"/>
      <w:r w:rsidRPr="000F7457">
        <w:rPr>
          <w:color w:val="000000"/>
        </w:rPr>
        <w:t xml:space="preserve"> therefore there is no target for 2015-16.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Pr="007639D4" w:rsidRDefault="00045526" w:rsidP="0011675D">
    <w:pPr>
      <w:framePr w:w="851" w:h="1701" w:hRule="exact" w:wrap="around" w:vAnchor="page" w:hAnchor="margin" w:x="7939" w:y="2666" w:anchorLock="1"/>
      <w:shd w:val="pct95" w:color="auto" w:fill="auto"/>
      <w:jc w:val="center"/>
      <w:textDirection w:val="btLr"/>
      <w:rPr>
        <w:rFonts w:ascii="Arial" w:hAnsi="Arial" w:cs="Arial"/>
        <w:spacing w:val="20"/>
        <w:sz w:val="8"/>
        <w:szCs w:val="8"/>
      </w:rPr>
    </w:pPr>
  </w:p>
  <w:p w:rsidR="00045526" w:rsidRPr="007639D4" w:rsidRDefault="00045526" w:rsidP="0011675D">
    <w:pPr>
      <w:framePr w:w="851" w:h="1701" w:hRule="exact" w:wrap="around" w:vAnchor="page" w:hAnchor="margin" w:x="7939" w:y="2666" w:anchorLock="1"/>
      <w:shd w:val="pct95" w:color="auto" w:fill="auto"/>
      <w:jc w:val="center"/>
      <w:textDirection w:val="btLr"/>
      <w:rPr>
        <w:rFonts w:ascii="Arial Bold" w:hAnsi="Arial Bold" w:cs="Arial"/>
        <w:b/>
        <w:spacing w:val="10"/>
      </w:rPr>
    </w:pPr>
    <w:r>
      <w:rPr>
        <w:rFonts w:ascii="Arial" w:hAnsi="Arial" w:cs="Arial"/>
        <w:spacing w:val="20"/>
        <w:sz w:val="22"/>
        <w:szCs w:val="22"/>
      </w:rPr>
      <w:t>ASC</w:t>
    </w:r>
  </w:p>
  <w:p w:rsidR="00045526" w:rsidRDefault="00045526" w:rsidP="004009F2">
    <w:pPr>
      <w:pStyle w:val="Header1-Right"/>
    </w:pPr>
    <w:r>
      <w:t>ASC – Entity Budget Statements – Entity Overview and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Pr="007639D4" w:rsidRDefault="00045526" w:rsidP="00A5421A">
    <w:pPr>
      <w:framePr w:w="851" w:h="1701" w:hRule="exact" w:wrap="around" w:vAnchor="page" w:hAnchor="margin" w:x="7939" w:y="8336" w:anchorLock="1"/>
      <w:shd w:val="pct95" w:color="auto" w:fill="auto"/>
      <w:jc w:val="center"/>
      <w:textDirection w:val="btLr"/>
      <w:rPr>
        <w:rFonts w:ascii="Arial" w:hAnsi="Arial" w:cs="Arial"/>
        <w:spacing w:val="20"/>
        <w:sz w:val="8"/>
        <w:szCs w:val="8"/>
      </w:rPr>
    </w:pPr>
  </w:p>
  <w:p w:rsidR="00045526" w:rsidRPr="00AB5AE1" w:rsidRDefault="00045526" w:rsidP="00A5421A">
    <w:pPr>
      <w:framePr w:w="851" w:h="1701" w:hRule="exact" w:wrap="around" w:vAnchor="page" w:hAnchor="margin" w:x="7939" w:y="8336" w:anchorLock="1"/>
      <w:shd w:val="pct95" w:color="auto" w:fill="auto"/>
      <w:jc w:val="center"/>
      <w:textDirection w:val="btLr"/>
      <w:rPr>
        <w:rFonts w:ascii="Arial" w:hAnsi="Arial" w:cs="Arial"/>
        <w:b/>
        <w:spacing w:val="10"/>
        <w:sz w:val="24"/>
      </w:rPr>
    </w:pPr>
    <w:r w:rsidRPr="00AB5AE1">
      <w:rPr>
        <w:rFonts w:ascii="Arial" w:hAnsi="Arial" w:cs="Arial"/>
        <w:b/>
        <w:spacing w:val="10"/>
        <w:sz w:val="24"/>
      </w:rPr>
      <w:t>ARPANSA</w:t>
    </w:r>
  </w:p>
  <w:p w:rsidR="00045526" w:rsidRDefault="000455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Default="00045526" w:rsidP="00B93660">
    <w:pPr>
      <w:pStyle w:val="Header2-Left"/>
    </w:pPr>
    <w:r>
      <w:t>ARPANSA – Entity Budget Statements – Entity Overview and Resources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Pr="007639D4" w:rsidRDefault="00045526" w:rsidP="00A5421A">
    <w:pPr>
      <w:framePr w:w="851" w:h="1701" w:hRule="exact" w:wrap="around" w:vAnchor="page" w:hAnchor="margin" w:x="7939" w:y="8336" w:anchorLock="1"/>
      <w:shd w:val="pct95" w:color="auto" w:fill="auto"/>
      <w:jc w:val="center"/>
      <w:textDirection w:val="btLr"/>
      <w:rPr>
        <w:rFonts w:ascii="Arial" w:hAnsi="Arial" w:cs="Arial"/>
        <w:spacing w:val="20"/>
        <w:sz w:val="8"/>
        <w:szCs w:val="8"/>
      </w:rPr>
    </w:pPr>
  </w:p>
  <w:p w:rsidR="00045526" w:rsidRPr="00AB5AE1" w:rsidRDefault="00045526" w:rsidP="00A5421A">
    <w:pPr>
      <w:framePr w:w="851" w:h="1701" w:hRule="exact" w:wrap="around" w:vAnchor="page" w:hAnchor="margin" w:x="7939" w:y="8336" w:anchorLock="1"/>
      <w:shd w:val="pct95" w:color="auto" w:fill="auto"/>
      <w:jc w:val="center"/>
      <w:textDirection w:val="btLr"/>
      <w:rPr>
        <w:rFonts w:ascii="Arial" w:hAnsi="Arial" w:cs="Arial"/>
        <w:b/>
        <w:spacing w:val="10"/>
        <w:sz w:val="24"/>
      </w:rPr>
    </w:pPr>
    <w:r w:rsidRPr="00AB5AE1">
      <w:rPr>
        <w:rFonts w:ascii="Arial" w:hAnsi="Arial" w:cs="Arial"/>
        <w:b/>
        <w:spacing w:val="10"/>
        <w:sz w:val="24"/>
      </w:rPr>
      <w:t>ARPANSA</w:t>
    </w:r>
  </w:p>
  <w:p w:rsidR="00045526" w:rsidRDefault="00045526" w:rsidP="004009F2">
    <w:pPr>
      <w:pStyle w:val="Header1-Right"/>
    </w:pPr>
    <w:r>
      <w:t>ARPANSA – Entity Budget Statements – Entity Overview and Resources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Default="00045526" w:rsidP="00B93660">
    <w:pPr>
      <w:pStyle w:val="Header2-Left"/>
    </w:pPr>
    <w:r>
      <w:t>ARPANSA – Entity Budget Statements – Outcomes and Planned Performance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Pr="007639D4" w:rsidRDefault="00045526" w:rsidP="00A5421A">
    <w:pPr>
      <w:framePr w:w="851" w:h="1701" w:hRule="exact" w:wrap="around" w:vAnchor="page" w:hAnchor="margin" w:x="7939" w:y="8336" w:anchorLock="1"/>
      <w:shd w:val="pct95" w:color="auto" w:fill="auto"/>
      <w:jc w:val="center"/>
      <w:textDirection w:val="btLr"/>
      <w:rPr>
        <w:rFonts w:ascii="Arial" w:hAnsi="Arial" w:cs="Arial"/>
        <w:spacing w:val="20"/>
        <w:sz w:val="8"/>
        <w:szCs w:val="8"/>
      </w:rPr>
    </w:pPr>
  </w:p>
  <w:p w:rsidR="00045526" w:rsidRPr="00AB5AE1" w:rsidRDefault="00045526" w:rsidP="00A5421A">
    <w:pPr>
      <w:framePr w:w="851" w:h="1701" w:hRule="exact" w:wrap="around" w:vAnchor="page" w:hAnchor="margin" w:x="7939" w:y="8336" w:anchorLock="1"/>
      <w:shd w:val="pct95" w:color="auto" w:fill="auto"/>
      <w:jc w:val="center"/>
      <w:textDirection w:val="btLr"/>
      <w:rPr>
        <w:rFonts w:ascii="Arial" w:hAnsi="Arial" w:cs="Arial"/>
        <w:b/>
        <w:spacing w:val="10"/>
        <w:sz w:val="24"/>
      </w:rPr>
    </w:pPr>
    <w:r w:rsidRPr="00AB5AE1">
      <w:rPr>
        <w:rFonts w:ascii="Arial" w:hAnsi="Arial" w:cs="Arial"/>
        <w:b/>
        <w:spacing w:val="10"/>
        <w:sz w:val="24"/>
      </w:rPr>
      <w:t>ARPANSA</w:t>
    </w:r>
  </w:p>
  <w:p w:rsidR="00045526" w:rsidRDefault="00045526" w:rsidP="004009F2">
    <w:pPr>
      <w:pStyle w:val="Header1-Right"/>
    </w:pPr>
    <w:r>
      <w:t>ARPANSA – Entity Budget Statements – Outcomes and Planned Performance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Default="00045526" w:rsidP="00B93660">
    <w:pPr>
      <w:pStyle w:val="Header2-Left"/>
    </w:pPr>
    <w:r>
      <w:t>ARPANSA – Entity Budget Statements – Budgeted Financial Statements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526" w:rsidRPr="007639D4" w:rsidRDefault="00045526" w:rsidP="00A5421A">
    <w:pPr>
      <w:framePr w:w="851" w:h="1701" w:hRule="exact" w:wrap="around" w:vAnchor="page" w:hAnchor="margin" w:x="7939" w:y="8336" w:anchorLock="1"/>
      <w:shd w:val="pct95" w:color="auto" w:fill="auto"/>
      <w:jc w:val="center"/>
      <w:textDirection w:val="btLr"/>
      <w:rPr>
        <w:rFonts w:ascii="Arial" w:hAnsi="Arial" w:cs="Arial"/>
        <w:spacing w:val="20"/>
        <w:sz w:val="8"/>
        <w:szCs w:val="8"/>
      </w:rPr>
    </w:pPr>
  </w:p>
  <w:p w:rsidR="00045526" w:rsidRPr="00AB5AE1" w:rsidRDefault="00045526" w:rsidP="00A5421A">
    <w:pPr>
      <w:framePr w:w="851" w:h="1701" w:hRule="exact" w:wrap="around" w:vAnchor="page" w:hAnchor="margin" w:x="7939" w:y="8336" w:anchorLock="1"/>
      <w:shd w:val="pct95" w:color="auto" w:fill="auto"/>
      <w:jc w:val="center"/>
      <w:textDirection w:val="btLr"/>
      <w:rPr>
        <w:rFonts w:ascii="Arial" w:hAnsi="Arial" w:cs="Arial"/>
        <w:b/>
        <w:spacing w:val="10"/>
        <w:sz w:val="24"/>
      </w:rPr>
    </w:pPr>
    <w:r w:rsidRPr="00AB5AE1">
      <w:rPr>
        <w:rFonts w:ascii="Arial" w:hAnsi="Arial" w:cs="Arial"/>
        <w:b/>
        <w:spacing w:val="10"/>
        <w:sz w:val="24"/>
      </w:rPr>
      <w:t>ARPANSA</w:t>
    </w:r>
  </w:p>
  <w:p w:rsidR="00045526" w:rsidRDefault="00045526" w:rsidP="004009F2">
    <w:pPr>
      <w:pStyle w:val="Header1-Right"/>
    </w:pPr>
    <w:r>
      <w:t>ARPANSA – Entity Budget Statements – Budgeted Financial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2264E60"/>
    <w:lvl w:ilvl="0">
      <w:start w:val="1"/>
      <w:numFmt w:val="bullet"/>
      <w:lvlText w:val=""/>
      <w:lvlJc w:val="left"/>
      <w:pPr>
        <w:ind w:left="360" w:hanging="360"/>
      </w:pPr>
      <w:rPr>
        <w:rFonts w:ascii="Symbol" w:hAnsi="Symbol" w:hint="default"/>
        <w:color w:val="000000" w:themeColor="text1"/>
      </w:rPr>
    </w:lvl>
  </w:abstractNum>
  <w:abstractNum w:abstractNumId="1">
    <w:nsid w:val="07A75203"/>
    <w:multiLevelType w:val="hybridMultilevel"/>
    <w:tmpl w:val="F7BC6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F12EEC"/>
    <w:multiLevelType w:val="hybridMultilevel"/>
    <w:tmpl w:val="8F567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8F6301"/>
    <w:multiLevelType w:val="hybridMultilevel"/>
    <w:tmpl w:val="F3AE0BD0"/>
    <w:lvl w:ilvl="0" w:tplc="B8A89400">
      <w:start w:val="1"/>
      <w:numFmt w:val="bullet"/>
      <w:lvlText w:val=""/>
      <w:lvlJc w:val="left"/>
      <w:pPr>
        <w:ind w:left="1440" w:hanging="360"/>
      </w:pPr>
      <w:rPr>
        <w:rFonts w:ascii="Symbol" w:hAnsi="Symbol"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68B6DA8"/>
    <w:multiLevelType w:val="hybridMultilevel"/>
    <w:tmpl w:val="BA70C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3239DF"/>
    <w:multiLevelType w:val="hybridMultilevel"/>
    <w:tmpl w:val="D4C2D4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3F209AE"/>
    <w:multiLevelType w:val="hybridMultilevel"/>
    <w:tmpl w:val="3BE06E60"/>
    <w:lvl w:ilvl="0" w:tplc="BFF4646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8B6631"/>
    <w:multiLevelType w:val="hybridMultilevel"/>
    <w:tmpl w:val="1022472A"/>
    <w:lvl w:ilvl="0" w:tplc="B8A89400">
      <w:start w:val="1"/>
      <w:numFmt w:val="bullet"/>
      <w:lvlText w:val=""/>
      <w:lvlJc w:val="left"/>
      <w:pPr>
        <w:ind w:left="1080" w:hanging="360"/>
      </w:pPr>
      <w:rPr>
        <w:rFonts w:ascii="Symbol" w:hAnsi="Symbol" w:hint="default"/>
        <w:color w:val="auto"/>
        <w:sz w:val="16"/>
      </w:rPr>
    </w:lvl>
    <w:lvl w:ilvl="1" w:tplc="B8A89400">
      <w:start w:val="1"/>
      <w:numFmt w:val="bullet"/>
      <w:lvlText w:val=""/>
      <w:lvlJc w:val="left"/>
      <w:pPr>
        <w:ind w:left="1800" w:hanging="360"/>
      </w:pPr>
      <w:rPr>
        <w:rFonts w:ascii="Symbol" w:hAnsi="Symbol" w:hint="default"/>
        <w:color w:val="auto"/>
        <w:sz w:val="1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30F3A21"/>
    <w:multiLevelType w:val="hybridMultilevel"/>
    <w:tmpl w:val="7A8E2F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59D50961"/>
    <w:multiLevelType w:val="hybridMultilevel"/>
    <w:tmpl w:val="2FD8F466"/>
    <w:lvl w:ilvl="0" w:tplc="9D2E7F46">
      <w:start w:val="1"/>
      <w:numFmt w:val="bullet"/>
      <w:lvlText w:val=""/>
      <w:lvlJc w:val="left"/>
      <w:pPr>
        <w:ind w:left="361"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E475DAA"/>
    <w:multiLevelType w:val="hybridMultilevel"/>
    <w:tmpl w:val="1CECD4CA"/>
    <w:lvl w:ilvl="0" w:tplc="9D928BBA">
      <w:start w:val="1"/>
      <w:numFmt w:val="bullet"/>
      <w:pStyle w:val="LinkedProgramm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5B578DF"/>
    <w:multiLevelType w:val="hybridMultilevel"/>
    <w:tmpl w:val="9DEE1D96"/>
    <w:lvl w:ilvl="0" w:tplc="EC88DB48">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AA7355B"/>
    <w:multiLevelType w:val="hybridMultilevel"/>
    <w:tmpl w:val="58042322"/>
    <w:lvl w:ilvl="0" w:tplc="62666E3A">
      <w:start w:val="1"/>
      <w:numFmt w:val="bullet"/>
      <w:lvlText w:val="-"/>
      <w:lvlJc w:val="left"/>
      <w:pPr>
        <w:ind w:left="1440" w:hanging="360"/>
      </w:pPr>
      <w:rPr>
        <w:rFonts w:ascii="Courier New" w:hAnsi="Courier New" w:hint="default"/>
        <w:color w:val="auto"/>
        <w:sz w:val="16"/>
      </w:rPr>
    </w:lvl>
    <w:lvl w:ilvl="1" w:tplc="62666E3A">
      <w:start w:val="1"/>
      <w:numFmt w:val="bullet"/>
      <w:lvlText w:val="-"/>
      <w:lvlJc w:val="left"/>
      <w:pPr>
        <w:ind w:left="2160" w:hanging="360"/>
      </w:pPr>
      <w:rPr>
        <w:rFonts w:ascii="Courier New" w:hAnsi="Courier New" w:hint="default"/>
        <w:color w:val="auto"/>
        <w:sz w:val="16"/>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5"/>
  </w:num>
  <w:num w:numId="4">
    <w:abstractNumId w:val="7"/>
  </w:num>
  <w:num w:numId="5">
    <w:abstractNumId w:val="4"/>
  </w:num>
  <w:num w:numId="6">
    <w:abstractNumId w:val="4"/>
  </w:num>
  <w:num w:numId="7">
    <w:abstractNumId w:val="9"/>
  </w:num>
  <w:num w:numId="8">
    <w:abstractNumId w:val="3"/>
  </w:num>
  <w:num w:numId="9">
    <w:abstractNumId w:val="13"/>
  </w:num>
  <w:num w:numId="10">
    <w:abstractNumId w:val="2"/>
  </w:num>
  <w:num w:numId="11">
    <w:abstractNumId w:val="4"/>
  </w:num>
  <w:num w:numId="12">
    <w:abstractNumId w:val="0"/>
  </w:num>
  <w:num w:numId="13">
    <w:abstractNumId w:val="6"/>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ocumentProtection w:edit="trackedChanges" w:enforcement="0"/>
  <w:defaultTabStop w:val="720"/>
  <w:evenAndOddHeaders/>
  <w:drawingGridHorizontalSpacing w:val="120"/>
  <w:displayHorizontalDrawingGridEvery w:val="2"/>
  <w:displayVerticalDrawingGridEvery w:val="2"/>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02"/>
    <w:rsid w:val="0000039E"/>
    <w:rsid w:val="000032ED"/>
    <w:rsid w:val="000111E0"/>
    <w:rsid w:val="00020BE9"/>
    <w:rsid w:val="00024B6D"/>
    <w:rsid w:val="00024CBD"/>
    <w:rsid w:val="00032336"/>
    <w:rsid w:val="0003718B"/>
    <w:rsid w:val="00044B2A"/>
    <w:rsid w:val="00045526"/>
    <w:rsid w:val="00067276"/>
    <w:rsid w:val="000739F0"/>
    <w:rsid w:val="00074593"/>
    <w:rsid w:val="00076C98"/>
    <w:rsid w:val="00077061"/>
    <w:rsid w:val="00082173"/>
    <w:rsid w:val="00083074"/>
    <w:rsid w:val="00087BA8"/>
    <w:rsid w:val="000A1D1C"/>
    <w:rsid w:val="000A492D"/>
    <w:rsid w:val="000B62C7"/>
    <w:rsid w:val="000C1DE8"/>
    <w:rsid w:val="000C51A6"/>
    <w:rsid w:val="000E33CF"/>
    <w:rsid w:val="000E47EF"/>
    <w:rsid w:val="000F6F21"/>
    <w:rsid w:val="000F7457"/>
    <w:rsid w:val="00103F0C"/>
    <w:rsid w:val="0011675D"/>
    <w:rsid w:val="001228FF"/>
    <w:rsid w:val="00126E1E"/>
    <w:rsid w:val="001401E0"/>
    <w:rsid w:val="0014145E"/>
    <w:rsid w:val="00147C22"/>
    <w:rsid w:val="00160DA8"/>
    <w:rsid w:val="00190F1B"/>
    <w:rsid w:val="00195905"/>
    <w:rsid w:val="001A64EB"/>
    <w:rsid w:val="001B2C13"/>
    <w:rsid w:val="001B3443"/>
    <w:rsid w:val="001B6527"/>
    <w:rsid w:val="001C3B80"/>
    <w:rsid w:val="00202447"/>
    <w:rsid w:val="00202CA7"/>
    <w:rsid w:val="00203F38"/>
    <w:rsid w:val="0020456F"/>
    <w:rsid w:val="00240AF5"/>
    <w:rsid w:val="0024154F"/>
    <w:rsid w:val="00252816"/>
    <w:rsid w:val="002572F0"/>
    <w:rsid w:val="00267492"/>
    <w:rsid w:val="0027523C"/>
    <w:rsid w:val="00277C81"/>
    <w:rsid w:val="00277D4D"/>
    <w:rsid w:val="00280361"/>
    <w:rsid w:val="00292400"/>
    <w:rsid w:val="00295BEE"/>
    <w:rsid w:val="002962C2"/>
    <w:rsid w:val="002A01CB"/>
    <w:rsid w:val="002A1A73"/>
    <w:rsid w:val="002A4D5E"/>
    <w:rsid w:val="002A56BB"/>
    <w:rsid w:val="002A6F8D"/>
    <w:rsid w:val="002C18B0"/>
    <w:rsid w:val="002C1C4A"/>
    <w:rsid w:val="002D4486"/>
    <w:rsid w:val="002D6A42"/>
    <w:rsid w:val="002E7B43"/>
    <w:rsid w:val="002F432D"/>
    <w:rsid w:val="00301360"/>
    <w:rsid w:val="00302416"/>
    <w:rsid w:val="00303A65"/>
    <w:rsid w:val="0030786C"/>
    <w:rsid w:val="00321BEB"/>
    <w:rsid w:val="00333AE7"/>
    <w:rsid w:val="003539A7"/>
    <w:rsid w:val="0035620F"/>
    <w:rsid w:val="0036732F"/>
    <w:rsid w:val="00373764"/>
    <w:rsid w:val="00386085"/>
    <w:rsid w:val="003906CE"/>
    <w:rsid w:val="00394E87"/>
    <w:rsid w:val="003D5F21"/>
    <w:rsid w:val="003E2F4E"/>
    <w:rsid w:val="003F32B8"/>
    <w:rsid w:val="003F7214"/>
    <w:rsid w:val="004009F2"/>
    <w:rsid w:val="00401475"/>
    <w:rsid w:val="0040379A"/>
    <w:rsid w:val="00416CDA"/>
    <w:rsid w:val="00433D67"/>
    <w:rsid w:val="00435594"/>
    <w:rsid w:val="004368A0"/>
    <w:rsid w:val="00441159"/>
    <w:rsid w:val="0044257F"/>
    <w:rsid w:val="00447AAD"/>
    <w:rsid w:val="00450DCF"/>
    <w:rsid w:val="0045221E"/>
    <w:rsid w:val="00452884"/>
    <w:rsid w:val="004867E2"/>
    <w:rsid w:val="004902A8"/>
    <w:rsid w:val="004912EC"/>
    <w:rsid w:val="00491A9C"/>
    <w:rsid w:val="004A2D67"/>
    <w:rsid w:val="004A5825"/>
    <w:rsid w:val="004B2A6B"/>
    <w:rsid w:val="004B480F"/>
    <w:rsid w:val="004C14B6"/>
    <w:rsid w:val="004C3787"/>
    <w:rsid w:val="004C5DAA"/>
    <w:rsid w:val="004F36D0"/>
    <w:rsid w:val="004F5788"/>
    <w:rsid w:val="00522395"/>
    <w:rsid w:val="005670A1"/>
    <w:rsid w:val="00570F3A"/>
    <w:rsid w:val="0058131B"/>
    <w:rsid w:val="00585FF2"/>
    <w:rsid w:val="00587F2C"/>
    <w:rsid w:val="00597B6D"/>
    <w:rsid w:val="005A2257"/>
    <w:rsid w:val="005A2902"/>
    <w:rsid w:val="005B6B2D"/>
    <w:rsid w:val="005D2671"/>
    <w:rsid w:val="006008A6"/>
    <w:rsid w:val="00610BD0"/>
    <w:rsid w:val="00611A02"/>
    <w:rsid w:val="00634270"/>
    <w:rsid w:val="0063690A"/>
    <w:rsid w:val="00645FA0"/>
    <w:rsid w:val="00661A1E"/>
    <w:rsid w:val="0066212B"/>
    <w:rsid w:val="006656F1"/>
    <w:rsid w:val="00671A24"/>
    <w:rsid w:val="00674997"/>
    <w:rsid w:val="00675224"/>
    <w:rsid w:val="006829CC"/>
    <w:rsid w:val="00683E6A"/>
    <w:rsid w:val="0068436A"/>
    <w:rsid w:val="00685B31"/>
    <w:rsid w:val="00691439"/>
    <w:rsid w:val="006933ED"/>
    <w:rsid w:val="006A2B1F"/>
    <w:rsid w:val="006C66A9"/>
    <w:rsid w:val="006C702D"/>
    <w:rsid w:val="006F3AC3"/>
    <w:rsid w:val="00701A73"/>
    <w:rsid w:val="00701D4F"/>
    <w:rsid w:val="0071141B"/>
    <w:rsid w:val="007243BB"/>
    <w:rsid w:val="0072478D"/>
    <w:rsid w:val="00725A90"/>
    <w:rsid w:val="00727FBF"/>
    <w:rsid w:val="00735BF8"/>
    <w:rsid w:val="00743631"/>
    <w:rsid w:val="00750057"/>
    <w:rsid w:val="007507CC"/>
    <w:rsid w:val="007533B9"/>
    <w:rsid w:val="007649F1"/>
    <w:rsid w:val="00765E32"/>
    <w:rsid w:val="007850AD"/>
    <w:rsid w:val="00785A80"/>
    <w:rsid w:val="00787924"/>
    <w:rsid w:val="00791100"/>
    <w:rsid w:val="007A040E"/>
    <w:rsid w:val="007B1A9B"/>
    <w:rsid w:val="007B7963"/>
    <w:rsid w:val="007C405E"/>
    <w:rsid w:val="007C742A"/>
    <w:rsid w:val="007D01A1"/>
    <w:rsid w:val="007D169E"/>
    <w:rsid w:val="007D569F"/>
    <w:rsid w:val="007F0505"/>
    <w:rsid w:val="007F3E1F"/>
    <w:rsid w:val="00801DD0"/>
    <w:rsid w:val="00805837"/>
    <w:rsid w:val="00805C44"/>
    <w:rsid w:val="008117C3"/>
    <w:rsid w:val="00812F6E"/>
    <w:rsid w:val="008264EB"/>
    <w:rsid w:val="00842A42"/>
    <w:rsid w:val="008521B1"/>
    <w:rsid w:val="008568AF"/>
    <w:rsid w:val="00861515"/>
    <w:rsid w:val="00866F7A"/>
    <w:rsid w:val="00867D04"/>
    <w:rsid w:val="0087541E"/>
    <w:rsid w:val="00876CF3"/>
    <w:rsid w:val="00882AC8"/>
    <w:rsid w:val="0088477B"/>
    <w:rsid w:val="00886BDB"/>
    <w:rsid w:val="008B0512"/>
    <w:rsid w:val="008B1F68"/>
    <w:rsid w:val="008C0AB8"/>
    <w:rsid w:val="008C0AFE"/>
    <w:rsid w:val="008C17BF"/>
    <w:rsid w:val="008C2C91"/>
    <w:rsid w:val="008C3B36"/>
    <w:rsid w:val="008E731A"/>
    <w:rsid w:val="008F6895"/>
    <w:rsid w:val="00916525"/>
    <w:rsid w:val="0092230E"/>
    <w:rsid w:val="00925F00"/>
    <w:rsid w:val="00931EE7"/>
    <w:rsid w:val="00935948"/>
    <w:rsid w:val="009460FD"/>
    <w:rsid w:val="009468D5"/>
    <w:rsid w:val="00950A93"/>
    <w:rsid w:val="00951491"/>
    <w:rsid w:val="00963FE6"/>
    <w:rsid w:val="00974CBD"/>
    <w:rsid w:val="009773E3"/>
    <w:rsid w:val="009811A6"/>
    <w:rsid w:val="00986801"/>
    <w:rsid w:val="009A18EC"/>
    <w:rsid w:val="009A2077"/>
    <w:rsid w:val="009D352A"/>
    <w:rsid w:val="009E366A"/>
    <w:rsid w:val="009E564B"/>
    <w:rsid w:val="009F3710"/>
    <w:rsid w:val="00A13A9F"/>
    <w:rsid w:val="00A144DA"/>
    <w:rsid w:val="00A14719"/>
    <w:rsid w:val="00A32D4A"/>
    <w:rsid w:val="00A35053"/>
    <w:rsid w:val="00A35391"/>
    <w:rsid w:val="00A40106"/>
    <w:rsid w:val="00A40EDA"/>
    <w:rsid w:val="00A5157B"/>
    <w:rsid w:val="00A52AC7"/>
    <w:rsid w:val="00A5421A"/>
    <w:rsid w:val="00A54B69"/>
    <w:rsid w:val="00A76D89"/>
    <w:rsid w:val="00A92D45"/>
    <w:rsid w:val="00AA0630"/>
    <w:rsid w:val="00AB4F53"/>
    <w:rsid w:val="00AB5AE1"/>
    <w:rsid w:val="00AB5CC6"/>
    <w:rsid w:val="00AB70C4"/>
    <w:rsid w:val="00AC1BDF"/>
    <w:rsid w:val="00AC21A7"/>
    <w:rsid w:val="00AC2602"/>
    <w:rsid w:val="00AD1191"/>
    <w:rsid w:val="00AD1D22"/>
    <w:rsid w:val="00AE54EB"/>
    <w:rsid w:val="00AE797C"/>
    <w:rsid w:val="00AF1114"/>
    <w:rsid w:val="00AF33F3"/>
    <w:rsid w:val="00B006AF"/>
    <w:rsid w:val="00B048FD"/>
    <w:rsid w:val="00B052E8"/>
    <w:rsid w:val="00B05422"/>
    <w:rsid w:val="00B05A28"/>
    <w:rsid w:val="00B07E5C"/>
    <w:rsid w:val="00B1551B"/>
    <w:rsid w:val="00B20918"/>
    <w:rsid w:val="00B22B88"/>
    <w:rsid w:val="00B4226F"/>
    <w:rsid w:val="00B42851"/>
    <w:rsid w:val="00B72A92"/>
    <w:rsid w:val="00B744AA"/>
    <w:rsid w:val="00B75481"/>
    <w:rsid w:val="00B7658A"/>
    <w:rsid w:val="00B8316A"/>
    <w:rsid w:val="00B86B1D"/>
    <w:rsid w:val="00B90928"/>
    <w:rsid w:val="00B91197"/>
    <w:rsid w:val="00B93660"/>
    <w:rsid w:val="00B94AC1"/>
    <w:rsid w:val="00BA70AA"/>
    <w:rsid w:val="00BB04F9"/>
    <w:rsid w:val="00BC27AA"/>
    <w:rsid w:val="00BC60A5"/>
    <w:rsid w:val="00BD0D00"/>
    <w:rsid w:val="00BF30D5"/>
    <w:rsid w:val="00C17592"/>
    <w:rsid w:val="00C2002D"/>
    <w:rsid w:val="00C22B51"/>
    <w:rsid w:val="00C24491"/>
    <w:rsid w:val="00C36CFD"/>
    <w:rsid w:val="00C379BB"/>
    <w:rsid w:val="00C439D3"/>
    <w:rsid w:val="00C5279A"/>
    <w:rsid w:val="00C64D0F"/>
    <w:rsid w:val="00C80274"/>
    <w:rsid w:val="00C84C64"/>
    <w:rsid w:val="00C87582"/>
    <w:rsid w:val="00C96000"/>
    <w:rsid w:val="00C96702"/>
    <w:rsid w:val="00CA4276"/>
    <w:rsid w:val="00CA71C0"/>
    <w:rsid w:val="00CA7AC5"/>
    <w:rsid w:val="00CB03D6"/>
    <w:rsid w:val="00CB0A2B"/>
    <w:rsid w:val="00CB4CB3"/>
    <w:rsid w:val="00CB5B1A"/>
    <w:rsid w:val="00CC0E49"/>
    <w:rsid w:val="00CD0B07"/>
    <w:rsid w:val="00CE4619"/>
    <w:rsid w:val="00CF1DF0"/>
    <w:rsid w:val="00CF1E49"/>
    <w:rsid w:val="00D10C36"/>
    <w:rsid w:val="00D218B4"/>
    <w:rsid w:val="00D24D6D"/>
    <w:rsid w:val="00D333EE"/>
    <w:rsid w:val="00D5434F"/>
    <w:rsid w:val="00D559D7"/>
    <w:rsid w:val="00D92657"/>
    <w:rsid w:val="00DC6E9A"/>
    <w:rsid w:val="00DD2CCC"/>
    <w:rsid w:val="00DE42DA"/>
    <w:rsid w:val="00DF4349"/>
    <w:rsid w:val="00E10670"/>
    <w:rsid w:val="00E120FD"/>
    <w:rsid w:val="00E14BD4"/>
    <w:rsid w:val="00E31A6C"/>
    <w:rsid w:val="00E31CC7"/>
    <w:rsid w:val="00E4151F"/>
    <w:rsid w:val="00E45C02"/>
    <w:rsid w:val="00E501E0"/>
    <w:rsid w:val="00E518D4"/>
    <w:rsid w:val="00E518D7"/>
    <w:rsid w:val="00E54C43"/>
    <w:rsid w:val="00E56FA3"/>
    <w:rsid w:val="00E71B30"/>
    <w:rsid w:val="00E82ABD"/>
    <w:rsid w:val="00E85EA9"/>
    <w:rsid w:val="00E91FE5"/>
    <w:rsid w:val="00E94D80"/>
    <w:rsid w:val="00EA19AA"/>
    <w:rsid w:val="00EA3ED5"/>
    <w:rsid w:val="00EC34FB"/>
    <w:rsid w:val="00ED3419"/>
    <w:rsid w:val="00EE0CAB"/>
    <w:rsid w:val="00EE7E41"/>
    <w:rsid w:val="00EF59DC"/>
    <w:rsid w:val="00F07D3A"/>
    <w:rsid w:val="00F16E0F"/>
    <w:rsid w:val="00F16FEC"/>
    <w:rsid w:val="00F24392"/>
    <w:rsid w:val="00F25D5F"/>
    <w:rsid w:val="00F32E84"/>
    <w:rsid w:val="00F52F54"/>
    <w:rsid w:val="00F5352A"/>
    <w:rsid w:val="00F56681"/>
    <w:rsid w:val="00F60C0B"/>
    <w:rsid w:val="00F63FE8"/>
    <w:rsid w:val="00F81B63"/>
    <w:rsid w:val="00FA4251"/>
    <w:rsid w:val="00FA4C35"/>
    <w:rsid w:val="00FB2F0F"/>
    <w:rsid w:val="00FC55B4"/>
    <w:rsid w:val="00FD2E57"/>
    <w:rsid w:val="00FD3F7D"/>
    <w:rsid w:val="00FE2006"/>
    <w:rsid w:val="00FF7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lsdException w:name="heading 4" w:locked="0"/>
    <w:lsdException w:name="heading 5" w:locked="0"/>
    <w:lsdException w:name="heading 6" w:locked="0"/>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qFormat="1"/>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B480F"/>
    <w:pPr>
      <w:spacing w:after="120"/>
    </w:pPr>
    <w:rPr>
      <w:rFonts w:ascii="Book Antiqua" w:hAnsi="Book Antiqua"/>
    </w:rPr>
  </w:style>
  <w:style w:type="paragraph" w:styleId="Heading1">
    <w:name w:val="heading 1"/>
    <w:aliases w:val="Programme Name"/>
    <w:basedOn w:val="Normal"/>
    <w:next w:val="Normal"/>
    <w:link w:val="Heading1Char"/>
    <w:qFormat/>
    <w:rsid w:val="00B94AC1"/>
    <w:pPr>
      <w:spacing w:before="240"/>
      <w:outlineLvl w:val="0"/>
    </w:pPr>
    <w:rPr>
      <w:rFonts w:ascii="Arial Bold" w:hAnsi="Arial Bold" w:cs="Arial"/>
      <w:b/>
      <w:bCs/>
      <w:sz w:val="24"/>
      <w:szCs w:val="32"/>
      <w:lang w:eastAsia="en-US"/>
    </w:rPr>
  </w:style>
  <w:style w:type="paragraph" w:styleId="Heading2">
    <w:name w:val="heading 2"/>
    <w:aliases w:val="Programme Objective Title"/>
    <w:basedOn w:val="Normal"/>
    <w:next w:val="Normal"/>
    <w:link w:val="Heading2Char"/>
    <w:qFormat/>
    <w:rsid w:val="00750057"/>
    <w:pPr>
      <w:spacing w:before="120"/>
      <w:outlineLvl w:val="1"/>
    </w:pPr>
    <w:rPr>
      <w:rFonts w:ascii="Arial" w:hAnsi="Arial" w:cs="Arial"/>
      <w:b/>
      <w:bCs/>
      <w:iCs/>
      <w:sz w:val="22"/>
      <w:szCs w:val="28"/>
      <w:lang w:eastAsia="en-US"/>
    </w:rPr>
  </w:style>
  <w:style w:type="paragraph" w:styleId="Heading3">
    <w:name w:val="heading 3"/>
    <w:basedOn w:val="Normal"/>
    <w:next w:val="Normal"/>
    <w:rsid w:val="00C96702"/>
    <w:pPr>
      <w:spacing w:before="120"/>
      <w:outlineLvl w:val="2"/>
    </w:pPr>
    <w:rPr>
      <w:rFonts w:ascii="Arial Bold" w:hAnsi="Arial Bold" w:cs="Arial"/>
      <w:b/>
      <w:bCs/>
      <w:sz w:val="22"/>
      <w:szCs w:val="26"/>
      <w:lang w:val="en-US" w:eastAsia="en-US"/>
    </w:rPr>
  </w:style>
  <w:style w:type="paragraph" w:styleId="Heading4">
    <w:name w:val="heading 4"/>
    <w:basedOn w:val="Normal"/>
    <w:next w:val="Normal"/>
    <w:rsid w:val="00CB5B1A"/>
    <w:pPr>
      <w:spacing w:before="240" w:after="60"/>
      <w:outlineLvl w:val="3"/>
    </w:pPr>
    <w:rPr>
      <w:rFonts w:ascii="Times New Roman" w:hAnsi="Times New Roman"/>
      <w:b/>
      <w:bCs/>
      <w:i/>
      <w:sz w:val="26"/>
      <w:szCs w:val="28"/>
      <w:lang w:val="en-US" w:eastAsia="en-US"/>
    </w:rPr>
  </w:style>
  <w:style w:type="paragraph" w:styleId="Heading5">
    <w:name w:val="heading 5"/>
    <w:basedOn w:val="Normal"/>
    <w:next w:val="Normal"/>
    <w:rsid w:val="00CB5B1A"/>
    <w:pPr>
      <w:spacing w:before="240" w:after="60"/>
      <w:outlineLvl w:val="4"/>
    </w:pPr>
    <w:rPr>
      <w:rFonts w:ascii="Times New Roman" w:hAnsi="Times New Roman"/>
      <w:b/>
      <w:bCs/>
      <w:iCs/>
      <w:sz w:val="26"/>
      <w:szCs w:val="26"/>
      <w:lang w:val="en-US" w:eastAsia="en-US"/>
    </w:rPr>
  </w:style>
  <w:style w:type="paragraph" w:styleId="Heading6">
    <w:name w:val="heading 6"/>
    <w:basedOn w:val="Normal"/>
    <w:next w:val="Normal"/>
    <w:rsid w:val="00CB5B1A"/>
    <w:pPr>
      <w:spacing w:before="240" w:after="60"/>
      <w:outlineLvl w:val="5"/>
    </w:pPr>
    <w:rPr>
      <w:rFonts w:ascii="Times New Roman" w:hAnsi="Times New Roman"/>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60"/>
    <w:pPr>
      <w:tabs>
        <w:tab w:val="center" w:pos="4513"/>
        <w:tab w:val="right" w:pos="9026"/>
      </w:tabs>
      <w:spacing w:after="0"/>
    </w:pPr>
  </w:style>
  <w:style w:type="character" w:customStyle="1" w:styleId="HeaderChar">
    <w:name w:val="Header Char"/>
    <w:basedOn w:val="DefaultParagraphFont"/>
    <w:link w:val="Header"/>
    <w:uiPriority w:val="99"/>
    <w:rsid w:val="00B93660"/>
    <w:rPr>
      <w:rFonts w:ascii="Book Antiqua" w:hAnsi="Book Antiqua"/>
    </w:rPr>
  </w:style>
  <w:style w:type="paragraph" w:styleId="Footer">
    <w:name w:val="footer"/>
    <w:basedOn w:val="Normal"/>
    <w:link w:val="FooterChar"/>
    <w:rsid w:val="00CA4276"/>
    <w:pPr>
      <w:pBdr>
        <w:top w:val="single" w:sz="4" w:space="1" w:color="auto"/>
      </w:pBdr>
      <w:jc w:val="center"/>
    </w:pPr>
    <w:rPr>
      <w:rFonts w:ascii="Arial" w:hAnsi="Arial"/>
      <w:sz w:val="18"/>
      <w:szCs w:val="24"/>
      <w:lang w:eastAsia="en-US"/>
    </w:rPr>
  </w:style>
  <w:style w:type="character" w:customStyle="1" w:styleId="FooterChar">
    <w:name w:val="Footer Char"/>
    <w:basedOn w:val="DefaultParagraphFont"/>
    <w:link w:val="Footer"/>
    <w:rsid w:val="00CA4276"/>
    <w:rPr>
      <w:rFonts w:ascii="Arial" w:hAnsi="Arial"/>
      <w:sz w:val="18"/>
      <w:szCs w:val="24"/>
      <w:lang w:eastAsia="en-US"/>
    </w:rPr>
  </w:style>
  <w:style w:type="paragraph" w:customStyle="1" w:styleId="Header2-Left">
    <w:name w:val="Header 2 - Left"/>
    <w:basedOn w:val="Normal"/>
    <w:link w:val="Header2-LeftChar"/>
    <w:qFormat/>
    <w:locked/>
    <w:rsid w:val="00B93660"/>
    <w:pPr>
      <w:pBdr>
        <w:bottom w:val="single" w:sz="4" w:space="1" w:color="auto"/>
      </w:pBdr>
    </w:pPr>
    <w:rPr>
      <w:rFonts w:ascii="Arial" w:hAnsi="Arial"/>
      <w:sz w:val="18"/>
    </w:rPr>
  </w:style>
  <w:style w:type="table" w:styleId="TableGrid">
    <w:name w:val="Table Grid"/>
    <w:basedOn w:val="TableNormal"/>
    <w:locked/>
    <w:rsid w:val="00E4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Recommendation,Body text,List Paragraph11,Figure_name,Numbered Indented Text,Bullet- First level,List NUmber,Listenabsatz1,lp1"/>
    <w:basedOn w:val="Normal"/>
    <w:link w:val="ListParagraphChar"/>
    <w:uiPriority w:val="34"/>
    <w:qFormat/>
    <w:rsid w:val="004C3787"/>
    <w:pPr>
      <w:numPr>
        <w:numId w:val="5"/>
      </w:numPr>
      <w:ind w:left="357" w:hanging="357"/>
      <w:contextualSpacing/>
    </w:pPr>
  </w:style>
  <w:style w:type="paragraph" w:customStyle="1" w:styleId="OutcomeName">
    <w:name w:val="Outcome Name"/>
    <w:basedOn w:val="Heading2"/>
    <w:link w:val="OutcomeNameChar"/>
    <w:locked/>
    <w:rsid w:val="00750057"/>
    <w:pPr>
      <w:spacing w:before="60"/>
    </w:pPr>
    <w:rPr>
      <w:rFonts w:ascii="Tahoma" w:eastAsia="Malgun Gothic" w:hAnsi="Tahoma"/>
      <w:smallCaps/>
      <w:sz w:val="32"/>
    </w:rPr>
  </w:style>
  <w:style w:type="paragraph" w:customStyle="1" w:styleId="OutcomeStrategy">
    <w:name w:val="Outcome Strategy"/>
    <w:basedOn w:val="Heading2"/>
    <w:link w:val="OutcomeStrategyChar"/>
    <w:qFormat/>
    <w:locked/>
    <w:rsid w:val="00750057"/>
    <w:rPr>
      <w:rFonts w:ascii="Arial Bold" w:hAnsi="Arial Bold"/>
      <w:sz w:val="26"/>
    </w:rPr>
  </w:style>
  <w:style w:type="paragraph" w:customStyle="1" w:styleId="OutcomeStatement">
    <w:name w:val="Outcome Statement"/>
    <w:basedOn w:val="Normal"/>
    <w:link w:val="OutcomeStatementChar"/>
    <w:qFormat/>
    <w:locked/>
    <w:rsid w:val="002A6F8D"/>
    <w:pPr>
      <w:widowControl w:val="0"/>
      <w:pBdr>
        <w:top w:val="single" w:sz="4" w:space="1" w:color="auto"/>
        <w:left w:val="single" w:sz="4" w:space="4" w:color="auto"/>
        <w:bottom w:val="single" w:sz="4" w:space="1" w:color="auto"/>
        <w:right w:val="single" w:sz="4" w:space="4" w:color="auto"/>
      </w:pBdr>
      <w:shd w:val="clear" w:color="auto" w:fill="D9D9D9"/>
      <w:tabs>
        <w:tab w:val="left" w:pos="1134"/>
      </w:tabs>
      <w:spacing w:after="0"/>
      <w:ind w:left="1134" w:hanging="1134"/>
    </w:pPr>
    <w:rPr>
      <w:rFonts w:ascii="Arial" w:hAnsi="Arial"/>
      <w:b/>
      <w:bCs/>
      <w:iCs/>
      <w:snapToGrid w:val="0"/>
      <w:sz w:val="18"/>
      <w:szCs w:val="26"/>
    </w:rPr>
  </w:style>
  <w:style w:type="character" w:customStyle="1" w:styleId="OutcomeStatementChar">
    <w:name w:val="Outcome Statement Char"/>
    <w:basedOn w:val="DefaultParagraphFont"/>
    <w:link w:val="OutcomeStatement"/>
    <w:rsid w:val="002A6F8D"/>
    <w:rPr>
      <w:rFonts w:ascii="Arial" w:hAnsi="Arial"/>
      <w:b/>
      <w:bCs/>
      <w:iCs/>
      <w:snapToGrid w:val="0"/>
      <w:sz w:val="18"/>
      <w:szCs w:val="26"/>
      <w:shd w:val="clear" w:color="auto" w:fill="D9D9D9"/>
    </w:rPr>
  </w:style>
  <w:style w:type="paragraph" w:customStyle="1" w:styleId="Header1-Right">
    <w:name w:val="Header 1 - Right"/>
    <w:basedOn w:val="Normal"/>
    <w:next w:val="Normal"/>
    <w:link w:val="Header1-RightChar"/>
    <w:qFormat/>
    <w:locked/>
    <w:rsid w:val="00DC6E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OutcomeStrategyChar">
    <w:name w:val="Outcome Strategy Char"/>
    <w:basedOn w:val="Heading2Char"/>
    <w:link w:val="OutcomeStrategy"/>
    <w:rsid w:val="00750057"/>
    <w:rPr>
      <w:rFonts w:ascii="Arial Bold" w:hAnsi="Arial Bold" w:cs="Arial"/>
      <w:b/>
      <w:bCs/>
      <w:iCs/>
      <w:sz w:val="26"/>
      <w:szCs w:val="28"/>
      <w:lang w:eastAsia="en-US"/>
    </w:rPr>
  </w:style>
  <w:style w:type="paragraph" w:customStyle="1" w:styleId="PerformanceHeading">
    <w:name w:val="Performance Heading"/>
    <w:basedOn w:val="Normal"/>
    <w:next w:val="Normal"/>
    <w:link w:val="PerformanceHeadingChar"/>
    <w:qFormat/>
    <w:locked/>
    <w:rsid w:val="00B93660"/>
    <w:pPr>
      <w:spacing w:before="240"/>
      <w:outlineLvl w:val="1"/>
    </w:pPr>
    <w:rPr>
      <w:rFonts w:ascii="Arial" w:hAnsi="Arial"/>
      <w:b/>
      <w:sz w:val="24"/>
    </w:rPr>
  </w:style>
  <w:style w:type="character" w:customStyle="1" w:styleId="Header1-RightChar">
    <w:name w:val="Header 1 - Right Char"/>
    <w:basedOn w:val="DefaultParagraphFont"/>
    <w:link w:val="Header1-Right"/>
    <w:rsid w:val="00DC6E9A"/>
    <w:rPr>
      <w:rFonts w:ascii="Arial" w:hAnsi="Arial" w:cs="Arial"/>
      <w:sz w:val="18"/>
      <w:szCs w:val="18"/>
      <w:lang w:val="en-US" w:eastAsia="en-US"/>
    </w:rPr>
  </w:style>
  <w:style w:type="paragraph" w:customStyle="1" w:styleId="TableHeadingRow">
    <w:name w:val="Table Heading Row"/>
    <w:basedOn w:val="Normal"/>
    <w:link w:val="TableHeadingRowChar"/>
    <w:qFormat/>
    <w:locked/>
    <w:rsid w:val="00303A65"/>
    <w:pPr>
      <w:spacing w:before="40" w:after="40"/>
    </w:pPr>
    <w:rPr>
      <w:rFonts w:ascii="Arial" w:hAnsi="Arial" w:cs="Arial"/>
      <w:b/>
      <w:sz w:val="18"/>
      <w:szCs w:val="18"/>
    </w:rPr>
  </w:style>
  <w:style w:type="character" w:customStyle="1" w:styleId="TableHeadingRowChar">
    <w:name w:val="Table Heading Row Char"/>
    <w:basedOn w:val="DefaultParagraphFont"/>
    <w:link w:val="TableHeadingRow"/>
    <w:rsid w:val="00303A65"/>
    <w:rPr>
      <w:rFonts w:ascii="Arial" w:hAnsi="Arial" w:cs="Arial"/>
      <w:b/>
      <w:sz w:val="18"/>
      <w:szCs w:val="18"/>
    </w:rPr>
  </w:style>
  <w:style w:type="paragraph" w:customStyle="1" w:styleId="ProgramExpenses">
    <w:name w:val="Program Expenses"/>
    <w:basedOn w:val="Heading2"/>
    <w:link w:val="ProgramExpensesChar"/>
    <w:locked/>
    <w:rsid w:val="00AF1114"/>
    <w:pPr>
      <w:widowControl w:val="0"/>
    </w:pPr>
    <w:rPr>
      <w:bCs w:val="0"/>
      <w:i/>
      <w:iCs w:val="0"/>
      <w:snapToGrid w:val="0"/>
      <w:sz w:val="24"/>
      <w:szCs w:val="22"/>
      <w:lang w:eastAsia="en-AU"/>
    </w:rPr>
  </w:style>
  <w:style w:type="character" w:customStyle="1" w:styleId="ProgramExpensesChar">
    <w:name w:val="Program Expenses Char"/>
    <w:basedOn w:val="DefaultParagraphFont"/>
    <w:link w:val="ProgramExpenses"/>
    <w:rsid w:val="00AF1114"/>
    <w:rPr>
      <w:rFonts w:ascii="Arial" w:hAnsi="Arial" w:cs="Arial"/>
      <w:b/>
      <w:snapToGrid w:val="0"/>
      <w:sz w:val="24"/>
      <w:szCs w:val="22"/>
    </w:rPr>
  </w:style>
  <w:style w:type="paragraph" w:customStyle="1" w:styleId="TableReference">
    <w:name w:val="Table Reference"/>
    <w:basedOn w:val="Normal"/>
    <w:link w:val="TableReferenceChar"/>
    <w:qFormat/>
    <w:locked/>
    <w:rsid w:val="008568AF"/>
    <w:pPr>
      <w:spacing w:before="120"/>
    </w:pPr>
    <w:rPr>
      <w:rFonts w:ascii="Arial" w:hAnsi="Arial"/>
      <w:b/>
      <w:sz w:val="18"/>
    </w:rPr>
  </w:style>
  <w:style w:type="character" w:customStyle="1" w:styleId="Header2-LeftChar">
    <w:name w:val="Header 2 - Left Char"/>
    <w:basedOn w:val="DefaultParagraphFont"/>
    <w:link w:val="Header2-Left"/>
    <w:rsid w:val="00B93660"/>
    <w:rPr>
      <w:rFonts w:ascii="Arial" w:hAnsi="Arial"/>
      <w:sz w:val="18"/>
    </w:rPr>
  </w:style>
  <w:style w:type="character" w:customStyle="1" w:styleId="TableReferenceChar">
    <w:name w:val="Table Reference Char"/>
    <w:basedOn w:val="DefaultParagraphFont"/>
    <w:link w:val="TableReference"/>
    <w:rsid w:val="008568AF"/>
    <w:rPr>
      <w:rFonts w:ascii="Arial" w:hAnsi="Arial"/>
      <w:b/>
      <w:sz w:val="18"/>
    </w:rPr>
  </w:style>
  <w:style w:type="paragraph" w:customStyle="1" w:styleId="TableTextNormal">
    <w:name w:val="Table Text (Normal)"/>
    <w:basedOn w:val="Normal"/>
    <w:qFormat/>
    <w:locked/>
    <w:rsid w:val="00DC6E9A"/>
    <w:pPr>
      <w:spacing w:before="40" w:after="40"/>
    </w:pPr>
    <w:rPr>
      <w:rFonts w:cs="Arial"/>
      <w:sz w:val="18"/>
      <w:szCs w:val="18"/>
    </w:rPr>
  </w:style>
  <w:style w:type="paragraph" w:customStyle="1" w:styleId="ProgrammeContributingNames">
    <w:name w:val="Programme Contributing Names"/>
    <w:basedOn w:val="Normal"/>
    <w:next w:val="Normal"/>
    <w:locked/>
    <w:rsid w:val="00785A80"/>
    <w:pPr>
      <w:pBdr>
        <w:top w:val="single" w:sz="4" w:space="1" w:color="auto"/>
        <w:left w:val="single" w:sz="4" w:space="4" w:color="auto"/>
        <w:bottom w:val="single" w:sz="4" w:space="1" w:color="auto"/>
        <w:right w:val="single" w:sz="4" w:space="4" w:color="auto"/>
      </w:pBdr>
      <w:tabs>
        <w:tab w:val="left" w:pos="1559"/>
      </w:tabs>
      <w:spacing w:before="120"/>
      <w:ind w:left="1559" w:hanging="1559"/>
    </w:pPr>
    <w:rPr>
      <w:rFonts w:ascii="Arial" w:hAnsi="Arial"/>
      <w:b/>
      <w:sz w:val="18"/>
      <w:szCs w:val="18"/>
    </w:rPr>
  </w:style>
  <w:style w:type="paragraph" w:customStyle="1" w:styleId="TableFigures">
    <w:name w:val="Table Figures"/>
    <w:basedOn w:val="Normal"/>
    <w:qFormat/>
    <w:locked/>
    <w:rsid w:val="00AF1114"/>
    <w:pPr>
      <w:spacing w:before="40" w:after="40"/>
      <w:jc w:val="center"/>
    </w:pPr>
    <w:rPr>
      <w:sz w:val="18"/>
      <w:szCs w:val="18"/>
    </w:rPr>
  </w:style>
  <w:style w:type="paragraph" w:styleId="FootnoteText">
    <w:name w:val="footnote text"/>
    <w:aliases w:val="(NECG) Footnote Text"/>
    <w:basedOn w:val="Normal"/>
    <w:link w:val="FootnoteTextChar"/>
    <w:qFormat/>
    <w:rsid w:val="004009F2"/>
    <w:pPr>
      <w:tabs>
        <w:tab w:val="left" w:pos="284"/>
      </w:tabs>
      <w:spacing w:after="0"/>
      <w:ind w:left="284" w:hanging="284"/>
    </w:pPr>
    <w:rPr>
      <w:sz w:val="16"/>
    </w:rPr>
  </w:style>
  <w:style w:type="character" w:customStyle="1" w:styleId="FootnoteTextChar">
    <w:name w:val="Footnote Text Char"/>
    <w:aliases w:val="(NECG) Footnote Text Char"/>
    <w:basedOn w:val="DefaultParagraphFont"/>
    <w:link w:val="FootnoteText"/>
    <w:rsid w:val="004009F2"/>
    <w:rPr>
      <w:rFonts w:ascii="Book Antiqua" w:hAnsi="Book Antiqua"/>
      <w:sz w:val="16"/>
    </w:rPr>
  </w:style>
  <w:style w:type="character" w:styleId="FootnoteReference">
    <w:name w:val="footnote reference"/>
    <w:aliases w:val="(NECG) Footnote Reference"/>
    <w:basedOn w:val="DefaultParagraphFont"/>
    <w:rsid w:val="004009F2"/>
    <w:rPr>
      <w:rFonts w:ascii="Book Antiqua" w:hAnsi="Book Antiqua"/>
      <w:caps w:val="0"/>
      <w:smallCaps w:val="0"/>
      <w:strike w:val="0"/>
      <w:dstrike w:val="0"/>
      <w:vanish w:val="0"/>
      <w:sz w:val="16"/>
      <w:vertAlign w:val="superscript"/>
    </w:rPr>
  </w:style>
  <w:style w:type="paragraph" w:customStyle="1" w:styleId="OutcomeNumber">
    <w:name w:val="Outcome Number"/>
    <w:basedOn w:val="Heading1"/>
    <w:link w:val="OutcomeNumberChar"/>
    <w:locked/>
    <w:rsid w:val="00750057"/>
    <w:pPr>
      <w:spacing w:before="0" w:after="0"/>
    </w:pPr>
    <w:rPr>
      <w:rFonts w:ascii="Arial" w:hAnsi="Arial"/>
      <w:b w:val="0"/>
    </w:rPr>
  </w:style>
  <w:style w:type="character" w:customStyle="1" w:styleId="Heading2Char">
    <w:name w:val="Heading 2 Char"/>
    <w:aliases w:val="Programme Objective Title Char"/>
    <w:basedOn w:val="DefaultParagraphFont"/>
    <w:link w:val="Heading2"/>
    <w:rsid w:val="00750057"/>
    <w:rPr>
      <w:rFonts w:ascii="Arial" w:hAnsi="Arial" w:cs="Arial"/>
      <w:b/>
      <w:bCs/>
      <w:iCs/>
      <w:sz w:val="22"/>
      <w:szCs w:val="28"/>
      <w:lang w:eastAsia="en-US"/>
    </w:rPr>
  </w:style>
  <w:style w:type="character" w:customStyle="1" w:styleId="Heading1Char">
    <w:name w:val="Heading 1 Char"/>
    <w:aliases w:val="Programme Name Char"/>
    <w:basedOn w:val="DefaultParagraphFont"/>
    <w:link w:val="Heading1"/>
    <w:rsid w:val="00B94AC1"/>
    <w:rPr>
      <w:rFonts w:ascii="Arial Bold" w:hAnsi="Arial Bold" w:cs="Arial"/>
      <w:b/>
      <w:bCs/>
      <w:sz w:val="24"/>
      <w:szCs w:val="32"/>
      <w:lang w:eastAsia="en-US"/>
    </w:rPr>
  </w:style>
  <w:style w:type="character" w:customStyle="1" w:styleId="OutcomeNumberChar">
    <w:name w:val="Outcome Number Char"/>
    <w:basedOn w:val="Heading1Char"/>
    <w:link w:val="OutcomeNumber"/>
    <w:rsid w:val="00750057"/>
    <w:rPr>
      <w:rFonts w:ascii="Arial" w:hAnsi="Arial" w:cs="Arial"/>
      <w:b w:val="0"/>
      <w:bCs/>
      <w:sz w:val="24"/>
      <w:szCs w:val="32"/>
      <w:lang w:eastAsia="en-US"/>
    </w:rPr>
  </w:style>
  <w:style w:type="character" w:customStyle="1" w:styleId="OutcomeNameChar">
    <w:name w:val="Outcome Name Char"/>
    <w:basedOn w:val="Heading2Char"/>
    <w:link w:val="OutcomeName"/>
    <w:rsid w:val="00750057"/>
    <w:rPr>
      <w:rFonts w:ascii="Tahoma" w:eastAsia="Malgun Gothic" w:hAnsi="Tahoma" w:cs="Arial"/>
      <w:b/>
      <w:bCs/>
      <w:iCs/>
      <w:smallCaps/>
      <w:sz w:val="32"/>
      <w:szCs w:val="28"/>
      <w:lang w:eastAsia="en-US"/>
    </w:rPr>
  </w:style>
  <w:style w:type="paragraph" w:customStyle="1" w:styleId="ProgrammeObjectiveItalics">
    <w:name w:val="Programme Objective Italics"/>
    <w:basedOn w:val="Normal"/>
    <w:link w:val="ProgrammeObjectiveItalicsChar"/>
    <w:qFormat/>
    <w:locked/>
    <w:rsid w:val="00750057"/>
    <w:pPr>
      <w:outlineLvl w:val="2"/>
    </w:pPr>
    <w:rPr>
      <w:i/>
    </w:rPr>
  </w:style>
  <w:style w:type="character" w:customStyle="1" w:styleId="PerformanceHeadingChar">
    <w:name w:val="Performance Heading Char"/>
    <w:basedOn w:val="DefaultParagraphFont"/>
    <w:link w:val="PerformanceHeading"/>
    <w:rsid w:val="00B93660"/>
    <w:rPr>
      <w:rFonts w:ascii="Arial" w:hAnsi="Arial"/>
      <w:b/>
      <w:sz w:val="24"/>
    </w:rPr>
  </w:style>
  <w:style w:type="character" w:customStyle="1" w:styleId="ProgrammeObjectiveItalicsChar">
    <w:name w:val="Programme Objective Italics Char"/>
    <w:basedOn w:val="DefaultParagraphFont"/>
    <w:link w:val="ProgrammeObjectiveItalics"/>
    <w:rsid w:val="00750057"/>
    <w:rPr>
      <w:rFonts w:ascii="Book Antiqua" w:hAnsi="Book Antiqua"/>
      <w:i/>
    </w:rPr>
  </w:style>
  <w:style w:type="character" w:customStyle="1" w:styleId="ListParagraphChar">
    <w:name w:val="List Paragraph Char"/>
    <w:aliases w:val="Bullet List Paragraph Char,List Paragraph1 Char,Recommendation Char,Body text Char,List Paragraph11 Char,Figure_name Char,Numbered Indented Text Char,Bullet- First level Char,List NUmber Char,Listenabsatz1 Char,lp1 Char"/>
    <w:basedOn w:val="DefaultParagraphFont"/>
    <w:link w:val="ListParagraph"/>
    <w:uiPriority w:val="34"/>
    <w:rsid w:val="004C3787"/>
    <w:rPr>
      <w:rFonts w:ascii="Book Antiqua" w:hAnsi="Book Antiqua"/>
    </w:rPr>
  </w:style>
  <w:style w:type="paragraph" w:customStyle="1" w:styleId="LinkedProgramHeading">
    <w:name w:val="Linked Program Heading"/>
    <w:basedOn w:val="TableHeadingRow"/>
    <w:qFormat/>
    <w:rsid w:val="00C84C64"/>
  </w:style>
  <w:style w:type="paragraph" w:customStyle="1" w:styleId="EntityTitle">
    <w:name w:val="Entity Title"/>
    <w:basedOn w:val="Normal"/>
    <w:link w:val="EntityTitleChar"/>
    <w:qFormat/>
    <w:rsid w:val="002D6A42"/>
    <w:pPr>
      <w:keepNext/>
      <w:tabs>
        <w:tab w:val="left" w:pos="5830"/>
      </w:tabs>
      <w:ind w:right="-68"/>
      <w:jc w:val="center"/>
      <w:outlineLvl w:val="0"/>
    </w:pPr>
    <w:rPr>
      <w:rFonts w:ascii="Arial" w:hAnsi="Arial" w:cs="Arial"/>
      <w:b/>
      <w:bCs/>
      <w:smallCaps/>
      <w:sz w:val="52"/>
      <w:szCs w:val="56"/>
    </w:rPr>
  </w:style>
  <w:style w:type="character" w:customStyle="1" w:styleId="EntityTitleChar">
    <w:name w:val="Entity Title Char"/>
    <w:basedOn w:val="DefaultParagraphFont"/>
    <w:link w:val="EntityTitle"/>
    <w:rsid w:val="002D6A42"/>
    <w:rPr>
      <w:rFonts w:ascii="Arial" w:hAnsi="Arial" w:cs="Arial"/>
      <w:b/>
      <w:bCs/>
      <w:smallCaps/>
      <w:sz w:val="52"/>
      <w:szCs w:val="56"/>
    </w:rPr>
  </w:style>
  <w:style w:type="paragraph" w:customStyle="1" w:styleId="EntityContents">
    <w:name w:val="Entity Contents"/>
    <w:basedOn w:val="Normal"/>
    <w:link w:val="EntityContentsChar"/>
    <w:qFormat/>
    <w:rsid w:val="003F32B8"/>
    <w:pPr>
      <w:keepNext/>
      <w:tabs>
        <w:tab w:val="left" w:pos="5830"/>
      </w:tabs>
      <w:ind w:right="-68"/>
      <w:jc w:val="right"/>
    </w:pPr>
    <w:rPr>
      <w:rFonts w:ascii="Arial Bold" w:hAnsi="Arial Bold" w:cs="Arial"/>
      <w:b/>
      <w:bCs/>
      <w:sz w:val="44"/>
      <w:szCs w:val="44"/>
    </w:rPr>
  </w:style>
  <w:style w:type="character" w:customStyle="1" w:styleId="EntityContentsChar">
    <w:name w:val="Entity Contents Char"/>
    <w:basedOn w:val="DefaultParagraphFont"/>
    <w:link w:val="EntityContents"/>
    <w:rsid w:val="003F32B8"/>
    <w:rPr>
      <w:rFonts w:ascii="Arial Bold" w:hAnsi="Arial Bold" w:cs="Arial"/>
      <w:b/>
      <w:bCs/>
      <w:sz w:val="44"/>
      <w:szCs w:val="44"/>
    </w:rPr>
  </w:style>
  <w:style w:type="paragraph" w:customStyle="1" w:styleId="SectionHeading">
    <w:name w:val="Section Heading"/>
    <w:basedOn w:val="Normal"/>
    <w:link w:val="SectionHeadingChar"/>
    <w:qFormat/>
    <w:rsid w:val="000E33CF"/>
    <w:pPr>
      <w:keepNext/>
      <w:spacing w:after="240"/>
      <w:outlineLvl w:val="0"/>
    </w:pPr>
    <w:rPr>
      <w:rFonts w:ascii="Arial" w:hAnsi="Arial" w:cs="Arial"/>
      <w:b/>
      <w:sz w:val="28"/>
      <w:szCs w:val="28"/>
    </w:rPr>
  </w:style>
  <w:style w:type="character" w:customStyle="1" w:styleId="SectionHeadingChar">
    <w:name w:val="Section Heading Char"/>
    <w:link w:val="SectionHeading"/>
    <w:rsid w:val="000E33CF"/>
    <w:rPr>
      <w:rFonts w:ascii="Arial" w:hAnsi="Arial" w:cs="Arial"/>
      <w:b/>
      <w:sz w:val="28"/>
      <w:szCs w:val="28"/>
    </w:rPr>
  </w:style>
  <w:style w:type="paragraph" w:customStyle="1" w:styleId="SectionSubheading">
    <w:name w:val="Section Subheading"/>
    <w:basedOn w:val="Normal"/>
    <w:link w:val="SectionSubheadingChar"/>
    <w:autoRedefine/>
    <w:qFormat/>
    <w:rsid w:val="00BC60A5"/>
    <w:pPr>
      <w:keepNext/>
      <w:spacing w:before="360"/>
      <w:outlineLvl w:val="1"/>
    </w:pPr>
    <w:rPr>
      <w:rFonts w:ascii="Arial" w:hAnsi="Arial" w:cs="Arial"/>
      <w:b/>
      <w:sz w:val="26"/>
      <w:szCs w:val="22"/>
    </w:rPr>
  </w:style>
  <w:style w:type="character" w:customStyle="1" w:styleId="SectionSubheadingChar">
    <w:name w:val="Section Subheading Char"/>
    <w:basedOn w:val="DefaultParagraphFont"/>
    <w:link w:val="SectionSubheading"/>
    <w:rsid w:val="00BC60A5"/>
    <w:rPr>
      <w:rFonts w:ascii="Arial" w:hAnsi="Arial" w:cs="Arial"/>
      <w:b/>
      <w:sz w:val="26"/>
      <w:szCs w:val="22"/>
    </w:rPr>
  </w:style>
  <w:style w:type="paragraph" w:customStyle="1" w:styleId="Sectionsubsubheading">
    <w:name w:val="Section sub sub heading"/>
    <w:basedOn w:val="SectionSubheading"/>
    <w:link w:val="SectionsubsubheadingChar"/>
    <w:qFormat/>
    <w:rsid w:val="00A92D45"/>
    <w:pPr>
      <w:spacing w:before="0"/>
      <w:outlineLvl w:val="2"/>
    </w:pPr>
    <w:rPr>
      <w:sz w:val="22"/>
    </w:rPr>
  </w:style>
  <w:style w:type="character" w:customStyle="1" w:styleId="SectionsubsubheadingChar">
    <w:name w:val="Section sub sub heading Char"/>
    <w:basedOn w:val="SectionSubheadingChar"/>
    <w:link w:val="Sectionsubsubheading"/>
    <w:rsid w:val="00A92D45"/>
    <w:rPr>
      <w:rFonts w:ascii="Arial" w:hAnsi="Arial" w:cs="Arial"/>
      <w:b/>
      <w:sz w:val="22"/>
      <w:szCs w:val="22"/>
    </w:rPr>
  </w:style>
  <w:style w:type="paragraph" w:customStyle="1" w:styleId="DepartmentalResources">
    <w:name w:val="Departmental Resources"/>
    <w:basedOn w:val="TableHeadingRow"/>
    <w:link w:val="DepartmentalResourcesChar"/>
    <w:qFormat/>
    <w:rsid w:val="00CC0E49"/>
    <w:pPr>
      <w:keepNext/>
      <w:spacing w:before="120" w:after="120"/>
    </w:pPr>
  </w:style>
  <w:style w:type="character" w:customStyle="1" w:styleId="DepartmentalResourcesChar">
    <w:name w:val="Departmental Resources Char"/>
    <w:basedOn w:val="TableReferenceChar"/>
    <w:link w:val="DepartmentalResources"/>
    <w:rsid w:val="00CC0E49"/>
    <w:rPr>
      <w:rFonts w:ascii="Arial" w:hAnsi="Arial" w:cs="Arial"/>
      <w:b/>
      <w:sz w:val="18"/>
      <w:szCs w:val="18"/>
    </w:rPr>
  </w:style>
  <w:style w:type="paragraph" w:customStyle="1" w:styleId="HPE">
    <w:name w:val="HPE"/>
    <w:basedOn w:val="Normal"/>
    <w:link w:val="HPEChar"/>
    <w:qFormat/>
    <w:rsid w:val="004B480F"/>
    <w:pPr>
      <w:pBdr>
        <w:bottom w:val="single" w:sz="4" w:space="1" w:color="auto"/>
      </w:pBdr>
      <w:tabs>
        <w:tab w:val="left" w:leader="dot" w:pos="567"/>
        <w:tab w:val="right" w:leader="dot" w:pos="7371"/>
      </w:tabs>
      <w:spacing w:before="100" w:beforeAutospacing="1" w:after="240"/>
      <w:jc w:val="right"/>
    </w:pPr>
    <w:rPr>
      <w:rFonts w:ascii="Arial" w:hAnsi="Arial" w:cs="Arial"/>
      <w:bCs/>
    </w:rPr>
  </w:style>
  <w:style w:type="paragraph" w:customStyle="1" w:styleId="TOCHeading1">
    <w:name w:val="TOC Heading1"/>
    <w:basedOn w:val="Normal"/>
    <w:link w:val="ToCHeadingChar"/>
    <w:qFormat/>
    <w:rsid w:val="004B480F"/>
    <w:pPr>
      <w:tabs>
        <w:tab w:val="left" w:leader="dot" w:pos="567"/>
        <w:tab w:val="left" w:pos="709"/>
        <w:tab w:val="right" w:leader="dot" w:pos="7371"/>
      </w:tabs>
      <w:spacing w:before="960"/>
      <w:outlineLvl w:val="1"/>
    </w:pPr>
    <w:rPr>
      <w:rFonts w:ascii="Arial" w:hAnsi="Arial" w:cs="Arial"/>
      <w:b/>
    </w:rPr>
  </w:style>
  <w:style w:type="character" w:customStyle="1" w:styleId="HPEChar">
    <w:name w:val="HPE Char"/>
    <w:basedOn w:val="DefaultParagraphFont"/>
    <w:link w:val="HPE"/>
    <w:rsid w:val="004B480F"/>
    <w:rPr>
      <w:rFonts w:ascii="Arial" w:hAnsi="Arial" w:cs="Arial"/>
      <w:bCs/>
    </w:rPr>
  </w:style>
  <w:style w:type="paragraph" w:customStyle="1" w:styleId="ToCHeading2">
    <w:name w:val="ToC Heading 2"/>
    <w:basedOn w:val="Normal"/>
    <w:link w:val="ToCHeading2Char"/>
    <w:qFormat/>
    <w:rsid w:val="004B480F"/>
    <w:pPr>
      <w:tabs>
        <w:tab w:val="left" w:pos="567"/>
        <w:tab w:val="right" w:leader="dot" w:pos="7371"/>
      </w:tabs>
      <w:spacing w:before="180"/>
      <w:outlineLvl w:val="1"/>
    </w:pPr>
    <w:rPr>
      <w:rFonts w:ascii="Arial" w:hAnsi="Arial" w:cs="Arial"/>
      <w:b/>
    </w:rPr>
  </w:style>
  <w:style w:type="character" w:customStyle="1" w:styleId="ToCHeadingChar">
    <w:name w:val="ToC Heading Char"/>
    <w:basedOn w:val="DefaultParagraphFont"/>
    <w:link w:val="TOCHeading1"/>
    <w:rsid w:val="004B480F"/>
    <w:rPr>
      <w:rFonts w:ascii="Arial" w:hAnsi="Arial" w:cs="Arial"/>
      <w:b/>
    </w:rPr>
  </w:style>
  <w:style w:type="paragraph" w:customStyle="1" w:styleId="ToCSubHeading">
    <w:name w:val="ToC Sub Heading"/>
    <w:basedOn w:val="Normal"/>
    <w:link w:val="ToCSubHeadingChar"/>
    <w:qFormat/>
    <w:rsid w:val="004B480F"/>
    <w:pPr>
      <w:tabs>
        <w:tab w:val="left" w:pos="709"/>
        <w:tab w:val="right" w:leader="dot" w:pos="7371"/>
      </w:tabs>
      <w:spacing w:before="60"/>
    </w:pPr>
    <w:rPr>
      <w:rFonts w:ascii="Arial" w:hAnsi="Arial" w:cs="Arial"/>
    </w:rPr>
  </w:style>
  <w:style w:type="character" w:customStyle="1" w:styleId="ToCHeading2Char">
    <w:name w:val="ToC Heading 2 Char"/>
    <w:basedOn w:val="DefaultParagraphFont"/>
    <w:link w:val="ToCHeading2"/>
    <w:rsid w:val="004B480F"/>
    <w:rPr>
      <w:rFonts w:ascii="Arial" w:hAnsi="Arial" w:cs="Arial"/>
      <w:b/>
    </w:rPr>
  </w:style>
  <w:style w:type="character" w:customStyle="1" w:styleId="ToCSubHeadingChar">
    <w:name w:val="ToC Sub Heading Char"/>
    <w:basedOn w:val="DefaultParagraphFont"/>
    <w:link w:val="ToCSubHeading"/>
    <w:rsid w:val="004B480F"/>
    <w:rPr>
      <w:rFonts w:ascii="Arial" w:hAnsi="Arial" w:cs="Arial"/>
    </w:rPr>
  </w:style>
  <w:style w:type="paragraph" w:customStyle="1" w:styleId="EntitySubtitle">
    <w:name w:val="Entity Subtitle"/>
    <w:basedOn w:val="EntityTitle"/>
    <w:link w:val="EntitySubtitleChar"/>
    <w:qFormat/>
    <w:rsid w:val="00AC21A7"/>
    <w:pPr>
      <w:spacing w:before="440"/>
    </w:pPr>
    <w:rPr>
      <w:rFonts w:ascii="Arial Bold" w:hAnsi="Arial Bold"/>
      <w:smallCaps w:val="0"/>
      <w:sz w:val="44"/>
    </w:rPr>
  </w:style>
  <w:style w:type="character" w:customStyle="1" w:styleId="EntitySubtitleChar">
    <w:name w:val="Entity Subtitle Char"/>
    <w:basedOn w:val="EntityTitleChar"/>
    <w:link w:val="EntitySubtitle"/>
    <w:rsid w:val="00AC21A7"/>
    <w:rPr>
      <w:rFonts w:ascii="Arial Bold" w:hAnsi="Arial Bold" w:cs="Arial"/>
      <w:b/>
      <w:bCs/>
      <w:smallCaps w:val="0"/>
      <w:sz w:val="44"/>
      <w:szCs w:val="56"/>
    </w:rPr>
  </w:style>
  <w:style w:type="paragraph" w:customStyle="1" w:styleId="Footnotes">
    <w:name w:val="Footnotes"/>
    <w:basedOn w:val="FootnoteText"/>
    <w:link w:val="FootnotesChar"/>
    <w:qFormat/>
    <w:rsid w:val="00277D4D"/>
    <w:pPr>
      <w:tabs>
        <w:tab w:val="clear" w:pos="284"/>
      </w:tabs>
    </w:pPr>
    <w:rPr>
      <w:bdr w:val="nil"/>
    </w:rPr>
  </w:style>
  <w:style w:type="character" w:customStyle="1" w:styleId="FootnotesChar">
    <w:name w:val="Footnotes Char"/>
    <w:basedOn w:val="FootnoteTextChar"/>
    <w:link w:val="Footnotes"/>
    <w:rsid w:val="00277D4D"/>
    <w:rPr>
      <w:rFonts w:ascii="Book Antiqua" w:hAnsi="Book Antiqua"/>
      <w:sz w:val="16"/>
      <w:bdr w:val="nil"/>
    </w:rPr>
  </w:style>
  <w:style w:type="paragraph" w:customStyle="1" w:styleId="Heading2-bold">
    <w:name w:val="Heading 2 - bold"/>
    <w:basedOn w:val="Normal"/>
    <w:next w:val="Normal"/>
    <w:link w:val="Heading2-boldChar"/>
    <w:qFormat/>
    <w:locked/>
    <w:rsid w:val="00103F0C"/>
    <w:pPr>
      <w:spacing w:before="240"/>
      <w:outlineLvl w:val="1"/>
    </w:pPr>
    <w:rPr>
      <w:rFonts w:ascii="Arial" w:hAnsi="Arial"/>
      <w:b/>
      <w:sz w:val="24"/>
    </w:rPr>
  </w:style>
  <w:style w:type="character" w:customStyle="1" w:styleId="Heading2-boldChar">
    <w:name w:val="Heading 2 - bold Char"/>
    <w:basedOn w:val="DefaultParagraphFont"/>
    <w:link w:val="Heading2-bold"/>
    <w:rsid w:val="00103F0C"/>
    <w:rPr>
      <w:rFonts w:ascii="Arial" w:hAnsi="Arial"/>
      <w:b/>
      <w:sz w:val="24"/>
    </w:rPr>
  </w:style>
  <w:style w:type="paragraph" w:styleId="BalloonText">
    <w:name w:val="Balloon Text"/>
    <w:basedOn w:val="Normal"/>
    <w:link w:val="BalloonTextChar"/>
    <w:rsid w:val="00735BF8"/>
    <w:pPr>
      <w:spacing w:after="0"/>
    </w:pPr>
    <w:rPr>
      <w:rFonts w:ascii="Tahoma" w:hAnsi="Tahoma" w:cs="Tahoma"/>
      <w:sz w:val="16"/>
      <w:szCs w:val="16"/>
    </w:rPr>
  </w:style>
  <w:style w:type="character" w:customStyle="1" w:styleId="BalloonTextChar">
    <w:name w:val="Balloon Text Char"/>
    <w:basedOn w:val="DefaultParagraphFont"/>
    <w:link w:val="BalloonText"/>
    <w:rsid w:val="00735BF8"/>
    <w:rPr>
      <w:rFonts w:ascii="Tahoma" w:hAnsi="Tahoma" w:cs="Tahoma"/>
      <w:sz w:val="16"/>
      <w:szCs w:val="16"/>
    </w:rPr>
  </w:style>
  <w:style w:type="paragraph" w:customStyle="1" w:styleId="TableHeadingcontinued">
    <w:name w:val="Table Heading continued"/>
    <w:basedOn w:val="Normal"/>
    <w:next w:val="Normal"/>
    <w:rsid w:val="00A52AC7"/>
    <w:pPr>
      <w:keepNext/>
      <w:spacing w:before="120" w:after="20"/>
    </w:pPr>
    <w:rPr>
      <w:rFonts w:ascii="Arial Bold" w:hAnsi="Arial Bold"/>
      <w:b/>
    </w:rPr>
  </w:style>
  <w:style w:type="paragraph" w:customStyle="1" w:styleId="ProgramObjectiveHeadingRow">
    <w:name w:val="Program Objective Heading Row"/>
    <w:basedOn w:val="TableHeadingRow"/>
    <w:qFormat/>
    <w:rsid w:val="00303A65"/>
    <w:pPr>
      <w:tabs>
        <w:tab w:val="left" w:pos="284"/>
      </w:tabs>
      <w:ind w:left="284" w:hanging="284"/>
    </w:pPr>
  </w:style>
  <w:style w:type="paragraph" w:customStyle="1" w:styleId="BudgetCriteriaTableTextItalics">
    <w:name w:val="Budget Criteria (Table Text Italics)"/>
    <w:basedOn w:val="TableTextNormal"/>
    <w:qFormat/>
    <w:rsid w:val="002A6F8D"/>
    <w:rPr>
      <w:i/>
      <w:lang w:eastAsia="en-US"/>
    </w:rPr>
  </w:style>
  <w:style w:type="paragraph" w:customStyle="1" w:styleId="OutcomeandProgramDescription">
    <w:name w:val="Outcome and Program Description"/>
    <w:basedOn w:val="Normal"/>
    <w:qFormat/>
    <w:rsid w:val="00277C81"/>
    <w:pPr>
      <w:spacing w:before="40" w:after="40"/>
      <w:ind w:left="357" w:hanging="357"/>
    </w:pPr>
    <w:rPr>
      <w:rFonts w:ascii="Arial" w:hAnsi="Arial" w:cs="Arial"/>
      <w:b/>
      <w:sz w:val="18"/>
      <w:szCs w:val="18"/>
    </w:rPr>
  </w:style>
  <w:style w:type="paragraph" w:customStyle="1" w:styleId="TableRow">
    <w:name w:val="Table Row"/>
    <w:basedOn w:val="Normal"/>
    <w:qFormat/>
    <w:locked/>
    <w:rsid w:val="00FE2006"/>
    <w:pPr>
      <w:spacing w:before="40" w:after="40"/>
    </w:pPr>
    <w:rPr>
      <w:rFonts w:cs="Arial"/>
      <w:sz w:val="18"/>
      <w:szCs w:val="18"/>
    </w:rPr>
  </w:style>
  <w:style w:type="paragraph" w:customStyle="1" w:styleId="TableBullet">
    <w:name w:val="Table Bullet"/>
    <w:basedOn w:val="TableTextNormal"/>
    <w:qFormat/>
    <w:rsid w:val="007243BB"/>
    <w:pPr>
      <w:numPr>
        <w:numId w:val="16"/>
      </w:numPr>
      <w:ind w:left="357" w:hanging="357"/>
    </w:pPr>
  </w:style>
  <w:style w:type="paragraph" w:customStyle="1" w:styleId="DeliveryList">
    <w:name w:val="Delivery List"/>
    <w:basedOn w:val="Normal"/>
    <w:qFormat/>
    <w:rsid w:val="00277C81"/>
    <w:pPr>
      <w:tabs>
        <w:tab w:val="left" w:pos="357"/>
      </w:tabs>
      <w:spacing w:before="40" w:after="40"/>
      <w:ind w:left="357" w:hanging="357"/>
    </w:pPr>
    <w:rPr>
      <w:rFonts w:cs="Arial"/>
      <w:sz w:val="18"/>
      <w:szCs w:val="18"/>
    </w:rPr>
  </w:style>
  <w:style w:type="paragraph" w:customStyle="1" w:styleId="LinkedProgrammeBullet">
    <w:name w:val="Linked Programme Bullet"/>
    <w:basedOn w:val="ListParagraph"/>
    <w:link w:val="LinkedProgrammeBulletChar"/>
    <w:qFormat/>
    <w:locked/>
    <w:rsid w:val="00C84C64"/>
    <w:pPr>
      <w:numPr>
        <w:numId w:val="14"/>
      </w:numPr>
      <w:tabs>
        <w:tab w:val="left" w:pos="357"/>
      </w:tabs>
      <w:spacing w:before="40" w:after="40"/>
      <w:ind w:left="284" w:hanging="284"/>
    </w:pPr>
    <w:rPr>
      <w:rFonts w:ascii="Arial" w:hAnsi="Arial" w:cs="Arial"/>
      <w:sz w:val="18"/>
      <w:szCs w:val="16"/>
    </w:rPr>
  </w:style>
  <w:style w:type="character" w:customStyle="1" w:styleId="LinkedProgrammeBulletChar">
    <w:name w:val="Linked Programme Bullet Char"/>
    <w:basedOn w:val="ListParagraphChar"/>
    <w:link w:val="LinkedProgrammeBullet"/>
    <w:rsid w:val="00C84C64"/>
    <w:rPr>
      <w:rFonts w:ascii="Arial" w:hAnsi="Arial" w:cs="Arial"/>
      <w:sz w:val="18"/>
      <w:szCs w:val="16"/>
    </w:rPr>
  </w:style>
  <w:style w:type="paragraph" w:customStyle="1" w:styleId="LinkedProgram-NoName">
    <w:name w:val="Linked Program - No.&amp; Name"/>
    <w:basedOn w:val="ListParagraph"/>
    <w:link w:val="LinkedProgram-NoNameChar"/>
    <w:qFormat/>
    <w:locked/>
    <w:rsid w:val="002F432D"/>
    <w:pPr>
      <w:numPr>
        <w:numId w:val="0"/>
      </w:numPr>
      <w:tabs>
        <w:tab w:val="left" w:pos="142"/>
      </w:tabs>
      <w:spacing w:before="40" w:after="40"/>
      <w:ind w:left="142"/>
    </w:pPr>
    <w:rPr>
      <w:rFonts w:ascii="Arial" w:hAnsi="Arial" w:cs="Arial"/>
      <w:sz w:val="18"/>
      <w:szCs w:val="16"/>
    </w:rPr>
  </w:style>
  <w:style w:type="character" w:customStyle="1" w:styleId="LinkedProgram-NoNameChar">
    <w:name w:val="Linked Program - No.&amp; Name Char"/>
    <w:basedOn w:val="ListParagraphChar"/>
    <w:link w:val="LinkedProgram-NoName"/>
    <w:rsid w:val="002F432D"/>
    <w:rPr>
      <w:rFonts w:ascii="Arial" w:hAnsi="Arial" w:cs="Ari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lsdException w:name="heading 4" w:locked="0"/>
    <w:lsdException w:name="heading 5" w:locked="0"/>
    <w:lsdException w:name="heading 6" w:locked="0"/>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qFormat="1"/>
    <w:lsdException w:name="annotation text" w:locked="0"/>
    <w:lsdException w:name="header" w:locked="0" w:uiPriority="99"/>
    <w:lsdException w:name="footer" w:locked="0"/>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qFormat="1"/>
  </w:latentStyles>
  <w:style w:type="paragraph" w:default="1" w:styleId="Normal">
    <w:name w:val="Normal"/>
    <w:qFormat/>
    <w:rsid w:val="004B480F"/>
    <w:pPr>
      <w:spacing w:after="120"/>
    </w:pPr>
    <w:rPr>
      <w:rFonts w:ascii="Book Antiqua" w:hAnsi="Book Antiqua"/>
    </w:rPr>
  </w:style>
  <w:style w:type="paragraph" w:styleId="Heading1">
    <w:name w:val="heading 1"/>
    <w:aliases w:val="Programme Name"/>
    <w:basedOn w:val="Normal"/>
    <w:next w:val="Normal"/>
    <w:link w:val="Heading1Char"/>
    <w:qFormat/>
    <w:rsid w:val="00B94AC1"/>
    <w:pPr>
      <w:spacing w:before="240"/>
      <w:outlineLvl w:val="0"/>
    </w:pPr>
    <w:rPr>
      <w:rFonts w:ascii="Arial Bold" w:hAnsi="Arial Bold" w:cs="Arial"/>
      <w:b/>
      <w:bCs/>
      <w:sz w:val="24"/>
      <w:szCs w:val="32"/>
      <w:lang w:eastAsia="en-US"/>
    </w:rPr>
  </w:style>
  <w:style w:type="paragraph" w:styleId="Heading2">
    <w:name w:val="heading 2"/>
    <w:aliases w:val="Programme Objective Title"/>
    <w:basedOn w:val="Normal"/>
    <w:next w:val="Normal"/>
    <w:link w:val="Heading2Char"/>
    <w:qFormat/>
    <w:rsid w:val="00750057"/>
    <w:pPr>
      <w:spacing w:before="120"/>
      <w:outlineLvl w:val="1"/>
    </w:pPr>
    <w:rPr>
      <w:rFonts w:ascii="Arial" w:hAnsi="Arial" w:cs="Arial"/>
      <w:b/>
      <w:bCs/>
      <w:iCs/>
      <w:sz w:val="22"/>
      <w:szCs w:val="28"/>
      <w:lang w:eastAsia="en-US"/>
    </w:rPr>
  </w:style>
  <w:style w:type="paragraph" w:styleId="Heading3">
    <w:name w:val="heading 3"/>
    <w:basedOn w:val="Normal"/>
    <w:next w:val="Normal"/>
    <w:rsid w:val="00C96702"/>
    <w:pPr>
      <w:spacing w:before="120"/>
      <w:outlineLvl w:val="2"/>
    </w:pPr>
    <w:rPr>
      <w:rFonts w:ascii="Arial Bold" w:hAnsi="Arial Bold" w:cs="Arial"/>
      <w:b/>
      <w:bCs/>
      <w:sz w:val="22"/>
      <w:szCs w:val="26"/>
      <w:lang w:val="en-US" w:eastAsia="en-US"/>
    </w:rPr>
  </w:style>
  <w:style w:type="paragraph" w:styleId="Heading4">
    <w:name w:val="heading 4"/>
    <w:basedOn w:val="Normal"/>
    <w:next w:val="Normal"/>
    <w:rsid w:val="00CB5B1A"/>
    <w:pPr>
      <w:spacing w:before="240" w:after="60"/>
      <w:outlineLvl w:val="3"/>
    </w:pPr>
    <w:rPr>
      <w:rFonts w:ascii="Times New Roman" w:hAnsi="Times New Roman"/>
      <w:b/>
      <w:bCs/>
      <w:i/>
      <w:sz w:val="26"/>
      <w:szCs w:val="28"/>
      <w:lang w:val="en-US" w:eastAsia="en-US"/>
    </w:rPr>
  </w:style>
  <w:style w:type="paragraph" w:styleId="Heading5">
    <w:name w:val="heading 5"/>
    <w:basedOn w:val="Normal"/>
    <w:next w:val="Normal"/>
    <w:rsid w:val="00CB5B1A"/>
    <w:pPr>
      <w:spacing w:before="240" w:after="60"/>
      <w:outlineLvl w:val="4"/>
    </w:pPr>
    <w:rPr>
      <w:rFonts w:ascii="Times New Roman" w:hAnsi="Times New Roman"/>
      <w:b/>
      <w:bCs/>
      <w:iCs/>
      <w:sz w:val="26"/>
      <w:szCs w:val="26"/>
      <w:lang w:val="en-US" w:eastAsia="en-US"/>
    </w:rPr>
  </w:style>
  <w:style w:type="paragraph" w:styleId="Heading6">
    <w:name w:val="heading 6"/>
    <w:basedOn w:val="Normal"/>
    <w:next w:val="Normal"/>
    <w:rsid w:val="00CB5B1A"/>
    <w:pPr>
      <w:spacing w:before="240" w:after="60"/>
      <w:outlineLvl w:val="5"/>
    </w:pPr>
    <w:rPr>
      <w:rFonts w:ascii="Times New Roman" w:hAnsi="Times New Roman"/>
      <w:b/>
      <w:bCs/>
      <w: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93660"/>
    <w:pPr>
      <w:tabs>
        <w:tab w:val="center" w:pos="4513"/>
        <w:tab w:val="right" w:pos="9026"/>
      </w:tabs>
      <w:spacing w:after="0"/>
    </w:pPr>
  </w:style>
  <w:style w:type="character" w:customStyle="1" w:styleId="HeaderChar">
    <w:name w:val="Header Char"/>
    <w:basedOn w:val="DefaultParagraphFont"/>
    <w:link w:val="Header"/>
    <w:uiPriority w:val="99"/>
    <w:rsid w:val="00B93660"/>
    <w:rPr>
      <w:rFonts w:ascii="Book Antiqua" w:hAnsi="Book Antiqua"/>
    </w:rPr>
  </w:style>
  <w:style w:type="paragraph" w:styleId="Footer">
    <w:name w:val="footer"/>
    <w:basedOn w:val="Normal"/>
    <w:link w:val="FooterChar"/>
    <w:rsid w:val="00CA4276"/>
    <w:pPr>
      <w:pBdr>
        <w:top w:val="single" w:sz="4" w:space="1" w:color="auto"/>
      </w:pBdr>
      <w:jc w:val="center"/>
    </w:pPr>
    <w:rPr>
      <w:rFonts w:ascii="Arial" w:hAnsi="Arial"/>
      <w:sz w:val="18"/>
      <w:szCs w:val="24"/>
      <w:lang w:eastAsia="en-US"/>
    </w:rPr>
  </w:style>
  <w:style w:type="character" w:customStyle="1" w:styleId="FooterChar">
    <w:name w:val="Footer Char"/>
    <w:basedOn w:val="DefaultParagraphFont"/>
    <w:link w:val="Footer"/>
    <w:rsid w:val="00CA4276"/>
    <w:rPr>
      <w:rFonts w:ascii="Arial" w:hAnsi="Arial"/>
      <w:sz w:val="18"/>
      <w:szCs w:val="24"/>
      <w:lang w:eastAsia="en-US"/>
    </w:rPr>
  </w:style>
  <w:style w:type="paragraph" w:customStyle="1" w:styleId="Header2-Left">
    <w:name w:val="Header 2 - Left"/>
    <w:basedOn w:val="Normal"/>
    <w:link w:val="Header2-LeftChar"/>
    <w:qFormat/>
    <w:locked/>
    <w:rsid w:val="00B93660"/>
    <w:pPr>
      <w:pBdr>
        <w:bottom w:val="single" w:sz="4" w:space="1" w:color="auto"/>
      </w:pBdr>
    </w:pPr>
    <w:rPr>
      <w:rFonts w:ascii="Arial" w:hAnsi="Arial"/>
      <w:sz w:val="18"/>
    </w:rPr>
  </w:style>
  <w:style w:type="table" w:styleId="TableGrid">
    <w:name w:val="Table Grid"/>
    <w:basedOn w:val="TableNormal"/>
    <w:locked/>
    <w:rsid w:val="00E4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Paragraph,List Paragraph1,Recommendation,Body text,List Paragraph11,Figure_name,Numbered Indented Text,Bullet- First level,List NUmber,Listenabsatz1,lp1"/>
    <w:basedOn w:val="Normal"/>
    <w:link w:val="ListParagraphChar"/>
    <w:uiPriority w:val="34"/>
    <w:qFormat/>
    <w:rsid w:val="004C3787"/>
    <w:pPr>
      <w:numPr>
        <w:numId w:val="5"/>
      </w:numPr>
      <w:ind w:left="357" w:hanging="357"/>
      <w:contextualSpacing/>
    </w:pPr>
  </w:style>
  <w:style w:type="paragraph" w:customStyle="1" w:styleId="OutcomeName">
    <w:name w:val="Outcome Name"/>
    <w:basedOn w:val="Heading2"/>
    <w:link w:val="OutcomeNameChar"/>
    <w:locked/>
    <w:rsid w:val="00750057"/>
    <w:pPr>
      <w:spacing w:before="60"/>
    </w:pPr>
    <w:rPr>
      <w:rFonts w:ascii="Tahoma" w:eastAsia="Malgun Gothic" w:hAnsi="Tahoma"/>
      <w:smallCaps/>
      <w:sz w:val="32"/>
    </w:rPr>
  </w:style>
  <w:style w:type="paragraph" w:customStyle="1" w:styleId="OutcomeStrategy">
    <w:name w:val="Outcome Strategy"/>
    <w:basedOn w:val="Heading2"/>
    <w:link w:val="OutcomeStrategyChar"/>
    <w:qFormat/>
    <w:locked/>
    <w:rsid w:val="00750057"/>
    <w:rPr>
      <w:rFonts w:ascii="Arial Bold" w:hAnsi="Arial Bold"/>
      <w:sz w:val="26"/>
    </w:rPr>
  </w:style>
  <w:style w:type="paragraph" w:customStyle="1" w:styleId="OutcomeStatement">
    <w:name w:val="Outcome Statement"/>
    <w:basedOn w:val="Normal"/>
    <w:link w:val="OutcomeStatementChar"/>
    <w:qFormat/>
    <w:locked/>
    <w:rsid w:val="002A6F8D"/>
    <w:pPr>
      <w:widowControl w:val="0"/>
      <w:pBdr>
        <w:top w:val="single" w:sz="4" w:space="1" w:color="auto"/>
        <w:left w:val="single" w:sz="4" w:space="4" w:color="auto"/>
        <w:bottom w:val="single" w:sz="4" w:space="1" w:color="auto"/>
        <w:right w:val="single" w:sz="4" w:space="4" w:color="auto"/>
      </w:pBdr>
      <w:shd w:val="clear" w:color="auto" w:fill="D9D9D9"/>
      <w:tabs>
        <w:tab w:val="left" w:pos="1134"/>
      </w:tabs>
      <w:spacing w:after="0"/>
      <w:ind w:left="1134" w:hanging="1134"/>
    </w:pPr>
    <w:rPr>
      <w:rFonts w:ascii="Arial" w:hAnsi="Arial"/>
      <w:b/>
      <w:bCs/>
      <w:iCs/>
      <w:snapToGrid w:val="0"/>
      <w:sz w:val="18"/>
      <w:szCs w:val="26"/>
    </w:rPr>
  </w:style>
  <w:style w:type="character" w:customStyle="1" w:styleId="OutcomeStatementChar">
    <w:name w:val="Outcome Statement Char"/>
    <w:basedOn w:val="DefaultParagraphFont"/>
    <w:link w:val="OutcomeStatement"/>
    <w:rsid w:val="002A6F8D"/>
    <w:rPr>
      <w:rFonts w:ascii="Arial" w:hAnsi="Arial"/>
      <w:b/>
      <w:bCs/>
      <w:iCs/>
      <w:snapToGrid w:val="0"/>
      <w:sz w:val="18"/>
      <w:szCs w:val="26"/>
      <w:shd w:val="clear" w:color="auto" w:fill="D9D9D9"/>
    </w:rPr>
  </w:style>
  <w:style w:type="paragraph" w:customStyle="1" w:styleId="Header1-Right">
    <w:name w:val="Header 1 - Right"/>
    <w:basedOn w:val="Normal"/>
    <w:next w:val="Normal"/>
    <w:link w:val="Header1-RightChar"/>
    <w:qFormat/>
    <w:locked/>
    <w:rsid w:val="00DC6E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OutcomeStrategyChar">
    <w:name w:val="Outcome Strategy Char"/>
    <w:basedOn w:val="Heading2Char"/>
    <w:link w:val="OutcomeStrategy"/>
    <w:rsid w:val="00750057"/>
    <w:rPr>
      <w:rFonts w:ascii="Arial Bold" w:hAnsi="Arial Bold" w:cs="Arial"/>
      <w:b/>
      <w:bCs/>
      <w:iCs/>
      <w:sz w:val="26"/>
      <w:szCs w:val="28"/>
      <w:lang w:eastAsia="en-US"/>
    </w:rPr>
  </w:style>
  <w:style w:type="paragraph" w:customStyle="1" w:styleId="PerformanceHeading">
    <w:name w:val="Performance Heading"/>
    <w:basedOn w:val="Normal"/>
    <w:next w:val="Normal"/>
    <w:link w:val="PerformanceHeadingChar"/>
    <w:qFormat/>
    <w:locked/>
    <w:rsid w:val="00B93660"/>
    <w:pPr>
      <w:spacing w:before="240"/>
      <w:outlineLvl w:val="1"/>
    </w:pPr>
    <w:rPr>
      <w:rFonts w:ascii="Arial" w:hAnsi="Arial"/>
      <w:b/>
      <w:sz w:val="24"/>
    </w:rPr>
  </w:style>
  <w:style w:type="character" w:customStyle="1" w:styleId="Header1-RightChar">
    <w:name w:val="Header 1 - Right Char"/>
    <w:basedOn w:val="DefaultParagraphFont"/>
    <w:link w:val="Header1-Right"/>
    <w:rsid w:val="00DC6E9A"/>
    <w:rPr>
      <w:rFonts w:ascii="Arial" w:hAnsi="Arial" w:cs="Arial"/>
      <w:sz w:val="18"/>
      <w:szCs w:val="18"/>
      <w:lang w:val="en-US" w:eastAsia="en-US"/>
    </w:rPr>
  </w:style>
  <w:style w:type="paragraph" w:customStyle="1" w:styleId="TableHeadingRow">
    <w:name w:val="Table Heading Row"/>
    <w:basedOn w:val="Normal"/>
    <w:link w:val="TableHeadingRowChar"/>
    <w:qFormat/>
    <w:locked/>
    <w:rsid w:val="00303A65"/>
    <w:pPr>
      <w:spacing w:before="40" w:after="40"/>
    </w:pPr>
    <w:rPr>
      <w:rFonts w:ascii="Arial" w:hAnsi="Arial" w:cs="Arial"/>
      <w:b/>
      <w:sz w:val="18"/>
      <w:szCs w:val="18"/>
    </w:rPr>
  </w:style>
  <w:style w:type="character" w:customStyle="1" w:styleId="TableHeadingRowChar">
    <w:name w:val="Table Heading Row Char"/>
    <w:basedOn w:val="DefaultParagraphFont"/>
    <w:link w:val="TableHeadingRow"/>
    <w:rsid w:val="00303A65"/>
    <w:rPr>
      <w:rFonts w:ascii="Arial" w:hAnsi="Arial" w:cs="Arial"/>
      <w:b/>
      <w:sz w:val="18"/>
      <w:szCs w:val="18"/>
    </w:rPr>
  </w:style>
  <w:style w:type="paragraph" w:customStyle="1" w:styleId="ProgramExpenses">
    <w:name w:val="Program Expenses"/>
    <w:basedOn w:val="Heading2"/>
    <w:link w:val="ProgramExpensesChar"/>
    <w:locked/>
    <w:rsid w:val="00AF1114"/>
    <w:pPr>
      <w:widowControl w:val="0"/>
    </w:pPr>
    <w:rPr>
      <w:bCs w:val="0"/>
      <w:i/>
      <w:iCs w:val="0"/>
      <w:snapToGrid w:val="0"/>
      <w:sz w:val="24"/>
      <w:szCs w:val="22"/>
      <w:lang w:eastAsia="en-AU"/>
    </w:rPr>
  </w:style>
  <w:style w:type="character" w:customStyle="1" w:styleId="ProgramExpensesChar">
    <w:name w:val="Program Expenses Char"/>
    <w:basedOn w:val="DefaultParagraphFont"/>
    <w:link w:val="ProgramExpenses"/>
    <w:rsid w:val="00AF1114"/>
    <w:rPr>
      <w:rFonts w:ascii="Arial" w:hAnsi="Arial" w:cs="Arial"/>
      <w:b/>
      <w:snapToGrid w:val="0"/>
      <w:sz w:val="24"/>
      <w:szCs w:val="22"/>
    </w:rPr>
  </w:style>
  <w:style w:type="paragraph" w:customStyle="1" w:styleId="TableReference">
    <w:name w:val="Table Reference"/>
    <w:basedOn w:val="Normal"/>
    <w:link w:val="TableReferenceChar"/>
    <w:qFormat/>
    <w:locked/>
    <w:rsid w:val="008568AF"/>
    <w:pPr>
      <w:spacing w:before="120"/>
    </w:pPr>
    <w:rPr>
      <w:rFonts w:ascii="Arial" w:hAnsi="Arial"/>
      <w:b/>
      <w:sz w:val="18"/>
    </w:rPr>
  </w:style>
  <w:style w:type="character" w:customStyle="1" w:styleId="Header2-LeftChar">
    <w:name w:val="Header 2 - Left Char"/>
    <w:basedOn w:val="DefaultParagraphFont"/>
    <w:link w:val="Header2-Left"/>
    <w:rsid w:val="00B93660"/>
    <w:rPr>
      <w:rFonts w:ascii="Arial" w:hAnsi="Arial"/>
      <w:sz w:val="18"/>
    </w:rPr>
  </w:style>
  <w:style w:type="character" w:customStyle="1" w:styleId="TableReferenceChar">
    <w:name w:val="Table Reference Char"/>
    <w:basedOn w:val="DefaultParagraphFont"/>
    <w:link w:val="TableReference"/>
    <w:rsid w:val="008568AF"/>
    <w:rPr>
      <w:rFonts w:ascii="Arial" w:hAnsi="Arial"/>
      <w:b/>
      <w:sz w:val="18"/>
    </w:rPr>
  </w:style>
  <w:style w:type="paragraph" w:customStyle="1" w:styleId="TableTextNormal">
    <w:name w:val="Table Text (Normal)"/>
    <w:basedOn w:val="Normal"/>
    <w:qFormat/>
    <w:locked/>
    <w:rsid w:val="00DC6E9A"/>
    <w:pPr>
      <w:spacing w:before="40" w:after="40"/>
    </w:pPr>
    <w:rPr>
      <w:rFonts w:cs="Arial"/>
      <w:sz w:val="18"/>
      <w:szCs w:val="18"/>
    </w:rPr>
  </w:style>
  <w:style w:type="paragraph" w:customStyle="1" w:styleId="ProgrammeContributingNames">
    <w:name w:val="Programme Contributing Names"/>
    <w:basedOn w:val="Normal"/>
    <w:next w:val="Normal"/>
    <w:locked/>
    <w:rsid w:val="00785A80"/>
    <w:pPr>
      <w:pBdr>
        <w:top w:val="single" w:sz="4" w:space="1" w:color="auto"/>
        <w:left w:val="single" w:sz="4" w:space="4" w:color="auto"/>
        <w:bottom w:val="single" w:sz="4" w:space="1" w:color="auto"/>
        <w:right w:val="single" w:sz="4" w:space="4" w:color="auto"/>
      </w:pBdr>
      <w:tabs>
        <w:tab w:val="left" w:pos="1559"/>
      </w:tabs>
      <w:spacing w:before="120"/>
      <w:ind w:left="1559" w:hanging="1559"/>
    </w:pPr>
    <w:rPr>
      <w:rFonts w:ascii="Arial" w:hAnsi="Arial"/>
      <w:b/>
      <w:sz w:val="18"/>
      <w:szCs w:val="18"/>
    </w:rPr>
  </w:style>
  <w:style w:type="paragraph" w:customStyle="1" w:styleId="TableFigures">
    <w:name w:val="Table Figures"/>
    <w:basedOn w:val="Normal"/>
    <w:qFormat/>
    <w:locked/>
    <w:rsid w:val="00AF1114"/>
    <w:pPr>
      <w:spacing w:before="40" w:after="40"/>
      <w:jc w:val="center"/>
    </w:pPr>
    <w:rPr>
      <w:sz w:val="18"/>
      <w:szCs w:val="18"/>
    </w:rPr>
  </w:style>
  <w:style w:type="paragraph" w:styleId="FootnoteText">
    <w:name w:val="footnote text"/>
    <w:aliases w:val="(NECG) Footnote Text"/>
    <w:basedOn w:val="Normal"/>
    <w:link w:val="FootnoteTextChar"/>
    <w:qFormat/>
    <w:rsid w:val="004009F2"/>
    <w:pPr>
      <w:tabs>
        <w:tab w:val="left" w:pos="284"/>
      </w:tabs>
      <w:spacing w:after="0"/>
      <w:ind w:left="284" w:hanging="284"/>
    </w:pPr>
    <w:rPr>
      <w:sz w:val="16"/>
    </w:rPr>
  </w:style>
  <w:style w:type="character" w:customStyle="1" w:styleId="FootnoteTextChar">
    <w:name w:val="Footnote Text Char"/>
    <w:aliases w:val="(NECG) Footnote Text Char"/>
    <w:basedOn w:val="DefaultParagraphFont"/>
    <w:link w:val="FootnoteText"/>
    <w:rsid w:val="004009F2"/>
    <w:rPr>
      <w:rFonts w:ascii="Book Antiqua" w:hAnsi="Book Antiqua"/>
      <w:sz w:val="16"/>
    </w:rPr>
  </w:style>
  <w:style w:type="character" w:styleId="FootnoteReference">
    <w:name w:val="footnote reference"/>
    <w:aliases w:val="(NECG) Footnote Reference"/>
    <w:basedOn w:val="DefaultParagraphFont"/>
    <w:rsid w:val="004009F2"/>
    <w:rPr>
      <w:rFonts w:ascii="Book Antiqua" w:hAnsi="Book Antiqua"/>
      <w:caps w:val="0"/>
      <w:smallCaps w:val="0"/>
      <w:strike w:val="0"/>
      <w:dstrike w:val="0"/>
      <w:vanish w:val="0"/>
      <w:sz w:val="16"/>
      <w:vertAlign w:val="superscript"/>
    </w:rPr>
  </w:style>
  <w:style w:type="paragraph" w:customStyle="1" w:styleId="OutcomeNumber">
    <w:name w:val="Outcome Number"/>
    <w:basedOn w:val="Heading1"/>
    <w:link w:val="OutcomeNumberChar"/>
    <w:locked/>
    <w:rsid w:val="00750057"/>
    <w:pPr>
      <w:spacing w:before="0" w:after="0"/>
    </w:pPr>
    <w:rPr>
      <w:rFonts w:ascii="Arial" w:hAnsi="Arial"/>
      <w:b w:val="0"/>
    </w:rPr>
  </w:style>
  <w:style w:type="character" w:customStyle="1" w:styleId="Heading2Char">
    <w:name w:val="Heading 2 Char"/>
    <w:aliases w:val="Programme Objective Title Char"/>
    <w:basedOn w:val="DefaultParagraphFont"/>
    <w:link w:val="Heading2"/>
    <w:rsid w:val="00750057"/>
    <w:rPr>
      <w:rFonts w:ascii="Arial" w:hAnsi="Arial" w:cs="Arial"/>
      <w:b/>
      <w:bCs/>
      <w:iCs/>
      <w:sz w:val="22"/>
      <w:szCs w:val="28"/>
      <w:lang w:eastAsia="en-US"/>
    </w:rPr>
  </w:style>
  <w:style w:type="character" w:customStyle="1" w:styleId="Heading1Char">
    <w:name w:val="Heading 1 Char"/>
    <w:aliases w:val="Programme Name Char"/>
    <w:basedOn w:val="DefaultParagraphFont"/>
    <w:link w:val="Heading1"/>
    <w:rsid w:val="00B94AC1"/>
    <w:rPr>
      <w:rFonts w:ascii="Arial Bold" w:hAnsi="Arial Bold" w:cs="Arial"/>
      <w:b/>
      <w:bCs/>
      <w:sz w:val="24"/>
      <w:szCs w:val="32"/>
      <w:lang w:eastAsia="en-US"/>
    </w:rPr>
  </w:style>
  <w:style w:type="character" w:customStyle="1" w:styleId="OutcomeNumberChar">
    <w:name w:val="Outcome Number Char"/>
    <w:basedOn w:val="Heading1Char"/>
    <w:link w:val="OutcomeNumber"/>
    <w:rsid w:val="00750057"/>
    <w:rPr>
      <w:rFonts w:ascii="Arial" w:hAnsi="Arial" w:cs="Arial"/>
      <w:b w:val="0"/>
      <w:bCs/>
      <w:sz w:val="24"/>
      <w:szCs w:val="32"/>
      <w:lang w:eastAsia="en-US"/>
    </w:rPr>
  </w:style>
  <w:style w:type="character" w:customStyle="1" w:styleId="OutcomeNameChar">
    <w:name w:val="Outcome Name Char"/>
    <w:basedOn w:val="Heading2Char"/>
    <w:link w:val="OutcomeName"/>
    <w:rsid w:val="00750057"/>
    <w:rPr>
      <w:rFonts w:ascii="Tahoma" w:eastAsia="Malgun Gothic" w:hAnsi="Tahoma" w:cs="Arial"/>
      <w:b/>
      <w:bCs/>
      <w:iCs/>
      <w:smallCaps/>
      <w:sz w:val="32"/>
      <w:szCs w:val="28"/>
      <w:lang w:eastAsia="en-US"/>
    </w:rPr>
  </w:style>
  <w:style w:type="paragraph" w:customStyle="1" w:styleId="ProgrammeObjectiveItalics">
    <w:name w:val="Programme Objective Italics"/>
    <w:basedOn w:val="Normal"/>
    <w:link w:val="ProgrammeObjectiveItalicsChar"/>
    <w:qFormat/>
    <w:locked/>
    <w:rsid w:val="00750057"/>
    <w:pPr>
      <w:outlineLvl w:val="2"/>
    </w:pPr>
    <w:rPr>
      <w:i/>
    </w:rPr>
  </w:style>
  <w:style w:type="character" w:customStyle="1" w:styleId="PerformanceHeadingChar">
    <w:name w:val="Performance Heading Char"/>
    <w:basedOn w:val="DefaultParagraphFont"/>
    <w:link w:val="PerformanceHeading"/>
    <w:rsid w:val="00B93660"/>
    <w:rPr>
      <w:rFonts w:ascii="Arial" w:hAnsi="Arial"/>
      <w:b/>
      <w:sz w:val="24"/>
    </w:rPr>
  </w:style>
  <w:style w:type="character" w:customStyle="1" w:styleId="ProgrammeObjectiveItalicsChar">
    <w:name w:val="Programme Objective Italics Char"/>
    <w:basedOn w:val="DefaultParagraphFont"/>
    <w:link w:val="ProgrammeObjectiveItalics"/>
    <w:rsid w:val="00750057"/>
    <w:rPr>
      <w:rFonts w:ascii="Book Antiqua" w:hAnsi="Book Antiqua"/>
      <w:i/>
    </w:rPr>
  </w:style>
  <w:style w:type="character" w:customStyle="1" w:styleId="ListParagraphChar">
    <w:name w:val="List Paragraph Char"/>
    <w:aliases w:val="Bullet List Paragraph Char,List Paragraph1 Char,Recommendation Char,Body text Char,List Paragraph11 Char,Figure_name Char,Numbered Indented Text Char,Bullet- First level Char,List NUmber Char,Listenabsatz1 Char,lp1 Char"/>
    <w:basedOn w:val="DefaultParagraphFont"/>
    <w:link w:val="ListParagraph"/>
    <w:uiPriority w:val="34"/>
    <w:rsid w:val="004C3787"/>
    <w:rPr>
      <w:rFonts w:ascii="Book Antiqua" w:hAnsi="Book Antiqua"/>
    </w:rPr>
  </w:style>
  <w:style w:type="paragraph" w:customStyle="1" w:styleId="LinkedProgramHeading">
    <w:name w:val="Linked Program Heading"/>
    <w:basedOn w:val="TableHeadingRow"/>
    <w:qFormat/>
    <w:rsid w:val="00C84C64"/>
  </w:style>
  <w:style w:type="paragraph" w:customStyle="1" w:styleId="EntityTitle">
    <w:name w:val="Entity Title"/>
    <w:basedOn w:val="Normal"/>
    <w:link w:val="EntityTitleChar"/>
    <w:qFormat/>
    <w:rsid w:val="002D6A42"/>
    <w:pPr>
      <w:keepNext/>
      <w:tabs>
        <w:tab w:val="left" w:pos="5830"/>
      </w:tabs>
      <w:ind w:right="-68"/>
      <w:jc w:val="center"/>
      <w:outlineLvl w:val="0"/>
    </w:pPr>
    <w:rPr>
      <w:rFonts w:ascii="Arial" w:hAnsi="Arial" w:cs="Arial"/>
      <w:b/>
      <w:bCs/>
      <w:smallCaps/>
      <w:sz w:val="52"/>
      <w:szCs w:val="56"/>
    </w:rPr>
  </w:style>
  <w:style w:type="character" w:customStyle="1" w:styleId="EntityTitleChar">
    <w:name w:val="Entity Title Char"/>
    <w:basedOn w:val="DefaultParagraphFont"/>
    <w:link w:val="EntityTitle"/>
    <w:rsid w:val="002D6A42"/>
    <w:rPr>
      <w:rFonts w:ascii="Arial" w:hAnsi="Arial" w:cs="Arial"/>
      <w:b/>
      <w:bCs/>
      <w:smallCaps/>
      <w:sz w:val="52"/>
      <w:szCs w:val="56"/>
    </w:rPr>
  </w:style>
  <w:style w:type="paragraph" w:customStyle="1" w:styleId="EntityContents">
    <w:name w:val="Entity Contents"/>
    <w:basedOn w:val="Normal"/>
    <w:link w:val="EntityContentsChar"/>
    <w:qFormat/>
    <w:rsid w:val="003F32B8"/>
    <w:pPr>
      <w:keepNext/>
      <w:tabs>
        <w:tab w:val="left" w:pos="5830"/>
      </w:tabs>
      <w:ind w:right="-68"/>
      <w:jc w:val="right"/>
    </w:pPr>
    <w:rPr>
      <w:rFonts w:ascii="Arial Bold" w:hAnsi="Arial Bold" w:cs="Arial"/>
      <w:b/>
      <w:bCs/>
      <w:sz w:val="44"/>
      <w:szCs w:val="44"/>
    </w:rPr>
  </w:style>
  <w:style w:type="character" w:customStyle="1" w:styleId="EntityContentsChar">
    <w:name w:val="Entity Contents Char"/>
    <w:basedOn w:val="DefaultParagraphFont"/>
    <w:link w:val="EntityContents"/>
    <w:rsid w:val="003F32B8"/>
    <w:rPr>
      <w:rFonts w:ascii="Arial Bold" w:hAnsi="Arial Bold" w:cs="Arial"/>
      <w:b/>
      <w:bCs/>
      <w:sz w:val="44"/>
      <w:szCs w:val="44"/>
    </w:rPr>
  </w:style>
  <w:style w:type="paragraph" w:customStyle="1" w:styleId="SectionHeading">
    <w:name w:val="Section Heading"/>
    <w:basedOn w:val="Normal"/>
    <w:link w:val="SectionHeadingChar"/>
    <w:qFormat/>
    <w:rsid w:val="000E33CF"/>
    <w:pPr>
      <w:keepNext/>
      <w:spacing w:after="240"/>
      <w:outlineLvl w:val="0"/>
    </w:pPr>
    <w:rPr>
      <w:rFonts w:ascii="Arial" w:hAnsi="Arial" w:cs="Arial"/>
      <w:b/>
      <w:sz w:val="28"/>
      <w:szCs w:val="28"/>
    </w:rPr>
  </w:style>
  <w:style w:type="character" w:customStyle="1" w:styleId="SectionHeadingChar">
    <w:name w:val="Section Heading Char"/>
    <w:link w:val="SectionHeading"/>
    <w:rsid w:val="000E33CF"/>
    <w:rPr>
      <w:rFonts w:ascii="Arial" w:hAnsi="Arial" w:cs="Arial"/>
      <w:b/>
      <w:sz w:val="28"/>
      <w:szCs w:val="28"/>
    </w:rPr>
  </w:style>
  <w:style w:type="paragraph" w:customStyle="1" w:styleId="SectionSubheading">
    <w:name w:val="Section Subheading"/>
    <w:basedOn w:val="Normal"/>
    <w:link w:val="SectionSubheadingChar"/>
    <w:autoRedefine/>
    <w:qFormat/>
    <w:rsid w:val="00BC60A5"/>
    <w:pPr>
      <w:keepNext/>
      <w:spacing w:before="360"/>
      <w:outlineLvl w:val="1"/>
    </w:pPr>
    <w:rPr>
      <w:rFonts w:ascii="Arial" w:hAnsi="Arial" w:cs="Arial"/>
      <w:b/>
      <w:sz w:val="26"/>
      <w:szCs w:val="22"/>
    </w:rPr>
  </w:style>
  <w:style w:type="character" w:customStyle="1" w:styleId="SectionSubheadingChar">
    <w:name w:val="Section Subheading Char"/>
    <w:basedOn w:val="DefaultParagraphFont"/>
    <w:link w:val="SectionSubheading"/>
    <w:rsid w:val="00BC60A5"/>
    <w:rPr>
      <w:rFonts w:ascii="Arial" w:hAnsi="Arial" w:cs="Arial"/>
      <w:b/>
      <w:sz w:val="26"/>
      <w:szCs w:val="22"/>
    </w:rPr>
  </w:style>
  <w:style w:type="paragraph" w:customStyle="1" w:styleId="Sectionsubsubheading">
    <w:name w:val="Section sub sub heading"/>
    <w:basedOn w:val="SectionSubheading"/>
    <w:link w:val="SectionsubsubheadingChar"/>
    <w:qFormat/>
    <w:rsid w:val="00A92D45"/>
    <w:pPr>
      <w:spacing w:before="0"/>
      <w:outlineLvl w:val="2"/>
    </w:pPr>
    <w:rPr>
      <w:sz w:val="22"/>
    </w:rPr>
  </w:style>
  <w:style w:type="character" w:customStyle="1" w:styleId="SectionsubsubheadingChar">
    <w:name w:val="Section sub sub heading Char"/>
    <w:basedOn w:val="SectionSubheadingChar"/>
    <w:link w:val="Sectionsubsubheading"/>
    <w:rsid w:val="00A92D45"/>
    <w:rPr>
      <w:rFonts w:ascii="Arial" w:hAnsi="Arial" w:cs="Arial"/>
      <w:b/>
      <w:sz w:val="22"/>
      <w:szCs w:val="22"/>
    </w:rPr>
  </w:style>
  <w:style w:type="paragraph" w:customStyle="1" w:styleId="DepartmentalResources">
    <w:name w:val="Departmental Resources"/>
    <w:basedOn w:val="TableHeadingRow"/>
    <w:link w:val="DepartmentalResourcesChar"/>
    <w:qFormat/>
    <w:rsid w:val="00CC0E49"/>
    <w:pPr>
      <w:keepNext/>
      <w:spacing w:before="120" w:after="120"/>
    </w:pPr>
  </w:style>
  <w:style w:type="character" w:customStyle="1" w:styleId="DepartmentalResourcesChar">
    <w:name w:val="Departmental Resources Char"/>
    <w:basedOn w:val="TableReferenceChar"/>
    <w:link w:val="DepartmentalResources"/>
    <w:rsid w:val="00CC0E49"/>
    <w:rPr>
      <w:rFonts w:ascii="Arial" w:hAnsi="Arial" w:cs="Arial"/>
      <w:b/>
      <w:sz w:val="18"/>
      <w:szCs w:val="18"/>
    </w:rPr>
  </w:style>
  <w:style w:type="paragraph" w:customStyle="1" w:styleId="HPE">
    <w:name w:val="HPE"/>
    <w:basedOn w:val="Normal"/>
    <w:link w:val="HPEChar"/>
    <w:qFormat/>
    <w:rsid w:val="004B480F"/>
    <w:pPr>
      <w:pBdr>
        <w:bottom w:val="single" w:sz="4" w:space="1" w:color="auto"/>
      </w:pBdr>
      <w:tabs>
        <w:tab w:val="left" w:leader="dot" w:pos="567"/>
        <w:tab w:val="right" w:leader="dot" w:pos="7371"/>
      </w:tabs>
      <w:spacing w:before="100" w:beforeAutospacing="1" w:after="240"/>
      <w:jc w:val="right"/>
    </w:pPr>
    <w:rPr>
      <w:rFonts w:ascii="Arial" w:hAnsi="Arial" w:cs="Arial"/>
      <w:bCs/>
    </w:rPr>
  </w:style>
  <w:style w:type="paragraph" w:customStyle="1" w:styleId="TOCHeading1">
    <w:name w:val="TOC Heading1"/>
    <w:basedOn w:val="Normal"/>
    <w:link w:val="ToCHeadingChar"/>
    <w:qFormat/>
    <w:rsid w:val="004B480F"/>
    <w:pPr>
      <w:tabs>
        <w:tab w:val="left" w:leader="dot" w:pos="567"/>
        <w:tab w:val="left" w:pos="709"/>
        <w:tab w:val="right" w:leader="dot" w:pos="7371"/>
      </w:tabs>
      <w:spacing w:before="960"/>
      <w:outlineLvl w:val="1"/>
    </w:pPr>
    <w:rPr>
      <w:rFonts w:ascii="Arial" w:hAnsi="Arial" w:cs="Arial"/>
      <w:b/>
    </w:rPr>
  </w:style>
  <w:style w:type="character" w:customStyle="1" w:styleId="HPEChar">
    <w:name w:val="HPE Char"/>
    <w:basedOn w:val="DefaultParagraphFont"/>
    <w:link w:val="HPE"/>
    <w:rsid w:val="004B480F"/>
    <w:rPr>
      <w:rFonts w:ascii="Arial" w:hAnsi="Arial" w:cs="Arial"/>
      <w:bCs/>
    </w:rPr>
  </w:style>
  <w:style w:type="paragraph" w:customStyle="1" w:styleId="ToCHeading2">
    <w:name w:val="ToC Heading 2"/>
    <w:basedOn w:val="Normal"/>
    <w:link w:val="ToCHeading2Char"/>
    <w:qFormat/>
    <w:rsid w:val="004B480F"/>
    <w:pPr>
      <w:tabs>
        <w:tab w:val="left" w:pos="567"/>
        <w:tab w:val="right" w:leader="dot" w:pos="7371"/>
      </w:tabs>
      <w:spacing w:before="180"/>
      <w:outlineLvl w:val="1"/>
    </w:pPr>
    <w:rPr>
      <w:rFonts w:ascii="Arial" w:hAnsi="Arial" w:cs="Arial"/>
      <w:b/>
    </w:rPr>
  </w:style>
  <w:style w:type="character" w:customStyle="1" w:styleId="ToCHeadingChar">
    <w:name w:val="ToC Heading Char"/>
    <w:basedOn w:val="DefaultParagraphFont"/>
    <w:link w:val="TOCHeading1"/>
    <w:rsid w:val="004B480F"/>
    <w:rPr>
      <w:rFonts w:ascii="Arial" w:hAnsi="Arial" w:cs="Arial"/>
      <w:b/>
    </w:rPr>
  </w:style>
  <w:style w:type="paragraph" w:customStyle="1" w:styleId="ToCSubHeading">
    <w:name w:val="ToC Sub Heading"/>
    <w:basedOn w:val="Normal"/>
    <w:link w:val="ToCSubHeadingChar"/>
    <w:qFormat/>
    <w:rsid w:val="004B480F"/>
    <w:pPr>
      <w:tabs>
        <w:tab w:val="left" w:pos="709"/>
        <w:tab w:val="right" w:leader="dot" w:pos="7371"/>
      </w:tabs>
      <w:spacing w:before="60"/>
    </w:pPr>
    <w:rPr>
      <w:rFonts w:ascii="Arial" w:hAnsi="Arial" w:cs="Arial"/>
    </w:rPr>
  </w:style>
  <w:style w:type="character" w:customStyle="1" w:styleId="ToCHeading2Char">
    <w:name w:val="ToC Heading 2 Char"/>
    <w:basedOn w:val="DefaultParagraphFont"/>
    <w:link w:val="ToCHeading2"/>
    <w:rsid w:val="004B480F"/>
    <w:rPr>
      <w:rFonts w:ascii="Arial" w:hAnsi="Arial" w:cs="Arial"/>
      <w:b/>
    </w:rPr>
  </w:style>
  <w:style w:type="character" w:customStyle="1" w:styleId="ToCSubHeadingChar">
    <w:name w:val="ToC Sub Heading Char"/>
    <w:basedOn w:val="DefaultParagraphFont"/>
    <w:link w:val="ToCSubHeading"/>
    <w:rsid w:val="004B480F"/>
    <w:rPr>
      <w:rFonts w:ascii="Arial" w:hAnsi="Arial" w:cs="Arial"/>
    </w:rPr>
  </w:style>
  <w:style w:type="paragraph" w:customStyle="1" w:styleId="EntitySubtitle">
    <w:name w:val="Entity Subtitle"/>
    <w:basedOn w:val="EntityTitle"/>
    <w:link w:val="EntitySubtitleChar"/>
    <w:qFormat/>
    <w:rsid w:val="00AC21A7"/>
    <w:pPr>
      <w:spacing w:before="440"/>
    </w:pPr>
    <w:rPr>
      <w:rFonts w:ascii="Arial Bold" w:hAnsi="Arial Bold"/>
      <w:smallCaps w:val="0"/>
      <w:sz w:val="44"/>
    </w:rPr>
  </w:style>
  <w:style w:type="character" w:customStyle="1" w:styleId="EntitySubtitleChar">
    <w:name w:val="Entity Subtitle Char"/>
    <w:basedOn w:val="EntityTitleChar"/>
    <w:link w:val="EntitySubtitle"/>
    <w:rsid w:val="00AC21A7"/>
    <w:rPr>
      <w:rFonts w:ascii="Arial Bold" w:hAnsi="Arial Bold" w:cs="Arial"/>
      <w:b/>
      <w:bCs/>
      <w:smallCaps w:val="0"/>
      <w:sz w:val="44"/>
      <w:szCs w:val="56"/>
    </w:rPr>
  </w:style>
  <w:style w:type="paragraph" w:customStyle="1" w:styleId="Footnotes">
    <w:name w:val="Footnotes"/>
    <w:basedOn w:val="FootnoteText"/>
    <w:link w:val="FootnotesChar"/>
    <w:qFormat/>
    <w:rsid w:val="00277D4D"/>
    <w:pPr>
      <w:tabs>
        <w:tab w:val="clear" w:pos="284"/>
      </w:tabs>
    </w:pPr>
    <w:rPr>
      <w:bdr w:val="nil"/>
    </w:rPr>
  </w:style>
  <w:style w:type="character" w:customStyle="1" w:styleId="FootnotesChar">
    <w:name w:val="Footnotes Char"/>
    <w:basedOn w:val="FootnoteTextChar"/>
    <w:link w:val="Footnotes"/>
    <w:rsid w:val="00277D4D"/>
    <w:rPr>
      <w:rFonts w:ascii="Book Antiqua" w:hAnsi="Book Antiqua"/>
      <w:sz w:val="16"/>
      <w:bdr w:val="nil"/>
    </w:rPr>
  </w:style>
  <w:style w:type="paragraph" w:customStyle="1" w:styleId="Heading2-bold">
    <w:name w:val="Heading 2 - bold"/>
    <w:basedOn w:val="Normal"/>
    <w:next w:val="Normal"/>
    <w:link w:val="Heading2-boldChar"/>
    <w:qFormat/>
    <w:locked/>
    <w:rsid w:val="00103F0C"/>
    <w:pPr>
      <w:spacing w:before="240"/>
      <w:outlineLvl w:val="1"/>
    </w:pPr>
    <w:rPr>
      <w:rFonts w:ascii="Arial" w:hAnsi="Arial"/>
      <w:b/>
      <w:sz w:val="24"/>
    </w:rPr>
  </w:style>
  <w:style w:type="character" w:customStyle="1" w:styleId="Heading2-boldChar">
    <w:name w:val="Heading 2 - bold Char"/>
    <w:basedOn w:val="DefaultParagraphFont"/>
    <w:link w:val="Heading2-bold"/>
    <w:rsid w:val="00103F0C"/>
    <w:rPr>
      <w:rFonts w:ascii="Arial" w:hAnsi="Arial"/>
      <w:b/>
      <w:sz w:val="24"/>
    </w:rPr>
  </w:style>
  <w:style w:type="paragraph" w:styleId="BalloonText">
    <w:name w:val="Balloon Text"/>
    <w:basedOn w:val="Normal"/>
    <w:link w:val="BalloonTextChar"/>
    <w:rsid w:val="00735BF8"/>
    <w:pPr>
      <w:spacing w:after="0"/>
    </w:pPr>
    <w:rPr>
      <w:rFonts w:ascii="Tahoma" w:hAnsi="Tahoma" w:cs="Tahoma"/>
      <w:sz w:val="16"/>
      <w:szCs w:val="16"/>
    </w:rPr>
  </w:style>
  <w:style w:type="character" w:customStyle="1" w:styleId="BalloonTextChar">
    <w:name w:val="Balloon Text Char"/>
    <w:basedOn w:val="DefaultParagraphFont"/>
    <w:link w:val="BalloonText"/>
    <w:rsid w:val="00735BF8"/>
    <w:rPr>
      <w:rFonts w:ascii="Tahoma" w:hAnsi="Tahoma" w:cs="Tahoma"/>
      <w:sz w:val="16"/>
      <w:szCs w:val="16"/>
    </w:rPr>
  </w:style>
  <w:style w:type="paragraph" w:customStyle="1" w:styleId="TableHeadingcontinued">
    <w:name w:val="Table Heading continued"/>
    <w:basedOn w:val="Normal"/>
    <w:next w:val="Normal"/>
    <w:rsid w:val="00A52AC7"/>
    <w:pPr>
      <w:keepNext/>
      <w:spacing w:before="120" w:after="20"/>
    </w:pPr>
    <w:rPr>
      <w:rFonts w:ascii="Arial Bold" w:hAnsi="Arial Bold"/>
      <w:b/>
    </w:rPr>
  </w:style>
  <w:style w:type="paragraph" w:customStyle="1" w:styleId="ProgramObjectiveHeadingRow">
    <w:name w:val="Program Objective Heading Row"/>
    <w:basedOn w:val="TableHeadingRow"/>
    <w:qFormat/>
    <w:rsid w:val="00303A65"/>
    <w:pPr>
      <w:tabs>
        <w:tab w:val="left" w:pos="284"/>
      </w:tabs>
      <w:ind w:left="284" w:hanging="284"/>
    </w:pPr>
  </w:style>
  <w:style w:type="paragraph" w:customStyle="1" w:styleId="BudgetCriteriaTableTextItalics">
    <w:name w:val="Budget Criteria (Table Text Italics)"/>
    <w:basedOn w:val="TableTextNormal"/>
    <w:qFormat/>
    <w:rsid w:val="002A6F8D"/>
    <w:rPr>
      <w:i/>
      <w:lang w:eastAsia="en-US"/>
    </w:rPr>
  </w:style>
  <w:style w:type="paragraph" w:customStyle="1" w:styleId="OutcomeandProgramDescription">
    <w:name w:val="Outcome and Program Description"/>
    <w:basedOn w:val="Normal"/>
    <w:qFormat/>
    <w:rsid w:val="00277C81"/>
    <w:pPr>
      <w:spacing w:before="40" w:after="40"/>
      <w:ind w:left="357" w:hanging="357"/>
    </w:pPr>
    <w:rPr>
      <w:rFonts w:ascii="Arial" w:hAnsi="Arial" w:cs="Arial"/>
      <w:b/>
      <w:sz w:val="18"/>
      <w:szCs w:val="18"/>
    </w:rPr>
  </w:style>
  <w:style w:type="paragraph" w:customStyle="1" w:styleId="TableRow">
    <w:name w:val="Table Row"/>
    <w:basedOn w:val="Normal"/>
    <w:qFormat/>
    <w:locked/>
    <w:rsid w:val="00FE2006"/>
    <w:pPr>
      <w:spacing w:before="40" w:after="40"/>
    </w:pPr>
    <w:rPr>
      <w:rFonts w:cs="Arial"/>
      <w:sz w:val="18"/>
      <w:szCs w:val="18"/>
    </w:rPr>
  </w:style>
  <w:style w:type="paragraph" w:customStyle="1" w:styleId="TableBullet">
    <w:name w:val="Table Bullet"/>
    <w:basedOn w:val="TableTextNormal"/>
    <w:qFormat/>
    <w:rsid w:val="007243BB"/>
    <w:pPr>
      <w:numPr>
        <w:numId w:val="16"/>
      </w:numPr>
      <w:ind w:left="357" w:hanging="357"/>
    </w:pPr>
  </w:style>
  <w:style w:type="paragraph" w:customStyle="1" w:styleId="DeliveryList">
    <w:name w:val="Delivery List"/>
    <w:basedOn w:val="Normal"/>
    <w:qFormat/>
    <w:rsid w:val="00277C81"/>
    <w:pPr>
      <w:tabs>
        <w:tab w:val="left" w:pos="357"/>
      </w:tabs>
      <w:spacing w:before="40" w:after="40"/>
      <w:ind w:left="357" w:hanging="357"/>
    </w:pPr>
    <w:rPr>
      <w:rFonts w:cs="Arial"/>
      <w:sz w:val="18"/>
      <w:szCs w:val="18"/>
    </w:rPr>
  </w:style>
  <w:style w:type="paragraph" w:customStyle="1" w:styleId="LinkedProgrammeBullet">
    <w:name w:val="Linked Programme Bullet"/>
    <w:basedOn w:val="ListParagraph"/>
    <w:link w:val="LinkedProgrammeBulletChar"/>
    <w:qFormat/>
    <w:locked/>
    <w:rsid w:val="00C84C64"/>
    <w:pPr>
      <w:numPr>
        <w:numId w:val="14"/>
      </w:numPr>
      <w:tabs>
        <w:tab w:val="left" w:pos="357"/>
      </w:tabs>
      <w:spacing w:before="40" w:after="40"/>
      <w:ind w:left="284" w:hanging="284"/>
    </w:pPr>
    <w:rPr>
      <w:rFonts w:ascii="Arial" w:hAnsi="Arial" w:cs="Arial"/>
      <w:sz w:val="18"/>
      <w:szCs w:val="16"/>
    </w:rPr>
  </w:style>
  <w:style w:type="character" w:customStyle="1" w:styleId="LinkedProgrammeBulletChar">
    <w:name w:val="Linked Programme Bullet Char"/>
    <w:basedOn w:val="ListParagraphChar"/>
    <w:link w:val="LinkedProgrammeBullet"/>
    <w:rsid w:val="00C84C64"/>
    <w:rPr>
      <w:rFonts w:ascii="Arial" w:hAnsi="Arial" w:cs="Arial"/>
      <w:sz w:val="18"/>
      <w:szCs w:val="16"/>
    </w:rPr>
  </w:style>
  <w:style w:type="paragraph" w:customStyle="1" w:styleId="LinkedProgram-NoName">
    <w:name w:val="Linked Program - No.&amp; Name"/>
    <w:basedOn w:val="ListParagraph"/>
    <w:link w:val="LinkedProgram-NoNameChar"/>
    <w:qFormat/>
    <w:locked/>
    <w:rsid w:val="002F432D"/>
    <w:pPr>
      <w:numPr>
        <w:numId w:val="0"/>
      </w:numPr>
      <w:tabs>
        <w:tab w:val="left" w:pos="142"/>
      </w:tabs>
      <w:spacing w:before="40" w:after="40"/>
      <w:ind w:left="142"/>
    </w:pPr>
    <w:rPr>
      <w:rFonts w:ascii="Arial" w:hAnsi="Arial" w:cs="Arial"/>
      <w:sz w:val="18"/>
      <w:szCs w:val="16"/>
    </w:rPr>
  </w:style>
  <w:style w:type="character" w:customStyle="1" w:styleId="LinkedProgram-NoNameChar">
    <w:name w:val="Linked Program - No.&amp; Name Char"/>
    <w:basedOn w:val="ListParagraphChar"/>
    <w:link w:val="LinkedProgram-NoName"/>
    <w:rsid w:val="002F432D"/>
    <w:rPr>
      <w:rFonts w:ascii="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688">
      <w:bodyDiv w:val="1"/>
      <w:marLeft w:val="0"/>
      <w:marRight w:val="0"/>
      <w:marTop w:val="0"/>
      <w:marBottom w:val="0"/>
      <w:divBdr>
        <w:top w:val="none" w:sz="0" w:space="0" w:color="auto"/>
        <w:left w:val="none" w:sz="0" w:space="0" w:color="auto"/>
        <w:bottom w:val="none" w:sz="0" w:space="0" w:color="auto"/>
        <w:right w:val="none" w:sz="0" w:space="0" w:color="auto"/>
      </w:divBdr>
    </w:div>
    <w:div w:id="186606442">
      <w:bodyDiv w:val="1"/>
      <w:marLeft w:val="0"/>
      <w:marRight w:val="0"/>
      <w:marTop w:val="0"/>
      <w:marBottom w:val="0"/>
      <w:divBdr>
        <w:top w:val="none" w:sz="0" w:space="0" w:color="auto"/>
        <w:left w:val="none" w:sz="0" w:space="0" w:color="auto"/>
        <w:bottom w:val="none" w:sz="0" w:space="0" w:color="auto"/>
        <w:right w:val="none" w:sz="0" w:space="0" w:color="auto"/>
      </w:divBdr>
    </w:div>
    <w:div w:id="347801116">
      <w:bodyDiv w:val="1"/>
      <w:marLeft w:val="0"/>
      <w:marRight w:val="0"/>
      <w:marTop w:val="0"/>
      <w:marBottom w:val="0"/>
      <w:divBdr>
        <w:top w:val="none" w:sz="0" w:space="0" w:color="auto"/>
        <w:left w:val="none" w:sz="0" w:space="0" w:color="auto"/>
        <w:bottom w:val="none" w:sz="0" w:space="0" w:color="auto"/>
        <w:right w:val="none" w:sz="0" w:space="0" w:color="auto"/>
      </w:divBdr>
    </w:div>
    <w:div w:id="388919051">
      <w:bodyDiv w:val="1"/>
      <w:marLeft w:val="0"/>
      <w:marRight w:val="0"/>
      <w:marTop w:val="0"/>
      <w:marBottom w:val="0"/>
      <w:divBdr>
        <w:top w:val="none" w:sz="0" w:space="0" w:color="auto"/>
        <w:left w:val="none" w:sz="0" w:space="0" w:color="auto"/>
        <w:bottom w:val="none" w:sz="0" w:space="0" w:color="auto"/>
        <w:right w:val="none" w:sz="0" w:space="0" w:color="auto"/>
      </w:divBdr>
    </w:div>
    <w:div w:id="440026649">
      <w:bodyDiv w:val="1"/>
      <w:marLeft w:val="0"/>
      <w:marRight w:val="0"/>
      <w:marTop w:val="0"/>
      <w:marBottom w:val="0"/>
      <w:divBdr>
        <w:top w:val="none" w:sz="0" w:space="0" w:color="auto"/>
        <w:left w:val="none" w:sz="0" w:space="0" w:color="auto"/>
        <w:bottom w:val="none" w:sz="0" w:space="0" w:color="auto"/>
        <w:right w:val="none" w:sz="0" w:space="0" w:color="auto"/>
      </w:divBdr>
    </w:div>
    <w:div w:id="487864011">
      <w:bodyDiv w:val="1"/>
      <w:marLeft w:val="0"/>
      <w:marRight w:val="0"/>
      <w:marTop w:val="0"/>
      <w:marBottom w:val="0"/>
      <w:divBdr>
        <w:top w:val="none" w:sz="0" w:space="0" w:color="auto"/>
        <w:left w:val="none" w:sz="0" w:space="0" w:color="auto"/>
        <w:bottom w:val="none" w:sz="0" w:space="0" w:color="auto"/>
        <w:right w:val="none" w:sz="0" w:space="0" w:color="auto"/>
      </w:divBdr>
    </w:div>
    <w:div w:id="768618463">
      <w:bodyDiv w:val="1"/>
      <w:marLeft w:val="0"/>
      <w:marRight w:val="0"/>
      <w:marTop w:val="0"/>
      <w:marBottom w:val="0"/>
      <w:divBdr>
        <w:top w:val="none" w:sz="0" w:space="0" w:color="auto"/>
        <w:left w:val="none" w:sz="0" w:space="0" w:color="auto"/>
        <w:bottom w:val="none" w:sz="0" w:space="0" w:color="auto"/>
        <w:right w:val="none" w:sz="0" w:space="0" w:color="auto"/>
      </w:divBdr>
    </w:div>
    <w:div w:id="824127657">
      <w:bodyDiv w:val="1"/>
      <w:marLeft w:val="0"/>
      <w:marRight w:val="0"/>
      <w:marTop w:val="0"/>
      <w:marBottom w:val="0"/>
      <w:divBdr>
        <w:top w:val="none" w:sz="0" w:space="0" w:color="auto"/>
        <w:left w:val="none" w:sz="0" w:space="0" w:color="auto"/>
        <w:bottom w:val="none" w:sz="0" w:space="0" w:color="auto"/>
        <w:right w:val="none" w:sz="0" w:space="0" w:color="auto"/>
      </w:divBdr>
    </w:div>
    <w:div w:id="1036657299">
      <w:bodyDiv w:val="1"/>
      <w:marLeft w:val="0"/>
      <w:marRight w:val="0"/>
      <w:marTop w:val="0"/>
      <w:marBottom w:val="0"/>
      <w:divBdr>
        <w:top w:val="none" w:sz="0" w:space="0" w:color="auto"/>
        <w:left w:val="none" w:sz="0" w:space="0" w:color="auto"/>
        <w:bottom w:val="none" w:sz="0" w:space="0" w:color="auto"/>
        <w:right w:val="none" w:sz="0" w:space="0" w:color="auto"/>
      </w:divBdr>
    </w:div>
    <w:div w:id="1205025435">
      <w:bodyDiv w:val="1"/>
      <w:marLeft w:val="0"/>
      <w:marRight w:val="0"/>
      <w:marTop w:val="0"/>
      <w:marBottom w:val="0"/>
      <w:divBdr>
        <w:top w:val="none" w:sz="0" w:space="0" w:color="auto"/>
        <w:left w:val="none" w:sz="0" w:space="0" w:color="auto"/>
        <w:bottom w:val="none" w:sz="0" w:space="0" w:color="auto"/>
        <w:right w:val="none" w:sz="0" w:space="0" w:color="auto"/>
      </w:divBdr>
    </w:div>
    <w:div w:id="1247615968">
      <w:bodyDiv w:val="1"/>
      <w:marLeft w:val="0"/>
      <w:marRight w:val="0"/>
      <w:marTop w:val="0"/>
      <w:marBottom w:val="0"/>
      <w:divBdr>
        <w:top w:val="none" w:sz="0" w:space="0" w:color="auto"/>
        <w:left w:val="none" w:sz="0" w:space="0" w:color="auto"/>
        <w:bottom w:val="none" w:sz="0" w:space="0" w:color="auto"/>
        <w:right w:val="none" w:sz="0" w:space="0" w:color="auto"/>
      </w:divBdr>
    </w:div>
    <w:div w:id="177682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AB79-512E-48A8-8E8C-702FBB47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20</Pages>
  <Words>3651</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Melanie</dc:creator>
  <cp:lastModifiedBy>Ellen Phillips</cp:lastModifiedBy>
  <cp:revision>117</cp:revision>
  <cp:lastPrinted>2016-04-30T23:30:00Z</cp:lastPrinted>
  <dcterms:created xsi:type="dcterms:W3CDTF">2016-02-27T23:17:00Z</dcterms:created>
  <dcterms:modified xsi:type="dcterms:W3CDTF">2016-05-05T06:25:00Z</dcterms:modified>
</cp:coreProperties>
</file>