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Emphasis"/>
          <w:i/>
          <w:color w:val="FF0000"/>
        </w:rPr>
        <w:id w:val="1360698038"/>
        <w:docPartObj>
          <w:docPartGallery w:val="Cover Pages"/>
          <w:docPartUnique/>
        </w:docPartObj>
      </w:sdtPr>
      <w:sdtEndPr>
        <w:rPr>
          <w:rStyle w:val="Emphasis"/>
        </w:rPr>
      </w:sdtEndPr>
      <w:sdtContent>
        <w:p w14:paraId="5631F891" w14:textId="67CCE1B4" w:rsidR="009C039D" w:rsidRPr="00BA3C58" w:rsidRDefault="00BA3C58" w:rsidP="332D48F2">
          <w:pPr>
            <w:rPr>
              <w:i/>
              <w:caps/>
              <w:color w:val="FF0000"/>
              <w:spacing w:val="5"/>
            </w:rPr>
          </w:pPr>
          <w:r w:rsidRPr="00BA3C58">
            <w:rPr>
              <w:rStyle w:val="Emphasis"/>
              <w:i/>
              <w:noProof/>
              <w:color w:val="FF0000"/>
            </w:rPr>
            <w:drawing>
              <wp:anchor distT="0" distB="0" distL="114300" distR="114300" simplePos="0" relativeHeight="251658240" behindDoc="0" locked="0" layoutInCell="1" allowOverlap="1" wp14:anchorId="61EC1E08" wp14:editId="067D731E">
                <wp:simplePos x="0" y="0"/>
                <wp:positionH relativeFrom="column">
                  <wp:posOffset>-720090</wp:posOffset>
                </wp:positionH>
                <wp:positionV relativeFrom="paragraph">
                  <wp:posOffset>577</wp:posOffset>
                </wp:positionV>
                <wp:extent cx="7505700" cy="9896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0" cy="989647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Look w:val="04A0" w:firstRow="1" w:lastRow="0" w:firstColumn="1" w:lastColumn="0" w:noHBand="0" w:noVBand="1"/>
      </w:tblPr>
      <w:tblGrid>
        <w:gridCol w:w="9628"/>
      </w:tblGrid>
      <w:tr w:rsidR="00F95B23" w14:paraId="4C998933" w14:textId="77777777" w:rsidTr="00F95B23">
        <w:tc>
          <w:tcPr>
            <w:tcW w:w="9628" w:type="dxa"/>
          </w:tcPr>
          <w:p w14:paraId="233B8058" w14:textId="22CE8270" w:rsidR="00F95B23" w:rsidRPr="00F95B23" w:rsidRDefault="00F95B23" w:rsidP="003C34CD">
            <w:pPr>
              <w:spacing w:before="240"/>
            </w:pPr>
            <w:r w:rsidRPr="00F95B23">
              <w:lastRenderedPageBreak/>
              <w:t xml:space="preserve">© Commonwealth of Australia </w:t>
            </w:r>
            <w:r w:rsidR="001F3315" w:rsidRPr="00F95B23">
              <w:t>20</w:t>
            </w:r>
            <w:r w:rsidR="001F3315">
              <w:t>22</w:t>
            </w:r>
          </w:p>
          <w:p w14:paraId="3CB7792D" w14:textId="77777777" w:rsidR="007703C7" w:rsidRDefault="007703C7" w:rsidP="003C34CD">
            <w:pPr>
              <w:spacing w:before="240"/>
            </w:pPr>
          </w:p>
          <w:p w14:paraId="65B07894" w14:textId="77777777" w:rsidR="00F95B23" w:rsidRDefault="00F95B23" w:rsidP="003C34CD">
            <w:pPr>
              <w:spacing w:before="240"/>
            </w:pPr>
            <w:r w:rsidRPr="00F95B23">
              <w:t>This publication is protected by copyright.  Copyright (and any other intellectual property rights, if any) in this publication is owned by the Commonwealth of Australia as represented by the Australian Radiation Protection and Nuclear Safety Agency (ARPANSA).</w:t>
            </w:r>
          </w:p>
          <w:p w14:paraId="56DC17A1" w14:textId="77777777" w:rsidR="00F95B23" w:rsidRPr="00F95B23" w:rsidRDefault="00F95B23" w:rsidP="003C34CD">
            <w:pPr>
              <w:spacing w:before="240"/>
            </w:pPr>
            <w:r w:rsidRPr="00F95B23">
              <w:rPr>
                <w:noProof/>
                <w:lang w:eastAsia="en-AU"/>
              </w:rPr>
              <w:drawing>
                <wp:inline distT="0" distB="0" distL="0" distR="0" wp14:anchorId="64CF3A7A" wp14:editId="7D034C22">
                  <wp:extent cx="982345" cy="347345"/>
                  <wp:effectExtent l="0" t="0" r="8255" b="0"/>
                  <wp:docPr id="2" name="Picture 2" descr="cid:image001.png@01CE83A9.280C0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3A9.280C00B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982345" cy="347345"/>
                          </a:xfrm>
                          <a:prstGeom prst="rect">
                            <a:avLst/>
                          </a:prstGeom>
                          <a:noFill/>
                          <a:ln>
                            <a:noFill/>
                          </a:ln>
                        </pic:spPr>
                      </pic:pic>
                    </a:graphicData>
                  </a:graphic>
                </wp:inline>
              </w:drawing>
            </w:r>
          </w:p>
          <w:p w14:paraId="4D7E8869" w14:textId="77777777" w:rsidR="00F95B23" w:rsidRPr="00F95B23" w:rsidRDefault="00F95B23" w:rsidP="003C34CD">
            <w:pPr>
              <w:spacing w:before="240"/>
              <w:rPr>
                <w:b/>
                <w:bCs/>
              </w:rPr>
            </w:pPr>
            <w:r w:rsidRPr="00F95B23">
              <w:rPr>
                <w:b/>
                <w:bCs/>
              </w:rPr>
              <w:t>Creative Commons</w:t>
            </w:r>
          </w:p>
          <w:p w14:paraId="0A440B2D" w14:textId="77777777" w:rsidR="00F95B23" w:rsidRPr="00F95B23" w:rsidRDefault="00F95B23" w:rsidP="003C34CD">
            <w:pPr>
              <w:spacing w:before="240"/>
            </w:pPr>
            <w:proofErr w:type="gramStart"/>
            <w:r w:rsidRPr="00F95B23">
              <w:t>With the exception of</w:t>
            </w:r>
            <w:proofErr w:type="gramEnd"/>
            <w:r w:rsidRPr="00F95B23">
              <w:t xml:space="preserve"> the Commonwealth Coat of Arms, any ARPANSA logos and any content that is marked as being third party material, all material presented in this publication is provided under the Creative Commons Attribution 3.0 Australia (CC BY 3.0) licence. To view a copy of the license, visit </w:t>
            </w:r>
            <w:hyperlink r:id="rId11" w:history="1">
              <w:r w:rsidRPr="00F95B23">
                <w:rPr>
                  <w:rStyle w:val="Hyperlink"/>
                </w:rPr>
                <w:t>http://creativecommons.org/licenses/by/3.0/au/</w:t>
              </w:r>
            </w:hyperlink>
            <w:r w:rsidRPr="00F95B23">
              <w:t>.  It is a further condition of the licence that any numerical data referred to in this publication may not be changed. To the extent that copyright subsists in a third party, permission will be required from the third party to reuse the material.</w:t>
            </w:r>
          </w:p>
          <w:p w14:paraId="6F6D6774" w14:textId="77777777" w:rsidR="00F95B23" w:rsidRPr="00F95B23" w:rsidRDefault="00F95B23" w:rsidP="003C34CD">
            <w:pPr>
              <w:spacing w:before="240"/>
            </w:pPr>
            <w:r w:rsidRPr="00F95B23">
              <w:t xml:space="preserve">In essence, you are free to copy, communicate and adapt the material </w:t>
            </w:r>
            <w:proofErr w:type="gramStart"/>
            <w:r w:rsidRPr="00F95B23">
              <w:t>as long as</w:t>
            </w:r>
            <w:proofErr w:type="gramEnd"/>
            <w:r w:rsidRPr="00F95B23">
              <w:t xml:space="preserve"> you attribute the work to ARPANSA and abide by the other licence terms.  The works are to be attributed to the Commonwealth as </w:t>
            </w:r>
            <w:proofErr w:type="gramStart"/>
            <w:r w:rsidRPr="00F95B23">
              <w:t>follows:-</w:t>
            </w:r>
            <w:proofErr w:type="gramEnd"/>
            <w:r w:rsidRPr="00F95B23">
              <w:t xml:space="preserve"> </w:t>
            </w:r>
          </w:p>
          <w:p w14:paraId="5326D07D" w14:textId="1EA1E919" w:rsidR="00F95B23" w:rsidRPr="00F95B23" w:rsidRDefault="00F95B23" w:rsidP="00EE1E79">
            <w:pPr>
              <w:spacing w:before="240"/>
            </w:pPr>
            <w:r w:rsidRPr="00F95B23">
              <w:t xml:space="preserve">“© Commonwealth of Australia </w:t>
            </w:r>
            <w:r w:rsidR="005C3E74" w:rsidRPr="00F95B23">
              <w:t>20</w:t>
            </w:r>
            <w:r w:rsidR="005C3E74">
              <w:t>22</w:t>
            </w:r>
            <w:r w:rsidRPr="00F95B23">
              <w:t>, as represented by the Australian Radiation Protection and Nuclear Safety Agency (ARPANSA)”</w:t>
            </w:r>
          </w:p>
          <w:p w14:paraId="491DFE3F" w14:textId="77777777" w:rsidR="00F95B23" w:rsidRPr="00F95B23" w:rsidRDefault="00F95B23" w:rsidP="003C34CD">
            <w:pPr>
              <w:spacing w:before="240"/>
              <w:rPr>
                <w:b/>
                <w:bCs/>
              </w:rPr>
            </w:pPr>
            <w:r w:rsidRPr="00F95B23">
              <w:rPr>
                <w:b/>
                <w:bCs/>
              </w:rPr>
              <w:t>Use of the Coat of Arms</w:t>
            </w:r>
          </w:p>
          <w:p w14:paraId="1EAF90BA" w14:textId="356FEA56" w:rsidR="00F95B23" w:rsidRPr="00F95B23" w:rsidRDefault="00F95B23" w:rsidP="003C34CD">
            <w:pPr>
              <w:spacing w:before="240"/>
            </w:pPr>
            <w:r w:rsidRPr="00F95B23">
              <w:t xml:space="preserve">The terms under which the Coat of Arms can be used are detailed </w:t>
            </w:r>
            <w:r w:rsidR="00FD6B5D">
              <w:t xml:space="preserve">at </w:t>
            </w:r>
            <w:hyperlink r:id="rId12" w:history="1">
              <w:r w:rsidR="000E405B" w:rsidRPr="000E405B">
                <w:rPr>
                  <w:rFonts w:ascii="Calibri" w:eastAsia="Calibri" w:hAnsi="Calibri" w:cs="Arial"/>
                  <w:color w:val="0000FF"/>
                  <w:u w:val="single"/>
                </w:rPr>
                <w:t>https://www.pmc.gov.au/government/commonwealth-coat-arms</w:t>
              </w:r>
            </w:hyperlink>
            <w:r w:rsidRPr="00F95B23">
              <w:t>.</w:t>
            </w:r>
          </w:p>
          <w:p w14:paraId="284C80EA" w14:textId="77777777" w:rsidR="00F95B23" w:rsidRPr="00F95B23" w:rsidRDefault="00F95B23" w:rsidP="00EE1E79">
            <w:pPr>
              <w:spacing w:before="240"/>
              <w:rPr>
                <w:b/>
              </w:rPr>
            </w:pPr>
            <w:r w:rsidRPr="00F95B23">
              <w:rPr>
                <w:b/>
              </w:rPr>
              <w:t>Disclaimer</w:t>
            </w:r>
          </w:p>
          <w:p w14:paraId="6346C5A9" w14:textId="21DED158" w:rsidR="008B22F7" w:rsidRDefault="00F95B23" w:rsidP="003C34CD">
            <w:pPr>
              <w:spacing w:before="240"/>
            </w:pPr>
            <w:r w:rsidRPr="00F95B23">
              <w:t xml:space="preserve">This Statement of Reasons has been authored by the CEO of ARPANSA with the assistance of </w:t>
            </w:r>
            <w:r w:rsidR="00FE7F47">
              <w:t>ARPANSA</w:t>
            </w:r>
            <w:r w:rsidR="00FE7F47" w:rsidRPr="00F95B23">
              <w:t xml:space="preserve"> </w:t>
            </w:r>
            <w:r w:rsidRPr="00F95B23">
              <w:t xml:space="preserve">staff </w:t>
            </w:r>
            <w:r w:rsidR="00020FD0">
              <w:t xml:space="preserve">to </w:t>
            </w:r>
            <w:r w:rsidR="00290D09">
              <w:t xml:space="preserve">describe </w:t>
            </w:r>
            <w:r w:rsidR="00D137B2">
              <w:t>the decision made under</w:t>
            </w:r>
            <w:r w:rsidR="007B6355">
              <w:t xml:space="preserve"> </w:t>
            </w:r>
            <w:r w:rsidR="00FF7FBA">
              <w:t xml:space="preserve">section </w:t>
            </w:r>
            <w:r w:rsidR="00FA47E1">
              <w:t xml:space="preserve">32 </w:t>
            </w:r>
            <w:r w:rsidR="00FA47E1" w:rsidRPr="00F95B23">
              <w:t xml:space="preserve">the </w:t>
            </w:r>
            <w:r w:rsidR="00FA47E1" w:rsidRPr="00F95B23">
              <w:rPr>
                <w:i/>
              </w:rPr>
              <w:t>Australian Protection and Nuclear Safety Act 1998</w:t>
            </w:r>
            <w:r w:rsidR="00FA47E1" w:rsidRPr="00FA47E1">
              <w:rPr>
                <w:iCs/>
              </w:rPr>
              <w:t xml:space="preserve"> </w:t>
            </w:r>
            <w:r w:rsidR="00283C0F">
              <w:rPr>
                <w:iCs/>
              </w:rPr>
              <w:t xml:space="preserve">(the Act) </w:t>
            </w:r>
            <w:r w:rsidRPr="00F95B23">
              <w:t xml:space="preserve">in </w:t>
            </w:r>
            <w:r w:rsidR="00F62661">
              <w:t>response to</w:t>
            </w:r>
            <w:r w:rsidRPr="00F95B23">
              <w:t xml:space="preserve"> </w:t>
            </w:r>
            <w:r w:rsidR="00FA47E1">
              <w:t xml:space="preserve">a </w:t>
            </w:r>
            <w:r w:rsidRPr="00F95B23">
              <w:t xml:space="preserve">licence application made under the </w:t>
            </w:r>
            <w:r w:rsidR="00F166C4">
              <w:t>Act</w:t>
            </w:r>
            <w:r w:rsidRPr="00F95B23" w:rsidDel="00FA47E1">
              <w:t xml:space="preserve"> </w:t>
            </w:r>
            <w:r w:rsidR="00143D07">
              <w:t xml:space="preserve">by the </w:t>
            </w:r>
            <w:r w:rsidR="000465F7">
              <w:t>applicant identified in this statement</w:t>
            </w:r>
            <w:r w:rsidRPr="00F95B23">
              <w:t xml:space="preserve">. </w:t>
            </w:r>
          </w:p>
          <w:p w14:paraId="1F669974" w14:textId="77777777" w:rsidR="00F95B23" w:rsidRDefault="00F95B23" w:rsidP="003C34CD">
            <w:pPr>
              <w:spacing w:before="240"/>
            </w:pPr>
            <w:r w:rsidRPr="00F95B23">
              <w:t xml:space="preserve">All reasonable care has been taken in the preparation of this </w:t>
            </w:r>
            <w:r w:rsidR="003A12D7">
              <w:t>statement</w:t>
            </w:r>
            <w:r w:rsidRPr="00F95B23">
              <w:t>.</w:t>
            </w:r>
            <w:r w:rsidR="008B22F7">
              <w:t xml:space="preserve"> </w:t>
            </w:r>
            <w:r w:rsidRPr="00F95B23">
              <w:t>Any use outside the purpose indicated above is at the risk of individual concerned. No claim for damages or liability may rise against the CEO of ARPANSA, the Commonwealth of Australia or the staff of ARPANSA in connection with any unauthorised use or use outside the purpose indicated above.</w:t>
            </w:r>
          </w:p>
          <w:p w14:paraId="35244C8D" w14:textId="0F6B3896" w:rsidR="00EE1E79" w:rsidRDefault="00EE1E79" w:rsidP="003C34CD">
            <w:pPr>
              <w:spacing w:before="240"/>
            </w:pPr>
          </w:p>
        </w:tc>
      </w:tr>
    </w:tbl>
    <w:p w14:paraId="333BB967" w14:textId="77777777" w:rsidR="009C039D" w:rsidRDefault="009C039D" w:rsidP="009C039D">
      <w:pPr>
        <w:jc w:val="center"/>
        <w:rPr>
          <w:b/>
          <w:sz w:val="36"/>
        </w:rPr>
      </w:pPr>
    </w:p>
    <w:p w14:paraId="15446F80" w14:textId="77777777" w:rsidR="009C039D" w:rsidRDefault="009C039D" w:rsidP="009C039D">
      <w:pPr>
        <w:jc w:val="center"/>
        <w:rPr>
          <w:b/>
          <w:sz w:val="36"/>
        </w:rPr>
      </w:pPr>
    </w:p>
    <w:p w14:paraId="7D76351F" w14:textId="77777777" w:rsidR="009C039D" w:rsidRDefault="009C039D" w:rsidP="009C039D">
      <w:pPr>
        <w:jc w:val="center"/>
        <w:rPr>
          <w:b/>
          <w:sz w:val="36"/>
        </w:rPr>
      </w:pPr>
    </w:p>
    <w:p w14:paraId="3AE0EC3C" w14:textId="77777777" w:rsidR="009C039D" w:rsidRDefault="009C039D" w:rsidP="009C039D">
      <w:pPr>
        <w:jc w:val="center"/>
        <w:rPr>
          <w:b/>
          <w:sz w:val="36"/>
        </w:rPr>
      </w:pPr>
    </w:p>
    <w:p w14:paraId="0B6BF909" w14:textId="77777777" w:rsidR="00EE1E79" w:rsidRDefault="00EE1E79" w:rsidP="00AD0FC0">
      <w:pPr>
        <w:spacing w:before="240" w:line="264" w:lineRule="auto"/>
        <w:jc w:val="center"/>
        <w:rPr>
          <w:szCs w:val="24"/>
        </w:rPr>
      </w:pPr>
    </w:p>
    <w:p w14:paraId="7AA74E0E" w14:textId="77777777" w:rsidR="00EE1E79" w:rsidRDefault="00EE1E79" w:rsidP="00AD0FC0">
      <w:pPr>
        <w:spacing w:before="240" w:line="264" w:lineRule="auto"/>
        <w:jc w:val="center"/>
        <w:rPr>
          <w:szCs w:val="24"/>
        </w:rPr>
      </w:pPr>
    </w:p>
    <w:p w14:paraId="312AFC68" w14:textId="77777777" w:rsidR="00EE1E79" w:rsidRDefault="00EE1E79" w:rsidP="00AD0FC0">
      <w:pPr>
        <w:spacing w:before="240" w:line="264" w:lineRule="auto"/>
        <w:jc w:val="center"/>
        <w:rPr>
          <w:szCs w:val="24"/>
        </w:rPr>
      </w:pPr>
    </w:p>
    <w:p w14:paraId="06B0A098" w14:textId="77777777" w:rsidR="00EE1E79" w:rsidRDefault="00EE1E79" w:rsidP="00AD0FC0">
      <w:pPr>
        <w:spacing w:before="240" w:line="264" w:lineRule="auto"/>
        <w:jc w:val="center"/>
        <w:rPr>
          <w:szCs w:val="24"/>
        </w:rPr>
      </w:pPr>
    </w:p>
    <w:p w14:paraId="4272EAA5" w14:textId="77777777" w:rsidR="00EE1E79" w:rsidRDefault="00EE1E79" w:rsidP="00AD0FC0">
      <w:pPr>
        <w:spacing w:before="240" w:line="264" w:lineRule="auto"/>
        <w:jc w:val="center"/>
        <w:rPr>
          <w:szCs w:val="24"/>
        </w:rPr>
      </w:pPr>
    </w:p>
    <w:p w14:paraId="26201A00" w14:textId="77777777" w:rsidR="00EE1E79" w:rsidRDefault="00EE1E79" w:rsidP="00AD0FC0">
      <w:pPr>
        <w:spacing w:before="240" w:line="264" w:lineRule="auto"/>
        <w:jc w:val="center"/>
        <w:rPr>
          <w:szCs w:val="24"/>
        </w:rPr>
      </w:pPr>
    </w:p>
    <w:p w14:paraId="5D1E63AD" w14:textId="77777777" w:rsidR="00EE1E79" w:rsidRDefault="00EE1E79" w:rsidP="00AD0FC0">
      <w:pPr>
        <w:spacing w:before="240" w:line="264" w:lineRule="auto"/>
        <w:jc w:val="center"/>
        <w:rPr>
          <w:szCs w:val="24"/>
        </w:rPr>
      </w:pPr>
    </w:p>
    <w:p w14:paraId="247C84A0" w14:textId="77777777" w:rsidR="00EE1E79" w:rsidRDefault="00EE1E79" w:rsidP="00AD0FC0">
      <w:pPr>
        <w:spacing w:before="240" w:line="264" w:lineRule="auto"/>
        <w:jc w:val="center"/>
        <w:rPr>
          <w:szCs w:val="24"/>
        </w:rPr>
      </w:pPr>
    </w:p>
    <w:p w14:paraId="7C89B281" w14:textId="77777777" w:rsidR="00EE1E79" w:rsidRDefault="00EE1E79" w:rsidP="00AD0FC0">
      <w:pPr>
        <w:spacing w:before="240" w:line="264" w:lineRule="auto"/>
        <w:jc w:val="center"/>
        <w:rPr>
          <w:szCs w:val="24"/>
        </w:rPr>
      </w:pPr>
    </w:p>
    <w:p w14:paraId="61D38AF1" w14:textId="2602AFE0" w:rsidR="009C039D" w:rsidRDefault="009C039D" w:rsidP="00AD0FC0">
      <w:pPr>
        <w:spacing w:before="240" w:line="264" w:lineRule="auto"/>
        <w:jc w:val="center"/>
        <w:rPr>
          <w:szCs w:val="24"/>
        </w:rPr>
      </w:pPr>
      <w:r w:rsidRPr="00676C35">
        <w:rPr>
          <w:szCs w:val="24"/>
        </w:rPr>
        <w:t xml:space="preserve">This </w:t>
      </w:r>
      <w:r>
        <w:rPr>
          <w:szCs w:val="24"/>
        </w:rPr>
        <w:t xml:space="preserve">Statement of Reasons </w:t>
      </w:r>
      <w:r w:rsidRPr="00676C35">
        <w:rPr>
          <w:szCs w:val="24"/>
        </w:rPr>
        <w:t xml:space="preserve">does not form part of Facility Licence </w:t>
      </w:r>
      <w:r w:rsidRPr="00C7482E">
        <w:rPr>
          <w:szCs w:val="24"/>
        </w:rPr>
        <w:t>F</w:t>
      </w:r>
      <w:r w:rsidR="0046564E" w:rsidRPr="00C7482E">
        <w:rPr>
          <w:szCs w:val="24"/>
        </w:rPr>
        <w:t>0339</w:t>
      </w:r>
      <w:r w:rsidRPr="00C7482E">
        <w:rPr>
          <w:szCs w:val="24"/>
        </w:rPr>
        <w:t xml:space="preserve">. </w:t>
      </w:r>
      <w:r w:rsidRPr="00676C35">
        <w:rPr>
          <w:szCs w:val="24"/>
        </w:rPr>
        <w:t xml:space="preserve"> </w:t>
      </w:r>
    </w:p>
    <w:p w14:paraId="0B8634E4" w14:textId="4A06EDA9" w:rsidR="009C039D" w:rsidRPr="009C039D" w:rsidRDefault="009C039D" w:rsidP="00AD0FC0">
      <w:pPr>
        <w:spacing w:before="240" w:line="264" w:lineRule="auto"/>
        <w:jc w:val="center"/>
        <w:rPr>
          <w:szCs w:val="24"/>
        </w:rPr>
      </w:pPr>
      <w:r>
        <w:rPr>
          <w:szCs w:val="24"/>
        </w:rPr>
        <w:t>I</w:t>
      </w:r>
      <w:r w:rsidRPr="00676C35">
        <w:rPr>
          <w:szCs w:val="24"/>
        </w:rPr>
        <w:t xml:space="preserve">n the event of any inconsistency between the Licence and </w:t>
      </w:r>
      <w:r>
        <w:rPr>
          <w:szCs w:val="24"/>
        </w:rPr>
        <w:t>this Statement of Reasons</w:t>
      </w:r>
      <w:r w:rsidRPr="00676C35">
        <w:rPr>
          <w:szCs w:val="24"/>
        </w:rPr>
        <w:t xml:space="preserve">, Facility Licence </w:t>
      </w:r>
      <w:r w:rsidRPr="00C7482E">
        <w:rPr>
          <w:szCs w:val="24"/>
        </w:rPr>
        <w:t>F</w:t>
      </w:r>
      <w:r w:rsidR="00C7482E" w:rsidRPr="00C7482E">
        <w:rPr>
          <w:szCs w:val="24"/>
        </w:rPr>
        <w:t>0339</w:t>
      </w:r>
      <w:r w:rsidRPr="00C7482E">
        <w:rPr>
          <w:szCs w:val="24"/>
        </w:rPr>
        <w:t xml:space="preserve"> </w:t>
      </w:r>
      <w:r w:rsidRPr="00676C35">
        <w:rPr>
          <w:szCs w:val="24"/>
        </w:rPr>
        <w:t>will prevail</w:t>
      </w:r>
      <w:r>
        <w:rPr>
          <w:szCs w:val="24"/>
        </w:rPr>
        <w:t>.</w:t>
      </w:r>
      <w:r w:rsidRPr="00C7482E">
        <w:rPr>
          <w:szCs w:val="24"/>
        </w:rPr>
        <w:t xml:space="preserve"> </w:t>
      </w:r>
      <w:r w:rsidRPr="00C7482E">
        <w:rPr>
          <w:szCs w:val="24"/>
        </w:rPr>
        <w:br w:type="page"/>
      </w:r>
    </w:p>
    <w:bookmarkStart w:id="0" w:name="_Toc418680007" w:displacedByCustomXml="next"/>
    <w:bookmarkStart w:id="1" w:name="_Toc365889202" w:displacedByCustomXml="next"/>
    <w:sdt>
      <w:sdtPr>
        <w:rPr>
          <w:b w:val="0"/>
          <w:color w:val="444444"/>
          <w:sz w:val="20"/>
          <w:szCs w:val="20"/>
        </w:rPr>
        <w:id w:val="-1057312962"/>
        <w:docPartObj>
          <w:docPartGallery w:val="Table of Contents"/>
          <w:docPartUnique/>
        </w:docPartObj>
      </w:sdtPr>
      <w:sdtEndPr>
        <w:rPr>
          <w:noProof/>
          <w:sz w:val="22"/>
          <w:szCs w:val="22"/>
        </w:rPr>
      </w:sdtEndPr>
      <w:sdtContent>
        <w:p w14:paraId="36A7D38A" w14:textId="77777777" w:rsidR="006E5BD6" w:rsidRPr="0037325D" w:rsidRDefault="006E5BD6" w:rsidP="00A6162B">
          <w:pPr>
            <w:pStyle w:val="TOC1"/>
          </w:pPr>
          <w:r w:rsidRPr="0037325D">
            <w:t>TABLE OF CONTENTS</w:t>
          </w:r>
        </w:p>
        <w:p w14:paraId="5411B88B" w14:textId="40DCB2D5" w:rsidR="00721158" w:rsidRDefault="009C039D">
          <w:pPr>
            <w:pStyle w:val="TOC1"/>
            <w:rPr>
              <w:rFonts w:eastAsiaTheme="minorEastAsia"/>
              <w:b w:val="0"/>
              <w:noProof/>
              <w:color w:val="auto"/>
              <w:lang w:eastAsia="en-AU"/>
            </w:rPr>
          </w:pPr>
          <w:r>
            <w:fldChar w:fldCharType="begin"/>
          </w:r>
          <w:r>
            <w:instrText xml:space="preserve"> TOC \o "1-3" \h \z \u </w:instrText>
          </w:r>
          <w:r>
            <w:fldChar w:fldCharType="separate"/>
          </w:r>
          <w:hyperlink w:anchor="_Toc96958653" w:history="1">
            <w:r w:rsidR="00721158" w:rsidRPr="001E29C6">
              <w:rPr>
                <w:rStyle w:val="Hyperlink"/>
                <w:noProof/>
              </w:rPr>
              <w:t>1.</w:t>
            </w:r>
            <w:r w:rsidR="00721158">
              <w:rPr>
                <w:rFonts w:eastAsiaTheme="minorEastAsia"/>
                <w:b w:val="0"/>
                <w:noProof/>
                <w:color w:val="auto"/>
                <w:lang w:eastAsia="en-AU"/>
              </w:rPr>
              <w:tab/>
            </w:r>
            <w:r w:rsidR="00721158" w:rsidRPr="001E29C6">
              <w:rPr>
                <w:rStyle w:val="Hyperlink"/>
                <w:noProof/>
              </w:rPr>
              <w:t>The licence decision</w:t>
            </w:r>
            <w:r w:rsidR="00721158">
              <w:rPr>
                <w:noProof/>
                <w:webHidden/>
              </w:rPr>
              <w:tab/>
            </w:r>
            <w:r w:rsidR="00721158">
              <w:rPr>
                <w:noProof/>
                <w:webHidden/>
              </w:rPr>
              <w:fldChar w:fldCharType="begin"/>
            </w:r>
            <w:r w:rsidR="00721158">
              <w:rPr>
                <w:noProof/>
                <w:webHidden/>
              </w:rPr>
              <w:instrText xml:space="preserve"> PAGEREF _Toc96958653 \h </w:instrText>
            </w:r>
            <w:r w:rsidR="00721158">
              <w:rPr>
                <w:noProof/>
                <w:webHidden/>
              </w:rPr>
            </w:r>
            <w:r w:rsidR="00721158">
              <w:rPr>
                <w:noProof/>
                <w:webHidden/>
              </w:rPr>
              <w:fldChar w:fldCharType="separate"/>
            </w:r>
            <w:r w:rsidR="00D74339">
              <w:rPr>
                <w:noProof/>
                <w:webHidden/>
              </w:rPr>
              <w:t>5</w:t>
            </w:r>
            <w:r w:rsidR="00721158">
              <w:rPr>
                <w:noProof/>
                <w:webHidden/>
              </w:rPr>
              <w:fldChar w:fldCharType="end"/>
            </w:r>
          </w:hyperlink>
        </w:p>
        <w:p w14:paraId="46E187E9" w14:textId="0094A341" w:rsidR="00721158" w:rsidRDefault="00D74339">
          <w:pPr>
            <w:pStyle w:val="TOC1"/>
            <w:rPr>
              <w:rFonts w:eastAsiaTheme="minorEastAsia"/>
              <w:b w:val="0"/>
              <w:noProof/>
              <w:color w:val="auto"/>
              <w:lang w:eastAsia="en-AU"/>
            </w:rPr>
          </w:pPr>
          <w:hyperlink w:anchor="_Toc96958654" w:history="1">
            <w:r w:rsidR="00721158" w:rsidRPr="001E29C6">
              <w:rPr>
                <w:rStyle w:val="Hyperlink"/>
                <w:noProof/>
              </w:rPr>
              <w:t>2.</w:t>
            </w:r>
            <w:r w:rsidR="00721158">
              <w:rPr>
                <w:rFonts w:eastAsiaTheme="minorEastAsia"/>
                <w:b w:val="0"/>
                <w:noProof/>
                <w:color w:val="auto"/>
                <w:lang w:eastAsia="en-AU"/>
              </w:rPr>
              <w:tab/>
            </w:r>
            <w:r w:rsidR="00721158" w:rsidRPr="001E29C6">
              <w:rPr>
                <w:rStyle w:val="Hyperlink"/>
                <w:noProof/>
              </w:rPr>
              <w:t>Reaching the decision</w:t>
            </w:r>
            <w:r w:rsidR="00721158">
              <w:rPr>
                <w:noProof/>
                <w:webHidden/>
              </w:rPr>
              <w:tab/>
            </w:r>
            <w:r w:rsidR="00721158">
              <w:rPr>
                <w:noProof/>
                <w:webHidden/>
              </w:rPr>
              <w:fldChar w:fldCharType="begin"/>
            </w:r>
            <w:r w:rsidR="00721158">
              <w:rPr>
                <w:noProof/>
                <w:webHidden/>
              </w:rPr>
              <w:instrText xml:space="preserve"> PAGEREF _Toc96958654 \h </w:instrText>
            </w:r>
            <w:r w:rsidR="00721158">
              <w:rPr>
                <w:noProof/>
                <w:webHidden/>
              </w:rPr>
            </w:r>
            <w:r w:rsidR="00721158">
              <w:rPr>
                <w:noProof/>
                <w:webHidden/>
              </w:rPr>
              <w:fldChar w:fldCharType="separate"/>
            </w:r>
            <w:r>
              <w:rPr>
                <w:noProof/>
                <w:webHidden/>
              </w:rPr>
              <w:t>5</w:t>
            </w:r>
            <w:r w:rsidR="00721158">
              <w:rPr>
                <w:noProof/>
                <w:webHidden/>
              </w:rPr>
              <w:fldChar w:fldCharType="end"/>
            </w:r>
          </w:hyperlink>
        </w:p>
        <w:p w14:paraId="5527C032" w14:textId="141C96A3" w:rsidR="00721158" w:rsidRDefault="00D74339">
          <w:pPr>
            <w:pStyle w:val="TOC2"/>
            <w:rPr>
              <w:rFonts w:eastAsiaTheme="minorEastAsia"/>
              <w:color w:val="auto"/>
              <w:lang w:eastAsia="en-AU"/>
            </w:rPr>
          </w:pPr>
          <w:hyperlink w:anchor="_Toc96958655" w:history="1">
            <w:r w:rsidR="00721158" w:rsidRPr="001E29C6">
              <w:rPr>
                <w:rStyle w:val="Hyperlink"/>
              </w:rPr>
              <w:t>2.1</w:t>
            </w:r>
            <w:r w:rsidR="00721158">
              <w:rPr>
                <w:rFonts w:eastAsiaTheme="minorEastAsia"/>
                <w:color w:val="auto"/>
                <w:lang w:eastAsia="en-AU"/>
              </w:rPr>
              <w:tab/>
            </w:r>
            <w:r w:rsidR="00721158" w:rsidRPr="001E29C6">
              <w:rPr>
                <w:rStyle w:val="Hyperlink"/>
              </w:rPr>
              <w:t>Receipt of application</w:t>
            </w:r>
            <w:r w:rsidR="00721158">
              <w:rPr>
                <w:webHidden/>
              </w:rPr>
              <w:tab/>
            </w:r>
            <w:r w:rsidR="00721158">
              <w:rPr>
                <w:webHidden/>
              </w:rPr>
              <w:fldChar w:fldCharType="begin"/>
            </w:r>
            <w:r w:rsidR="00721158">
              <w:rPr>
                <w:webHidden/>
              </w:rPr>
              <w:instrText xml:space="preserve"> PAGEREF _Toc96958655 \h </w:instrText>
            </w:r>
            <w:r w:rsidR="00721158">
              <w:rPr>
                <w:webHidden/>
              </w:rPr>
            </w:r>
            <w:r w:rsidR="00721158">
              <w:rPr>
                <w:webHidden/>
              </w:rPr>
              <w:fldChar w:fldCharType="separate"/>
            </w:r>
            <w:r>
              <w:rPr>
                <w:webHidden/>
              </w:rPr>
              <w:t>5</w:t>
            </w:r>
            <w:r w:rsidR="00721158">
              <w:rPr>
                <w:webHidden/>
              </w:rPr>
              <w:fldChar w:fldCharType="end"/>
            </w:r>
          </w:hyperlink>
        </w:p>
        <w:p w14:paraId="71053419" w14:textId="4A2097A3" w:rsidR="00721158" w:rsidRDefault="00D74339">
          <w:pPr>
            <w:pStyle w:val="TOC2"/>
            <w:rPr>
              <w:rFonts w:eastAsiaTheme="minorEastAsia"/>
              <w:color w:val="auto"/>
              <w:lang w:eastAsia="en-AU"/>
            </w:rPr>
          </w:pPr>
          <w:hyperlink w:anchor="_Toc96958656" w:history="1">
            <w:r w:rsidR="00721158" w:rsidRPr="001E29C6">
              <w:rPr>
                <w:rStyle w:val="Hyperlink"/>
              </w:rPr>
              <w:t>2.2</w:t>
            </w:r>
            <w:r w:rsidR="00721158">
              <w:rPr>
                <w:rFonts w:eastAsiaTheme="minorEastAsia"/>
                <w:color w:val="auto"/>
                <w:lang w:eastAsia="en-AU"/>
              </w:rPr>
              <w:tab/>
            </w:r>
            <w:r w:rsidR="00721158" w:rsidRPr="001E29C6">
              <w:rPr>
                <w:rStyle w:val="Hyperlink"/>
              </w:rPr>
              <w:t>Documentary evidence and references</w:t>
            </w:r>
            <w:r w:rsidR="00721158">
              <w:rPr>
                <w:webHidden/>
              </w:rPr>
              <w:tab/>
            </w:r>
            <w:r w:rsidR="00721158">
              <w:rPr>
                <w:webHidden/>
              </w:rPr>
              <w:fldChar w:fldCharType="begin"/>
            </w:r>
            <w:r w:rsidR="00721158">
              <w:rPr>
                <w:webHidden/>
              </w:rPr>
              <w:instrText xml:space="preserve"> PAGEREF _Toc96958656 \h </w:instrText>
            </w:r>
            <w:r w:rsidR="00721158">
              <w:rPr>
                <w:webHidden/>
              </w:rPr>
            </w:r>
            <w:r w:rsidR="00721158">
              <w:rPr>
                <w:webHidden/>
              </w:rPr>
              <w:fldChar w:fldCharType="separate"/>
            </w:r>
            <w:r>
              <w:rPr>
                <w:webHidden/>
              </w:rPr>
              <w:t>5</w:t>
            </w:r>
            <w:r w:rsidR="00721158">
              <w:rPr>
                <w:webHidden/>
              </w:rPr>
              <w:fldChar w:fldCharType="end"/>
            </w:r>
          </w:hyperlink>
        </w:p>
        <w:p w14:paraId="6FAC9F89" w14:textId="6A9FF6FE" w:rsidR="00721158" w:rsidRDefault="00D74339">
          <w:pPr>
            <w:pStyle w:val="TOC2"/>
            <w:rPr>
              <w:rFonts w:eastAsiaTheme="minorEastAsia"/>
              <w:color w:val="auto"/>
              <w:lang w:eastAsia="en-AU"/>
            </w:rPr>
          </w:pPr>
          <w:hyperlink w:anchor="_Toc96958657" w:history="1">
            <w:r w:rsidR="00721158" w:rsidRPr="001E29C6">
              <w:rPr>
                <w:rStyle w:val="Hyperlink"/>
              </w:rPr>
              <w:t>2.3</w:t>
            </w:r>
            <w:r w:rsidR="00721158">
              <w:rPr>
                <w:rFonts w:eastAsiaTheme="minorEastAsia"/>
                <w:color w:val="auto"/>
                <w:lang w:eastAsia="en-AU"/>
              </w:rPr>
              <w:tab/>
            </w:r>
            <w:r w:rsidR="00721158" w:rsidRPr="001E29C6">
              <w:rPr>
                <w:rStyle w:val="Hyperlink"/>
              </w:rPr>
              <w:t>The Nuclear Safety Committee</w:t>
            </w:r>
            <w:r w:rsidR="00721158">
              <w:rPr>
                <w:webHidden/>
              </w:rPr>
              <w:tab/>
            </w:r>
            <w:r w:rsidR="00721158">
              <w:rPr>
                <w:webHidden/>
              </w:rPr>
              <w:fldChar w:fldCharType="begin"/>
            </w:r>
            <w:r w:rsidR="00721158">
              <w:rPr>
                <w:webHidden/>
              </w:rPr>
              <w:instrText xml:space="preserve"> PAGEREF _Toc96958657 \h </w:instrText>
            </w:r>
            <w:r w:rsidR="00721158">
              <w:rPr>
                <w:webHidden/>
              </w:rPr>
            </w:r>
            <w:r w:rsidR="00721158">
              <w:rPr>
                <w:webHidden/>
              </w:rPr>
              <w:fldChar w:fldCharType="separate"/>
            </w:r>
            <w:r>
              <w:rPr>
                <w:webHidden/>
              </w:rPr>
              <w:t>6</w:t>
            </w:r>
            <w:r w:rsidR="00721158">
              <w:rPr>
                <w:webHidden/>
              </w:rPr>
              <w:fldChar w:fldCharType="end"/>
            </w:r>
          </w:hyperlink>
        </w:p>
        <w:p w14:paraId="4C713FBB" w14:textId="6648A948" w:rsidR="00721158" w:rsidRDefault="00D74339">
          <w:pPr>
            <w:pStyle w:val="TOC2"/>
            <w:rPr>
              <w:rFonts w:eastAsiaTheme="minorEastAsia"/>
              <w:color w:val="auto"/>
              <w:lang w:eastAsia="en-AU"/>
            </w:rPr>
          </w:pPr>
          <w:hyperlink w:anchor="_Toc96958658" w:history="1">
            <w:r w:rsidR="00721158" w:rsidRPr="001E29C6">
              <w:rPr>
                <w:rStyle w:val="Hyperlink"/>
              </w:rPr>
              <w:t>2.4</w:t>
            </w:r>
            <w:r w:rsidR="00721158">
              <w:rPr>
                <w:rFonts w:eastAsiaTheme="minorEastAsia"/>
                <w:color w:val="auto"/>
                <w:lang w:eastAsia="en-AU"/>
              </w:rPr>
              <w:tab/>
            </w:r>
            <w:r w:rsidR="00721158" w:rsidRPr="001E29C6">
              <w:rPr>
                <w:rStyle w:val="Hyperlink"/>
              </w:rPr>
              <w:t>Consultation</w:t>
            </w:r>
            <w:r w:rsidR="00721158">
              <w:rPr>
                <w:webHidden/>
              </w:rPr>
              <w:tab/>
            </w:r>
            <w:r w:rsidR="00721158">
              <w:rPr>
                <w:webHidden/>
              </w:rPr>
              <w:fldChar w:fldCharType="begin"/>
            </w:r>
            <w:r w:rsidR="00721158">
              <w:rPr>
                <w:webHidden/>
              </w:rPr>
              <w:instrText xml:space="preserve"> PAGEREF _Toc96958658 \h </w:instrText>
            </w:r>
            <w:r w:rsidR="00721158">
              <w:rPr>
                <w:webHidden/>
              </w:rPr>
            </w:r>
            <w:r w:rsidR="00721158">
              <w:rPr>
                <w:webHidden/>
              </w:rPr>
              <w:fldChar w:fldCharType="separate"/>
            </w:r>
            <w:r>
              <w:rPr>
                <w:webHidden/>
              </w:rPr>
              <w:t>6</w:t>
            </w:r>
            <w:r w:rsidR="00721158">
              <w:rPr>
                <w:webHidden/>
              </w:rPr>
              <w:fldChar w:fldCharType="end"/>
            </w:r>
          </w:hyperlink>
        </w:p>
        <w:p w14:paraId="2FA6D79B" w14:textId="031CEA29" w:rsidR="00721158" w:rsidRDefault="00D74339">
          <w:pPr>
            <w:pStyle w:val="TOC2"/>
            <w:rPr>
              <w:rFonts w:eastAsiaTheme="minorEastAsia"/>
              <w:color w:val="auto"/>
              <w:lang w:eastAsia="en-AU"/>
            </w:rPr>
          </w:pPr>
          <w:hyperlink w:anchor="_Toc96958659" w:history="1">
            <w:r w:rsidR="00721158" w:rsidRPr="001E29C6">
              <w:rPr>
                <w:rStyle w:val="Hyperlink"/>
              </w:rPr>
              <w:t>2.5</w:t>
            </w:r>
            <w:r w:rsidR="00721158">
              <w:rPr>
                <w:rFonts w:eastAsiaTheme="minorEastAsia"/>
                <w:color w:val="auto"/>
                <w:lang w:eastAsia="en-AU"/>
              </w:rPr>
              <w:tab/>
            </w:r>
            <w:r w:rsidR="00721158" w:rsidRPr="001E29C6">
              <w:rPr>
                <w:rStyle w:val="Hyperlink"/>
              </w:rPr>
              <w:t>Matters that must be taken into account when reaching a decision</w:t>
            </w:r>
            <w:r w:rsidR="00721158">
              <w:rPr>
                <w:webHidden/>
              </w:rPr>
              <w:tab/>
            </w:r>
            <w:r w:rsidR="00721158">
              <w:rPr>
                <w:webHidden/>
              </w:rPr>
              <w:fldChar w:fldCharType="begin"/>
            </w:r>
            <w:r w:rsidR="00721158">
              <w:rPr>
                <w:webHidden/>
              </w:rPr>
              <w:instrText xml:space="preserve"> PAGEREF _Toc96958659 \h </w:instrText>
            </w:r>
            <w:r w:rsidR="00721158">
              <w:rPr>
                <w:webHidden/>
              </w:rPr>
            </w:r>
            <w:r w:rsidR="00721158">
              <w:rPr>
                <w:webHidden/>
              </w:rPr>
              <w:fldChar w:fldCharType="separate"/>
            </w:r>
            <w:r>
              <w:rPr>
                <w:webHidden/>
              </w:rPr>
              <w:t>6</w:t>
            </w:r>
            <w:r w:rsidR="00721158">
              <w:rPr>
                <w:webHidden/>
              </w:rPr>
              <w:fldChar w:fldCharType="end"/>
            </w:r>
          </w:hyperlink>
        </w:p>
        <w:p w14:paraId="2EAA13A6" w14:textId="1F310C67" w:rsidR="00721158" w:rsidRDefault="00D74339">
          <w:pPr>
            <w:pStyle w:val="TOC3"/>
            <w:rPr>
              <w:rFonts w:eastAsiaTheme="minorEastAsia"/>
              <w:i w:val="0"/>
              <w:color w:val="auto"/>
              <w:lang w:eastAsia="en-AU"/>
            </w:rPr>
          </w:pPr>
          <w:hyperlink w:anchor="_Toc96958660" w:history="1">
            <w:r w:rsidR="00721158" w:rsidRPr="001E29C6">
              <w:rPr>
                <w:rStyle w:val="Hyperlink"/>
              </w:rPr>
              <w:t>2.5.1   International best practice</w:t>
            </w:r>
            <w:r w:rsidR="00721158">
              <w:rPr>
                <w:webHidden/>
              </w:rPr>
              <w:tab/>
            </w:r>
            <w:r w:rsidR="00721158">
              <w:rPr>
                <w:webHidden/>
              </w:rPr>
              <w:fldChar w:fldCharType="begin"/>
            </w:r>
            <w:r w:rsidR="00721158">
              <w:rPr>
                <w:webHidden/>
              </w:rPr>
              <w:instrText xml:space="preserve"> PAGEREF _Toc96958660 \h </w:instrText>
            </w:r>
            <w:r w:rsidR="00721158">
              <w:rPr>
                <w:webHidden/>
              </w:rPr>
            </w:r>
            <w:r w:rsidR="00721158">
              <w:rPr>
                <w:webHidden/>
              </w:rPr>
              <w:fldChar w:fldCharType="separate"/>
            </w:r>
            <w:r>
              <w:rPr>
                <w:webHidden/>
              </w:rPr>
              <w:t>6</w:t>
            </w:r>
            <w:r w:rsidR="00721158">
              <w:rPr>
                <w:webHidden/>
              </w:rPr>
              <w:fldChar w:fldCharType="end"/>
            </w:r>
          </w:hyperlink>
        </w:p>
        <w:p w14:paraId="4DC0A5F0" w14:textId="49B1C2CD" w:rsidR="00721158" w:rsidRDefault="00D74339">
          <w:pPr>
            <w:pStyle w:val="TOC3"/>
            <w:rPr>
              <w:rFonts w:eastAsiaTheme="minorEastAsia"/>
              <w:i w:val="0"/>
              <w:color w:val="auto"/>
              <w:lang w:eastAsia="en-AU"/>
            </w:rPr>
          </w:pPr>
          <w:hyperlink w:anchor="_Toc96958661" w:history="1">
            <w:r w:rsidR="00721158" w:rsidRPr="001E29C6">
              <w:rPr>
                <w:rStyle w:val="Hyperlink"/>
              </w:rPr>
              <w:t>2.5.2   Specific matters</w:t>
            </w:r>
            <w:r w:rsidR="00721158">
              <w:rPr>
                <w:webHidden/>
              </w:rPr>
              <w:tab/>
            </w:r>
            <w:r w:rsidR="00721158">
              <w:rPr>
                <w:webHidden/>
              </w:rPr>
              <w:fldChar w:fldCharType="begin"/>
            </w:r>
            <w:r w:rsidR="00721158">
              <w:rPr>
                <w:webHidden/>
              </w:rPr>
              <w:instrText xml:space="preserve"> PAGEREF _Toc96958661 \h </w:instrText>
            </w:r>
            <w:r w:rsidR="00721158">
              <w:rPr>
                <w:webHidden/>
              </w:rPr>
            </w:r>
            <w:r w:rsidR="00721158">
              <w:rPr>
                <w:webHidden/>
              </w:rPr>
              <w:fldChar w:fldCharType="separate"/>
            </w:r>
            <w:r>
              <w:rPr>
                <w:webHidden/>
              </w:rPr>
              <w:t>7</w:t>
            </w:r>
            <w:r w:rsidR="00721158">
              <w:rPr>
                <w:webHidden/>
              </w:rPr>
              <w:fldChar w:fldCharType="end"/>
            </w:r>
          </w:hyperlink>
        </w:p>
        <w:p w14:paraId="72AAD1D5" w14:textId="493BC109" w:rsidR="00721158" w:rsidRDefault="00D74339">
          <w:pPr>
            <w:pStyle w:val="TOC1"/>
            <w:rPr>
              <w:rFonts w:eastAsiaTheme="minorEastAsia"/>
              <w:b w:val="0"/>
              <w:noProof/>
              <w:color w:val="auto"/>
              <w:lang w:eastAsia="en-AU"/>
            </w:rPr>
          </w:pPr>
          <w:hyperlink w:anchor="_Toc96958662" w:history="1">
            <w:r w:rsidR="00721158" w:rsidRPr="001E29C6">
              <w:rPr>
                <w:rStyle w:val="Hyperlink"/>
                <w:noProof/>
              </w:rPr>
              <w:t>3.</w:t>
            </w:r>
            <w:r w:rsidR="00721158">
              <w:rPr>
                <w:rFonts w:eastAsiaTheme="minorEastAsia"/>
                <w:b w:val="0"/>
                <w:noProof/>
                <w:color w:val="auto"/>
                <w:lang w:eastAsia="en-AU"/>
              </w:rPr>
              <w:tab/>
            </w:r>
            <w:r w:rsidR="00721158" w:rsidRPr="001E29C6">
              <w:rPr>
                <w:rStyle w:val="Hyperlink"/>
                <w:noProof/>
              </w:rPr>
              <w:t>Reasons for the decision</w:t>
            </w:r>
            <w:r w:rsidR="00721158">
              <w:rPr>
                <w:noProof/>
                <w:webHidden/>
              </w:rPr>
              <w:tab/>
            </w:r>
            <w:r w:rsidR="00721158">
              <w:rPr>
                <w:noProof/>
                <w:webHidden/>
              </w:rPr>
              <w:fldChar w:fldCharType="begin"/>
            </w:r>
            <w:r w:rsidR="00721158">
              <w:rPr>
                <w:noProof/>
                <w:webHidden/>
              </w:rPr>
              <w:instrText xml:space="preserve"> PAGEREF _Toc96958662 \h </w:instrText>
            </w:r>
            <w:r w:rsidR="00721158">
              <w:rPr>
                <w:noProof/>
                <w:webHidden/>
              </w:rPr>
            </w:r>
            <w:r w:rsidR="00721158">
              <w:rPr>
                <w:noProof/>
                <w:webHidden/>
              </w:rPr>
              <w:fldChar w:fldCharType="separate"/>
            </w:r>
            <w:r>
              <w:rPr>
                <w:noProof/>
                <w:webHidden/>
              </w:rPr>
              <w:t>8</w:t>
            </w:r>
            <w:r w:rsidR="00721158">
              <w:rPr>
                <w:noProof/>
                <w:webHidden/>
              </w:rPr>
              <w:fldChar w:fldCharType="end"/>
            </w:r>
          </w:hyperlink>
        </w:p>
        <w:p w14:paraId="1E40DCEE" w14:textId="26CE785F" w:rsidR="00721158" w:rsidRDefault="00D74339">
          <w:pPr>
            <w:pStyle w:val="TOC2"/>
            <w:rPr>
              <w:rFonts w:eastAsiaTheme="minorEastAsia"/>
              <w:color w:val="auto"/>
              <w:lang w:eastAsia="en-AU"/>
            </w:rPr>
          </w:pPr>
          <w:hyperlink w:anchor="_Toc96958663" w:history="1">
            <w:r w:rsidR="00721158" w:rsidRPr="001E29C6">
              <w:rPr>
                <w:rStyle w:val="Hyperlink"/>
              </w:rPr>
              <w:t>3.1</w:t>
            </w:r>
            <w:r w:rsidR="00721158">
              <w:rPr>
                <w:rFonts w:eastAsiaTheme="minorEastAsia"/>
                <w:color w:val="auto"/>
                <w:lang w:eastAsia="en-AU"/>
              </w:rPr>
              <w:tab/>
            </w:r>
            <w:r w:rsidR="00721158" w:rsidRPr="001E29C6">
              <w:rPr>
                <w:rStyle w:val="Hyperlink"/>
              </w:rPr>
              <w:t>Does the application for the licence comply with subsection 46(1) of the    Regulations?</w:t>
            </w:r>
            <w:r w:rsidR="00721158">
              <w:rPr>
                <w:webHidden/>
              </w:rPr>
              <w:tab/>
            </w:r>
            <w:r w:rsidR="00721158">
              <w:rPr>
                <w:webHidden/>
              </w:rPr>
              <w:fldChar w:fldCharType="begin"/>
            </w:r>
            <w:r w:rsidR="00721158">
              <w:rPr>
                <w:webHidden/>
              </w:rPr>
              <w:instrText xml:space="preserve"> PAGEREF _Toc96958663 \h </w:instrText>
            </w:r>
            <w:r w:rsidR="00721158">
              <w:rPr>
                <w:webHidden/>
              </w:rPr>
            </w:r>
            <w:r w:rsidR="00721158">
              <w:rPr>
                <w:webHidden/>
              </w:rPr>
              <w:fldChar w:fldCharType="separate"/>
            </w:r>
            <w:r>
              <w:rPr>
                <w:webHidden/>
              </w:rPr>
              <w:t>8</w:t>
            </w:r>
            <w:r w:rsidR="00721158">
              <w:rPr>
                <w:webHidden/>
              </w:rPr>
              <w:fldChar w:fldCharType="end"/>
            </w:r>
          </w:hyperlink>
        </w:p>
        <w:p w14:paraId="39685660" w14:textId="6676B50C" w:rsidR="00721158" w:rsidRDefault="00D74339">
          <w:pPr>
            <w:pStyle w:val="TOC3"/>
            <w:tabs>
              <w:tab w:val="left" w:pos="1320"/>
            </w:tabs>
            <w:rPr>
              <w:rFonts w:eastAsiaTheme="minorEastAsia"/>
              <w:i w:val="0"/>
              <w:color w:val="auto"/>
              <w:lang w:eastAsia="en-AU"/>
            </w:rPr>
          </w:pPr>
          <w:hyperlink w:anchor="_Toc96958664" w:history="1">
            <w:r w:rsidR="00721158" w:rsidRPr="001E29C6">
              <w:rPr>
                <w:rStyle w:val="Hyperlink"/>
              </w:rPr>
              <w:t>3.1.1</w:t>
            </w:r>
            <w:r w:rsidR="00721158">
              <w:rPr>
                <w:rFonts w:eastAsiaTheme="minorEastAsia"/>
                <w:i w:val="0"/>
                <w:color w:val="auto"/>
                <w:lang w:eastAsia="en-AU"/>
              </w:rPr>
              <w:tab/>
            </w:r>
            <w:r w:rsidR="00721158" w:rsidRPr="001E29C6">
              <w:rPr>
                <w:rStyle w:val="Hyperlink"/>
              </w:rPr>
              <w:t>Considerations</w:t>
            </w:r>
            <w:r w:rsidR="00721158">
              <w:rPr>
                <w:webHidden/>
              </w:rPr>
              <w:tab/>
            </w:r>
            <w:r w:rsidR="00721158">
              <w:rPr>
                <w:webHidden/>
              </w:rPr>
              <w:fldChar w:fldCharType="begin"/>
            </w:r>
            <w:r w:rsidR="00721158">
              <w:rPr>
                <w:webHidden/>
              </w:rPr>
              <w:instrText xml:space="preserve"> PAGEREF _Toc96958664 \h </w:instrText>
            </w:r>
            <w:r w:rsidR="00721158">
              <w:rPr>
                <w:webHidden/>
              </w:rPr>
            </w:r>
            <w:r w:rsidR="00721158">
              <w:rPr>
                <w:webHidden/>
              </w:rPr>
              <w:fldChar w:fldCharType="separate"/>
            </w:r>
            <w:r>
              <w:rPr>
                <w:webHidden/>
              </w:rPr>
              <w:t>9</w:t>
            </w:r>
            <w:r w:rsidR="00721158">
              <w:rPr>
                <w:webHidden/>
              </w:rPr>
              <w:fldChar w:fldCharType="end"/>
            </w:r>
          </w:hyperlink>
        </w:p>
        <w:p w14:paraId="72C67863" w14:textId="42BC8934" w:rsidR="00721158" w:rsidRDefault="00D74339">
          <w:pPr>
            <w:pStyle w:val="TOC3"/>
            <w:tabs>
              <w:tab w:val="left" w:pos="1320"/>
            </w:tabs>
            <w:rPr>
              <w:rFonts w:eastAsiaTheme="minorEastAsia"/>
              <w:i w:val="0"/>
              <w:color w:val="auto"/>
              <w:lang w:eastAsia="en-AU"/>
            </w:rPr>
          </w:pPr>
          <w:hyperlink w:anchor="_Toc96958665" w:history="1">
            <w:r w:rsidR="00721158" w:rsidRPr="001E29C6">
              <w:rPr>
                <w:rStyle w:val="Hyperlink"/>
              </w:rPr>
              <w:t>3.1.2</w:t>
            </w:r>
            <w:r w:rsidR="00721158">
              <w:rPr>
                <w:rFonts w:eastAsiaTheme="minorEastAsia"/>
                <w:i w:val="0"/>
                <w:color w:val="auto"/>
                <w:lang w:eastAsia="en-AU"/>
              </w:rPr>
              <w:tab/>
            </w:r>
            <w:r w:rsidR="00721158" w:rsidRPr="001E29C6">
              <w:rPr>
                <w:rStyle w:val="Hyperlink"/>
              </w:rPr>
              <w:t>Conclusions</w:t>
            </w:r>
            <w:r w:rsidR="00721158">
              <w:rPr>
                <w:webHidden/>
              </w:rPr>
              <w:tab/>
            </w:r>
            <w:r w:rsidR="00721158">
              <w:rPr>
                <w:webHidden/>
              </w:rPr>
              <w:fldChar w:fldCharType="begin"/>
            </w:r>
            <w:r w:rsidR="00721158">
              <w:rPr>
                <w:webHidden/>
              </w:rPr>
              <w:instrText xml:space="preserve"> PAGEREF _Toc96958665 \h </w:instrText>
            </w:r>
            <w:r w:rsidR="00721158">
              <w:rPr>
                <w:webHidden/>
              </w:rPr>
            </w:r>
            <w:r w:rsidR="00721158">
              <w:rPr>
                <w:webHidden/>
              </w:rPr>
              <w:fldChar w:fldCharType="separate"/>
            </w:r>
            <w:r>
              <w:rPr>
                <w:webHidden/>
              </w:rPr>
              <w:t>10</w:t>
            </w:r>
            <w:r w:rsidR="00721158">
              <w:rPr>
                <w:webHidden/>
              </w:rPr>
              <w:fldChar w:fldCharType="end"/>
            </w:r>
          </w:hyperlink>
        </w:p>
        <w:p w14:paraId="43057429" w14:textId="4D2A9F44" w:rsidR="00721158" w:rsidRDefault="00D74339">
          <w:pPr>
            <w:pStyle w:val="TOC2"/>
            <w:rPr>
              <w:rFonts w:eastAsiaTheme="minorEastAsia"/>
              <w:color w:val="auto"/>
              <w:lang w:eastAsia="en-AU"/>
            </w:rPr>
          </w:pPr>
          <w:hyperlink w:anchor="_Toc96958666" w:history="1">
            <w:r w:rsidR="00721158" w:rsidRPr="001E29C6">
              <w:rPr>
                <w:rStyle w:val="Hyperlink"/>
              </w:rPr>
              <w:t>3.2</w:t>
            </w:r>
            <w:r w:rsidR="00721158">
              <w:rPr>
                <w:rFonts w:eastAsiaTheme="minorEastAsia"/>
                <w:color w:val="auto"/>
                <w:lang w:eastAsia="en-AU"/>
              </w:rPr>
              <w:tab/>
            </w:r>
            <w:r w:rsidR="00721158" w:rsidRPr="001E29C6">
              <w:rPr>
                <w:rStyle w:val="Hyperlink"/>
              </w:rPr>
              <w:t>Has the applicant given the information asked for by the CEO?</w:t>
            </w:r>
            <w:r w:rsidR="00721158">
              <w:rPr>
                <w:webHidden/>
              </w:rPr>
              <w:tab/>
            </w:r>
            <w:r w:rsidR="00721158">
              <w:rPr>
                <w:webHidden/>
              </w:rPr>
              <w:fldChar w:fldCharType="begin"/>
            </w:r>
            <w:r w:rsidR="00721158">
              <w:rPr>
                <w:webHidden/>
              </w:rPr>
              <w:instrText xml:space="preserve"> PAGEREF _Toc96958666 \h </w:instrText>
            </w:r>
            <w:r w:rsidR="00721158">
              <w:rPr>
                <w:webHidden/>
              </w:rPr>
            </w:r>
            <w:r w:rsidR="00721158">
              <w:rPr>
                <w:webHidden/>
              </w:rPr>
              <w:fldChar w:fldCharType="separate"/>
            </w:r>
            <w:r>
              <w:rPr>
                <w:webHidden/>
              </w:rPr>
              <w:t>11</w:t>
            </w:r>
            <w:r w:rsidR="00721158">
              <w:rPr>
                <w:webHidden/>
              </w:rPr>
              <w:fldChar w:fldCharType="end"/>
            </w:r>
          </w:hyperlink>
        </w:p>
        <w:p w14:paraId="43462F06" w14:textId="0B8E6DEA" w:rsidR="00721158" w:rsidRDefault="00D74339">
          <w:pPr>
            <w:pStyle w:val="TOC3"/>
            <w:tabs>
              <w:tab w:val="left" w:pos="1320"/>
            </w:tabs>
            <w:rPr>
              <w:rFonts w:eastAsiaTheme="minorEastAsia"/>
              <w:i w:val="0"/>
              <w:color w:val="auto"/>
              <w:lang w:eastAsia="en-AU"/>
            </w:rPr>
          </w:pPr>
          <w:hyperlink w:anchor="_Toc96958667" w:history="1">
            <w:r w:rsidR="00721158" w:rsidRPr="001E29C6">
              <w:rPr>
                <w:rStyle w:val="Hyperlink"/>
              </w:rPr>
              <w:t>3.2.1</w:t>
            </w:r>
            <w:r w:rsidR="00721158">
              <w:rPr>
                <w:rFonts w:eastAsiaTheme="minorEastAsia"/>
                <w:i w:val="0"/>
                <w:color w:val="auto"/>
                <w:lang w:eastAsia="en-AU"/>
              </w:rPr>
              <w:tab/>
            </w:r>
            <w:r w:rsidR="00721158" w:rsidRPr="001E29C6">
              <w:rPr>
                <w:rStyle w:val="Hyperlink"/>
              </w:rPr>
              <w:t>Considerations</w:t>
            </w:r>
            <w:r w:rsidR="00721158">
              <w:rPr>
                <w:webHidden/>
              </w:rPr>
              <w:tab/>
            </w:r>
            <w:r w:rsidR="00721158">
              <w:rPr>
                <w:webHidden/>
              </w:rPr>
              <w:fldChar w:fldCharType="begin"/>
            </w:r>
            <w:r w:rsidR="00721158">
              <w:rPr>
                <w:webHidden/>
              </w:rPr>
              <w:instrText xml:space="preserve"> PAGEREF _Toc96958667 \h </w:instrText>
            </w:r>
            <w:r w:rsidR="00721158">
              <w:rPr>
                <w:webHidden/>
              </w:rPr>
            </w:r>
            <w:r w:rsidR="00721158">
              <w:rPr>
                <w:webHidden/>
              </w:rPr>
              <w:fldChar w:fldCharType="separate"/>
            </w:r>
            <w:r>
              <w:rPr>
                <w:webHidden/>
              </w:rPr>
              <w:t>12</w:t>
            </w:r>
            <w:r w:rsidR="00721158">
              <w:rPr>
                <w:webHidden/>
              </w:rPr>
              <w:fldChar w:fldCharType="end"/>
            </w:r>
          </w:hyperlink>
        </w:p>
        <w:p w14:paraId="7686C2C2" w14:textId="20372034" w:rsidR="00721158" w:rsidRDefault="00D74339">
          <w:pPr>
            <w:pStyle w:val="TOC3"/>
            <w:tabs>
              <w:tab w:val="left" w:pos="1320"/>
            </w:tabs>
            <w:rPr>
              <w:rFonts w:eastAsiaTheme="minorEastAsia"/>
              <w:i w:val="0"/>
              <w:color w:val="auto"/>
              <w:lang w:eastAsia="en-AU"/>
            </w:rPr>
          </w:pPr>
          <w:hyperlink w:anchor="_Toc96958668" w:history="1">
            <w:r w:rsidR="00721158" w:rsidRPr="001E29C6">
              <w:rPr>
                <w:rStyle w:val="Hyperlink"/>
              </w:rPr>
              <w:t>3.2.2</w:t>
            </w:r>
            <w:r w:rsidR="00721158">
              <w:rPr>
                <w:rFonts w:eastAsiaTheme="minorEastAsia"/>
                <w:i w:val="0"/>
                <w:color w:val="auto"/>
                <w:lang w:eastAsia="en-AU"/>
              </w:rPr>
              <w:tab/>
            </w:r>
            <w:r w:rsidR="00721158" w:rsidRPr="001E29C6">
              <w:rPr>
                <w:rStyle w:val="Hyperlink"/>
              </w:rPr>
              <w:t>Conclusions</w:t>
            </w:r>
            <w:r w:rsidR="00721158">
              <w:rPr>
                <w:webHidden/>
              </w:rPr>
              <w:tab/>
            </w:r>
            <w:r w:rsidR="00721158">
              <w:rPr>
                <w:webHidden/>
              </w:rPr>
              <w:fldChar w:fldCharType="begin"/>
            </w:r>
            <w:r w:rsidR="00721158">
              <w:rPr>
                <w:webHidden/>
              </w:rPr>
              <w:instrText xml:space="preserve"> PAGEREF _Toc96958668 \h </w:instrText>
            </w:r>
            <w:r w:rsidR="00721158">
              <w:rPr>
                <w:webHidden/>
              </w:rPr>
            </w:r>
            <w:r w:rsidR="00721158">
              <w:rPr>
                <w:webHidden/>
              </w:rPr>
              <w:fldChar w:fldCharType="separate"/>
            </w:r>
            <w:r>
              <w:rPr>
                <w:webHidden/>
              </w:rPr>
              <w:t>13</w:t>
            </w:r>
            <w:r w:rsidR="00721158">
              <w:rPr>
                <w:webHidden/>
              </w:rPr>
              <w:fldChar w:fldCharType="end"/>
            </w:r>
          </w:hyperlink>
        </w:p>
        <w:p w14:paraId="2AEA748E" w14:textId="5ABE4718" w:rsidR="00721158" w:rsidRDefault="00D74339">
          <w:pPr>
            <w:pStyle w:val="TOC2"/>
            <w:rPr>
              <w:rFonts w:eastAsiaTheme="minorEastAsia"/>
              <w:color w:val="auto"/>
              <w:lang w:eastAsia="en-AU"/>
            </w:rPr>
          </w:pPr>
          <w:hyperlink w:anchor="_Toc96958669" w:history="1">
            <w:r w:rsidR="00721158" w:rsidRPr="001E29C6">
              <w:rPr>
                <w:rStyle w:val="Hyperlink"/>
              </w:rPr>
              <w:t>3.3</w:t>
            </w:r>
            <w:r w:rsidR="00721158">
              <w:rPr>
                <w:rFonts w:eastAsiaTheme="minorEastAsia"/>
                <w:color w:val="auto"/>
                <w:lang w:eastAsia="en-AU"/>
              </w:rPr>
              <w:tab/>
            </w:r>
            <w:r w:rsidR="00721158" w:rsidRPr="001E29C6">
              <w:rPr>
                <w:rStyle w:val="Hyperlink"/>
              </w:rPr>
              <w:t>Does the application establish that the proposed conduct can be carried out without undue risk to the health and safety of people, and to the environment?</w:t>
            </w:r>
            <w:r w:rsidR="00721158">
              <w:rPr>
                <w:webHidden/>
              </w:rPr>
              <w:tab/>
            </w:r>
            <w:r w:rsidR="00721158">
              <w:rPr>
                <w:webHidden/>
              </w:rPr>
              <w:fldChar w:fldCharType="begin"/>
            </w:r>
            <w:r w:rsidR="00721158">
              <w:rPr>
                <w:webHidden/>
              </w:rPr>
              <w:instrText xml:space="preserve"> PAGEREF _Toc96958669 \h </w:instrText>
            </w:r>
            <w:r w:rsidR="00721158">
              <w:rPr>
                <w:webHidden/>
              </w:rPr>
            </w:r>
            <w:r w:rsidR="00721158">
              <w:rPr>
                <w:webHidden/>
              </w:rPr>
              <w:fldChar w:fldCharType="separate"/>
            </w:r>
            <w:r>
              <w:rPr>
                <w:webHidden/>
              </w:rPr>
              <w:t>13</w:t>
            </w:r>
            <w:r w:rsidR="00721158">
              <w:rPr>
                <w:webHidden/>
              </w:rPr>
              <w:fldChar w:fldCharType="end"/>
            </w:r>
          </w:hyperlink>
        </w:p>
        <w:p w14:paraId="7F862A99" w14:textId="162E4DB9" w:rsidR="00721158" w:rsidRDefault="00D74339">
          <w:pPr>
            <w:pStyle w:val="TOC3"/>
            <w:tabs>
              <w:tab w:val="left" w:pos="1320"/>
            </w:tabs>
            <w:rPr>
              <w:rFonts w:eastAsiaTheme="minorEastAsia"/>
              <w:i w:val="0"/>
              <w:color w:val="auto"/>
              <w:lang w:eastAsia="en-AU"/>
            </w:rPr>
          </w:pPr>
          <w:hyperlink w:anchor="_Toc96958670" w:history="1">
            <w:r w:rsidR="00721158" w:rsidRPr="001E29C6">
              <w:rPr>
                <w:rStyle w:val="Hyperlink"/>
              </w:rPr>
              <w:t>3.3.1</w:t>
            </w:r>
            <w:r w:rsidR="00721158">
              <w:rPr>
                <w:rFonts w:eastAsiaTheme="minorEastAsia"/>
                <w:i w:val="0"/>
                <w:color w:val="auto"/>
                <w:lang w:eastAsia="en-AU"/>
              </w:rPr>
              <w:tab/>
            </w:r>
            <w:r w:rsidR="00721158" w:rsidRPr="001E29C6">
              <w:rPr>
                <w:rStyle w:val="Hyperlink"/>
              </w:rPr>
              <w:t>Considerations</w:t>
            </w:r>
            <w:r w:rsidR="00721158">
              <w:rPr>
                <w:webHidden/>
              </w:rPr>
              <w:tab/>
            </w:r>
            <w:r w:rsidR="00721158">
              <w:rPr>
                <w:webHidden/>
              </w:rPr>
              <w:fldChar w:fldCharType="begin"/>
            </w:r>
            <w:r w:rsidR="00721158">
              <w:rPr>
                <w:webHidden/>
              </w:rPr>
              <w:instrText xml:space="preserve"> PAGEREF _Toc96958670 \h </w:instrText>
            </w:r>
            <w:r w:rsidR="00721158">
              <w:rPr>
                <w:webHidden/>
              </w:rPr>
            </w:r>
            <w:r w:rsidR="00721158">
              <w:rPr>
                <w:webHidden/>
              </w:rPr>
              <w:fldChar w:fldCharType="separate"/>
            </w:r>
            <w:r>
              <w:rPr>
                <w:webHidden/>
              </w:rPr>
              <w:t>13</w:t>
            </w:r>
            <w:r w:rsidR="00721158">
              <w:rPr>
                <w:webHidden/>
              </w:rPr>
              <w:fldChar w:fldCharType="end"/>
            </w:r>
          </w:hyperlink>
        </w:p>
        <w:p w14:paraId="591D2691" w14:textId="08C65192" w:rsidR="00721158" w:rsidRDefault="00D74339">
          <w:pPr>
            <w:pStyle w:val="TOC3"/>
            <w:tabs>
              <w:tab w:val="left" w:pos="1320"/>
            </w:tabs>
            <w:rPr>
              <w:rFonts w:eastAsiaTheme="minorEastAsia"/>
              <w:i w:val="0"/>
              <w:color w:val="auto"/>
              <w:lang w:eastAsia="en-AU"/>
            </w:rPr>
          </w:pPr>
          <w:hyperlink w:anchor="_Toc96958671" w:history="1">
            <w:r w:rsidR="00721158" w:rsidRPr="001E29C6">
              <w:rPr>
                <w:rStyle w:val="Hyperlink"/>
              </w:rPr>
              <w:t>3.3.2</w:t>
            </w:r>
            <w:r w:rsidR="00721158">
              <w:rPr>
                <w:rFonts w:eastAsiaTheme="minorEastAsia"/>
                <w:i w:val="0"/>
                <w:color w:val="auto"/>
                <w:lang w:eastAsia="en-AU"/>
              </w:rPr>
              <w:tab/>
            </w:r>
            <w:r w:rsidR="00721158" w:rsidRPr="001E29C6">
              <w:rPr>
                <w:rStyle w:val="Hyperlink"/>
              </w:rPr>
              <w:t>Conclusions</w:t>
            </w:r>
            <w:r w:rsidR="00721158">
              <w:rPr>
                <w:webHidden/>
              </w:rPr>
              <w:tab/>
            </w:r>
            <w:r w:rsidR="00721158">
              <w:rPr>
                <w:webHidden/>
              </w:rPr>
              <w:fldChar w:fldCharType="begin"/>
            </w:r>
            <w:r w:rsidR="00721158">
              <w:rPr>
                <w:webHidden/>
              </w:rPr>
              <w:instrText xml:space="preserve"> PAGEREF _Toc96958671 \h </w:instrText>
            </w:r>
            <w:r w:rsidR="00721158">
              <w:rPr>
                <w:webHidden/>
              </w:rPr>
            </w:r>
            <w:r w:rsidR="00721158">
              <w:rPr>
                <w:webHidden/>
              </w:rPr>
              <w:fldChar w:fldCharType="separate"/>
            </w:r>
            <w:r>
              <w:rPr>
                <w:webHidden/>
              </w:rPr>
              <w:t>16</w:t>
            </w:r>
            <w:r w:rsidR="00721158">
              <w:rPr>
                <w:webHidden/>
              </w:rPr>
              <w:fldChar w:fldCharType="end"/>
            </w:r>
          </w:hyperlink>
        </w:p>
        <w:p w14:paraId="4E5D7399" w14:textId="584452EE" w:rsidR="00721158" w:rsidRDefault="00D74339">
          <w:pPr>
            <w:pStyle w:val="TOC2"/>
            <w:rPr>
              <w:rFonts w:eastAsiaTheme="minorEastAsia"/>
              <w:color w:val="auto"/>
              <w:lang w:eastAsia="en-AU"/>
            </w:rPr>
          </w:pPr>
          <w:hyperlink w:anchor="_Toc96958672" w:history="1">
            <w:r w:rsidR="00721158" w:rsidRPr="001E29C6">
              <w:rPr>
                <w:rStyle w:val="Hyperlink"/>
              </w:rPr>
              <w:t>3.4</w:t>
            </w:r>
            <w:r w:rsidR="00721158">
              <w:rPr>
                <w:rFonts w:eastAsiaTheme="minorEastAsia"/>
                <w:color w:val="auto"/>
                <w:lang w:eastAsia="en-AU"/>
              </w:rPr>
              <w:tab/>
            </w:r>
            <w:r w:rsidR="00721158" w:rsidRPr="001E29C6">
              <w:rPr>
                <w:rStyle w:val="Hyperlink"/>
              </w:rPr>
              <w:t>Has the applicant shown that there is a net benefit from carrying out the proposed conduct?</w:t>
            </w:r>
            <w:r w:rsidR="00721158">
              <w:rPr>
                <w:webHidden/>
              </w:rPr>
              <w:tab/>
            </w:r>
            <w:r w:rsidR="00721158">
              <w:rPr>
                <w:webHidden/>
              </w:rPr>
              <w:fldChar w:fldCharType="begin"/>
            </w:r>
            <w:r w:rsidR="00721158">
              <w:rPr>
                <w:webHidden/>
              </w:rPr>
              <w:instrText xml:space="preserve"> PAGEREF _Toc96958672 \h </w:instrText>
            </w:r>
            <w:r w:rsidR="00721158">
              <w:rPr>
                <w:webHidden/>
              </w:rPr>
            </w:r>
            <w:r w:rsidR="00721158">
              <w:rPr>
                <w:webHidden/>
              </w:rPr>
              <w:fldChar w:fldCharType="separate"/>
            </w:r>
            <w:r>
              <w:rPr>
                <w:webHidden/>
              </w:rPr>
              <w:t>16</w:t>
            </w:r>
            <w:r w:rsidR="00721158">
              <w:rPr>
                <w:webHidden/>
              </w:rPr>
              <w:fldChar w:fldCharType="end"/>
            </w:r>
          </w:hyperlink>
        </w:p>
        <w:p w14:paraId="72289623" w14:textId="1D72DB25" w:rsidR="00721158" w:rsidRDefault="00D74339">
          <w:pPr>
            <w:pStyle w:val="TOC3"/>
            <w:tabs>
              <w:tab w:val="left" w:pos="1320"/>
            </w:tabs>
            <w:rPr>
              <w:rFonts w:eastAsiaTheme="minorEastAsia"/>
              <w:i w:val="0"/>
              <w:color w:val="auto"/>
              <w:lang w:eastAsia="en-AU"/>
            </w:rPr>
          </w:pPr>
          <w:hyperlink w:anchor="_Toc96958673" w:history="1">
            <w:r w:rsidR="00721158" w:rsidRPr="001E29C6">
              <w:rPr>
                <w:rStyle w:val="Hyperlink"/>
              </w:rPr>
              <w:t>3.4.1</w:t>
            </w:r>
            <w:r w:rsidR="00721158">
              <w:rPr>
                <w:rFonts w:eastAsiaTheme="minorEastAsia"/>
                <w:i w:val="0"/>
                <w:color w:val="auto"/>
                <w:lang w:eastAsia="en-AU"/>
              </w:rPr>
              <w:tab/>
            </w:r>
            <w:r w:rsidR="00721158" w:rsidRPr="001E29C6">
              <w:rPr>
                <w:rStyle w:val="Hyperlink"/>
              </w:rPr>
              <w:t>Considerations</w:t>
            </w:r>
            <w:r w:rsidR="00721158">
              <w:rPr>
                <w:webHidden/>
              </w:rPr>
              <w:tab/>
            </w:r>
            <w:r w:rsidR="00721158">
              <w:rPr>
                <w:webHidden/>
              </w:rPr>
              <w:fldChar w:fldCharType="begin"/>
            </w:r>
            <w:r w:rsidR="00721158">
              <w:rPr>
                <w:webHidden/>
              </w:rPr>
              <w:instrText xml:space="preserve"> PAGEREF _Toc96958673 \h </w:instrText>
            </w:r>
            <w:r w:rsidR="00721158">
              <w:rPr>
                <w:webHidden/>
              </w:rPr>
            </w:r>
            <w:r w:rsidR="00721158">
              <w:rPr>
                <w:webHidden/>
              </w:rPr>
              <w:fldChar w:fldCharType="separate"/>
            </w:r>
            <w:r>
              <w:rPr>
                <w:webHidden/>
              </w:rPr>
              <w:t>16</w:t>
            </w:r>
            <w:r w:rsidR="00721158">
              <w:rPr>
                <w:webHidden/>
              </w:rPr>
              <w:fldChar w:fldCharType="end"/>
            </w:r>
          </w:hyperlink>
        </w:p>
        <w:p w14:paraId="1A14A997" w14:textId="77966E62" w:rsidR="00721158" w:rsidRDefault="00D74339">
          <w:pPr>
            <w:pStyle w:val="TOC3"/>
            <w:tabs>
              <w:tab w:val="left" w:pos="1320"/>
            </w:tabs>
            <w:rPr>
              <w:rFonts w:eastAsiaTheme="minorEastAsia"/>
              <w:i w:val="0"/>
              <w:color w:val="auto"/>
              <w:lang w:eastAsia="en-AU"/>
            </w:rPr>
          </w:pPr>
          <w:hyperlink w:anchor="_Toc96958674" w:history="1">
            <w:r w:rsidR="00721158" w:rsidRPr="001E29C6">
              <w:rPr>
                <w:rStyle w:val="Hyperlink"/>
              </w:rPr>
              <w:t>3.4.2</w:t>
            </w:r>
            <w:r w:rsidR="00721158">
              <w:rPr>
                <w:rFonts w:eastAsiaTheme="minorEastAsia"/>
                <w:i w:val="0"/>
                <w:color w:val="auto"/>
                <w:lang w:eastAsia="en-AU"/>
              </w:rPr>
              <w:tab/>
            </w:r>
            <w:r w:rsidR="00721158" w:rsidRPr="001E29C6">
              <w:rPr>
                <w:rStyle w:val="Hyperlink"/>
              </w:rPr>
              <w:t>Conclusions</w:t>
            </w:r>
            <w:r w:rsidR="00721158">
              <w:rPr>
                <w:webHidden/>
              </w:rPr>
              <w:tab/>
            </w:r>
            <w:r w:rsidR="00721158">
              <w:rPr>
                <w:webHidden/>
              </w:rPr>
              <w:fldChar w:fldCharType="begin"/>
            </w:r>
            <w:r w:rsidR="00721158">
              <w:rPr>
                <w:webHidden/>
              </w:rPr>
              <w:instrText xml:space="preserve"> PAGEREF _Toc96958674 \h </w:instrText>
            </w:r>
            <w:r w:rsidR="00721158">
              <w:rPr>
                <w:webHidden/>
              </w:rPr>
            </w:r>
            <w:r w:rsidR="00721158">
              <w:rPr>
                <w:webHidden/>
              </w:rPr>
              <w:fldChar w:fldCharType="separate"/>
            </w:r>
            <w:r>
              <w:rPr>
                <w:webHidden/>
              </w:rPr>
              <w:t>17</w:t>
            </w:r>
            <w:r w:rsidR="00721158">
              <w:rPr>
                <w:webHidden/>
              </w:rPr>
              <w:fldChar w:fldCharType="end"/>
            </w:r>
          </w:hyperlink>
        </w:p>
        <w:p w14:paraId="25BAB67C" w14:textId="14927817" w:rsidR="00721158" w:rsidRDefault="00D74339">
          <w:pPr>
            <w:pStyle w:val="TOC2"/>
            <w:rPr>
              <w:rFonts w:eastAsiaTheme="minorEastAsia"/>
              <w:color w:val="auto"/>
              <w:lang w:eastAsia="en-AU"/>
            </w:rPr>
          </w:pPr>
          <w:hyperlink w:anchor="_Toc96958675" w:history="1">
            <w:r w:rsidR="00721158" w:rsidRPr="001E29C6">
              <w:rPr>
                <w:rStyle w:val="Hyperlink"/>
              </w:rPr>
              <w:t>3.5</w:t>
            </w:r>
            <w:r w:rsidR="00721158">
              <w:rPr>
                <w:rFonts w:eastAsiaTheme="minorEastAsia"/>
                <w:color w:val="auto"/>
                <w:lang w:eastAsia="en-AU"/>
              </w:rPr>
              <w:tab/>
            </w:r>
            <w:r w:rsidR="00721158" w:rsidRPr="001E29C6">
              <w:rPr>
                <w:rStyle w:val="Hyperlink"/>
              </w:rPr>
              <w:t>Has the applicant shown that the magnitude of individual doses, the number of people exposed and the likelihood that exposure will happen are as low as reasonably achievable, having regard to economic and societal factors?</w:t>
            </w:r>
            <w:r w:rsidR="00721158">
              <w:rPr>
                <w:webHidden/>
              </w:rPr>
              <w:tab/>
            </w:r>
            <w:r w:rsidR="00721158">
              <w:rPr>
                <w:webHidden/>
              </w:rPr>
              <w:fldChar w:fldCharType="begin"/>
            </w:r>
            <w:r w:rsidR="00721158">
              <w:rPr>
                <w:webHidden/>
              </w:rPr>
              <w:instrText xml:space="preserve"> PAGEREF _Toc96958675 \h </w:instrText>
            </w:r>
            <w:r w:rsidR="00721158">
              <w:rPr>
                <w:webHidden/>
              </w:rPr>
            </w:r>
            <w:r w:rsidR="00721158">
              <w:rPr>
                <w:webHidden/>
              </w:rPr>
              <w:fldChar w:fldCharType="separate"/>
            </w:r>
            <w:r>
              <w:rPr>
                <w:webHidden/>
              </w:rPr>
              <w:t>18</w:t>
            </w:r>
            <w:r w:rsidR="00721158">
              <w:rPr>
                <w:webHidden/>
              </w:rPr>
              <w:fldChar w:fldCharType="end"/>
            </w:r>
          </w:hyperlink>
        </w:p>
        <w:p w14:paraId="06F78878" w14:textId="26544F3C" w:rsidR="00721158" w:rsidRDefault="00D74339">
          <w:pPr>
            <w:pStyle w:val="TOC3"/>
            <w:tabs>
              <w:tab w:val="left" w:pos="1320"/>
            </w:tabs>
            <w:rPr>
              <w:rFonts w:eastAsiaTheme="minorEastAsia"/>
              <w:i w:val="0"/>
              <w:color w:val="auto"/>
              <w:lang w:eastAsia="en-AU"/>
            </w:rPr>
          </w:pPr>
          <w:hyperlink w:anchor="_Toc96958676" w:history="1">
            <w:r w:rsidR="00721158" w:rsidRPr="001E29C6">
              <w:rPr>
                <w:rStyle w:val="Hyperlink"/>
              </w:rPr>
              <w:t>3.5.1</w:t>
            </w:r>
            <w:r w:rsidR="00721158">
              <w:rPr>
                <w:rFonts w:eastAsiaTheme="minorEastAsia"/>
                <w:i w:val="0"/>
                <w:color w:val="auto"/>
                <w:lang w:eastAsia="en-AU"/>
              </w:rPr>
              <w:tab/>
            </w:r>
            <w:r w:rsidR="00721158" w:rsidRPr="001E29C6">
              <w:rPr>
                <w:rStyle w:val="Hyperlink"/>
              </w:rPr>
              <w:t>Considerations</w:t>
            </w:r>
            <w:r w:rsidR="00721158">
              <w:rPr>
                <w:webHidden/>
              </w:rPr>
              <w:tab/>
            </w:r>
            <w:r w:rsidR="00721158">
              <w:rPr>
                <w:webHidden/>
              </w:rPr>
              <w:fldChar w:fldCharType="begin"/>
            </w:r>
            <w:r w:rsidR="00721158">
              <w:rPr>
                <w:webHidden/>
              </w:rPr>
              <w:instrText xml:space="preserve"> PAGEREF _Toc96958676 \h </w:instrText>
            </w:r>
            <w:r w:rsidR="00721158">
              <w:rPr>
                <w:webHidden/>
              </w:rPr>
            </w:r>
            <w:r w:rsidR="00721158">
              <w:rPr>
                <w:webHidden/>
              </w:rPr>
              <w:fldChar w:fldCharType="separate"/>
            </w:r>
            <w:r>
              <w:rPr>
                <w:webHidden/>
              </w:rPr>
              <w:t>18</w:t>
            </w:r>
            <w:r w:rsidR="00721158">
              <w:rPr>
                <w:webHidden/>
              </w:rPr>
              <w:fldChar w:fldCharType="end"/>
            </w:r>
          </w:hyperlink>
        </w:p>
        <w:p w14:paraId="613B19C4" w14:textId="754D1A5C" w:rsidR="00721158" w:rsidRDefault="00D74339">
          <w:pPr>
            <w:pStyle w:val="TOC3"/>
            <w:tabs>
              <w:tab w:val="left" w:pos="1320"/>
            </w:tabs>
            <w:rPr>
              <w:rFonts w:eastAsiaTheme="minorEastAsia"/>
              <w:i w:val="0"/>
              <w:color w:val="auto"/>
              <w:lang w:eastAsia="en-AU"/>
            </w:rPr>
          </w:pPr>
          <w:hyperlink w:anchor="_Toc96958677" w:history="1">
            <w:r w:rsidR="00721158" w:rsidRPr="001E29C6">
              <w:rPr>
                <w:rStyle w:val="Hyperlink"/>
              </w:rPr>
              <w:t>3.5.2</w:t>
            </w:r>
            <w:r w:rsidR="00721158">
              <w:rPr>
                <w:rFonts w:eastAsiaTheme="minorEastAsia"/>
                <w:i w:val="0"/>
                <w:color w:val="auto"/>
                <w:lang w:eastAsia="en-AU"/>
              </w:rPr>
              <w:tab/>
            </w:r>
            <w:r w:rsidR="00721158" w:rsidRPr="001E29C6">
              <w:rPr>
                <w:rStyle w:val="Hyperlink"/>
              </w:rPr>
              <w:t>Conclusions</w:t>
            </w:r>
            <w:r w:rsidR="00721158">
              <w:rPr>
                <w:webHidden/>
              </w:rPr>
              <w:tab/>
            </w:r>
            <w:r w:rsidR="00721158">
              <w:rPr>
                <w:webHidden/>
              </w:rPr>
              <w:fldChar w:fldCharType="begin"/>
            </w:r>
            <w:r w:rsidR="00721158">
              <w:rPr>
                <w:webHidden/>
              </w:rPr>
              <w:instrText xml:space="preserve"> PAGEREF _Toc96958677 \h </w:instrText>
            </w:r>
            <w:r w:rsidR="00721158">
              <w:rPr>
                <w:webHidden/>
              </w:rPr>
            </w:r>
            <w:r w:rsidR="00721158">
              <w:rPr>
                <w:webHidden/>
              </w:rPr>
              <w:fldChar w:fldCharType="separate"/>
            </w:r>
            <w:r>
              <w:rPr>
                <w:webHidden/>
              </w:rPr>
              <w:t>19</w:t>
            </w:r>
            <w:r w:rsidR="00721158">
              <w:rPr>
                <w:webHidden/>
              </w:rPr>
              <w:fldChar w:fldCharType="end"/>
            </w:r>
          </w:hyperlink>
        </w:p>
        <w:p w14:paraId="33585A8E" w14:textId="5A4E90D6" w:rsidR="00721158" w:rsidRDefault="00D74339">
          <w:pPr>
            <w:pStyle w:val="TOC2"/>
            <w:rPr>
              <w:rFonts w:eastAsiaTheme="minorEastAsia"/>
              <w:color w:val="auto"/>
              <w:lang w:eastAsia="en-AU"/>
            </w:rPr>
          </w:pPr>
          <w:hyperlink w:anchor="_Toc96958678" w:history="1">
            <w:r w:rsidR="00721158" w:rsidRPr="001E29C6">
              <w:rPr>
                <w:rStyle w:val="Hyperlink"/>
              </w:rPr>
              <w:t>3.6</w:t>
            </w:r>
            <w:r w:rsidR="00721158">
              <w:rPr>
                <w:rFonts w:eastAsiaTheme="minorEastAsia"/>
                <w:color w:val="auto"/>
                <w:lang w:eastAsia="en-AU"/>
              </w:rPr>
              <w:tab/>
            </w:r>
            <w:r w:rsidR="00721158" w:rsidRPr="001E29C6">
              <w:rPr>
                <w:rStyle w:val="Hyperlink"/>
              </w:rPr>
              <w:t>Has the applicant shown a capacity for complying with the Regulations and the licence conditions that would be imposed under section 35 of the Act?</w:t>
            </w:r>
            <w:r w:rsidR="00721158">
              <w:rPr>
                <w:webHidden/>
              </w:rPr>
              <w:tab/>
            </w:r>
            <w:r w:rsidR="00721158">
              <w:rPr>
                <w:webHidden/>
              </w:rPr>
              <w:fldChar w:fldCharType="begin"/>
            </w:r>
            <w:r w:rsidR="00721158">
              <w:rPr>
                <w:webHidden/>
              </w:rPr>
              <w:instrText xml:space="preserve"> PAGEREF _Toc96958678 \h </w:instrText>
            </w:r>
            <w:r w:rsidR="00721158">
              <w:rPr>
                <w:webHidden/>
              </w:rPr>
            </w:r>
            <w:r w:rsidR="00721158">
              <w:rPr>
                <w:webHidden/>
              </w:rPr>
              <w:fldChar w:fldCharType="separate"/>
            </w:r>
            <w:r>
              <w:rPr>
                <w:webHidden/>
              </w:rPr>
              <w:t>19</w:t>
            </w:r>
            <w:r w:rsidR="00721158">
              <w:rPr>
                <w:webHidden/>
              </w:rPr>
              <w:fldChar w:fldCharType="end"/>
            </w:r>
          </w:hyperlink>
        </w:p>
        <w:p w14:paraId="5F96D812" w14:textId="01748558" w:rsidR="00721158" w:rsidRDefault="00D74339">
          <w:pPr>
            <w:pStyle w:val="TOC3"/>
            <w:tabs>
              <w:tab w:val="left" w:pos="1320"/>
            </w:tabs>
            <w:rPr>
              <w:rFonts w:eastAsiaTheme="minorEastAsia"/>
              <w:i w:val="0"/>
              <w:color w:val="auto"/>
              <w:lang w:eastAsia="en-AU"/>
            </w:rPr>
          </w:pPr>
          <w:hyperlink w:anchor="_Toc96958679" w:history="1">
            <w:r w:rsidR="00721158" w:rsidRPr="001E29C6">
              <w:rPr>
                <w:rStyle w:val="Hyperlink"/>
              </w:rPr>
              <w:t>3.6.1</w:t>
            </w:r>
            <w:r w:rsidR="00721158">
              <w:rPr>
                <w:rFonts w:eastAsiaTheme="minorEastAsia"/>
                <w:i w:val="0"/>
                <w:color w:val="auto"/>
                <w:lang w:eastAsia="en-AU"/>
              </w:rPr>
              <w:tab/>
            </w:r>
            <w:r w:rsidR="00721158" w:rsidRPr="001E29C6">
              <w:rPr>
                <w:rStyle w:val="Hyperlink"/>
              </w:rPr>
              <w:t>Considerations and conclusions</w:t>
            </w:r>
            <w:r w:rsidR="00721158">
              <w:rPr>
                <w:webHidden/>
              </w:rPr>
              <w:tab/>
            </w:r>
            <w:r w:rsidR="00721158">
              <w:rPr>
                <w:webHidden/>
              </w:rPr>
              <w:fldChar w:fldCharType="begin"/>
            </w:r>
            <w:r w:rsidR="00721158">
              <w:rPr>
                <w:webHidden/>
              </w:rPr>
              <w:instrText xml:space="preserve"> PAGEREF _Toc96958679 \h </w:instrText>
            </w:r>
            <w:r w:rsidR="00721158">
              <w:rPr>
                <w:webHidden/>
              </w:rPr>
            </w:r>
            <w:r w:rsidR="00721158">
              <w:rPr>
                <w:webHidden/>
              </w:rPr>
              <w:fldChar w:fldCharType="separate"/>
            </w:r>
            <w:r>
              <w:rPr>
                <w:webHidden/>
              </w:rPr>
              <w:t>19</w:t>
            </w:r>
            <w:r w:rsidR="00721158">
              <w:rPr>
                <w:webHidden/>
              </w:rPr>
              <w:fldChar w:fldCharType="end"/>
            </w:r>
          </w:hyperlink>
        </w:p>
        <w:p w14:paraId="38EC0641" w14:textId="2E63C7EE" w:rsidR="00721158" w:rsidRDefault="00D74339">
          <w:pPr>
            <w:pStyle w:val="TOC2"/>
            <w:rPr>
              <w:rFonts w:eastAsiaTheme="minorEastAsia"/>
              <w:color w:val="auto"/>
              <w:lang w:eastAsia="en-AU"/>
            </w:rPr>
          </w:pPr>
          <w:hyperlink w:anchor="_Toc96958680" w:history="1">
            <w:r w:rsidR="00721158" w:rsidRPr="001E29C6">
              <w:rPr>
                <w:rStyle w:val="Hyperlink"/>
              </w:rPr>
              <w:t>3.7</w:t>
            </w:r>
            <w:r w:rsidR="00721158">
              <w:rPr>
                <w:rFonts w:eastAsiaTheme="minorEastAsia"/>
                <w:color w:val="auto"/>
                <w:lang w:eastAsia="en-AU"/>
              </w:rPr>
              <w:tab/>
            </w:r>
            <w:r w:rsidR="00721158" w:rsidRPr="001E29C6">
              <w:rPr>
                <w:rStyle w:val="Hyperlink"/>
              </w:rPr>
              <w:t>Authorised signatory</w:t>
            </w:r>
            <w:r w:rsidR="00721158">
              <w:rPr>
                <w:webHidden/>
              </w:rPr>
              <w:tab/>
            </w:r>
            <w:r w:rsidR="00721158">
              <w:rPr>
                <w:webHidden/>
              </w:rPr>
              <w:fldChar w:fldCharType="begin"/>
            </w:r>
            <w:r w:rsidR="00721158">
              <w:rPr>
                <w:webHidden/>
              </w:rPr>
              <w:instrText xml:space="preserve"> PAGEREF _Toc96958680 \h </w:instrText>
            </w:r>
            <w:r w:rsidR="00721158">
              <w:rPr>
                <w:webHidden/>
              </w:rPr>
            </w:r>
            <w:r w:rsidR="00721158">
              <w:rPr>
                <w:webHidden/>
              </w:rPr>
              <w:fldChar w:fldCharType="separate"/>
            </w:r>
            <w:r>
              <w:rPr>
                <w:webHidden/>
              </w:rPr>
              <w:t>20</w:t>
            </w:r>
            <w:r w:rsidR="00721158">
              <w:rPr>
                <w:webHidden/>
              </w:rPr>
              <w:fldChar w:fldCharType="end"/>
            </w:r>
          </w:hyperlink>
        </w:p>
        <w:p w14:paraId="51B8ABAD" w14:textId="3A3D0091" w:rsidR="00721158" w:rsidRDefault="00D74339">
          <w:pPr>
            <w:pStyle w:val="TOC3"/>
            <w:tabs>
              <w:tab w:val="left" w:pos="1320"/>
            </w:tabs>
            <w:rPr>
              <w:rFonts w:eastAsiaTheme="minorEastAsia"/>
              <w:i w:val="0"/>
              <w:color w:val="auto"/>
              <w:lang w:eastAsia="en-AU"/>
            </w:rPr>
          </w:pPr>
          <w:hyperlink w:anchor="_Toc96958681" w:history="1">
            <w:r w:rsidR="00721158" w:rsidRPr="001E29C6">
              <w:rPr>
                <w:rStyle w:val="Hyperlink"/>
              </w:rPr>
              <w:t>3.7.1</w:t>
            </w:r>
            <w:r w:rsidR="00721158">
              <w:rPr>
                <w:rFonts w:eastAsiaTheme="minorEastAsia"/>
                <w:i w:val="0"/>
                <w:color w:val="auto"/>
                <w:lang w:eastAsia="en-AU"/>
              </w:rPr>
              <w:tab/>
            </w:r>
            <w:r w:rsidR="00721158" w:rsidRPr="001E29C6">
              <w:rPr>
                <w:rStyle w:val="Hyperlink"/>
              </w:rPr>
              <w:t>Considerations and conclusions</w:t>
            </w:r>
            <w:r w:rsidR="00721158">
              <w:rPr>
                <w:webHidden/>
              </w:rPr>
              <w:tab/>
            </w:r>
            <w:r w:rsidR="00721158">
              <w:rPr>
                <w:webHidden/>
              </w:rPr>
              <w:fldChar w:fldCharType="begin"/>
            </w:r>
            <w:r w:rsidR="00721158">
              <w:rPr>
                <w:webHidden/>
              </w:rPr>
              <w:instrText xml:space="preserve"> PAGEREF _Toc96958681 \h </w:instrText>
            </w:r>
            <w:r w:rsidR="00721158">
              <w:rPr>
                <w:webHidden/>
              </w:rPr>
            </w:r>
            <w:r w:rsidR="00721158">
              <w:rPr>
                <w:webHidden/>
              </w:rPr>
              <w:fldChar w:fldCharType="separate"/>
            </w:r>
            <w:r>
              <w:rPr>
                <w:webHidden/>
              </w:rPr>
              <w:t>20</w:t>
            </w:r>
            <w:r w:rsidR="00721158">
              <w:rPr>
                <w:webHidden/>
              </w:rPr>
              <w:fldChar w:fldCharType="end"/>
            </w:r>
          </w:hyperlink>
        </w:p>
        <w:p w14:paraId="349EF14D" w14:textId="586881D6" w:rsidR="00721158" w:rsidRDefault="00D74339">
          <w:pPr>
            <w:pStyle w:val="TOC2"/>
            <w:rPr>
              <w:rFonts w:eastAsiaTheme="minorEastAsia"/>
              <w:color w:val="auto"/>
              <w:lang w:eastAsia="en-AU"/>
            </w:rPr>
          </w:pPr>
          <w:hyperlink w:anchor="_Toc96958682" w:history="1">
            <w:r w:rsidR="00721158" w:rsidRPr="001E29C6">
              <w:rPr>
                <w:rStyle w:val="Hyperlink"/>
              </w:rPr>
              <w:t>3.8</w:t>
            </w:r>
            <w:r w:rsidR="00721158">
              <w:rPr>
                <w:rFonts w:eastAsiaTheme="minorEastAsia"/>
                <w:color w:val="auto"/>
                <w:lang w:eastAsia="en-AU"/>
              </w:rPr>
              <w:tab/>
            </w:r>
            <w:r w:rsidR="00721158" w:rsidRPr="001E29C6">
              <w:rPr>
                <w:rStyle w:val="Hyperlink"/>
              </w:rPr>
              <w:t>Content of submissions about the application</w:t>
            </w:r>
            <w:r w:rsidR="00721158">
              <w:rPr>
                <w:webHidden/>
              </w:rPr>
              <w:tab/>
            </w:r>
            <w:r w:rsidR="00721158">
              <w:rPr>
                <w:webHidden/>
              </w:rPr>
              <w:fldChar w:fldCharType="begin"/>
            </w:r>
            <w:r w:rsidR="00721158">
              <w:rPr>
                <w:webHidden/>
              </w:rPr>
              <w:instrText xml:space="preserve"> PAGEREF _Toc96958682 \h </w:instrText>
            </w:r>
            <w:r w:rsidR="00721158">
              <w:rPr>
                <w:webHidden/>
              </w:rPr>
            </w:r>
            <w:r w:rsidR="00721158">
              <w:rPr>
                <w:webHidden/>
              </w:rPr>
              <w:fldChar w:fldCharType="separate"/>
            </w:r>
            <w:r>
              <w:rPr>
                <w:webHidden/>
              </w:rPr>
              <w:t>20</w:t>
            </w:r>
            <w:r w:rsidR="00721158">
              <w:rPr>
                <w:webHidden/>
              </w:rPr>
              <w:fldChar w:fldCharType="end"/>
            </w:r>
          </w:hyperlink>
        </w:p>
        <w:p w14:paraId="509BEE90" w14:textId="76028967" w:rsidR="00721158" w:rsidRDefault="00D74339">
          <w:pPr>
            <w:pStyle w:val="TOC3"/>
            <w:tabs>
              <w:tab w:val="left" w:pos="1320"/>
            </w:tabs>
            <w:rPr>
              <w:rFonts w:eastAsiaTheme="minorEastAsia"/>
              <w:i w:val="0"/>
              <w:color w:val="auto"/>
              <w:lang w:eastAsia="en-AU"/>
            </w:rPr>
          </w:pPr>
          <w:hyperlink w:anchor="_Toc96958683" w:history="1">
            <w:r w:rsidR="00721158" w:rsidRPr="001E29C6">
              <w:rPr>
                <w:rStyle w:val="Hyperlink"/>
              </w:rPr>
              <w:t>3.8.1</w:t>
            </w:r>
            <w:r w:rsidR="00721158">
              <w:rPr>
                <w:rFonts w:eastAsiaTheme="minorEastAsia"/>
                <w:i w:val="0"/>
                <w:color w:val="auto"/>
                <w:lang w:eastAsia="en-AU"/>
              </w:rPr>
              <w:tab/>
            </w:r>
            <w:r w:rsidR="00721158" w:rsidRPr="001E29C6">
              <w:rPr>
                <w:rStyle w:val="Hyperlink"/>
              </w:rPr>
              <w:t>Considerations</w:t>
            </w:r>
            <w:r w:rsidR="00721158">
              <w:rPr>
                <w:webHidden/>
              </w:rPr>
              <w:tab/>
            </w:r>
            <w:r w:rsidR="00721158">
              <w:rPr>
                <w:webHidden/>
              </w:rPr>
              <w:fldChar w:fldCharType="begin"/>
            </w:r>
            <w:r w:rsidR="00721158">
              <w:rPr>
                <w:webHidden/>
              </w:rPr>
              <w:instrText xml:space="preserve"> PAGEREF _Toc96958683 \h </w:instrText>
            </w:r>
            <w:r w:rsidR="00721158">
              <w:rPr>
                <w:webHidden/>
              </w:rPr>
            </w:r>
            <w:r w:rsidR="00721158">
              <w:rPr>
                <w:webHidden/>
              </w:rPr>
              <w:fldChar w:fldCharType="separate"/>
            </w:r>
            <w:r>
              <w:rPr>
                <w:webHidden/>
              </w:rPr>
              <w:t>21</w:t>
            </w:r>
            <w:r w:rsidR="00721158">
              <w:rPr>
                <w:webHidden/>
              </w:rPr>
              <w:fldChar w:fldCharType="end"/>
            </w:r>
          </w:hyperlink>
        </w:p>
        <w:p w14:paraId="091BF11E" w14:textId="6744357A" w:rsidR="00721158" w:rsidRDefault="00D74339">
          <w:pPr>
            <w:pStyle w:val="TOC3"/>
            <w:tabs>
              <w:tab w:val="left" w:pos="1320"/>
            </w:tabs>
            <w:rPr>
              <w:rFonts w:eastAsiaTheme="minorEastAsia"/>
              <w:i w:val="0"/>
              <w:color w:val="auto"/>
              <w:lang w:eastAsia="en-AU"/>
            </w:rPr>
          </w:pPr>
          <w:hyperlink w:anchor="_Toc96958684" w:history="1">
            <w:r w:rsidR="00721158" w:rsidRPr="001E29C6">
              <w:rPr>
                <w:rStyle w:val="Hyperlink"/>
              </w:rPr>
              <w:t>3.8.2</w:t>
            </w:r>
            <w:r w:rsidR="00721158">
              <w:rPr>
                <w:rFonts w:eastAsiaTheme="minorEastAsia"/>
                <w:i w:val="0"/>
                <w:color w:val="auto"/>
                <w:lang w:eastAsia="en-AU"/>
              </w:rPr>
              <w:tab/>
            </w:r>
            <w:r w:rsidR="00721158" w:rsidRPr="001E29C6">
              <w:rPr>
                <w:rStyle w:val="Hyperlink"/>
              </w:rPr>
              <w:t>Conclusions</w:t>
            </w:r>
            <w:r w:rsidR="00721158">
              <w:rPr>
                <w:webHidden/>
              </w:rPr>
              <w:tab/>
            </w:r>
            <w:r w:rsidR="00721158">
              <w:rPr>
                <w:webHidden/>
              </w:rPr>
              <w:fldChar w:fldCharType="begin"/>
            </w:r>
            <w:r w:rsidR="00721158">
              <w:rPr>
                <w:webHidden/>
              </w:rPr>
              <w:instrText xml:space="preserve"> PAGEREF _Toc96958684 \h </w:instrText>
            </w:r>
            <w:r w:rsidR="00721158">
              <w:rPr>
                <w:webHidden/>
              </w:rPr>
            </w:r>
            <w:r w:rsidR="00721158">
              <w:rPr>
                <w:webHidden/>
              </w:rPr>
              <w:fldChar w:fldCharType="separate"/>
            </w:r>
            <w:r>
              <w:rPr>
                <w:webHidden/>
              </w:rPr>
              <w:t>24</w:t>
            </w:r>
            <w:r w:rsidR="00721158">
              <w:rPr>
                <w:webHidden/>
              </w:rPr>
              <w:fldChar w:fldCharType="end"/>
            </w:r>
          </w:hyperlink>
        </w:p>
        <w:p w14:paraId="0FFDC778" w14:textId="13195FA9" w:rsidR="00721158" w:rsidRDefault="00D74339">
          <w:pPr>
            <w:pStyle w:val="TOC1"/>
            <w:rPr>
              <w:rFonts w:eastAsiaTheme="minorEastAsia"/>
              <w:b w:val="0"/>
              <w:noProof/>
              <w:color w:val="auto"/>
              <w:lang w:eastAsia="en-AU"/>
            </w:rPr>
          </w:pPr>
          <w:hyperlink w:anchor="_Toc96958685" w:history="1">
            <w:r w:rsidR="00721158" w:rsidRPr="001E29C6">
              <w:rPr>
                <w:rStyle w:val="Hyperlink"/>
                <w:noProof/>
              </w:rPr>
              <w:t>4.</w:t>
            </w:r>
            <w:r w:rsidR="00721158">
              <w:rPr>
                <w:rFonts w:eastAsiaTheme="minorEastAsia"/>
                <w:b w:val="0"/>
                <w:noProof/>
                <w:color w:val="auto"/>
                <w:lang w:eastAsia="en-AU"/>
              </w:rPr>
              <w:tab/>
            </w:r>
            <w:r w:rsidR="00721158" w:rsidRPr="001E29C6">
              <w:rPr>
                <w:rStyle w:val="Hyperlink"/>
                <w:noProof/>
              </w:rPr>
              <w:t>Licence conditions</w:t>
            </w:r>
            <w:r w:rsidR="00721158">
              <w:rPr>
                <w:noProof/>
                <w:webHidden/>
              </w:rPr>
              <w:tab/>
            </w:r>
            <w:r w:rsidR="00721158">
              <w:rPr>
                <w:noProof/>
                <w:webHidden/>
              </w:rPr>
              <w:fldChar w:fldCharType="begin"/>
            </w:r>
            <w:r w:rsidR="00721158">
              <w:rPr>
                <w:noProof/>
                <w:webHidden/>
              </w:rPr>
              <w:instrText xml:space="preserve"> PAGEREF _Toc96958685 \h </w:instrText>
            </w:r>
            <w:r w:rsidR="00721158">
              <w:rPr>
                <w:noProof/>
                <w:webHidden/>
              </w:rPr>
            </w:r>
            <w:r w:rsidR="00721158">
              <w:rPr>
                <w:noProof/>
                <w:webHidden/>
              </w:rPr>
              <w:fldChar w:fldCharType="separate"/>
            </w:r>
            <w:r>
              <w:rPr>
                <w:noProof/>
                <w:webHidden/>
              </w:rPr>
              <w:t>24</w:t>
            </w:r>
            <w:r w:rsidR="00721158">
              <w:rPr>
                <w:noProof/>
                <w:webHidden/>
              </w:rPr>
              <w:fldChar w:fldCharType="end"/>
            </w:r>
          </w:hyperlink>
        </w:p>
        <w:p w14:paraId="15DA0995" w14:textId="37196B62" w:rsidR="00721158" w:rsidRDefault="00D74339">
          <w:pPr>
            <w:pStyle w:val="TOC2"/>
            <w:rPr>
              <w:rFonts w:eastAsiaTheme="minorEastAsia"/>
              <w:color w:val="auto"/>
              <w:lang w:eastAsia="en-AU"/>
            </w:rPr>
          </w:pPr>
          <w:hyperlink w:anchor="_Toc96958686" w:history="1">
            <w:r w:rsidR="00721158" w:rsidRPr="001E29C6">
              <w:rPr>
                <w:rStyle w:val="Hyperlink"/>
              </w:rPr>
              <w:t>4.1</w:t>
            </w:r>
            <w:r w:rsidR="00721158">
              <w:rPr>
                <w:rFonts w:eastAsiaTheme="minorEastAsia"/>
                <w:color w:val="auto"/>
                <w:lang w:eastAsia="en-AU"/>
              </w:rPr>
              <w:tab/>
            </w:r>
            <w:r w:rsidR="00721158" w:rsidRPr="001E29C6">
              <w:rPr>
                <w:rStyle w:val="Hyperlink"/>
              </w:rPr>
              <w:t>Time until reaching capacity of the ILSW stores</w:t>
            </w:r>
            <w:r w:rsidR="00721158">
              <w:rPr>
                <w:webHidden/>
              </w:rPr>
              <w:tab/>
            </w:r>
            <w:r w:rsidR="00721158">
              <w:rPr>
                <w:webHidden/>
              </w:rPr>
              <w:fldChar w:fldCharType="begin"/>
            </w:r>
            <w:r w:rsidR="00721158">
              <w:rPr>
                <w:webHidden/>
              </w:rPr>
              <w:instrText xml:space="preserve"> PAGEREF _Toc96958686 \h </w:instrText>
            </w:r>
            <w:r w:rsidR="00721158">
              <w:rPr>
                <w:webHidden/>
              </w:rPr>
            </w:r>
            <w:r w:rsidR="00721158">
              <w:rPr>
                <w:webHidden/>
              </w:rPr>
              <w:fldChar w:fldCharType="separate"/>
            </w:r>
            <w:r>
              <w:rPr>
                <w:webHidden/>
              </w:rPr>
              <w:t>24</w:t>
            </w:r>
            <w:r w:rsidR="00721158">
              <w:rPr>
                <w:webHidden/>
              </w:rPr>
              <w:fldChar w:fldCharType="end"/>
            </w:r>
          </w:hyperlink>
        </w:p>
        <w:p w14:paraId="68AE5B70" w14:textId="66AAA5BF" w:rsidR="00721158" w:rsidRDefault="00D74339">
          <w:pPr>
            <w:pStyle w:val="TOC2"/>
            <w:rPr>
              <w:rFonts w:eastAsiaTheme="minorEastAsia"/>
              <w:color w:val="auto"/>
              <w:lang w:eastAsia="en-AU"/>
            </w:rPr>
          </w:pPr>
          <w:hyperlink w:anchor="_Toc96958687" w:history="1">
            <w:r w:rsidR="00721158" w:rsidRPr="001E29C6">
              <w:rPr>
                <w:rStyle w:val="Hyperlink"/>
              </w:rPr>
              <w:t>4.2</w:t>
            </w:r>
            <w:r w:rsidR="00721158">
              <w:rPr>
                <w:rFonts w:eastAsiaTheme="minorEastAsia"/>
                <w:color w:val="auto"/>
                <w:lang w:eastAsia="en-AU"/>
              </w:rPr>
              <w:tab/>
            </w:r>
            <w:r w:rsidR="00721158" w:rsidRPr="001E29C6">
              <w:rPr>
                <w:rStyle w:val="Hyperlink"/>
              </w:rPr>
              <w:t>Influence of site characteristics and optimisation of protection in the design of the ILWCI Facility</w:t>
            </w:r>
            <w:r w:rsidR="00721158">
              <w:rPr>
                <w:webHidden/>
              </w:rPr>
              <w:tab/>
            </w:r>
            <w:r w:rsidR="00721158">
              <w:rPr>
                <w:webHidden/>
              </w:rPr>
              <w:fldChar w:fldCharType="begin"/>
            </w:r>
            <w:r w:rsidR="00721158">
              <w:rPr>
                <w:webHidden/>
              </w:rPr>
              <w:instrText xml:space="preserve"> PAGEREF _Toc96958687 \h </w:instrText>
            </w:r>
            <w:r w:rsidR="00721158">
              <w:rPr>
                <w:webHidden/>
              </w:rPr>
            </w:r>
            <w:r w:rsidR="00721158">
              <w:rPr>
                <w:webHidden/>
              </w:rPr>
              <w:fldChar w:fldCharType="separate"/>
            </w:r>
            <w:r>
              <w:rPr>
                <w:webHidden/>
              </w:rPr>
              <w:t>25</w:t>
            </w:r>
            <w:r w:rsidR="00721158">
              <w:rPr>
                <w:webHidden/>
              </w:rPr>
              <w:fldChar w:fldCharType="end"/>
            </w:r>
          </w:hyperlink>
        </w:p>
        <w:p w14:paraId="03F6CE61" w14:textId="56E2C278" w:rsidR="00721158" w:rsidRDefault="00D74339">
          <w:pPr>
            <w:pStyle w:val="TOC2"/>
            <w:rPr>
              <w:rFonts w:eastAsiaTheme="minorEastAsia"/>
              <w:color w:val="auto"/>
              <w:lang w:eastAsia="en-AU"/>
            </w:rPr>
          </w:pPr>
          <w:hyperlink w:anchor="_Toc96958688" w:history="1">
            <w:r w:rsidR="00721158" w:rsidRPr="001E29C6">
              <w:rPr>
                <w:rStyle w:val="Hyperlink"/>
              </w:rPr>
              <w:t>4.3</w:t>
            </w:r>
            <w:r w:rsidR="00721158">
              <w:rPr>
                <w:rFonts w:eastAsiaTheme="minorEastAsia"/>
                <w:color w:val="auto"/>
                <w:lang w:eastAsia="en-AU"/>
              </w:rPr>
              <w:tab/>
            </w:r>
            <w:r w:rsidR="00721158" w:rsidRPr="001E29C6">
              <w:rPr>
                <w:rStyle w:val="Hyperlink"/>
              </w:rPr>
              <w:t>Safety assessment and safety analysis report</w:t>
            </w:r>
            <w:r w:rsidR="00721158">
              <w:rPr>
                <w:webHidden/>
              </w:rPr>
              <w:tab/>
            </w:r>
            <w:r w:rsidR="00721158">
              <w:rPr>
                <w:webHidden/>
              </w:rPr>
              <w:fldChar w:fldCharType="begin"/>
            </w:r>
            <w:r w:rsidR="00721158">
              <w:rPr>
                <w:webHidden/>
              </w:rPr>
              <w:instrText xml:space="preserve"> PAGEREF _Toc96958688 \h </w:instrText>
            </w:r>
            <w:r w:rsidR="00721158">
              <w:rPr>
                <w:webHidden/>
              </w:rPr>
            </w:r>
            <w:r w:rsidR="00721158">
              <w:rPr>
                <w:webHidden/>
              </w:rPr>
              <w:fldChar w:fldCharType="separate"/>
            </w:r>
            <w:r>
              <w:rPr>
                <w:webHidden/>
              </w:rPr>
              <w:t>26</w:t>
            </w:r>
            <w:r w:rsidR="00721158">
              <w:rPr>
                <w:webHidden/>
              </w:rPr>
              <w:fldChar w:fldCharType="end"/>
            </w:r>
          </w:hyperlink>
        </w:p>
        <w:p w14:paraId="2E5807ED" w14:textId="6B32A477" w:rsidR="00721158" w:rsidRDefault="00D74339">
          <w:pPr>
            <w:pStyle w:val="TOC2"/>
            <w:rPr>
              <w:rFonts w:eastAsiaTheme="minorEastAsia"/>
              <w:color w:val="auto"/>
              <w:lang w:eastAsia="en-AU"/>
            </w:rPr>
          </w:pPr>
          <w:hyperlink w:anchor="_Toc96958689" w:history="1">
            <w:r w:rsidR="00721158" w:rsidRPr="001E29C6">
              <w:rPr>
                <w:rStyle w:val="Hyperlink"/>
              </w:rPr>
              <w:t>4.4</w:t>
            </w:r>
            <w:r w:rsidR="00721158">
              <w:rPr>
                <w:rFonts w:eastAsiaTheme="minorEastAsia"/>
                <w:color w:val="auto"/>
                <w:lang w:eastAsia="en-AU"/>
              </w:rPr>
              <w:tab/>
            </w:r>
            <w:r w:rsidR="00721158" w:rsidRPr="001E29C6">
              <w:rPr>
                <w:rStyle w:val="Hyperlink"/>
              </w:rPr>
              <w:t>Waste Management Strategy</w:t>
            </w:r>
            <w:r w:rsidR="00721158">
              <w:rPr>
                <w:webHidden/>
              </w:rPr>
              <w:tab/>
            </w:r>
            <w:r w:rsidR="00721158">
              <w:rPr>
                <w:webHidden/>
              </w:rPr>
              <w:fldChar w:fldCharType="begin"/>
            </w:r>
            <w:r w:rsidR="00721158">
              <w:rPr>
                <w:webHidden/>
              </w:rPr>
              <w:instrText xml:space="preserve"> PAGEREF _Toc96958689 \h </w:instrText>
            </w:r>
            <w:r w:rsidR="00721158">
              <w:rPr>
                <w:webHidden/>
              </w:rPr>
            </w:r>
            <w:r w:rsidR="00721158">
              <w:rPr>
                <w:webHidden/>
              </w:rPr>
              <w:fldChar w:fldCharType="separate"/>
            </w:r>
            <w:r>
              <w:rPr>
                <w:webHidden/>
              </w:rPr>
              <w:t>26</w:t>
            </w:r>
            <w:r w:rsidR="00721158">
              <w:rPr>
                <w:webHidden/>
              </w:rPr>
              <w:fldChar w:fldCharType="end"/>
            </w:r>
          </w:hyperlink>
        </w:p>
        <w:p w14:paraId="0234DAC8" w14:textId="6EC926E7" w:rsidR="00721158" w:rsidRDefault="00D74339">
          <w:pPr>
            <w:pStyle w:val="TOC2"/>
            <w:rPr>
              <w:rFonts w:eastAsiaTheme="minorEastAsia"/>
              <w:color w:val="auto"/>
              <w:lang w:eastAsia="en-AU"/>
            </w:rPr>
          </w:pPr>
          <w:hyperlink w:anchor="_Toc96958690" w:history="1">
            <w:r w:rsidR="00721158" w:rsidRPr="001E29C6">
              <w:rPr>
                <w:rStyle w:val="Hyperlink"/>
              </w:rPr>
              <w:t>4.5</w:t>
            </w:r>
            <w:r w:rsidR="00721158">
              <w:rPr>
                <w:rFonts w:eastAsiaTheme="minorEastAsia"/>
                <w:color w:val="auto"/>
                <w:lang w:eastAsia="en-AU"/>
              </w:rPr>
              <w:tab/>
            </w:r>
            <w:r w:rsidR="00721158" w:rsidRPr="001E29C6">
              <w:rPr>
                <w:rStyle w:val="Hyperlink"/>
              </w:rPr>
              <w:t>Decommissioning</w:t>
            </w:r>
            <w:r w:rsidR="00721158">
              <w:rPr>
                <w:webHidden/>
              </w:rPr>
              <w:tab/>
            </w:r>
            <w:r w:rsidR="00721158">
              <w:rPr>
                <w:webHidden/>
              </w:rPr>
              <w:fldChar w:fldCharType="begin"/>
            </w:r>
            <w:r w:rsidR="00721158">
              <w:rPr>
                <w:webHidden/>
              </w:rPr>
              <w:instrText xml:space="preserve"> PAGEREF _Toc96958690 \h </w:instrText>
            </w:r>
            <w:r w:rsidR="00721158">
              <w:rPr>
                <w:webHidden/>
              </w:rPr>
            </w:r>
            <w:r w:rsidR="00721158">
              <w:rPr>
                <w:webHidden/>
              </w:rPr>
              <w:fldChar w:fldCharType="separate"/>
            </w:r>
            <w:r>
              <w:rPr>
                <w:webHidden/>
              </w:rPr>
              <w:t>26</w:t>
            </w:r>
            <w:r w:rsidR="00721158">
              <w:rPr>
                <w:webHidden/>
              </w:rPr>
              <w:fldChar w:fldCharType="end"/>
            </w:r>
          </w:hyperlink>
        </w:p>
        <w:p w14:paraId="40B9C94D" w14:textId="6483CAEF" w:rsidR="00721158" w:rsidRDefault="00D74339">
          <w:pPr>
            <w:pStyle w:val="TOC1"/>
            <w:rPr>
              <w:rFonts w:eastAsiaTheme="minorEastAsia"/>
              <w:b w:val="0"/>
              <w:noProof/>
              <w:color w:val="auto"/>
              <w:lang w:eastAsia="en-AU"/>
            </w:rPr>
          </w:pPr>
          <w:hyperlink w:anchor="_Toc96958691" w:history="1">
            <w:r w:rsidR="00721158" w:rsidRPr="001E29C6">
              <w:rPr>
                <w:rStyle w:val="Hyperlink"/>
                <w:noProof/>
              </w:rPr>
              <w:t>5.</w:t>
            </w:r>
            <w:r w:rsidR="00721158">
              <w:rPr>
                <w:rFonts w:eastAsiaTheme="minorEastAsia"/>
                <w:b w:val="0"/>
                <w:noProof/>
                <w:color w:val="auto"/>
                <w:lang w:eastAsia="en-AU"/>
              </w:rPr>
              <w:tab/>
            </w:r>
            <w:r w:rsidR="00721158" w:rsidRPr="001E29C6">
              <w:rPr>
                <w:rStyle w:val="Hyperlink"/>
                <w:noProof/>
              </w:rPr>
              <w:t>Conclusions</w:t>
            </w:r>
            <w:r w:rsidR="00721158">
              <w:rPr>
                <w:noProof/>
                <w:webHidden/>
              </w:rPr>
              <w:tab/>
            </w:r>
            <w:r w:rsidR="00721158">
              <w:rPr>
                <w:noProof/>
                <w:webHidden/>
              </w:rPr>
              <w:fldChar w:fldCharType="begin"/>
            </w:r>
            <w:r w:rsidR="00721158">
              <w:rPr>
                <w:noProof/>
                <w:webHidden/>
              </w:rPr>
              <w:instrText xml:space="preserve"> PAGEREF _Toc96958691 \h </w:instrText>
            </w:r>
            <w:r w:rsidR="00721158">
              <w:rPr>
                <w:noProof/>
                <w:webHidden/>
              </w:rPr>
            </w:r>
            <w:r w:rsidR="00721158">
              <w:rPr>
                <w:noProof/>
                <w:webHidden/>
              </w:rPr>
              <w:fldChar w:fldCharType="separate"/>
            </w:r>
            <w:r>
              <w:rPr>
                <w:noProof/>
                <w:webHidden/>
              </w:rPr>
              <w:t>27</w:t>
            </w:r>
            <w:r w:rsidR="00721158">
              <w:rPr>
                <w:noProof/>
                <w:webHidden/>
              </w:rPr>
              <w:fldChar w:fldCharType="end"/>
            </w:r>
          </w:hyperlink>
        </w:p>
        <w:p w14:paraId="01FD0412" w14:textId="326C73FB" w:rsidR="009C039D" w:rsidRDefault="009C039D" w:rsidP="009C039D">
          <w:r>
            <w:rPr>
              <w:b/>
              <w:bCs/>
              <w:noProof/>
            </w:rPr>
            <w:fldChar w:fldCharType="end"/>
          </w:r>
        </w:p>
      </w:sdtContent>
    </w:sdt>
    <w:p w14:paraId="6291E70D" w14:textId="4DE6A562" w:rsidR="00705682" w:rsidRDefault="00705682">
      <w:r>
        <w:br w:type="page"/>
      </w:r>
    </w:p>
    <w:p w14:paraId="1259C6A1" w14:textId="77777777" w:rsidR="009C039D" w:rsidRDefault="009C039D" w:rsidP="001B2873">
      <w:pPr>
        <w:pStyle w:val="Heading1"/>
        <w:numPr>
          <w:ilvl w:val="0"/>
          <w:numId w:val="3"/>
        </w:numPr>
      </w:pPr>
      <w:bookmarkStart w:id="2" w:name="_Toc96958653"/>
      <w:r>
        <w:lastRenderedPageBreak/>
        <w:t xml:space="preserve">The </w:t>
      </w:r>
      <w:r w:rsidR="00F04B3A">
        <w:t>l</w:t>
      </w:r>
      <w:r w:rsidRPr="009C039D">
        <w:t>icence</w:t>
      </w:r>
      <w:r>
        <w:t xml:space="preserve"> </w:t>
      </w:r>
      <w:r w:rsidR="00F04B3A">
        <w:t>d</w:t>
      </w:r>
      <w:r>
        <w:t>ecision</w:t>
      </w:r>
      <w:bookmarkEnd w:id="2"/>
      <w:bookmarkEnd w:id="1"/>
      <w:bookmarkEnd w:id="0"/>
    </w:p>
    <w:p w14:paraId="1925BDFF" w14:textId="5C15933B" w:rsidR="009C039D" w:rsidRDefault="009C039D" w:rsidP="000C6852">
      <w:pPr>
        <w:spacing w:before="120" w:line="264" w:lineRule="auto"/>
      </w:pPr>
      <w:r>
        <w:t>On</w:t>
      </w:r>
      <w:r>
        <w:rPr>
          <w:color w:val="auto"/>
        </w:rPr>
        <w:t xml:space="preserve"> </w:t>
      </w:r>
      <w:r w:rsidR="00FC1225">
        <w:rPr>
          <w:color w:val="auto"/>
        </w:rPr>
        <w:t>16</w:t>
      </w:r>
      <w:r w:rsidR="00FC1225" w:rsidRPr="00706D0B">
        <w:rPr>
          <w:color w:val="auto"/>
          <w:vertAlign w:val="superscript"/>
        </w:rPr>
        <w:t>th</w:t>
      </w:r>
      <w:r w:rsidR="00FC1225">
        <w:rPr>
          <w:color w:val="auto"/>
        </w:rPr>
        <w:t xml:space="preserve"> March 2022</w:t>
      </w:r>
      <w:r w:rsidRPr="752288EF">
        <w:rPr>
          <w:color w:val="auto"/>
        </w:rPr>
        <w:t>,</w:t>
      </w:r>
      <w:r>
        <w:t xml:space="preserve"> I issue</w:t>
      </w:r>
      <w:r w:rsidR="001543D3">
        <w:t xml:space="preserve">d facility licence </w:t>
      </w:r>
      <w:r w:rsidR="00820BFA">
        <w:t>F0339</w:t>
      </w:r>
      <w:r>
        <w:t xml:space="preserve"> under section 32 of the </w:t>
      </w:r>
      <w:r w:rsidRPr="004753CA">
        <w:rPr>
          <w:i/>
        </w:rPr>
        <w:t>Australian Radiation Protection and Nuclear Safety Act 1998</w:t>
      </w:r>
      <w:r>
        <w:t xml:space="preserve"> (the Act</w:t>
      </w:r>
      <w:r w:rsidR="00B10D20">
        <w:rPr>
          <w:rStyle w:val="FootnoteReference"/>
        </w:rPr>
        <w:footnoteReference w:id="2"/>
      </w:r>
      <w:r>
        <w:t xml:space="preserve">) to </w:t>
      </w:r>
      <w:r w:rsidR="005E6500">
        <w:t>the Australian Nuclear Science and Technology Organisation (ANSTO)</w:t>
      </w:r>
      <w:r w:rsidR="004B309B">
        <w:t xml:space="preserve">, </w:t>
      </w:r>
      <w:r w:rsidR="00B5216F">
        <w:t xml:space="preserve">authorising the licence holder </w:t>
      </w:r>
      <w:r>
        <w:t xml:space="preserve">to </w:t>
      </w:r>
      <w:r w:rsidR="004B309B">
        <w:t xml:space="preserve">prepare a site for </w:t>
      </w:r>
      <w:r>
        <w:t xml:space="preserve">a </w:t>
      </w:r>
      <w:r w:rsidRPr="00FD30C2">
        <w:rPr>
          <w:b/>
          <w:bCs/>
        </w:rPr>
        <w:t>controlled facility</w:t>
      </w:r>
      <w:r>
        <w:t xml:space="preserve"> at </w:t>
      </w:r>
      <w:r w:rsidR="00596EDD">
        <w:t xml:space="preserve">Lucas Heights </w:t>
      </w:r>
      <w:r w:rsidR="00167DD3">
        <w:t>in</w:t>
      </w:r>
      <w:r w:rsidR="002B54D8">
        <w:t xml:space="preserve"> </w:t>
      </w:r>
      <w:r w:rsidR="006E3B5A">
        <w:t>New South Wales</w:t>
      </w:r>
      <w:r>
        <w:t xml:space="preserve">, namely, the </w:t>
      </w:r>
      <w:r w:rsidR="002B6741">
        <w:t xml:space="preserve">Intermediate Level </w:t>
      </w:r>
      <w:r w:rsidR="001D7E31">
        <w:t xml:space="preserve">Waste </w:t>
      </w:r>
      <w:r w:rsidR="002B6741">
        <w:t>Capacity Increase (ILWCI) Facility</w:t>
      </w:r>
      <w:r>
        <w:t xml:space="preserve">. </w:t>
      </w:r>
    </w:p>
    <w:p w14:paraId="6E9F50AE" w14:textId="0FBDD316" w:rsidR="0073217B" w:rsidRDefault="0073217B" w:rsidP="000C6852">
      <w:pPr>
        <w:spacing w:before="120" w:line="264" w:lineRule="auto"/>
      </w:pPr>
      <w:r>
        <w:t xml:space="preserve">The purpose of the </w:t>
      </w:r>
      <w:r w:rsidR="00EF3A39">
        <w:t xml:space="preserve">planned </w:t>
      </w:r>
      <w:r>
        <w:t>facility is to store</w:t>
      </w:r>
      <w:r w:rsidR="00905EE0">
        <w:rPr>
          <w:rStyle w:val="FootnoteReference"/>
        </w:rPr>
        <w:footnoteReference w:id="3"/>
      </w:r>
      <w:r>
        <w:t xml:space="preserve"> </w:t>
      </w:r>
      <w:r w:rsidR="0020147E">
        <w:t>radioactive waste</w:t>
      </w:r>
      <w:r w:rsidR="00760C1A">
        <w:t xml:space="preserve">, </w:t>
      </w:r>
      <w:r w:rsidR="00E5030D">
        <w:t xml:space="preserve">mainly from </w:t>
      </w:r>
      <w:r w:rsidR="00C515AB">
        <w:t xml:space="preserve">the production of </w:t>
      </w:r>
      <w:r w:rsidR="00991559">
        <w:t>nuclear medicine</w:t>
      </w:r>
      <w:r w:rsidR="00905EE0">
        <w:t xml:space="preserve"> </w:t>
      </w:r>
      <w:r w:rsidR="002E18E4">
        <w:t>at the Lucas Heights site</w:t>
      </w:r>
      <w:r w:rsidR="00756801">
        <w:t xml:space="preserve">, with the </w:t>
      </w:r>
      <w:r w:rsidR="0071130E">
        <w:t xml:space="preserve">intention of its future removal </w:t>
      </w:r>
      <w:r w:rsidR="00593459">
        <w:t xml:space="preserve">from </w:t>
      </w:r>
      <w:r w:rsidR="002E18E4">
        <w:t>the site</w:t>
      </w:r>
      <w:r w:rsidR="001F2F27">
        <w:t>.</w:t>
      </w:r>
      <w:r w:rsidR="00220DF2">
        <w:t xml:space="preserve"> </w:t>
      </w:r>
      <w:r w:rsidR="00EA73D9">
        <w:t xml:space="preserve">No other </w:t>
      </w:r>
      <w:r w:rsidR="006B41C7">
        <w:t>function</w:t>
      </w:r>
      <w:r w:rsidR="008D6F82">
        <w:t xml:space="preserve"> </w:t>
      </w:r>
      <w:r w:rsidR="00E52EF2">
        <w:t xml:space="preserve">of the </w:t>
      </w:r>
      <w:r w:rsidR="000C2C9B">
        <w:t xml:space="preserve">ILWCI </w:t>
      </w:r>
      <w:r w:rsidR="005B35F1">
        <w:t xml:space="preserve">Facility </w:t>
      </w:r>
      <w:r w:rsidR="008D6F82">
        <w:t xml:space="preserve">is authorised </w:t>
      </w:r>
      <w:r w:rsidR="009C11BD">
        <w:t>under</w:t>
      </w:r>
      <w:r w:rsidR="008D6F82">
        <w:t xml:space="preserve"> this licence</w:t>
      </w:r>
      <w:r w:rsidR="00B22372">
        <w:t>.</w:t>
      </w:r>
    </w:p>
    <w:p w14:paraId="57F69941" w14:textId="133A9F70" w:rsidR="009C039D" w:rsidRDefault="009C039D" w:rsidP="000C6852">
      <w:pPr>
        <w:spacing w:line="264" w:lineRule="auto"/>
      </w:pPr>
      <w:r>
        <w:t xml:space="preserve">Under </w:t>
      </w:r>
      <w:r w:rsidR="00380912">
        <w:t>Division 3</w:t>
      </w:r>
      <w:r>
        <w:t xml:space="preserve"> of the </w:t>
      </w:r>
      <w:r w:rsidRPr="0092144A">
        <w:t xml:space="preserve">Australian Radiation Protection and Nuclear Safety Regulations </w:t>
      </w:r>
      <w:r w:rsidR="00380912">
        <w:t>2018</w:t>
      </w:r>
      <w:r>
        <w:t xml:space="preserve"> (the Regulations</w:t>
      </w:r>
      <w:r w:rsidR="00072584">
        <w:rPr>
          <w:rStyle w:val="FootnoteReference"/>
        </w:rPr>
        <w:footnoteReference w:id="4"/>
      </w:r>
      <w:r>
        <w:t xml:space="preserve">), the proposed facility is a </w:t>
      </w:r>
      <w:r w:rsidRPr="006D6FAA">
        <w:rPr>
          <w:b/>
        </w:rPr>
        <w:t>nuclear installation</w:t>
      </w:r>
      <w:r w:rsidR="004D2953">
        <w:t xml:space="preserve">, </w:t>
      </w:r>
      <w:r w:rsidR="009E14C4">
        <w:t xml:space="preserve">intended for storage of radioactive waste </w:t>
      </w:r>
      <w:r w:rsidR="004D2953">
        <w:t xml:space="preserve">with an activity content </w:t>
      </w:r>
      <w:r w:rsidR="00B22372">
        <w:t xml:space="preserve">above </w:t>
      </w:r>
      <w:r w:rsidR="00482D3E">
        <w:t>the</w:t>
      </w:r>
      <w:r w:rsidR="00727253">
        <w:t xml:space="preserve"> level </w:t>
      </w:r>
      <w:r w:rsidR="00827450">
        <w:t xml:space="preserve">specified in </w:t>
      </w:r>
      <w:r w:rsidR="00DE0995">
        <w:t>the</w:t>
      </w:r>
      <w:r w:rsidR="00E97830">
        <w:t xml:space="preserve"> </w:t>
      </w:r>
      <w:r w:rsidR="00DE0995">
        <w:t>Regulations.</w:t>
      </w:r>
    </w:p>
    <w:p w14:paraId="173B62AE" w14:textId="0685B151" w:rsidR="009C039D" w:rsidRDefault="00CF6A3E" w:rsidP="0072637D">
      <w:pPr>
        <w:spacing w:line="264" w:lineRule="auto"/>
      </w:pPr>
      <w:r>
        <w:t>The licence is subject to</w:t>
      </w:r>
      <w:r w:rsidR="009B7196">
        <w:t xml:space="preserve"> general</w:t>
      </w:r>
      <w:r>
        <w:t xml:space="preserve"> conditions </w:t>
      </w:r>
      <w:r w:rsidR="00235FCA">
        <w:t>applicable to all licences</w:t>
      </w:r>
      <w:r>
        <w:t xml:space="preserve"> </w:t>
      </w:r>
      <w:r w:rsidR="008B0954">
        <w:t>as</w:t>
      </w:r>
      <w:r>
        <w:t xml:space="preserve"> </w:t>
      </w:r>
      <w:r w:rsidR="00D36F31">
        <w:t xml:space="preserve">prescribed </w:t>
      </w:r>
      <w:r w:rsidR="005B67CA">
        <w:t>in</w:t>
      </w:r>
      <w:r w:rsidR="009C039D">
        <w:t xml:space="preserve"> section 35 of the Act</w:t>
      </w:r>
      <w:r w:rsidR="00AF1605">
        <w:t xml:space="preserve"> and in </w:t>
      </w:r>
      <w:r w:rsidR="00AF1605" w:rsidRPr="00072584">
        <w:t>Division</w:t>
      </w:r>
      <w:r w:rsidR="00AF1605">
        <w:t xml:space="preserve"> </w:t>
      </w:r>
      <w:r w:rsidR="00072584">
        <w:t>6</w:t>
      </w:r>
      <w:r w:rsidR="00AF1605">
        <w:t xml:space="preserve"> of </w:t>
      </w:r>
      <w:r w:rsidR="00D80DA0">
        <w:t xml:space="preserve">Part 5 of </w:t>
      </w:r>
      <w:r w:rsidR="00AF1605">
        <w:t>the Regulations</w:t>
      </w:r>
      <w:r w:rsidR="005B67CA">
        <w:t xml:space="preserve">. </w:t>
      </w:r>
      <w:r w:rsidR="00AF1605">
        <w:t>Additionally, u</w:t>
      </w:r>
      <w:r w:rsidR="002D4B91">
        <w:t xml:space="preserve">nder </w:t>
      </w:r>
      <w:r w:rsidR="00CD12A3">
        <w:t>paragraph</w:t>
      </w:r>
      <w:r w:rsidR="002D4B91">
        <w:t xml:space="preserve"> 35(</w:t>
      </w:r>
      <w:r w:rsidR="00CC0A2F">
        <w:t>1)</w:t>
      </w:r>
      <w:r w:rsidR="002D4B91">
        <w:t>(</w:t>
      </w:r>
      <w:r w:rsidR="00CC0A2F">
        <w:t>c</w:t>
      </w:r>
      <w:r w:rsidR="002D4B91">
        <w:t>)</w:t>
      </w:r>
      <w:r w:rsidR="00643BEB">
        <w:t xml:space="preserve"> of the Act,</w:t>
      </w:r>
      <w:r w:rsidR="002D4B91">
        <w:t xml:space="preserve"> I have </w:t>
      </w:r>
      <w:r w:rsidR="007F0AB4">
        <w:t xml:space="preserve">prescribed </w:t>
      </w:r>
      <w:r w:rsidR="00110C86">
        <w:t xml:space="preserve">compliance with Part 6 of the Regulations as a </w:t>
      </w:r>
      <w:r w:rsidR="00563A2A">
        <w:t xml:space="preserve">licence condition and, further, </w:t>
      </w:r>
      <w:r w:rsidR="002D4B91">
        <w:t xml:space="preserve">issued </w:t>
      </w:r>
      <w:r w:rsidR="00D141C8">
        <w:t xml:space="preserve">specific </w:t>
      </w:r>
      <w:r w:rsidR="00960876">
        <w:t xml:space="preserve">licence </w:t>
      </w:r>
      <w:r w:rsidR="00773E55">
        <w:t xml:space="preserve">conditions </w:t>
      </w:r>
      <w:r w:rsidR="00960876">
        <w:t xml:space="preserve">and requested </w:t>
      </w:r>
      <w:r w:rsidR="002F4D0D">
        <w:t>evidence</w:t>
      </w:r>
      <w:r w:rsidR="003673A4">
        <w:t xml:space="preserve"> </w:t>
      </w:r>
      <w:r w:rsidR="00423B73">
        <w:t xml:space="preserve">of compliance </w:t>
      </w:r>
      <w:r w:rsidR="0054484D">
        <w:t xml:space="preserve">to be submitted </w:t>
      </w:r>
      <w:r w:rsidR="00297EB4">
        <w:t>with</w:t>
      </w:r>
      <w:r w:rsidR="002F4D0D">
        <w:t xml:space="preserve"> </w:t>
      </w:r>
      <w:r w:rsidR="0072637D">
        <w:t>an</w:t>
      </w:r>
      <w:r w:rsidR="00297EB4">
        <w:t>y future</w:t>
      </w:r>
      <w:r w:rsidR="0072637D">
        <w:t xml:space="preserve"> </w:t>
      </w:r>
      <w:r w:rsidR="0054484D">
        <w:t xml:space="preserve">application </w:t>
      </w:r>
      <w:r w:rsidR="00297EB4">
        <w:t xml:space="preserve">for a licence to </w:t>
      </w:r>
      <w:r w:rsidR="0054484D">
        <w:t xml:space="preserve">construct the </w:t>
      </w:r>
      <w:r w:rsidR="002F3A31">
        <w:t>ILWCI</w:t>
      </w:r>
      <w:r w:rsidR="0054484D">
        <w:t xml:space="preserve"> Facility</w:t>
      </w:r>
      <w:r w:rsidR="0072637D">
        <w:t xml:space="preserve">, </w:t>
      </w:r>
      <w:r w:rsidR="00E113C1">
        <w:t>or earlier</w:t>
      </w:r>
      <w:r w:rsidR="00D56DBA">
        <w:t xml:space="preserve"> where that is feasible</w:t>
      </w:r>
      <w:r w:rsidR="0054484D">
        <w:t xml:space="preserve">. </w:t>
      </w:r>
    </w:p>
    <w:p w14:paraId="6F7810A1" w14:textId="77777777" w:rsidR="009C039D" w:rsidRDefault="009C039D" w:rsidP="001B2873">
      <w:pPr>
        <w:pStyle w:val="Heading1"/>
        <w:numPr>
          <w:ilvl w:val="0"/>
          <w:numId w:val="3"/>
        </w:numPr>
      </w:pPr>
      <w:bookmarkStart w:id="3" w:name="_Toc365889203"/>
      <w:bookmarkStart w:id="4" w:name="_Toc418680008"/>
      <w:bookmarkStart w:id="5" w:name="_Toc96958654"/>
      <w:r w:rsidRPr="009C039D">
        <w:t>Reaching</w:t>
      </w:r>
      <w:r>
        <w:t xml:space="preserve"> the </w:t>
      </w:r>
      <w:r w:rsidR="00F04B3A">
        <w:t>d</w:t>
      </w:r>
      <w:r>
        <w:t>ecision</w:t>
      </w:r>
      <w:bookmarkEnd w:id="3"/>
      <w:bookmarkEnd w:id="4"/>
      <w:bookmarkEnd w:id="5"/>
    </w:p>
    <w:p w14:paraId="6C22E12E" w14:textId="5D39F4F9" w:rsidR="009C039D" w:rsidRDefault="009C039D" w:rsidP="001B2873">
      <w:pPr>
        <w:pStyle w:val="Heading2"/>
        <w:numPr>
          <w:ilvl w:val="1"/>
          <w:numId w:val="3"/>
        </w:numPr>
        <w:tabs>
          <w:tab w:val="left" w:pos="993"/>
        </w:tabs>
        <w:spacing w:before="240"/>
      </w:pPr>
      <w:bookmarkStart w:id="6" w:name="_Toc418680009"/>
      <w:r>
        <w:tab/>
      </w:r>
      <w:bookmarkStart w:id="7" w:name="_Toc96958655"/>
      <w:bookmarkEnd w:id="6"/>
      <w:r w:rsidR="001C051E">
        <w:t>Receipt of application</w:t>
      </w:r>
      <w:bookmarkEnd w:id="7"/>
    </w:p>
    <w:p w14:paraId="46659D58" w14:textId="674D7F3F" w:rsidR="00252478" w:rsidRDefault="009C039D" w:rsidP="005B1700">
      <w:pPr>
        <w:spacing w:before="120" w:line="264" w:lineRule="auto"/>
      </w:pPr>
      <w:r>
        <w:t>On</w:t>
      </w:r>
      <w:r w:rsidR="00764A64" w:rsidDel="0075574C">
        <w:t xml:space="preserve"> </w:t>
      </w:r>
      <w:r w:rsidR="0075574C">
        <w:t xml:space="preserve">23 </w:t>
      </w:r>
      <w:r w:rsidR="00764A64">
        <w:t>July 2021 I received a</w:t>
      </w:r>
      <w:r w:rsidR="00EA5E7B">
        <w:t xml:space="preserve"> licence</w:t>
      </w:r>
      <w:r w:rsidR="005B34E2">
        <w:t xml:space="preserve"> application</w:t>
      </w:r>
      <w:r w:rsidR="00AB43C7">
        <w:t xml:space="preserve"> (A0339)</w:t>
      </w:r>
      <w:r w:rsidR="005B34E2">
        <w:t xml:space="preserve"> from ANSTO to prepare a site for the ILWCI Facility. </w:t>
      </w:r>
      <w:r w:rsidR="00545DC5">
        <w:t xml:space="preserve">Supporting documentation was submitted in accordance </w:t>
      </w:r>
      <w:r w:rsidR="005C13DE">
        <w:t xml:space="preserve">with the </w:t>
      </w:r>
      <w:r w:rsidR="00886245">
        <w:t>application form for nuclear installations</w:t>
      </w:r>
      <w:r w:rsidR="0015201A">
        <w:rPr>
          <w:rStyle w:val="FootnoteReference"/>
        </w:rPr>
        <w:footnoteReference w:id="5"/>
      </w:r>
      <w:r w:rsidR="009C3762">
        <w:t xml:space="preserve">, and the </w:t>
      </w:r>
      <w:r w:rsidR="00F53112">
        <w:t>appropriate fee</w:t>
      </w:r>
      <w:r w:rsidR="009C3762">
        <w:t xml:space="preserve"> was paid. </w:t>
      </w:r>
    </w:p>
    <w:p w14:paraId="379AD0EE" w14:textId="69DBEA36" w:rsidR="009C039D" w:rsidRDefault="009C039D" w:rsidP="001B2873">
      <w:pPr>
        <w:pStyle w:val="Heading2"/>
        <w:numPr>
          <w:ilvl w:val="1"/>
          <w:numId w:val="3"/>
        </w:numPr>
        <w:tabs>
          <w:tab w:val="left" w:pos="993"/>
        </w:tabs>
        <w:spacing w:before="240"/>
        <w:ind w:left="714" w:hanging="357"/>
      </w:pPr>
      <w:bookmarkStart w:id="8" w:name="_Toc418680010"/>
      <w:r>
        <w:tab/>
      </w:r>
      <w:bookmarkStart w:id="9" w:name="_Toc96958656"/>
      <w:r>
        <w:t>Documentary evidence</w:t>
      </w:r>
      <w:bookmarkEnd w:id="8"/>
      <w:r w:rsidR="000C232F">
        <w:t xml:space="preserve"> and references</w:t>
      </w:r>
      <w:bookmarkEnd w:id="9"/>
    </w:p>
    <w:p w14:paraId="4F996BBE" w14:textId="0A9B3353" w:rsidR="009C039D" w:rsidRDefault="009C039D" w:rsidP="005B1700">
      <w:pPr>
        <w:spacing w:line="264" w:lineRule="auto"/>
      </w:pPr>
      <w:r>
        <w:t xml:space="preserve">The evidence before me </w:t>
      </w:r>
      <w:r w:rsidR="00B13D88">
        <w:t>in reaching the decision w</w:t>
      </w:r>
      <w:r w:rsidR="005D29A1">
        <w:t>as</w:t>
      </w:r>
      <w:r w:rsidR="00B13D88">
        <w:t>:</w:t>
      </w:r>
    </w:p>
    <w:p w14:paraId="4E1AC659" w14:textId="0FA5685A" w:rsidR="00B13D88" w:rsidRDefault="001B201E" w:rsidP="001B2873">
      <w:pPr>
        <w:pStyle w:val="ListParagraph"/>
        <w:numPr>
          <w:ilvl w:val="0"/>
          <w:numId w:val="11"/>
        </w:numPr>
        <w:spacing w:before="200" w:after="200" w:line="264" w:lineRule="auto"/>
        <w:contextualSpacing/>
      </w:pPr>
      <w:r>
        <w:t>t</w:t>
      </w:r>
      <w:r w:rsidR="00B13D88">
        <w:t>he application and supporting documentation,</w:t>
      </w:r>
      <w:r w:rsidR="00B13D88" w:rsidDel="00BC129A">
        <w:t xml:space="preserve"> </w:t>
      </w:r>
      <w:r w:rsidR="00BC129A">
        <w:t xml:space="preserve">including </w:t>
      </w:r>
      <w:r w:rsidR="00B13D88">
        <w:t xml:space="preserve">supplementary documentation provided on </w:t>
      </w:r>
      <w:r w:rsidR="00655807">
        <w:t xml:space="preserve">ARPANSA’s </w:t>
      </w:r>
      <w:r w:rsidR="00B13D88">
        <w:t>request</w:t>
      </w:r>
    </w:p>
    <w:p w14:paraId="4BC7499D" w14:textId="4B3CBC29" w:rsidR="009C039D" w:rsidRDefault="00AE7538" w:rsidP="001B2873">
      <w:pPr>
        <w:pStyle w:val="ListParagraph"/>
        <w:numPr>
          <w:ilvl w:val="0"/>
          <w:numId w:val="11"/>
        </w:numPr>
        <w:spacing w:before="200" w:after="200" w:line="264" w:lineRule="auto"/>
        <w:contextualSpacing/>
      </w:pPr>
      <w:r w:rsidRPr="004845DF">
        <w:t>the Regulatory Assessment Report</w:t>
      </w:r>
      <w:r w:rsidR="00447614">
        <w:rPr>
          <w:rStyle w:val="FootnoteReference"/>
        </w:rPr>
        <w:footnoteReference w:id="6"/>
      </w:r>
      <w:r w:rsidRPr="004845DF">
        <w:t xml:space="preserve"> (RAR) </w:t>
      </w:r>
      <w:r w:rsidRPr="00643E86">
        <w:t>R21/07969</w:t>
      </w:r>
      <w:r>
        <w:t xml:space="preserve"> developed by the ARPANSA reviewers</w:t>
      </w:r>
      <w:r w:rsidR="00DF155D">
        <w:rPr>
          <w:rStyle w:val="FootnoteReference"/>
        </w:rPr>
        <w:footnoteReference w:id="7"/>
      </w:r>
    </w:p>
    <w:p w14:paraId="375FF3F6" w14:textId="5AAF0823" w:rsidR="009C039D" w:rsidRDefault="00085B19" w:rsidP="001B2873">
      <w:pPr>
        <w:pStyle w:val="ListParagraph"/>
        <w:numPr>
          <w:ilvl w:val="0"/>
          <w:numId w:val="11"/>
        </w:numPr>
        <w:spacing w:before="200" w:after="200" w:line="264" w:lineRule="auto"/>
        <w:contextualSpacing/>
      </w:pPr>
      <w:r>
        <w:t>recommendations, codes</w:t>
      </w:r>
      <w:r w:rsidR="00FA1F00">
        <w:t>,</w:t>
      </w:r>
      <w:r>
        <w:t xml:space="preserve"> and standards</w:t>
      </w:r>
      <w:r w:rsidR="008D4D3A">
        <w:t xml:space="preserve"> </w:t>
      </w:r>
      <w:r w:rsidR="009C039D">
        <w:t>representing international best practice</w:t>
      </w:r>
      <w:r w:rsidR="000314F2">
        <w:t xml:space="preserve"> (IBP)</w:t>
      </w:r>
      <w:r w:rsidR="009C039D">
        <w:t xml:space="preserve"> </w:t>
      </w:r>
    </w:p>
    <w:p w14:paraId="771EFBBB" w14:textId="65F876C1" w:rsidR="009C039D" w:rsidRPr="00AE103A" w:rsidRDefault="009C039D" w:rsidP="001B2873">
      <w:pPr>
        <w:pStyle w:val="ListParagraph"/>
        <w:numPr>
          <w:ilvl w:val="0"/>
          <w:numId w:val="11"/>
        </w:numPr>
        <w:spacing w:before="0" w:after="200" w:line="264" w:lineRule="auto"/>
        <w:contextualSpacing/>
      </w:pPr>
      <w:r w:rsidRPr="00AE103A">
        <w:lastRenderedPageBreak/>
        <w:t>the Radiation Protection Series</w:t>
      </w:r>
      <w:r w:rsidR="00C061ED">
        <w:rPr>
          <w:rStyle w:val="FootnoteReference"/>
        </w:rPr>
        <w:footnoteReference w:id="8"/>
      </w:r>
      <w:r w:rsidRPr="00AE103A">
        <w:t xml:space="preserve"> </w:t>
      </w:r>
      <w:r w:rsidR="000314F2">
        <w:t xml:space="preserve">(RPS) </w:t>
      </w:r>
      <w:r w:rsidR="008F0548">
        <w:t>Codes and Guides</w:t>
      </w:r>
      <w:r w:rsidRPr="00AE103A">
        <w:t xml:space="preserve"> developed to support and promote uniformity in radiation protection and nuclear safety</w:t>
      </w:r>
      <w:r w:rsidR="00F60FDA">
        <w:t xml:space="preserve"> policies and </w:t>
      </w:r>
      <w:r w:rsidR="00757A98">
        <w:t>practices</w:t>
      </w:r>
      <w:r w:rsidRPr="00AE103A">
        <w:t xml:space="preserve"> across Australian jurisdictions</w:t>
      </w:r>
    </w:p>
    <w:p w14:paraId="3658E7C3" w14:textId="32DFFE57" w:rsidR="00B40E1F" w:rsidRDefault="00D118F8" w:rsidP="001B2873">
      <w:pPr>
        <w:pStyle w:val="ListParagraph"/>
        <w:numPr>
          <w:ilvl w:val="0"/>
          <w:numId w:val="11"/>
        </w:numPr>
        <w:spacing w:before="0" w:after="200" w:line="264" w:lineRule="auto"/>
        <w:contextualSpacing/>
      </w:pPr>
      <w:r>
        <w:t xml:space="preserve">ARPANSA’s </w:t>
      </w:r>
      <w:r w:rsidR="009C039D">
        <w:t>r</w:t>
      </w:r>
      <w:r w:rsidR="009C039D" w:rsidRPr="0076416F">
        <w:t>egulatory guidance</w:t>
      </w:r>
      <w:r w:rsidR="00C061ED">
        <w:rPr>
          <w:rStyle w:val="FootnoteReference"/>
        </w:rPr>
        <w:footnoteReference w:id="9"/>
      </w:r>
      <w:r w:rsidR="009C039D" w:rsidRPr="0076416F">
        <w:t xml:space="preserve">, developed for applicants and </w:t>
      </w:r>
      <w:r w:rsidR="009C039D">
        <w:t>reviewers</w:t>
      </w:r>
    </w:p>
    <w:p w14:paraId="3A4E9F2C" w14:textId="2D2BEFB1" w:rsidR="009C039D" w:rsidRDefault="008C0BF1" w:rsidP="001B2873">
      <w:pPr>
        <w:pStyle w:val="ListParagraph"/>
        <w:numPr>
          <w:ilvl w:val="0"/>
          <w:numId w:val="11"/>
        </w:numPr>
        <w:spacing w:before="0" w:after="200" w:line="264" w:lineRule="auto"/>
        <w:contextualSpacing/>
      </w:pPr>
      <w:r>
        <w:t xml:space="preserve">advice and </w:t>
      </w:r>
      <w:r w:rsidR="00B40E1F">
        <w:t xml:space="preserve">submissions </w:t>
      </w:r>
      <w:r w:rsidR="000A39C9">
        <w:t>in relation to t</w:t>
      </w:r>
      <w:r w:rsidR="00B40E1F">
        <w:t xml:space="preserve">he </w:t>
      </w:r>
      <w:r>
        <w:t>application</w:t>
      </w:r>
      <w:r w:rsidR="000C232F">
        <w:t>.</w:t>
      </w:r>
    </w:p>
    <w:p w14:paraId="58597686" w14:textId="77777777" w:rsidR="008B4C04" w:rsidRDefault="008B4C04" w:rsidP="001B2873">
      <w:pPr>
        <w:pStyle w:val="Heading2"/>
        <w:numPr>
          <w:ilvl w:val="1"/>
          <w:numId w:val="3"/>
        </w:numPr>
        <w:tabs>
          <w:tab w:val="left" w:pos="993"/>
        </w:tabs>
        <w:spacing w:before="240"/>
        <w:ind w:left="714" w:hanging="357"/>
      </w:pPr>
      <w:r>
        <w:tab/>
      </w:r>
      <w:bookmarkStart w:id="10" w:name="_Toc96958657"/>
      <w:r>
        <w:t>The Nuclear Safety Committee</w:t>
      </w:r>
      <w:bookmarkEnd w:id="10"/>
    </w:p>
    <w:p w14:paraId="7B24D20F" w14:textId="1B0DE503" w:rsidR="008B4C04" w:rsidRDefault="008B4C04" w:rsidP="008B4C04">
      <w:pPr>
        <w:spacing w:before="120" w:line="264" w:lineRule="auto"/>
      </w:pPr>
      <w:r>
        <w:t xml:space="preserve">The Nuclear Safety Committee is established under the Act to, </w:t>
      </w:r>
      <w:r w:rsidRPr="00BB11D9">
        <w:rPr>
          <w:i/>
          <w:iCs/>
        </w:rPr>
        <w:t>inter alia</w:t>
      </w:r>
      <w:r>
        <w:t>, provide advice to the CEO of ARPANSA on matters relating to nuclear safety and the safety of controlled facilities</w:t>
      </w:r>
      <w:r>
        <w:rPr>
          <w:rStyle w:val="FootnoteReference"/>
        </w:rPr>
        <w:footnoteReference w:id="10"/>
      </w:r>
      <w:r>
        <w:t xml:space="preserve">. The Committee </w:t>
      </w:r>
      <w:r w:rsidR="00FA304C">
        <w:t xml:space="preserve">was provided an orientation of the ILWCI Facility application </w:t>
      </w:r>
      <w:r w:rsidR="00716EBB">
        <w:t xml:space="preserve">at its meeting on </w:t>
      </w:r>
      <w:r>
        <w:t>26 November 2021</w:t>
      </w:r>
      <w:r w:rsidR="00716EBB">
        <w:t xml:space="preserve">. </w:t>
      </w:r>
      <w:r w:rsidR="00F87D95">
        <w:t>Committee members subsequently provided a</w:t>
      </w:r>
      <w:r>
        <w:t>dvice on the RAR, the safety analysis report and the safety assessment</w:t>
      </w:r>
      <w:r w:rsidR="00F87D95">
        <w:t xml:space="preserve">, which </w:t>
      </w:r>
      <w:r>
        <w:t>were considered in ARPANSA’s review and assessment, and in the licence decision.</w:t>
      </w:r>
    </w:p>
    <w:p w14:paraId="414CEE35" w14:textId="7DC8E5A5" w:rsidR="008B4C04" w:rsidRPr="005C7DF9" w:rsidRDefault="008B4C04" w:rsidP="0043022F">
      <w:pPr>
        <w:spacing w:before="120" w:line="264" w:lineRule="auto"/>
        <w:rPr>
          <w:i/>
          <w:iCs/>
        </w:rPr>
      </w:pPr>
      <w:r>
        <w:t xml:space="preserve">The Committee reviewed a draft of this Statement of Reasons at its meeting on 25 February 2022. </w:t>
      </w:r>
      <w:r w:rsidR="00B65C0F" w:rsidRPr="0043022F">
        <w:t>Members in attendance</w:t>
      </w:r>
      <w:r w:rsidRPr="0043022F">
        <w:t xml:space="preserve"> supported </w:t>
      </w:r>
      <w:r w:rsidR="00075522" w:rsidRPr="0043022F">
        <w:t>my</w:t>
      </w:r>
      <w:r w:rsidRPr="0043022F">
        <w:t xml:space="preserve"> preliminary decision to approve the application, </w:t>
      </w:r>
      <w:r w:rsidR="00CF1D57" w:rsidRPr="0043022F">
        <w:t>subject</w:t>
      </w:r>
      <w:r w:rsidRPr="0043022F">
        <w:t xml:space="preserve"> to conditions of licence as further </w:t>
      </w:r>
      <w:r w:rsidR="00CF1D57" w:rsidRPr="0043022F">
        <w:t>outlined</w:t>
      </w:r>
      <w:r w:rsidRPr="0043022F">
        <w:t xml:space="preserve"> in this Statement of Reasons. The minutes from the meeting </w:t>
      </w:r>
      <w:r w:rsidR="00025DCC" w:rsidRPr="0043022F">
        <w:t>will be published online</w:t>
      </w:r>
      <w:r w:rsidR="0043022F" w:rsidRPr="0043022F">
        <w:t xml:space="preserve"> in due course.</w:t>
      </w:r>
    </w:p>
    <w:p w14:paraId="0D294B0A" w14:textId="77777777" w:rsidR="000C232F" w:rsidRDefault="000C232F" w:rsidP="001B2873">
      <w:pPr>
        <w:pStyle w:val="Heading2"/>
        <w:numPr>
          <w:ilvl w:val="1"/>
          <w:numId w:val="3"/>
        </w:numPr>
        <w:tabs>
          <w:tab w:val="left" w:pos="993"/>
        </w:tabs>
        <w:spacing w:before="240"/>
        <w:ind w:left="714" w:hanging="357"/>
      </w:pPr>
      <w:r>
        <w:tab/>
      </w:r>
      <w:bookmarkStart w:id="11" w:name="_Toc96958658"/>
      <w:r>
        <w:t>Consultation</w:t>
      </w:r>
      <w:bookmarkEnd w:id="11"/>
    </w:p>
    <w:p w14:paraId="0430818C" w14:textId="6DF9633B" w:rsidR="000C232F" w:rsidRDefault="0073383F" w:rsidP="000C232F">
      <w:pPr>
        <w:pStyle w:val="ListParagraph"/>
        <w:numPr>
          <w:ilvl w:val="0"/>
          <w:numId w:val="0"/>
        </w:numPr>
        <w:spacing w:line="264" w:lineRule="auto"/>
      </w:pPr>
      <w:r>
        <w:t>In accordance with</w:t>
      </w:r>
      <w:r w:rsidR="000C232F">
        <w:t xml:space="preserve"> section 48 of the Regulations, ARPANSA published a notice of intent to </w:t>
      </w:r>
      <w:proofErr w:type="gramStart"/>
      <w:r w:rsidR="000C232F">
        <w:t>make a decision</w:t>
      </w:r>
      <w:proofErr w:type="gramEnd"/>
      <w:r w:rsidR="000C232F" w:rsidRPr="0074673B">
        <w:t xml:space="preserve"> </w:t>
      </w:r>
      <w:r w:rsidR="000C232F">
        <w:t xml:space="preserve">on </w:t>
      </w:r>
      <w:r w:rsidR="00410317">
        <w:t>1</w:t>
      </w:r>
      <w:r w:rsidR="00DF7651">
        <w:t> </w:t>
      </w:r>
      <w:r w:rsidR="00410317">
        <w:t xml:space="preserve">September </w:t>
      </w:r>
      <w:r w:rsidR="000C232F">
        <w:t xml:space="preserve">2021. The notification was </w:t>
      </w:r>
      <w:r w:rsidR="002729EB">
        <w:t xml:space="preserve">posted </w:t>
      </w:r>
      <w:r w:rsidR="000C232F">
        <w:t>on ARPANSA’s website</w:t>
      </w:r>
      <w:r w:rsidR="00664A1B">
        <w:t xml:space="preserve"> together with </w:t>
      </w:r>
      <w:r w:rsidR="00CD6F2A">
        <w:t>ANSTO’s submission</w:t>
      </w:r>
      <w:r w:rsidR="005D21F3">
        <w:rPr>
          <w:rStyle w:val="FootnoteReference"/>
        </w:rPr>
        <w:footnoteReference w:id="11"/>
      </w:r>
      <w:r w:rsidR="00CD6F2A">
        <w:t>. The notification was also published</w:t>
      </w:r>
      <w:r w:rsidR="000C232F">
        <w:t xml:space="preserve"> in </w:t>
      </w:r>
      <w:r w:rsidR="000C232F" w:rsidRPr="00E05FF9">
        <w:rPr>
          <w:i/>
          <w:iCs/>
        </w:rPr>
        <w:t>The Australian</w:t>
      </w:r>
      <w:r w:rsidR="000C232F">
        <w:t xml:space="preserve"> newspaper, and in the </w:t>
      </w:r>
      <w:r w:rsidR="007C40D6">
        <w:rPr>
          <w:i/>
          <w:iCs/>
        </w:rPr>
        <w:t xml:space="preserve">St George </w:t>
      </w:r>
      <w:r w:rsidR="00985101">
        <w:rPr>
          <w:i/>
          <w:iCs/>
        </w:rPr>
        <w:t xml:space="preserve">Leader </w:t>
      </w:r>
      <w:r w:rsidR="007C40D6" w:rsidRPr="00985101">
        <w:t>and</w:t>
      </w:r>
      <w:r w:rsidR="007C40D6">
        <w:rPr>
          <w:i/>
          <w:iCs/>
        </w:rPr>
        <w:t xml:space="preserve"> Sutherland Shire Leade</w:t>
      </w:r>
      <w:r w:rsidR="000D5BA8">
        <w:rPr>
          <w:i/>
          <w:iCs/>
        </w:rPr>
        <w:t>r</w:t>
      </w:r>
      <w:r w:rsidR="000C232F">
        <w:t xml:space="preserve">. </w:t>
      </w:r>
    </w:p>
    <w:p w14:paraId="16B949B3" w14:textId="78148732" w:rsidR="00A21B57" w:rsidRDefault="000C232F" w:rsidP="000C232F">
      <w:pPr>
        <w:spacing w:before="120" w:line="264" w:lineRule="auto"/>
      </w:pPr>
      <w:r>
        <w:t xml:space="preserve">As the application was for a </w:t>
      </w:r>
      <w:r w:rsidRPr="00983E5E">
        <w:t>nuclear installation</w:t>
      </w:r>
      <w:r>
        <w:t xml:space="preserve">, </w:t>
      </w:r>
      <w:r w:rsidR="00CE5CE4">
        <w:t>the notice included an invitation</w:t>
      </w:r>
      <w:r w:rsidR="000917C2">
        <w:t xml:space="preserve"> </w:t>
      </w:r>
      <w:r w:rsidR="00D41B92">
        <w:t xml:space="preserve">for interested third parties </w:t>
      </w:r>
      <w:r w:rsidR="000917C2">
        <w:t>to make</w:t>
      </w:r>
      <w:r>
        <w:t xml:space="preserve"> submissions in relation to the application</w:t>
      </w:r>
      <w:r w:rsidR="000917C2">
        <w:t xml:space="preserve"> with a closing </w:t>
      </w:r>
      <w:r w:rsidR="000D5BA8">
        <w:t>date</w:t>
      </w:r>
      <w:r w:rsidR="000917C2">
        <w:t xml:space="preserve"> of</w:t>
      </w:r>
      <w:r w:rsidR="00A02D11">
        <w:t xml:space="preserve"> 15 November 2021</w:t>
      </w:r>
      <w:r w:rsidR="00D02B86">
        <w:t>. ARPANSA organised a public forum (virtual</w:t>
      </w:r>
      <w:r w:rsidR="000D5BA8">
        <w:t xml:space="preserve"> due to the COVID-19 pandemic</w:t>
      </w:r>
      <w:r w:rsidR="00D02B86">
        <w:t xml:space="preserve">) </w:t>
      </w:r>
      <w:r w:rsidR="005829F6">
        <w:t>on</w:t>
      </w:r>
      <w:r w:rsidR="00C405DE">
        <w:t xml:space="preserve"> 13 October 2021 </w:t>
      </w:r>
      <w:r>
        <w:t>to provide information on different aspects of the proposed facility and on ARPANSA’s review and assessment of the application</w:t>
      </w:r>
      <w:r w:rsidR="00C405DE">
        <w:rPr>
          <w:rStyle w:val="FootnoteReference"/>
        </w:rPr>
        <w:footnoteReference w:id="12"/>
      </w:r>
      <w:r>
        <w:t>.</w:t>
      </w:r>
      <w:r w:rsidR="00E07B4D">
        <w:t xml:space="preserve"> </w:t>
      </w:r>
    </w:p>
    <w:p w14:paraId="460360F4" w14:textId="1AC5A52B" w:rsidR="0085538A" w:rsidRDefault="0085538A" w:rsidP="000C232F">
      <w:pPr>
        <w:spacing w:before="120" w:line="264" w:lineRule="auto"/>
      </w:pPr>
      <w:r>
        <w:t xml:space="preserve">The submissions </w:t>
      </w:r>
      <w:r w:rsidR="00892AF9">
        <w:t>are available from ARPANSA’s website</w:t>
      </w:r>
      <w:r w:rsidR="00E6059C">
        <w:rPr>
          <w:rStyle w:val="FootnoteReference"/>
        </w:rPr>
        <w:footnoteReference w:id="13"/>
      </w:r>
      <w:r w:rsidR="00892AF9">
        <w:t xml:space="preserve">, unless </w:t>
      </w:r>
      <w:r w:rsidR="00B01939">
        <w:t xml:space="preserve">a request </w:t>
      </w:r>
      <w:r w:rsidR="00FE583B">
        <w:t xml:space="preserve">for confidentiality </w:t>
      </w:r>
      <w:r w:rsidR="00B01939">
        <w:t>had been made</w:t>
      </w:r>
      <w:r w:rsidR="00FE583B">
        <w:t>.</w:t>
      </w:r>
      <w:r w:rsidR="00321B68">
        <w:t xml:space="preserve"> </w:t>
      </w:r>
      <w:r w:rsidR="00321B68" w:rsidRPr="00BA3C58">
        <w:t>Appendix</w:t>
      </w:r>
      <w:r w:rsidR="00321B68" w:rsidRPr="00BA3C58" w:rsidDel="0075574C">
        <w:t xml:space="preserve"> </w:t>
      </w:r>
      <w:r w:rsidR="0075574C" w:rsidRPr="00BA3C58">
        <w:t xml:space="preserve">3 </w:t>
      </w:r>
      <w:r w:rsidR="00321B68" w:rsidRPr="00BA3C58">
        <w:t xml:space="preserve">to the RAR </w:t>
      </w:r>
      <w:r w:rsidR="00FB4D8F" w:rsidRPr="00BA3C58">
        <w:t>provides an analysis</w:t>
      </w:r>
      <w:r w:rsidR="000C2B29" w:rsidRPr="00BA3C58">
        <w:t xml:space="preserve"> of the submissions and addresses the issues raised.</w:t>
      </w:r>
      <w:r w:rsidR="00441295">
        <w:t xml:space="preserve"> I also address</w:t>
      </w:r>
      <w:r w:rsidR="00BF403C">
        <w:t xml:space="preserve"> key parts of</w:t>
      </w:r>
      <w:r w:rsidR="00441295">
        <w:t xml:space="preserve"> </w:t>
      </w:r>
      <w:r w:rsidR="00BF403C">
        <w:t xml:space="preserve">the submissions in section 3.8 of this report. </w:t>
      </w:r>
    </w:p>
    <w:p w14:paraId="02C49997" w14:textId="7E855CE8" w:rsidR="00E91604" w:rsidRDefault="00E91604" w:rsidP="001B2873">
      <w:pPr>
        <w:pStyle w:val="Heading2"/>
        <w:numPr>
          <w:ilvl w:val="1"/>
          <w:numId w:val="3"/>
        </w:numPr>
        <w:tabs>
          <w:tab w:val="left" w:pos="993"/>
        </w:tabs>
        <w:spacing w:before="240"/>
        <w:ind w:left="714" w:hanging="357"/>
      </w:pPr>
      <w:bookmarkStart w:id="12" w:name="_Toc365889205"/>
      <w:bookmarkStart w:id="13" w:name="_Toc418680011"/>
      <w:r>
        <w:tab/>
      </w:r>
      <w:bookmarkStart w:id="14" w:name="_Toc96958659"/>
      <w:r w:rsidR="006A24C6">
        <w:t xml:space="preserve">Matters that must be </w:t>
      </w:r>
      <w:proofErr w:type="gramStart"/>
      <w:r w:rsidR="006A24C6">
        <w:t>taken into account</w:t>
      </w:r>
      <w:proofErr w:type="gramEnd"/>
      <w:r w:rsidR="006A24C6">
        <w:t xml:space="preserve"> when reaching a decision</w:t>
      </w:r>
      <w:bookmarkEnd w:id="14"/>
    </w:p>
    <w:p w14:paraId="5D4A3760" w14:textId="7A450AC3" w:rsidR="006245E9" w:rsidRPr="006245E9" w:rsidRDefault="006245E9" w:rsidP="006245E9">
      <w:pPr>
        <w:spacing w:before="120" w:line="264" w:lineRule="auto"/>
      </w:pPr>
      <w:r>
        <w:t>Sub-section 32(3) of the Act requires the CEO of ARPANSA to consider international best practice in relation to radiation protection and nuclear safety when deciding whether to issue a licence</w:t>
      </w:r>
      <w:r w:rsidR="00350CEA">
        <w:t>,</w:t>
      </w:r>
      <w:r>
        <w:t xml:space="preserve"> </w:t>
      </w:r>
      <w:r w:rsidR="00350CEA">
        <w:t>as well as</w:t>
      </w:r>
      <w:r>
        <w:t xml:space="preserve"> matters outlined in section 53 of the Regulations that are specific for a facility licence.</w:t>
      </w:r>
    </w:p>
    <w:p w14:paraId="1A73052E" w14:textId="1F3CC689" w:rsidR="00B40E37" w:rsidRPr="00B40E37" w:rsidRDefault="006245E9" w:rsidP="006245E9">
      <w:pPr>
        <w:pStyle w:val="Heading3"/>
        <w:spacing w:before="120"/>
        <w:ind w:left="357"/>
      </w:pPr>
      <w:bookmarkStart w:id="15" w:name="_Toc96958660"/>
      <w:r>
        <w:t>2.</w:t>
      </w:r>
      <w:r w:rsidR="000C232F">
        <w:t>5</w:t>
      </w:r>
      <w:r>
        <w:t xml:space="preserve">.1   </w:t>
      </w:r>
      <w:r w:rsidR="00B40E37">
        <w:t>International best practice</w:t>
      </w:r>
      <w:bookmarkEnd w:id="15"/>
    </w:p>
    <w:p w14:paraId="1D3AA7ED" w14:textId="044A294F" w:rsidR="00245CDA" w:rsidRDefault="00B9368C" w:rsidP="00F87ACA">
      <w:pPr>
        <w:spacing w:before="120" w:line="264" w:lineRule="auto"/>
      </w:pPr>
      <w:r>
        <w:t xml:space="preserve">In my view, consideration of international best practice involves the following: </w:t>
      </w:r>
    </w:p>
    <w:p w14:paraId="0923DFA1" w14:textId="316B0913" w:rsidR="00245CDA" w:rsidRDefault="00B9368C" w:rsidP="001B2873">
      <w:pPr>
        <w:pStyle w:val="ListParagraph"/>
        <w:numPr>
          <w:ilvl w:val="0"/>
          <w:numId w:val="4"/>
        </w:numPr>
        <w:spacing w:line="264" w:lineRule="auto"/>
      </w:pPr>
      <w:r>
        <w:lastRenderedPageBreak/>
        <w:t xml:space="preserve">the radiation protection, and nuclear safety and security objectives as a part of siting, design, operation, and decommissioning; compared to those laid out in the international framework for safety, security and radiation protection </w:t>
      </w:r>
      <w:r w:rsidR="002B2503">
        <w:t xml:space="preserve">and </w:t>
      </w:r>
      <w:r>
        <w:t>documented in international standards</w:t>
      </w:r>
    </w:p>
    <w:p w14:paraId="1279754B" w14:textId="7247FA70" w:rsidR="00C77814" w:rsidRDefault="00B9368C" w:rsidP="001B2873">
      <w:pPr>
        <w:pStyle w:val="ListParagraph"/>
        <w:numPr>
          <w:ilvl w:val="0"/>
          <w:numId w:val="4"/>
        </w:numPr>
        <w:spacing w:line="264" w:lineRule="auto"/>
      </w:pPr>
      <w:r>
        <w:t xml:space="preserve">technical standards for construction, </w:t>
      </w:r>
      <w:proofErr w:type="gramStart"/>
      <w:r>
        <w:t>materials</w:t>
      </w:r>
      <w:proofErr w:type="gramEnd"/>
      <w:r>
        <w:t xml:space="preserve"> and other </w:t>
      </w:r>
      <w:r w:rsidR="001F086D">
        <w:t>matters</w:t>
      </w:r>
      <w:r>
        <w:t xml:space="preserve"> relevant to safety</w:t>
      </w:r>
    </w:p>
    <w:p w14:paraId="5DCABD1C" w14:textId="4E5F810A" w:rsidR="00E755EA" w:rsidRDefault="00B9368C" w:rsidP="001B2873">
      <w:pPr>
        <w:pStyle w:val="ListParagraph"/>
        <w:numPr>
          <w:ilvl w:val="0"/>
          <w:numId w:val="4"/>
        </w:numPr>
        <w:spacing w:line="264" w:lineRule="auto"/>
      </w:pPr>
      <w:r>
        <w:t>experience from siting, construction, operation, and decommissioning of similar facilities</w:t>
      </w:r>
      <w:r w:rsidR="00F35720">
        <w:t xml:space="preserve"> in Australia and</w:t>
      </w:r>
      <w:r>
        <w:t xml:space="preserve"> in </w:t>
      </w:r>
      <w:r w:rsidR="00F35720">
        <w:t xml:space="preserve">other </w:t>
      </w:r>
      <w:r>
        <w:t xml:space="preserve">countries with an advanced infrastructure for safety. </w:t>
      </w:r>
    </w:p>
    <w:p w14:paraId="50F76227" w14:textId="23817AC7" w:rsidR="008C64E2" w:rsidRDefault="00B9368C" w:rsidP="00F87ACA">
      <w:pPr>
        <w:spacing w:before="120" w:line="264" w:lineRule="auto"/>
      </w:pPr>
      <w:r>
        <w:t xml:space="preserve">The </w:t>
      </w:r>
      <w:r w:rsidR="00FA6947">
        <w:t xml:space="preserve">main </w:t>
      </w:r>
      <w:r>
        <w:t xml:space="preserve">elements of the international framework for safety, which I consider </w:t>
      </w:r>
      <w:r w:rsidR="00885716">
        <w:t xml:space="preserve">to be relevant </w:t>
      </w:r>
      <w:r>
        <w:t>international best practice, are laid out in</w:t>
      </w:r>
      <w:r w:rsidRPr="008E3B36">
        <w:rPr>
          <w:i/>
          <w:iCs/>
        </w:rPr>
        <w:t>, inter alia</w:t>
      </w:r>
      <w:r>
        <w:t xml:space="preserve">, the Safety Fundamentals and Safety Requirements </w:t>
      </w:r>
      <w:r w:rsidR="00FA6947">
        <w:t xml:space="preserve">and </w:t>
      </w:r>
      <w:r w:rsidR="00F3385F">
        <w:t xml:space="preserve">Safety Guides </w:t>
      </w:r>
      <w:r>
        <w:t>published by the International Atomic Energy Agency (IAEA</w:t>
      </w:r>
      <w:r w:rsidR="00B65458">
        <w:t>)</w:t>
      </w:r>
      <w:r>
        <w:t xml:space="preserve">; in the IAEA Fundamentals and Recommendations on Nuclear Security, and in the Recommendations of the International Commission on Radiological Protection (ICRP). The framework is supported by assessments of health and environmental risks </w:t>
      </w:r>
      <w:r w:rsidR="00C12FD7">
        <w:t>from radiation</w:t>
      </w:r>
      <w:r w:rsidR="00A20DE4">
        <w:t>,</w:t>
      </w:r>
      <w:r w:rsidR="00C12FD7">
        <w:t xml:space="preserve"> </w:t>
      </w:r>
      <w:r w:rsidR="00A20DE4">
        <w:t>including</w:t>
      </w:r>
      <w:r>
        <w:t xml:space="preserve"> the scientific evaluations carried out by the United Nations Scientific Committee on the Effects of Atomic Radiation (UNSCEAR). </w:t>
      </w:r>
    </w:p>
    <w:p w14:paraId="5223D928" w14:textId="4A37B25F" w:rsidR="00FE78CB" w:rsidRDefault="00B9368C" w:rsidP="00F87ACA">
      <w:pPr>
        <w:spacing w:before="120" w:line="264" w:lineRule="auto"/>
      </w:pPr>
      <w:r>
        <w:t>ARPANSA’s regulatory guides as well as the RPS suite of publications developed in collaboration with state and territory regulators across Australia reflect international best practice as applicable in the Australian context</w:t>
      </w:r>
      <w:r w:rsidR="002367AD">
        <w:t xml:space="preserve">. </w:t>
      </w:r>
      <w:r w:rsidR="00365C64">
        <w:t>ARPANSA maintains information on a selection of relevant</w:t>
      </w:r>
      <w:r w:rsidR="00051AEF">
        <w:t xml:space="preserve"> international</w:t>
      </w:r>
      <w:r w:rsidR="00365C64">
        <w:t xml:space="preserve"> standards and risk assessments on its website</w:t>
      </w:r>
      <w:r w:rsidR="009D306D">
        <w:t>.</w:t>
      </w:r>
      <w:r w:rsidR="00365C64">
        <w:rPr>
          <w:rStyle w:val="FootnoteReference"/>
        </w:rPr>
        <w:footnoteReference w:id="14"/>
      </w:r>
    </w:p>
    <w:p w14:paraId="5C241DE7" w14:textId="08C0EEA9" w:rsidR="006245E9" w:rsidRPr="00B40E37" w:rsidRDefault="006245E9" w:rsidP="006245E9">
      <w:pPr>
        <w:pStyle w:val="Heading3"/>
        <w:spacing w:before="120"/>
        <w:ind w:left="357"/>
      </w:pPr>
      <w:bookmarkStart w:id="16" w:name="_Toc96958661"/>
      <w:r>
        <w:t>2.</w:t>
      </w:r>
      <w:r w:rsidR="000C232F">
        <w:t>5</w:t>
      </w:r>
      <w:r>
        <w:t xml:space="preserve">.2   </w:t>
      </w:r>
      <w:r w:rsidR="00350CEA">
        <w:t>Specific matters</w:t>
      </w:r>
      <w:bookmarkEnd w:id="16"/>
    </w:p>
    <w:p w14:paraId="696F3290" w14:textId="77777777" w:rsidR="009C039D" w:rsidRDefault="00380912" w:rsidP="005B1700">
      <w:pPr>
        <w:spacing w:before="120" w:line="264" w:lineRule="auto"/>
      </w:pPr>
      <w:r>
        <w:t>Section 53</w:t>
      </w:r>
      <w:r w:rsidR="009C039D">
        <w:t xml:space="preserve"> of the Regulations specifies matters that I must </w:t>
      </w:r>
      <w:proofErr w:type="gramStart"/>
      <w:r w:rsidR="009C039D">
        <w:t>take into account</w:t>
      </w:r>
      <w:proofErr w:type="gramEnd"/>
      <w:r w:rsidR="009C039D">
        <w:t xml:space="preserve"> in deciding whether to issue a facility licence. These are:</w:t>
      </w:r>
    </w:p>
    <w:p w14:paraId="3B7383D9" w14:textId="27021C43" w:rsidR="00874F03" w:rsidRPr="006245E9" w:rsidRDefault="00874F03" w:rsidP="001B2873">
      <w:pPr>
        <w:pStyle w:val="ListParagraph"/>
        <w:numPr>
          <w:ilvl w:val="0"/>
          <w:numId w:val="16"/>
        </w:numPr>
        <w:spacing w:line="264" w:lineRule="auto"/>
      </w:pPr>
      <w:r w:rsidRPr="006245E9">
        <w:t xml:space="preserve">whether the application for the licence complies with subsection 46(1) of </w:t>
      </w:r>
      <w:r w:rsidR="000C232F" w:rsidRPr="00266163">
        <w:t>the Regulations</w:t>
      </w:r>
    </w:p>
    <w:p w14:paraId="5995FC30" w14:textId="268EDE6F" w:rsidR="00874F03" w:rsidRPr="006245E9" w:rsidRDefault="00874F03" w:rsidP="001B2873">
      <w:pPr>
        <w:pStyle w:val="ListParagraph"/>
        <w:numPr>
          <w:ilvl w:val="0"/>
          <w:numId w:val="16"/>
        </w:numPr>
        <w:spacing w:line="264" w:lineRule="auto"/>
      </w:pPr>
      <w:bookmarkStart w:id="17" w:name="_Hlk92798148"/>
      <w:r w:rsidRPr="006245E9">
        <w:t>whether the applicant for the licence has given the information asked for by the CEO</w:t>
      </w:r>
    </w:p>
    <w:bookmarkEnd w:id="17"/>
    <w:p w14:paraId="69F8ADE7" w14:textId="51F8058A" w:rsidR="00874F03" w:rsidRPr="006245E9" w:rsidRDefault="00874F03" w:rsidP="001B2873">
      <w:pPr>
        <w:pStyle w:val="ListParagraph"/>
        <w:numPr>
          <w:ilvl w:val="0"/>
          <w:numId w:val="16"/>
        </w:numPr>
        <w:spacing w:line="264" w:lineRule="auto"/>
      </w:pPr>
      <w:r w:rsidRPr="006245E9">
        <w:t>whether the application, together with the information (if any) given as described in paragraph (b), establishes that the conduct proposed to be authorised by the licence can be carried out without undue risk to the health and safety of people, and to the environment</w:t>
      </w:r>
    </w:p>
    <w:p w14:paraId="0434696A" w14:textId="32F96855" w:rsidR="00874F03" w:rsidRPr="006245E9" w:rsidRDefault="00874F03" w:rsidP="001B2873">
      <w:pPr>
        <w:pStyle w:val="ListParagraph"/>
        <w:numPr>
          <w:ilvl w:val="0"/>
          <w:numId w:val="16"/>
        </w:numPr>
        <w:spacing w:line="264" w:lineRule="auto"/>
      </w:pPr>
      <w:r w:rsidRPr="006245E9">
        <w:t>whether the applicant has shown that there is a net benefit from carrying out the conduct proposed to be authorised by the licence</w:t>
      </w:r>
    </w:p>
    <w:p w14:paraId="69BCA999" w14:textId="25245F9E" w:rsidR="00874F03" w:rsidRPr="006245E9" w:rsidRDefault="00874F03" w:rsidP="001B2873">
      <w:pPr>
        <w:pStyle w:val="ListParagraph"/>
        <w:numPr>
          <w:ilvl w:val="0"/>
          <w:numId w:val="16"/>
        </w:numPr>
        <w:spacing w:line="264" w:lineRule="auto"/>
      </w:pPr>
      <w:r w:rsidRPr="006245E9">
        <w:t>whether the applicant has shown that the magnitude of individual doses, the number of people exposed and the likelihood that exposure will happen are as low as reasonably achievable, having regard to economic and societal factors</w:t>
      </w:r>
    </w:p>
    <w:p w14:paraId="05C3453A" w14:textId="1702F535" w:rsidR="00874F03" w:rsidRPr="006245E9" w:rsidRDefault="00874F03" w:rsidP="001B2873">
      <w:pPr>
        <w:pStyle w:val="ListParagraph"/>
        <w:numPr>
          <w:ilvl w:val="0"/>
          <w:numId w:val="16"/>
        </w:numPr>
        <w:spacing w:line="264" w:lineRule="auto"/>
      </w:pPr>
      <w:r w:rsidRPr="006245E9">
        <w:t xml:space="preserve">whether the applicant has shown a capacity for complying with </w:t>
      </w:r>
      <w:r w:rsidR="005A2134">
        <w:t>the Regulations</w:t>
      </w:r>
      <w:r w:rsidRPr="006245E9">
        <w:t xml:space="preserve"> and the licence conditions that would be imposed under section 35 of the Act</w:t>
      </w:r>
    </w:p>
    <w:p w14:paraId="2F43721A" w14:textId="6785B4F0" w:rsidR="00874F03" w:rsidRPr="006245E9" w:rsidRDefault="00874F03" w:rsidP="001B2873">
      <w:pPr>
        <w:pStyle w:val="ListParagraph"/>
        <w:numPr>
          <w:ilvl w:val="0"/>
          <w:numId w:val="16"/>
        </w:numPr>
        <w:spacing w:line="264" w:lineRule="auto"/>
      </w:pPr>
      <w:r w:rsidRPr="006245E9">
        <w:t xml:space="preserve">whether the application has been signed by an office holder of the applicant, a person authorised by an office holder of the applicant or, if the licence is for a Commonwealth entity mentioned in section 45 of </w:t>
      </w:r>
      <w:r w:rsidR="0081799C">
        <w:t>the Regulations</w:t>
      </w:r>
      <w:r w:rsidRPr="006245E9">
        <w:t>, someone described in paragraph (b) of that section</w:t>
      </w:r>
    </w:p>
    <w:p w14:paraId="42007EB9" w14:textId="77777777" w:rsidR="000649E6" w:rsidRDefault="00874F03" w:rsidP="001B2873">
      <w:pPr>
        <w:pStyle w:val="ListParagraph"/>
        <w:numPr>
          <w:ilvl w:val="0"/>
          <w:numId w:val="16"/>
        </w:numPr>
        <w:spacing w:line="264" w:lineRule="auto"/>
      </w:pPr>
      <w:r w:rsidRPr="006245E9">
        <w:t>if the application is for a facility licence for a nuclear installation—the content of any submissions made by members of the public about the application.</w:t>
      </w:r>
      <w:r w:rsidR="000649E6" w:rsidRPr="000649E6">
        <w:t xml:space="preserve"> </w:t>
      </w:r>
    </w:p>
    <w:p w14:paraId="7557B756" w14:textId="41B26D00" w:rsidR="005970F3" w:rsidRDefault="000649E6" w:rsidP="000649E6">
      <w:pPr>
        <w:spacing w:line="264" w:lineRule="auto"/>
      </w:pPr>
      <w:r>
        <w:t xml:space="preserve">I deal with the issues specified </w:t>
      </w:r>
      <w:r w:rsidR="000C4CBF">
        <w:t xml:space="preserve">in </w:t>
      </w:r>
      <w:r>
        <w:t xml:space="preserve">section 53 </w:t>
      </w:r>
      <w:r w:rsidRPr="002678C6">
        <w:t xml:space="preserve">of the Regulations in </w:t>
      </w:r>
      <w:r w:rsidRPr="002F61F2">
        <w:t>section</w:t>
      </w:r>
      <w:r>
        <w:t>s 3.1 – 3.8</w:t>
      </w:r>
      <w:r w:rsidR="006D715F">
        <w:t xml:space="preserve"> hereunder</w:t>
      </w:r>
      <w:r>
        <w:t>, c</w:t>
      </w:r>
      <w:r w:rsidRPr="00EE64A7">
        <w:t>onsider</w:t>
      </w:r>
      <w:r w:rsidR="00A8230A">
        <w:t>ing</w:t>
      </w:r>
      <w:r w:rsidRPr="00EE64A7">
        <w:t xml:space="preserve"> </w:t>
      </w:r>
      <w:r>
        <w:t xml:space="preserve">IBP </w:t>
      </w:r>
      <w:r w:rsidR="004C67A4">
        <w:t>whe</w:t>
      </w:r>
      <w:r w:rsidR="005970F3">
        <w:t>re</w:t>
      </w:r>
      <w:r>
        <w:t xml:space="preserve"> relevant. </w:t>
      </w:r>
    </w:p>
    <w:p w14:paraId="4AAF2E5A" w14:textId="3F4FF681" w:rsidR="000649E6" w:rsidRDefault="000649E6" w:rsidP="000649E6">
      <w:pPr>
        <w:spacing w:line="264" w:lineRule="auto"/>
      </w:pPr>
      <w:r>
        <w:lastRenderedPageBreak/>
        <w:t>My decision is</w:t>
      </w:r>
      <w:r w:rsidDel="00277B00">
        <w:t xml:space="preserve"> </w:t>
      </w:r>
      <w:r>
        <w:t xml:space="preserve">also informed by ARPANSA’s ongoing oversight and regulatory experience with ANSTO, </w:t>
      </w:r>
      <w:proofErr w:type="gramStart"/>
      <w:r>
        <w:t>in particular ANSTO’s</w:t>
      </w:r>
      <w:proofErr w:type="gramEnd"/>
      <w:r>
        <w:t xml:space="preserve"> waste operations</w:t>
      </w:r>
      <w:r w:rsidR="00596D26">
        <w:t>;</w:t>
      </w:r>
      <w:r>
        <w:t xml:space="preserve"> by the waste management strategy of ANSTO (under preparation)</w:t>
      </w:r>
      <w:r w:rsidR="00596D26">
        <w:t>;</w:t>
      </w:r>
      <w:r>
        <w:t xml:space="preserve"> and by the Australian Radioactive Waste Management Framework</w:t>
      </w:r>
      <w:r w:rsidRPr="009C1967">
        <w:rPr>
          <w:vertAlign w:val="superscript"/>
        </w:rPr>
        <w:footnoteReference w:id="15"/>
      </w:r>
      <w:r>
        <w:t>.</w:t>
      </w:r>
      <w:r w:rsidR="005D0320">
        <w:t xml:space="preserve"> </w:t>
      </w:r>
      <w:r w:rsidR="003C3AD9">
        <w:t xml:space="preserve">The considerations </w:t>
      </w:r>
      <w:r w:rsidR="00A80C68">
        <w:t>contained in this Statement of Reasons follow the</w:t>
      </w:r>
      <w:r w:rsidR="002874F6">
        <w:t xml:space="preserve"> intent and principles outlined in ARPANSA’s Regulatory Activities Policy</w:t>
      </w:r>
      <w:r w:rsidR="00E4154E">
        <w:t>.</w:t>
      </w:r>
      <w:r w:rsidR="00E4154E">
        <w:rPr>
          <w:rStyle w:val="FootnoteReference"/>
        </w:rPr>
        <w:footnoteReference w:id="16"/>
      </w:r>
    </w:p>
    <w:p w14:paraId="497D137B" w14:textId="069FDFF9" w:rsidR="00874F03" w:rsidRPr="006245E9" w:rsidRDefault="000649E6" w:rsidP="00D431A8">
      <w:pPr>
        <w:pStyle w:val="ListParagraph"/>
        <w:numPr>
          <w:ilvl w:val="0"/>
          <w:numId w:val="0"/>
        </w:numPr>
        <w:spacing w:line="264" w:lineRule="auto"/>
      </w:pPr>
      <w:proofErr w:type="gramStart"/>
      <w:r w:rsidRPr="00241E00">
        <w:t>For the purpose of</w:t>
      </w:r>
      <w:proofErr w:type="gramEnd"/>
      <w:r w:rsidRPr="00241E00">
        <w:t xml:space="preserve"> </w:t>
      </w:r>
      <w:r>
        <w:t>this</w:t>
      </w:r>
      <w:r w:rsidRPr="00241E00">
        <w:t xml:space="preserve"> Statement of Reasons, </w:t>
      </w:r>
      <w:r w:rsidRPr="000417E4">
        <w:rPr>
          <w:iCs/>
        </w:rPr>
        <w:t>health and safety</w:t>
      </w:r>
      <w:r w:rsidRPr="00241E00">
        <w:t xml:space="preserve"> refers to </w:t>
      </w:r>
      <w:r w:rsidRPr="000417E4">
        <w:rPr>
          <w:i/>
        </w:rPr>
        <w:t>protection of people and the environment from harmful effects of ionising radiation</w:t>
      </w:r>
      <w:r w:rsidRPr="00BA3C58">
        <w:rPr>
          <w:rStyle w:val="FootnoteReference"/>
        </w:rPr>
        <w:footnoteReference w:id="17"/>
      </w:r>
      <w:r w:rsidRPr="006904DB">
        <w:rPr>
          <w:iCs/>
        </w:rPr>
        <w:t xml:space="preserve"> </w:t>
      </w:r>
      <w:r w:rsidRPr="00063DEC">
        <w:rPr>
          <w:iCs/>
        </w:rPr>
        <w:t>and</w:t>
      </w:r>
      <w:r>
        <w:t xml:space="preserve"> includes consideration of radiation (radiological) protection and safety, nuclear safety, waste safety, transport safety, physical protection and security, and emergency preparedness and response.  </w:t>
      </w:r>
      <w:r w:rsidR="00A8230A">
        <w:t>S</w:t>
      </w:r>
      <w:r>
        <w:t xml:space="preserve">afety as it relates to other matters, </w:t>
      </w:r>
      <w:r w:rsidRPr="00C16E60">
        <w:rPr>
          <w:iCs/>
        </w:rPr>
        <w:t>e.g.</w:t>
      </w:r>
      <w:r>
        <w:rPr>
          <w:iCs/>
        </w:rPr>
        <w:t>,</w:t>
      </w:r>
      <w:r>
        <w:t xml:space="preserve"> as covered in work health and safety legislation, is outside of my mandate.</w:t>
      </w:r>
    </w:p>
    <w:p w14:paraId="76D4E4CE" w14:textId="77777777" w:rsidR="009C039D" w:rsidRDefault="009C039D" w:rsidP="001B2873">
      <w:pPr>
        <w:pStyle w:val="Heading1"/>
        <w:numPr>
          <w:ilvl w:val="0"/>
          <w:numId w:val="3"/>
        </w:numPr>
      </w:pPr>
      <w:bookmarkStart w:id="18" w:name="_Toc365889209"/>
      <w:bookmarkStart w:id="19" w:name="_Toc418680016"/>
      <w:bookmarkStart w:id="20" w:name="_Toc96958662"/>
      <w:bookmarkEnd w:id="12"/>
      <w:bookmarkEnd w:id="13"/>
      <w:r>
        <w:t xml:space="preserve">Reasons for the </w:t>
      </w:r>
      <w:r w:rsidR="00F04B3A">
        <w:t>d</w:t>
      </w:r>
      <w:r>
        <w:t>ecision</w:t>
      </w:r>
      <w:bookmarkEnd w:id="18"/>
      <w:bookmarkEnd w:id="19"/>
      <w:bookmarkEnd w:id="20"/>
    </w:p>
    <w:p w14:paraId="3BFFFE7A" w14:textId="5E256C27" w:rsidR="004C2112" w:rsidRDefault="004C2112" w:rsidP="001B2873">
      <w:pPr>
        <w:pStyle w:val="Heading2"/>
        <w:numPr>
          <w:ilvl w:val="1"/>
          <w:numId w:val="3"/>
        </w:numPr>
        <w:tabs>
          <w:tab w:val="left" w:pos="993"/>
        </w:tabs>
        <w:spacing w:before="240"/>
        <w:ind w:left="981" w:hanging="624"/>
      </w:pPr>
      <w:bookmarkStart w:id="21" w:name="_Toc365889206"/>
      <w:bookmarkStart w:id="22" w:name="_Toc418680012"/>
      <w:r>
        <w:tab/>
      </w:r>
      <w:bookmarkStart w:id="23" w:name="_Toc96958663"/>
      <w:r w:rsidR="004C5ED4">
        <w:t>Does</w:t>
      </w:r>
      <w:r>
        <w:t xml:space="preserve"> the application for the licence compl</w:t>
      </w:r>
      <w:r w:rsidR="00BB2F16">
        <w:t>y</w:t>
      </w:r>
      <w:r>
        <w:t xml:space="preserve"> with subsection 46(1) of the </w:t>
      </w:r>
      <w:r w:rsidR="00F02A58">
        <w:t xml:space="preserve">   </w:t>
      </w:r>
      <w:r>
        <w:t>Regulations</w:t>
      </w:r>
      <w:r w:rsidR="004C5ED4">
        <w:t>?</w:t>
      </w:r>
      <w:bookmarkEnd w:id="23"/>
    </w:p>
    <w:p w14:paraId="1D74FEE3" w14:textId="761E8360" w:rsidR="004C2112" w:rsidRDefault="004C2112" w:rsidP="007F48BE">
      <w:pPr>
        <w:spacing w:before="120" w:line="264" w:lineRule="auto"/>
      </w:pPr>
      <w:r>
        <w:t xml:space="preserve">Subsection 46(1) lists the </w:t>
      </w:r>
      <w:r w:rsidR="00E76DBC">
        <w:t xml:space="preserve">following </w:t>
      </w:r>
      <w:r>
        <w:t>documentation that must be included in any application for a facility licence</w:t>
      </w:r>
      <w:r w:rsidR="00E76DBC">
        <w:t>:</w:t>
      </w:r>
      <w:r>
        <w:t xml:space="preserve"> </w:t>
      </w:r>
    </w:p>
    <w:p w14:paraId="1A4C4A80" w14:textId="3483FA59" w:rsidR="00DF28B8" w:rsidRPr="00DF28B8" w:rsidRDefault="00DF28B8" w:rsidP="001B2873">
      <w:pPr>
        <w:pStyle w:val="ListParagraph"/>
        <w:numPr>
          <w:ilvl w:val="0"/>
          <w:numId w:val="13"/>
        </w:numPr>
        <w:spacing w:line="264" w:lineRule="auto"/>
      </w:pPr>
      <w:r w:rsidRPr="00DF28B8">
        <w:t xml:space="preserve">the applicant’s full name, </w:t>
      </w:r>
      <w:proofErr w:type="gramStart"/>
      <w:r w:rsidRPr="00DF28B8">
        <w:t>position</w:t>
      </w:r>
      <w:proofErr w:type="gramEnd"/>
      <w:r w:rsidRPr="00DF28B8">
        <w:t xml:space="preserve"> and business address</w:t>
      </w:r>
    </w:p>
    <w:p w14:paraId="7BD2E1A5" w14:textId="361E244D" w:rsidR="00DF28B8" w:rsidRPr="00DF28B8" w:rsidRDefault="00DF28B8" w:rsidP="001B2873">
      <w:pPr>
        <w:pStyle w:val="ListParagraph"/>
        <w:numPr>
          <w:ilvl w:val="0"/>
          <w:numId w:val="13"/>
        </w:numPr>
        <w:spacing w:line="264" w:lineRule="auto"/>
      </w:pPr>
      <w:r w:rsidRPr="00DF28B8">
        <w:t>a description of the purpose of the facility to which the licence is to relate</w:t>
      </w:r>
    </w:p>
    <w:p w14:paraId="64276C47" w14:textId="3D636CCC" w:rsidR="00DF28B8" w:rsidRPr="00DF28B8" w:rsidRDefault="00DF28B8" w:rsidP="001B2873">
      <w:pPr>
        <w:pStyle w:val="ListParagraph"/>
        <w:numPr>
          <w:ilvl w:val="0"/>
          <w:numId w:val="13"/>
        </w:numPr>
        <w:spacing w:line="264" w:lineRule="auto"/>
      </w:pPr>
      <w:r w:rsidRPr="00DF28B8">
        <w:t>a detailed description of the facility and the site of the facility</w:t>
      </w:r>
    </w:p>
    <w:p w14:paraId="5771CB04" w14:textId="7E5FC0AF" w:rsidR="00DF28B8" w:rsidRPr="00DF28B8" w:rsidRDefault="00DF28B8" w:rsidP="001B2873">
      <w:pPr>
        <w:pStyle w:val="ListParagraph"/>
        <w:numPr>
          <w:ilvl w:val="0"/>
          <w:numId w:val="13"/>
        </w:numPr>
        <w:spacing w:line="264" w:lineRule="auto"/>
      </w:pPr>
      <w:r w:rsidRPr="00DF28B8">
        <w:t>the applicant’s plans and arrangements for managing the facility to ensure the health and safety of people and the protection of the environment, including the following:</w:t>
      </w:r>
    </w:p>
    <w:p w14:paraId="43862F85" w14:textId="2A51AB3F" w:rsidR="00DF28B8" w:rsidRPr="00DF28B8" w:rsidRDefault="00DF28B8" w:rsidP="001B2873">
      <w:pPr>
        <w:pStyle w:val="ListParagraph"/>
        <w:numPr>
          <w:ilvl w:val="0"/>
          <w:numId w:val="5"/>
        </w:numPr>
        <w:spacing w:line="264" w:lineRule="auto"/>
      </w:pPr>
      <w:r w:rsidRPr="00E22D5D">
        <w:t>arrangements for the applicant to maintain effective control of the facility</w:t>
      </w:r>
    </w:p>
    <w:p w14:paraId="0DD9DDB5" w14:textId="4E01A60B" w:rsidR="00DF28B8" w:rsidRPr="00DF28B8" w:rsidRDefault="00DF28B8" w:rsidP="001B2873">
      <w:pPr>
        <w:pStyle w:val="ListParagraph"/>
        <w:numPr>
          <w:ilvl w:val="0"/>
          <w:numId w:val="5"/>
        </w:numPr>
        <w:spacing w:line="264" w:lineRule="auto"/>
      </w:pPr>
      <w:r w:rsidRPr="00DF28B8">
        <w:t>the safety management plan for the facility</w:t>
      </w:r>
    </w:p>
    <w:p w14:paraId="7A1B1ACE" w14:textId="304BCA64" w:rsidR="00DF28B8" w:rsidRPr="00DF28B8" w:rsidRDefault="00DF28B8" w:rsidP="001B2873">
      <w:pPr>
        <w:pStyle w:val="ListParagraph"/>
        <w:numPr>
          <w:ilvl w:val="0"/>
          <w:numId w:val="5"/>
        </w:numPr>
        <w:spacing w:line="264" w:lineRule="auto"/>
      </w:pPr>
      <w:r w:rsidRPr="00DF28B8">
        <w:t>the radiation protection plan for the facility</w:t>
      </w:r>
    </w:p>
    <w:p w14:paraId="7CE0378F" w14:textId="66A0225C" w:rsidR="00DF28B8" w:rsidRPr="00DF28B8" w:rsidRDefault="00DF28B8" w:rsidP="001B2873">
      <w:pPr>
        <w:pStyle w:val="ListParagraph"/>
        <w:numPr>
          <w:ilvl w:val="0"/>
          <w:numId w:val="5"/>
        </w:numPr>
        <w:spacing w:line="264" w:lineRule="auto"/>
      </w:pPr>
      <w:r w:rsidRPr="00DF28B8">
        <w:t>the radioactive waste management plan for the facility</w:t>
      </w:r>
    </w:p>
    <w:p w14:paraId="40C06A5A" w14:textId="285320EE" w:rsidR="00DF28B8" w:rsidRPr="00DF28B8" w:rsidRDefault="00DF28B8" w:rsidP="001B2873">
      <w:pPr>
        <w:pStyle w:val="ListParagraph"/>
        <w:numPr>
          <w:ilvl w:val="0"/>
          <w:numId w:val="5"/>
        </w:numPr>
        <w:spacing w:line="264" w:lineRule="auto"/>
      </w:pPr>
      <w:r w:rsidRPr="00DF28B8">
        <w:t>the security plan for the facility</w:t>
      </w:r>
    </w:p>
    <w:p w14:paraId="30BCCCD9" w14:textId="18230775" w:rsidR="00DF28B8" w:rsidRPr="00DF28B8" w:rsidRDefault="00DF28B8" w:rsidP="001B2873">
      <w:pPr>
        <w:pStyle w:val="ListParagraph"/>
        <w:numPr>
          <w:ilvl w:val="0"/>
          <w:numId w:val="5"/>
        </w:numPr>
        <w:spacing w:line="264" w:lineRule="auto"/>
      </w:pPr>
      <w:r w:rsidRPr="00DF28B8">
        <w:t>the emergency plan for the facility</w:t>
      </w:r>
    </w:p>
    <w:p w14:paraId="560B659D" w14:textId="12E1C170" w:rsidR="00DF28B8" w:rsidRPr="00DF28B8" w:rsidRDefault="00DF28B8" w:rsidP="001B2873">
      <w:pPr>
        <w:pStyle w:val="ListParagraph"/>
        <w:numPr>
          <w:ilvl w:val="0"/>
          <w:numId w:val="5"/>
        </w:numPr>
        <w:spacing w:line="264" w:lineRule="auto"/>
      </w:pPr>
      <w:r w:rsidRPr="00DF28B8">
        <w:t>the environment protection plan for the facility</w:t>
      </w:r>
    </w:p>
    <w:p w14:paraId="0E462E80" w14:textId="53BD0334" w:rsidR="00DF28B8" w:rsidRPr="00DF28B8" w:rsidRDefault="00DF28B8" w:rsidP="001B2873">
      <w:pPr>
        <w:pStyle w:val="ListParagraph"/>
        <w:numPr>
          <w:ilvl w:val="0"/>
          <w:numId w:val="5"/>
        </w:numPr>
        <w:spacing w:line="264" w:lineRule="auto"/>
      </w:pPr>
      <w:r w:rsidRPr="00DF28B8">
        <w:t>the decommissioning plan for the facility</w:t>
      </w:r>
    </w:p>
    <w:p w14:paraId="35729EA5" w14:textId="1044B121" w:rsidR="00DF28B8" w:rsidRPr="00DF28B8" w:rsidRDefault="00DF28B8" w:rsidP="001B2873">
      <w:pPr>
        <w:pStyle w:val="ListParagraph"/>
        <w:numPr>
          <w:ilvl w:val="0"/>
          <w:numId w:val="13"/>
        </w:numPr>
        <w:spacing w:line="264" w:lineRule="auto"/>
      </w:pPr>
      <w:r w:rsidRPr="00DF28B8">
        <w:t>for each activity to be authorised by the licence—a safety analysis report that is as complete as possible.</w:t>
      </w:r>
    </w:p>
    <w:p w14:paraId="676EA2B1" w14:textId="5F9B4ADA" w:rsidR="00EC1D8F" w:rsidRDefault="00CC24D5" w:rsidP="00822282">
      <w:pPr>
        <w:spacing w:line="264" w:lineRule="auto"/>
      </w:pPr>
      <w:r>
        <w:t>ANSTO has provided information relevant to all items specified in sub</w:t>
      </w:r>
      <w:r w:rsidR="00C51864">
        <w:t>-</w:t>
      </w:r>
      <w:r>
        <w:t>section 46(1) of the Regulations.</w:t>
      </w:r>
    </w:p>
    <w:p w14:paraId="492AEC14" w14:textId="4EE6D82C" w:rsidR="004C5ED4" w:rsidRPr="004C5ED4" w:rsidRDefault="006C2B0B" w:rsidP="00822282">
      <w:pPr>
        <w:spacing w:line="264" w:lineRule="auto"/>
      </w:pPr>
      <w:r>
        <w:t xml:space="preserve">This section </w:t>
      </w:r>
      <w:r w:rsidR="003014B1">
        <w:t>of the statement</w:t>
      </w:r>
      <w:r>
        <w:t xml:space="preserve"> will only consider </w:t>
      </w:r>
      <w:r w:rsidR="00081E56">
        <w:t>general aspects of the purpose of the facility</w:t>
      </w:r>
      <w:r>
        <w:t>; o</w:t>
      </w:r>
      <w:r w:rsidR="00E73229">
        <w:t xml:space="preserve">f </w:t>
      </w:r>
      <w:r w:rsidR="00081E56">
        <w:t>plans and arrangements</w:t>
      </w:r>
      <w:r w:rsidR="00EC1D8F">
        <w:t xml:space="preserve"> for managing safety</w:t>
      </w:r>
      <w:r>
        <w:t>;</w:t>
      </w:r>
      <w:r w:rsidR="0022162E">
        <w:t xml:space="preserve"> and </w:t>
      </w:r>
      <w:r w:rsidR="00497BCB">
        <w:t xml:space="preserve">of </w:t>
      </w:r>
      <w:r w:rsidR="00EA0824">
        <w:t xml:space="preserve">the </w:t>
      </w:r>
      <w:r w:rsidR="0022162E">
        <w:t xml:space="preserve">safety analysis </w:t>
      </w:r>
      <w:r w:rsidR="00EC6DC5">
        <w:t xml:space="preserve">report </w:t>
      </w:r>
      <w:r w:rsidR="00F873AE">
        <w:t>and underlying safety assessment</w:t>
      </w:r>
      <w:r>
        <w:t xml:space="preserve">. </w:t>
      </w:r>
      <w:r w:rsidR="00E07B4D">
        <w:t xml:space="preserve">The purpose of the facility </w:t>
      </w:r>
      <w:r w:rsidR="008F1D7C">
        <w:t>is</w:t>
      </w:r>
      <w:r w:rsidR="004710A1">
        <w:t xml:space="preserve"> also</w:t>
      </w:r>
      <w:r w:rsidR="008F1D7C">
        <w:t xml:space="preserve"> considered</w:t>
      </w:r>
      <w:r w:rsidR="00E07B4D">
        <w:t xml:space="preserve"> in relation to justification </w:t>
      </w:r>
      <w:r w:rsidR="004710A1">
        <w:t xml:space="preserve">in </w:t>
      </w:r>
      <w:r w:rsidR="00E07B4D">
        <w:t>section 3.4</w:t>
      </w:r>
      <w:r w:rsidR="00F1440B">
        <w:t>;</w:t>
      </w:r>
      <w:r w:rsidR="00EC1D8F">
        <w:t xml:space="preserve"> </w:t>
      </w:r>
      <w:r w:rsidR="00705B9F">
        <w:t>paragraph</w:t>
      </w:r>
      <w:r w:rsidR="006C71A4">
        <w:t xml:space="preserve"> 46(1)</w:t>
      </w:r>
      <w:r w:rsidR="005C4119">
        <w:t xml:space="preserve">(c), </w:t>
      </w:r>
      <w:r w:rsidR="002A5E85">
        <w:t>sub</w:t>
      </w:r>
      <w:r w:rsidR="00305457">
        <w:t>-</w:t>
      </w:r>
      <w:r w:rsidR="002A5E85">
        <w:lastRenderedPageBreak/>
        <w:t xml:space="preserve">paragraphs </w:t>
      </w:r>
      <w:r w:rsidR="005F388E">
        <w:t>46(1)</w:t>
      </w:r>
      <w:r w:rsidR="00CB4077">
        <w:t>(</w:t>
      </w:r>
      <w:proofErr w:type="gramStart"/>
      <w:r w:rsidR="00CB4077">
        <w:t>d)</w:t>
      </w:r>
      <w:r w:rsidR="00E07B4D">
        <w:t>(</w:t>
      </w:r>
      <w:proofErr w:type="spellStart"/>
      <w:proofErr w:type="gramEnd"/>
      <w:r w:rsidR="0002323F">
        <w:t>i</w:t>
      </w:r>
      <w:proofErr w:type="spellEnd"/>
      <w:r w:rsidR="00E07B4D">
        <w:t xml:space="preserve">–viii) </w:t>
      </w:r>
      <w:r w:rsidR="00EC1D8F">
        <w:t xml:space="preserve">and </w:t>
      </w:r>
      <w:r w:rsidR="00305457">
        <w:t xml:space="preserve">paragraph </w:t>
      </w:r>
      <w:r w:rsidR="00322377">
        <w:t>46(1)(e)</w:t>
      </w:r>
      <w:r w:rsidR="00EC1D8F">
        <w:t xml:space="preserve"> </w:t>
      </w:r>
      <w:r w:rsidR="00EC6DC5">
        <w:t>are</w:t>
      </w:r>
      <w:r w:rsidR="00E07B4D">
        <w:t xml:space="preserve"> discussed in relation to undue risk (section </w:t>
      </w:r>
      <w:r w:rsidR="003D50C7">
        <w:t>3</w:t>
      </w:r>
      <w:r w:rsidR="00EC1D8F">
        <w:t>.3)</w:t>
      </w:r>
      <w:r w:rsidR="004C47B7">
        <w:t xml:space="preserve">; and </w:t>
      </w:r>
      <w:r w:rsidR="004C6F63">
        <w:t xml:space="preserve">paragraph </w:t>
      </w:r>
      <w:r w:rsidR="004C47B7">
        <w:t xml:space="preserve">46(1)(a) </w:t>
      </w:r>
      <w:r w:rsidR="00EC6DC5">
        <w:t>is</w:t>
      </w:r>
      <w:r w:rsidR="004C47B7">
        <w:t xml:space="preserve"> discussed in </w:t>
      </w:r>
      <w:r w:rsidR="0025087A">
        <w:t>relation to authorised signatory (</w:t>
      </w:r>
      <w:r w:rsidR="004C47B7">
        <w:t>section 3.</w:t>
      </w:r>
      <w:r w:rsidR="0025087A">
        <w:t>7)</w:t>
      </w:r>
      <w:r w:rsidR="00A652D2">
        <w:t xml:space="preserve">. </w:t>
      </w:r>
    </w:p>
    <w:p w14:paraId="478AA6EA" w14:textId="77777777" w:rsidR="001319FB" w:rsidRDefault="001319FB" w:rsidP="00B53C80">
      <w:pPr>
        <w:pStyle w:val="Heading3"/>
        <w:numPr>
          <w:ilvl w:val="2"/>
          <w:numId w:val="3"/>
        </w:numPr>
        <w:spacing w:before="240" w:after="60"/>
        <w:ind w:left="1077"/>
      </w:pPr>
      <w:bookmarkStart w:id="24" w:name="_Toc96958664"/>
      <w:r>
        <w:t>Considerations</w:t>
      </w:r>
      <w:bookmarkEnd w:id="24"/>
    </w:p>
    <w:p w14:paraId="2BE7EC24" w14:textId="33955061" w:rsidR="004C5ED4" w:rsidRDefault="004C5ED4" w:rsidP="004C5ED4">
      <w:pPr>
        <w:pStyle w:val="Heading4"/>
      </w:pPr>
      <w:r>
        <w:t>Purpose</w:t>
      </w:r>
    </w:p>
    <w:p w14:paraId="7D2C90A5" w14:textId="5A6D7094" w:rsidR="00257A06" w:rsidRDefault="006F7959" w:rsidP="009D0BF0">
      <w:pPr>
        <w:spacing w:before="120" w:line="264" w:lineRule="auto"/>
      </w:pPr>
      <w:r>
        <w:t xml:space="preserve">The </w:t>
      </w:r>
      <w:r w:rsidR="00B10BBD">
        <w:t xml:space="preserve">purpose of the </w:t>
      </w:r>
      <w:r w:rsidR="007234F4">
        <w:t>planned</w:t>
      </w:r>
      <w:r>
        <w:t xml:space="preserve"> ILWCI Facility </w:t>
      </w:r>
      <w:r w:rsidR="00B10BBD">
        <w:t xml:space="preserve">is to increase the </w:t>
      </w:r>
      <w:r>
        <w:t xml:space="preserve">storage capacity for intermediate level </w:t>
      </w:r>
      <w:r w:rsidR="005678CB">
        <w:t xml:space="preserve">solid </w:t>
      </w:r>
      <w:r>
        <w:t xml:space="preserve">waste </w:t>
      </w:r>
      <w:r w:rsidR="005678CB">
        <w:t xml:space="preserve">(ILSW) </w:t>
      </w:r>
      <w:r w:rsidR="00F374D7">
        <w:t>from</w:t>
      </w:r>
      <w:r>
        <w:t xml:space="preserve"> production </w:t>
      </w:r>
      <w:r w:rsidR="00412766">
        <w:t xml:space="preserve">of nuclear medicine </w:t>
      </w:r>
      <w:r w:rsidR="00EF5B8E">
        <w:t xml:space="preserve">and scientific </w:t>
      </w:r>
      <w:r w:rsidR="00352B26">
        <w:t xml:space="preserve">research activities </w:t>
      </w:r>
      <w:r>
        <w:t xml:space="preserve">at </w:t>
      </w:r>
      <w:r w:rsidR="00B10BBD">
        <w:t xml:space="preserve">the </w:t>
      </w:r>
      <w:r>
        <w:t>ANSTO</w:t>
      </w:r>
      <w:r w:rsidR="00B10BBD">
        <w:t xml:space="preserve"> Lucas Heights site</w:t>
      </w:r>
      <w:r>
        <w:t xml:space="preserve">. The current </w:t>
      </w:r>
      <w:r w:rsidR="001E790E">
        <w:t xml:space="preserve">ILSW </w:t>
      </w:r>
      <w:r>
        <w:t xml:space="preserve">storage facility operating under </w:t>
      </w:r>
      <w:r w:rsidR="00FC2D71">
        <w:t xml:space="preserve">ARPANSA </w:t>
      </w:r>
      <w:r w:rsidR="00B10BBD">
        <w:t>licence</w:t>
      </w:r>
      <w:r>
        <w:t xml:space="preserve"> </w:t>
      </w:r>
      <w:r w:rsidR="001E790E">
        <w:t>F0260</w:t>
      </w:r>
      <w:r w:rsidR="00FA1B9B">
        <w:t xml:space="preserve"> is estimated to reach capacity in 2027. </w:t>
      </w:r>
    </w:p>
    <w:p w14:paraId="325FEE91" w14:textId="6BA22E15" w:rsidR="00162E14" w:rsidRDefault="00B87BD8" w:rsidP="009D0BF0">
      <w:pPr>
        <w:spacing w:before="120" w:line="264" w:lineRule="auto"/>
      </w:pPr>
      <w:r>
        <w:t xml:space="preserve">The waste streams </w:t>
      </w:r>
      <w:r w:rsidR="00EE2CF2">
        <w:t xml:space="preserve">associated with production of </w:t>
      </w:r>
      <w:r w:rsidR="00412766">
        <w:t>nuclear medicine</w:t>
      </w:r>
      <w:r w:rsidR="006758A6">
        <w:t xml:space="preserve"> (mainly reactor-based production of molybdenum-99 [Mo-99]</w:t>
      </w:r>
      <w:r w:rsidR="006732CA">
        <w:t xml:space="preserve"> decaying to </w:t>
      </w:r>
      <w:r w:rsidR="00C544D8">
        <w:t>metastable technetium-99 [Tc-99m]</w:t>
      </w:r>
      <w:r w:rsidR="006408EB">
        <w:t xml:space="preserve"> </w:t>
      </w:r>
      <w:r w:rsidR="006732CA">
        <w:t>used in</w:t>
      </w:r>
      <w:r w:rsidR="006408EB">
        <w:t xml:space="preserve"> nuclear medicine procedures)</w:t>
      </w:r>
      <w:r w:rsidR="00861844">
        <w:t xml:space="preserve"> </w:t>
      </w:r>
      <w:r>
        <w:t xml:space="preserve">at the Lucas Heights </w:t>
      </w:r>
      <w:r w:rsidR="002C78BE">
        <w:t>site are schematically illustrated in Figure 1.</w:t>
      </w:r>
      <w:r w:rsidR="00CC2D0E">
        <w:t xml:space="preserve"> </w:t>
      </w:r>
      <w:r w:rsidR="001273C8">
        <w:t>Three</w:t>
      </w:r>
      <w:r w:rsidR="00CC2D0E">
        <w:t xml:space="preserve"> major waste streams contribute to the generation of intermediate level waste</w:t>
      </w:r>
      <w:r w:rsidR="00030C03">
        <w:rPr>
          <w:rStyle w:val="FootnoteReference"/>
        </w:rPr>
        <w:footnoteReference w:id="18"/>
      </w:r>
      <w:r w:rsidR="00CC2D0E">
        <w:t xml:space="preserve"> </w:t>
      </w:r>
      <w:r w:rsidR="006408EB">
        <w:t>(ILW)</w:t>
      </w:r>
      <w:r w:rsidR="00512FE8">
        <w:t xml:space="preserve">: </w:t>
      </w:r>
    </w:p>
    <w:p w14:paraId="23E00B28" w14:textId="5B80D356" w:rsidR="00EF2F67" w:rsidRDefault="00B76BD2" w:rsidP="001B2873">
      <w:pPr>
        <w:pStyle w:val="ListParagraph"/>
        <w:numPr>
          <w:ilvl w:val="0"/>
          <w:numId w:val="14"/>
        </w:numPr>
        <w:spacing w:line="264" w:lineRule="auto"/>
      </w:pPr>
      <w:r>
        <w:t xml:space="preserve">reprocessing of </w:t>
      </w:r>
      <w:r w:rsidR="005461E1">
        <w:t>used</w:t>
      </w:r>
      <w:r>
        <w:t xml:space="preserve"> fuel </w:t>
      </w:r>
      <w:r w:rsidR="005461E1">
        <w:t>from the OPAL reactor</w:t>
      </w:r>
      <w:r w:rsidR="00B6570F">
        <w:t xml:space="preserve"> </w:t>
      </w:r>
      <w:r w:rsidR="00162E14">
        <w:t xml:space="preserve">in overseas facilities, </w:t>
      </w:r>
      <w:r w:rsidR="001402B4">
        <w:t xml:space="preserve">with the resulting </w:t>
      </w:r>
      <w:r w:rsidR="00B6570F">
        <w:t>waste</w:t>
      </w:r>
      <w:r w:rsidR="009D308D">
        <w:t xml:space="preserve"> </w:t>
      </w:r>
      <w:r w:rsidR="002D6128">
        <w:t xml:space="preserve">returned </w:t>
      </w:r>
      <w:r w:rsidR="006732CA">
        <w:t xml:space="preserve">to Australia </w:t>
      </w:r>
      <w:r w:rsidR="00B6570F">
        <w:t>and</w:t>
      </w:r>
      <w:r w:rsidR="002D6128">
        <w:t xml:space="preserve"> (currently) stor</w:t>
      </w:r>
      <w:r w:rsidR="00B6570F">
        <w:t xml:space="preserve">ed </w:t>
      </w:r>
      <w:r w:rsidR="00162E14">
        <w:t>in</w:t>
      </w:r>
      <w:r w:rsidR="00B6570F">
        <w:t xml:space="preserve"> the Interim Waste Store</w:t>
      </w:r>
      <w:r w:rsidR="00162E14">
        <w:t xml:space="preserve"> (IWS)</w:t>
      </w:r>
      <w:r w:rsidR="00B6570F">
        <w:t xml:space="preserve"> </w:t>
      </w:r>
      <w:r w:rsidR="00162E14">
        <w:t xml:space="preserve">Facility </w:t>
      </w:r>
      <w:r w:rsidR="002D6128">
        <w:t>at Lucas Heights</w:t>
      </w:r>
      <w:r w:rsidR="00B96A57">
        <w:t xml:space="preserve"> </w:t>
      </w:r>
      <w:r w:rsidR="00B07802">
        <w:t>(</w:t>
      </w:r>
      <w:r w:rsidR="00B96A57">
        <w:t>ARPANSA licence</w:t>
      </w:r>
      <w:r w:rsidR="00B07802">
        <w:t xml:space="preserve"> </w:t>
      </w:r>
      <w:r w:rsidR="00EF2F67">
        <w:t>F0292</w:t>
      </w:r>
      <w:r w:rsidR="00B07802">
        <w:t>)</w:t>
      </w:r>
    </w:p>
    <w:p w14:paraId="43B5337F" w14:textId="16F4A2C5" w:rsidR="001D3FE0" w:rsidRDefault="005403C5" w:rsidP="001B2873">
      <w:pPr>
        <w:pStyle w:val="ListParagraph"/>
        <w:numPr>
          <w:ilvl w:val="0"/>
          <w:numId w:val="14"/>
        </w:numPr>
        <w:spacing w:line="264" w:lineRule="auto"/>
      </w:pPr>
      <w:r>
        <w:t>dissolution of</w:t>
      </w:r>
      <w:r w:rsidR="007B3944">
        <w:t xml:space="preserve"> </w:t>
      </w:r>
      <w:r w:rsidR="00386D7F">
        <w:t xml:space="preserve">irradiated </w:t>
      </w:r>
      <w:r>
        <w:t>uranium targets</w:t>
      </w:r>
      <w:r w:rsidR="001765EE">
        <w:t xml:space="preserve"> </w:t>
      </w:r>
      <w:r w:rsidR="007002BE">
        <w:t xml:space="preserve">in the </w:t>
      </w:r>
      <w:r w:rsidR="009E3E8A">
        <w:t xml:space="preserve">ANSTO Nuclear Medicine (ANM) Facility (F0309) </w:t>
      </w:r>
      <w:r w:rsidR="00A03EE2">
        <w:t xml:space="preserve">for extraction </w:t>
      </w:r>
      <w:r w:rsidR="00637AA9">
        <w:t xml:space="preserve">and purification </w:t>
      </w:r>
      <w:r w:rsidR="00A03EE2">
        <w:t xml:space="preserve">of </w:t>
      </w:r>
      <w:r w:rsidR="00B07802">
        <w:t>Mo-99</w:t>
      </w:r>
      <w:r w:rsidR="00B6082E">
        <w:t xml:space="preserve">, with the residual waste </w:t>
      </w:r>
      <w:r w:rsidR="00C95260">
        <w:t>(</w:t>
      </w:r>
      <w:r w:rsidR="00EF2F67">
        <w:t xml:space="preserve">spent </w:t>
      </w:r>
      <w:r w:rsidR="00C95260">
        <w:t>uranium filter</w:t>
      </w:r>
      <w:r w:rsidR="00EF2F67">
        <w:t xml:space="preserve"> cups; SUF cups</w:t>
      </w:r>
      <w:r w:rsidR="00C95260">
        <w:t xml:space="preserve">) </w:t>
      </w:r>
      <w:r w:rsidR="00E631CE">
        <w:t xml:space="preserve">and </w:t>
      </w:r>
      <w:r w:rsidR="0077452F">
        <w:t>general</w:t>
      </w:r>
      <w:r w:rsidR="00E631CE">
        <w:t xml:space="preserve"> consumables</w:t>
      </w:r>
      <w:r w:rsidR="00F0615E">
        <w:t xml:space="preserve"> used</w:t>
      </w:r>
      <w:r w:rsidR="00C95260">
        <w:t xml:space="preserve"> in </w:t>
      </w:r>
      <w:r w:rsidR="00E6120B">
        <w:t xml:space="preserve">the </w:t>
      </w:r>
      <w:r w:rsidR="00F0615E">
        <w:t xml:space="preserve">extractions </w:t>
      </w:r>
      <w:r w:rsidR="00C95260">
        <w:t xml:space="preserve">stored in </w:t>
      </w:r>
      <w:r w:rsidR="00E6120B">
        <w:t xml:space="preserve">the existing ILSW </w:t>
      </w:r>
      <w:r w:rsidR="00727A95">
        <w:t>facility</w:t>
      </w:r>
    </w:p>
    <w:p w14:paraId="275DD2CD" w14:textId="0D8E56B8" w:rsidR="00B87BD8" w:rsidRDefault="00562B0D" w:rsidP="001B2873">
      <w:pPr>
        <w:pStyle w:val="ListParagraph"/>
        <w:numPr>
          <w:ilvl w:val="0"/>
          <w:numId w:val="14"/>
        </w:numPr>
        <w:spacing w:line="264" w:lineRule="auto"/>
      </w:pPr>
      <w:r>
        <w:t xml:space="preserve">liquid </w:t>
      </w:r>
      <w:r w:rsidR="00845302">
        <w:t>ILW</w:t>
      </w:r>
      <w:r>
        <w:t xml:space="preserve"> </w:t>
      </w:r>
      <w:r w:rsidR="00A579BB">
        <w:t xml:space="preserve">generated and </w:t>
      </w:r>
      <w:r>
        <w:t xml:space="preserve">stored at </w:t>
      </w:r>
      <w:r w:rsidR="00531950">
        <w:t xml:space="preserve">the </w:t>
      </w:r>
      <w:r w:rsidR="009E3E8A">
        <w:t xml:space="preserve">ANM Facility </w:t>
      </w:r>
      <w:r w:rsidR="004B56D3">
        <w:t xml:space="preserve">with the intention of solidifying the waste in the </w:t>
      </w:r>
      <w:proofErr w:type="spellStart"/>
      <w:r w:rsidR="004B56D3">
        <w:t>SyMo</w:t>
      </w:r>
      <w:proofErr w:type="spellEnd"/>
      <w:r w:rsidR="004B56D3">
        <w:t xml:space="preserve"> Facility</w:t>
      </w:r>
      <w:r w:rsidR="002B0F33">
        <w:t xml:space="preserve"> currently under construction</w:t>
      </w:r>
      <w:r w:rsidR="006553C5">
        <w:t xml:space="preserve"> (ARPANSA licence </w:t>
      </w:r>
      <w:r w:rsidR="001543D5">
        <w:t>F0266</w:t>
      </w:r>
      <w:r w:rsidR="00F82A2A">
        <w:t>)</w:t>
      </w:r>
      <w:r w:rsidR="00B36BA5">
        <w:t>,</w:t>
      </w:r>
      <w:r w:rsidR="000125BA">
        <w:t xml:space="preserve"> and subsequent </w:t>
      </w:r>
      <w:r w:rsidR="00E76EA5">
        <w:t xml:space="preserve">proposed </w:t>
      </w:r>
      <w:r w:rsidR="000125BA">
        <w:t>stor</w:t>
      </w:r>
      <w:r w:rsidR="00E76EA5">
        <w:t xml:space="preserve">age of </w:t>
      </w:r>
      <w:r w:rsidR="00B772B3">
        <w:t xml:space="preserve">canisters with </w:t>
      </w:r>
      <w:r w:rsidR="00655BE1">
        <w:t xml:space="preserve">the </w:t>
      </w:r>
      <w:r w:rsidR="00B772B3">
        <w:t xml:space="preserve">solidified waste </w:t>
      </w:r>
      <w:r w:rsidR="000125BA">
        <w:t xml:space="preserve">in the ILWCI Facility. </w:t>
      </w:r>
    </w:p>
    <w:p w14:paraId="0DFB5936" w14:textId="46B206F7" w:rsidR="3985DCE2" w:rsidRDefault="3985DCE2" w:rsidP="3985DCE2">
      <w:pPr>
        <w:spacing w:before="120" w:line="264" w:lineRule="auto"/>
        <w:jc w:val="center"/>
      </w:pPr>
      <w:r>
        <w:rPr>
          <w:noProof/>
        </w:rPr>
        <w:drawing>
          <wp:inline distT="0" distB="0" distL="0" distR="0" wp14:anchorId="7979A8C8" wp14:editId="17F19DB5">
            <wp:extent cx="5876310" cy="2914650"/>
            <wp:effectExtent l="0" t="0" r="0" b="0"/>
            <wp:docPr id="154937661" name="Picture 15493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37661"/>
                    <pic:cNvPicPr/>
                  </pic:nvPicPr>
                  <pic:blipFill>
                    <a:blip r:embed="rId13">
                      <a:extLst>
                        <a:ext uri="{28A0092B-C50C-407E-A947-70E740481C1C}">
                          <a14:useLocalDpi xmlns:a14="http://schemas.microsoft.com/office/drawing/2010/main" val="0"/>
                        </a:ext>
                      </a:extLst>
                    </a:blip>
                    <a:stretch>
                      <a:fillRect/>
                    </a:stretch>
                  </pic:blipFill>
                  <pic:spPr>
                    <a:xfrm>
                      <a:off x="0" y="0"/>
                      <a:ext cx="5876310" cy="2914650"/>
                    </a:xfrm>
                    <a:prstGeom prst="rect">
                      <a:avLst/>
                    </a:prstGeom>
                  </pic:spPr>
                </pic:pic>
              </a:graphicData>
            </a:graphic>
          </wp:inline>
        </w:drawing>
      </w:r>
    </w:p>
    <w:p w14:paraId="536BF6CC" w14:textId="05A02FCE" w:rsidR="00AE45F8" w:rsidRDefault="00D13779" w:rsidP="3985DCE2">
      <w:pPr>
        <w:spacing w:before="120" w:line="264" w:lineRule="auto"/>
        <w:jc w:val="center"/>
        <w:rPr>
          <w:sz w:val="20"/>
          <w:szCs w:val="20"/>
        </w:rPr>
      </w:pPr>
      <w:r w:rsidRPr="3985DCE2">
        <w:rPr>
          <w:b/>
          <w:bCs/>
          <w:color w:val="7A28B8" w:themeColor="accent1" w:themeShade="80"/>
          <w:sz w:val="20"/>
          <w:szCs w:val="20"/>
        </w:rPr>
        <w:t>Figure 1</w:t>
      </w:r>
      <w:r w:rsidRPr="3985DCE2">
        <w:rPr>
          <w:sz w:val="20"/>
          <w:szCs w:val="20"/>
        </w:rPr>
        <w:t xml:space="preserve">. </w:t>
      </w:r>
      <w:r w:rsidR="001B38AA" w:rsidRPr="3985DCE2">
        <w:rPr>
          <w:sz w:val="20"/>
          <w:szCs w:val="20"/>
        </w:rPr>
        <w:t xml:space="preserve">Overview of waste streams </w:t>
      </w:r>
      <w:r w:rsidR="00FF37FA" w:rsidRPr="3985DCE2">
        <w:rPr>
          <w:sz w:val="20"/>
          <w:szCs w:val="20"/>
        </w:rPr>
        <w:t xml:space="preserve">generated </w:t>
      </w:r>
      <w:r w:rsidR="004D3815" w:rsidRPr="3985DCE2">
        <w:rPr>
          <w:sz w:val="20"/>
          <w:szCs w:val="20"/>
        </w:rPr>
        <w:t xml:space="preserve">by </w:t>
      </w:r>
      <w:r w:rsidR="00412766" w:rsidRPr="3985DCE2">
        <w:rPr>
          <w:sz w:val="20"/>
          <w:szCs w:val="20"/>
        </w:rPr>
        <w:t>nuclear medicine</w:t>
      </w:r>
      <w:r w:rsidR="004D3815" w:rsidRPr="3985DCE2">
        <w:rPr>
          <w:sz w:val="20"/>
          <w:szCs w:val="20"/>
        </w:rPr>
        <w:t xml:space="preserve"> production </w:t>
      </w:r>
      <w:r w:rsidR="001B38AA" w:rsidRPr="3985DCE2">
        <w:rPr>
          <w:sz w:val="20"/>
          <w:szCs w:val="20"/>
        </w:rPr>
        <w:t>at the ANSTO Lucas Heights site. Illustration provided by ANSTO</w:t>
      </w:r>
      <w:r w:rsidR="001B68E1" w:rsidRPr="3985DCE2">
        <w:rPr>
          <w:sz w:val="20"/>
          <w:szCs w:val="20"/>
        </w:rPr>
        <w:t xml:space="preserve"> and </w:t>
      </w:r>
      <w:r w:rsidR="00444EC3" w:rsidRPr="3985DCE2">
        <w:rPr>
          <w:sz w:val="20"/>
          <w:szCs w:val="20"/>
        </w:rPr>
        <w:t>shown during the public forum held on 13 October 2021</w:t>
      </w:r>
      <w:r w:rsidR="001B38AA" w:rsidRPr="3985DCE2">
        <w:rPr>
          <w:sz w:val="20"/>
          <w:szCs w:val="20"/>
        </w:rPr>
        <w:t>.</w:t>
      </w:r>
      <w:r w:rsidR="008A0EFF" w:rsidRPr="3985DCE2">
        <w:rPr>
          <w:sz w:val="20"/>
          <w:szCs w:val="20"/>
        </w:rPr>
        <w:t xml:space="preserve"> </w:t>
      </w:r>
    </w:p>
    <w:p w14:paraId="2ACD52C9" w14:textId="204BBBA3" w:rsidR="00AE45F8" w:rsidRDefault="007D1CD7" w:rsidP="0030385D">
      <w:pPr>
        <w:spacing w:before="120" w:line="264" w:lineRule="auto"/>
        <w:rPr>
          <w:sz w:val="20"/>
          <w:szCs w:val="20"/>
        </w:rPr>
      </w:pPr>
      <w:r>
        <w:t xml:space="preserve">The </w:t>
      </w:r>
      <w:r w:rsidR="00991409">
        <w:t>ILW</w:t>
      </w:r>
      <w:r>
        <w:t xml:space="preserve"> will, according to current plans, be transported to the National Radioactive Waste Management Facility</w:t>
      </w:r>
      <w:r w:rsidR="00845948">
        <w:t xml:space="preserve"> (NRWMF) for </w:t>
      </w:r>
      <w:r w:rsidR="008525FA">
        <w:t>storage</w:t>
      </w:r>
      <w:r w:rsidR="008D3264">
        <w:t xml:space="preserve"> </w:t>
      </w:r>
      <w:r w:rsidR="008525FA">
        <w:t xml:space="preserve">pending ultimate disposal at another site. A site </w:t>
      </w:r>
      <w:r w:rsidR="000119D6">
        <w:t xml:space="preserve">in South Australia near Kimba </w:t>
      </w:r>
      <w:r w:rsidR="000119D6">
        <w:lastRenderedPageBreak/>
        <w:t xml:space="preserve">has been declared as the site </w:t>
      </w:r>
      <w:r w:rsidR="008525FA">
        <w:t>for the NRWMF</w:t>
      </w:r>
      <w:r w:rsidR="00856DDD" w:rsidRPr="00D4352D">
        <w:rPr>
          <w:vertAlign w:val="superscript"/>
        </w:rPr>
        <w:footnoteReference w:id="19"/>
      </w:r>
      <w:r w:rsidR="00E01130">
        <w:t xml:space="preserve">; however, </w:t>
      </w:r>
      <w:r w:rsidR="00B007CA">
        <w:t>it will likely not receive</w:t>
      </w:r>
      <w:r w:rsidR="00C42282">
        <w:t xml:space="preserve"> any waste until the end of the 2020s at the earliest</w:t>
      </w:r>
      <w:r w:rsidR="00DD75B1">
        <w:t>, if approved</w:t>
      </w:r>
      <w:r w:rsidR="00C42282">
        <w:t xml:space="preserve">. </w:t>
      </w:r>
      <w:r w:rsidR="008525FA">
        <w:t xml:space="preserve">The ILWCI </w:t>
      </w:r>
      <w:r w:rsidR="00DD75B1">
        <w:t xml:space="preserve">Facility </w:t>
      </w:r>
      <w:r w:rsidR="008525FA">
        <w:t>can be considered a</w:t>
      </w:r>
      <w:r w:rsidR="00BD5585">
        <w:t xml:space="preserve"> contingency </w:t>
      </w:r>
      <w:r w:rsidR="007D0472">
        <w:t xml:space="preserve">interim measure </w:t>
      </w:r>
      <w:proofErr w:type="gramStart"/>
      <w:r w:rsidR="008525FA">
        <w:t>similar to</w:t>
      </w:r>
      <w:proofErr w:type="gramEnd"/>
      <w:r w:rsidR="008525FA">
        <w:t xml:space="preserve"> the IWS </w:t>
      </w:r>
      <w:r w:rsidR="00670FEE">
        <w:t>F</w:t>
      </w:r>
      <w:r w:rsidR="008525FA">
        <w:t>acility pending establishment of facilities for final management and disposal of ILW generated by ANSTO</w:t>
      </w:r>
      <w:r w:rsidR="00A142CB">
        <w:t>.</w:t>
      </w:r>
    </w:p>
    <w:p w14:paraId="49D211D7" w14:textId="7B06E5D4" w:rsidR="00785287" w:rsidRDefault="00992E7E" w:rsidP="009D0BF0">
      <w:pPr>
        <w:spacing w:before="120" w:line="264" w:lineRule="auto"/>
      </w:pPr>
      <w:r>
        <w:t xml:space="preserve">The planned ILWCI Facility is to be located within the ‘Waste Precinct’ of the Lucas Heights site. The facility </w:t>
      </w:r>
      <w:r w:rsidR="008F3BD8">
        <w:t>will be</w:t>
      </w:r>
      <w:r>
        <w:t xml:space="preserve"> separate from the existing ILSW facility</w:t>
      </w:r>
      <w:r w:rsidR="00B31961">
        <w:t xml:space="preserve">, including </w:t>
      </w:r>
      <w:r>
        <w:t xml:space="preserve">its footprint and inventory (several tens of </w:t>
      </w:r>
      <w:proofErr w:type="spellStart"/>
      <w:r>
        <w:t>PBq</w:t>
      </w:r>
      <w:proofErr w:type="spellEnd"/>
      <w:r>
        <w:t>)</w:t>
      </w:r>
      <w:r w:rsidR="00353877">
        <w:t>,</w:t>
      </w:r>
      <w:r>
        <w:rPr>
          <w:rStyle w:val="FootnoteReference"/>
        </w:rPr>
        <w:footnoteReference w:id="20"/>
      </w:r>
      <w:r>
        <w:t xml:space="preserve"> justify regarding it as a new nuclear installation to be covered by a separate licence. </w:t>
      </w:r>
      <w:r w:rsidR="00FB469C">
        <w:t>The</w:t>
      </w:r>
      <w:r w:rsidR="00FB469C" w:rsidDel="00992E7E">
        <w:t xml:space="preserve"> </w:t>
      </w:r>
      <w:r w:rsidR="00FB469C">
        <w:t xml:space="preserve">ILWCI Facility will </w:t>
      </w:r>
      <w:r w:rsidR="004E0D24">
        <w:t xml:space="preserve">increase the storage </w:t>
      </w:r>
      <w:r w:rsidR="00934CF8">
        <w:t>volume</w:t>
      </w:r>
      <w:r w:rsidR="004E0D24">
        <w:t xml:space="preserve"> for</w:t>
      </w:r>
      <w:r w:rsidR="00691476">
        <w:t xml:space="preserve"> </w:t>
      </w:r>
      <w:r w:rsidR="004E0D24">
        <w:t>SUF cup</w:t>
      </w:r>
      <w:r w:rsidR="00EC2A9F">
        <w:t xml:space="preserve"> storage vessels</w:t>
      </w:r>
      <w:r w:rsidR="004E0D24">
        <w:t xml:space="preserve"> and </w:t>
      </w:r>
      <w:r w:rsidR="007F6F18">
        <w:t>other waste stored in aluminium retrievable bins</w:t>
      </w:r>
      <w:r w:rsidR="00934CF8">
        <w:t xml:space="preserve"> </w:t>
      </w:r>
      <w:r w:rsidR="002372D0">
        <w:t xml:space="preserve">(ARB) </w:t>
      </w:r>
      <w:r w:rsidR="00934CF8">
        <w:t xml:space="preserve">by 112 and 176% respectively. It will </w:t>
      </w:r>
      <w:r w:rsidR="00047079">
        <w:t>also</w:t>
      </w:r>
      <w:r w:rsidR="00934CF8">
        <w:t xml:space="preserve"> </w:t>
      </w:r>
      <w:r w:rsidR="00BF322A">
        <w:t xml:space="preserve">provide storage </w:t>
      </w:r>
      <w:r w:rsidR="00934CF8">
        <w:t>capacity</w:t>
      </w:r>
      <w:r w:rsidR="00BF322A">
        <w:t xml:space="preserve"> for </w:t>
      </w:r>
      <w:r w:rsidR="003543F1">
        <w:t xml:space="preserve">waste canisters produced in the </w:t>
      </w:r>
      <w:proofErr w:type="spellStart"/>
      <w:r w:rsidR="003543F1">
        <w:t>SyMo</w:t>
      </w:r>
      <w:proofErr w:type="spellEnd"/>
      <w:r w:rsidR="003543F1">
        <w:t xml:space="preserve"> Facility. </w:t>
      </w:r>
      <w:r w:rsidR="00465B92">
        <w:t>ANSTO estimates that capacity will be reached in 2037 i.e.</w:t>
      </w:r>
      <w:r w:rsidR="00E65C64">
        <w:t>, the ILWCI extend</w:t>
      </w:r>
      <w:r w:rsidR="00603B0A">
        <w:t>s</w:t>
      </w:r>
      <w:r w:rsidR="00E65C64">
        <w:t xml:space="preserve"> the period during which waste can be received</w:t>
      </w:r>
      <w:r w:rsidR="00FB386E">
        <w:t xml:space="preserve"> by appropriately designed storage facilities on site</w:t>
      </w:r>
      <w:r w:rsidR="00E65C64">
        <w:t xml:space="preserve"> by 10 years.</w:t>
      </w:r>
      <w:r w:rsidR="00785287">
        <w:t xml:space="preserve"> </w:t>
      </w:r>
    </w:p>
    <w:p w14:paraId="1DE1B070" w14:textId="7040EC31" w:rsidR="00570ECF" w:rsidRDefault="001E36B0" w:rsidP="00570ECF">
      <w:pPr>
        <w:spacing w:before="120" w:line="264" w:lineRule="auto"/>
      </w:pPr>
      <w:r>
        <w:t xml:space="preserve">Licence F0339 </w:t>
      </w:r>
      <w:r w:rsidR="00D3443A">
        <w:t xml:space="preserve">only authorises activities for the purpose </w:t>
      </w:r>
      <w:r w:rsidR="003D49D3">
        <w:t xml:space="preserve">outlined in the application. </w:t>
      </w:r>
      <w:r w:rsidR="00842961">
        <w:t xml:space="preserve">I have received </w:t>
      </w:r>
      <w:r w:rsidR="00F90669">
        <w:t>confirmation</w:t>
      </w:r>
      <w:r w:rsidR="00842961">
        <w:t xml:space="preserve"> from </w:t>
      </w:r>
      <w:r w:rsidR="00232875">
        <w:t xml:space="preserve">the </w:t>
      </w:r>
      <w:r w:rsidR="00842961">
        <w:t xml:space="preserve">ANSTO </w:t>
      </w:r>
      <w:r w:rsidR="00232875">
        <w:t xml:space="preserve">CEO </w:t>
      </w:r>
      <w:r w:rsidR="00842961">
        <w:t xml:space="preserve">that no </w:t>
      </w:r>
      <w:r w:rsidR="00C06DEA">
        <w:t>other purpose is foreseen</w:t>
      </w:r>
      <w:r w:rsidR="00F90669">
        <w:t xml:space="preserve"> for the ILWCI Facility</w:t>
      </w:r>
      <w:r w:rsidR="000F678C">
        <w:t>.</w:t>
      </w:r>
      <w:r w:rsidR="00644DA5">
        <w:t xml:space="preserve"> </w:t>
      </w:r>
      <w:r w:rsidR="00570ECF">
        <w:t xml:space="preserve"> </w:t>
      </w:r>
    </w:p>
    <w:p w14:paraId="1306422F" w14:textId="21EB4AA7" w:rsidR="00880A46" w:rsidRDefault="00880A46" w:rsidP="00880A46">
      <w:pPr>
        <w:pStyle w:val="Heading4"/>
      </w:pPr>
      <w:r>
        <w:t xml:space="preserve">Completeness of information </w:t>
      </w:r>
    </w:p>
    <w:p w14:paraId="73B58018" w14:textId="24D3417E" w:rsidR="006A1CE8" w:rsidRDefault="004649A8" w:rsidP="009D0BF0">
      <w:pPr>
        <w:spacing w:before="120" w:line="264" w:lineRule="auto"/>
      </w:pPr>
      <w:r>
        <w:t>I</w:t>
      </w:r>
      <w:r w:rsidR="009D0BF0" w:rsidRPr="00E11F6A">
        <w:t xml:space="preserve">t is implicit in the </w:t>
      </w:r>
      <w:r w:rsidR="00521304">
        <w:t>legislation</w:t>
      </w:r>
      <w:r w:rsidR="009D0BF0" w:rsidRPr="00E11F6A">
        <w:t xml:space="preserve"> that </w:t>
      </w:r>
      <w:r w:rsidR="00DF28B8">
        <w:t xml:space="preserve">licensing of a facility </w:t>
      </w:r>
      <w:r w:rsidR="009C5B42">
        <w:t xml:space="preserve">normally </w:t>
      </w:r>
      <w:r w:rsidR="00DF28B8">
        <w:t xml:space="preserve">occurs </w:t>
      </w:r>
      <w:r w:rsidR="00E81C01">
        <w:t>i</w:t>
      </w:r>
      <w:r w:rsidR="00DF28B8">
        <w:t xml:space="preserve">n stages, </w:t>
      </w:r>
      <w:r w:rsidR="009D0BF0">
        <w:t xml:space="preserve">with </w:t>
      </w:r>
      <w:r w:rsidR="009D0BF0" w:rsidRPr="00E11F6A">
        <w:t xml:space="preserve">each </w:t>
      </w:r>
      <w:r w:rsidR="009D0BF0">
        <w:t xml:space="preserve">stage </w:t>
      </w:r>
      <w:r w:rsidR="00DF28B8">
        <w:t>(</w:t>
      </w:r>
      <w:r w:rsidR="0093028D">
        <w:t xml:space="preserve">to </w:t>
      </w:r>
      <w:r w:rsidR="00DF28B8" w:rsidRPr="00521304">
        <w:rPr>
          <w:i/>
          <w:iCs/>
        </w:rPr>
        <w:t>prepare a site</w:t>
      </w:r>
      <w:r w:rsidR="00E634E8">
        <w:t xml:space="preserve"> for a facility; to </w:t>
      </w:r>
      <w:r w:rsidR="00DF28B8" w:rsidRPr="00521304">
        <w:rPr>
          <w:i/>
          <w:iCs/>
        </w:rPr>
        <w:t>construct</w:t>
      </w:r>
      <w:r w:rsidR="00DF28B8">
        <w:t xml:space="preserve">, </w:t>
      </w:r>
      <w:r w:rsidR="00DF28B8" w:rsidRPr="00521304">
        <w:rPr>
          <w:i/>
          <w:iCs/>
        </w:rPr>
        <w:t>operate</w:t>
      </w:r>
      <w:r w:rsidR="00DF28B8">
        <w:t xml:space="preserve">, </w:t>
      </w:r>
      <w:r w:rsidR="003F6E0A">
        <w:t xml:space="preserve">have </w:t>
      </w:r>
      <w:r w:rsidR="00F82C5A" w:rsidRPr="00521304">
        <w:rPr>
          <w:i/>
          <w:iCs/>
        </w:rPr>
        <w:t>p</w:t>
      </w:r>
      <w:r w:rsidR="003F6E0A" w:rsidRPr="00521304">
        <w:rPr>
          <w:i/>
          <w:iCs/>
        </w:rPr>
        <w:t>ossession or contro</w:t>
      </w:r>
      <w:r w:rsidR="00F82C5A" w:rsidRPr="00521304">
        <w:rPr>
          <w:i/>
          <w:iCs/>
        </w:rPr>
        <w:t>l</w:t>
      </w:r>
      <w:r w:rsidR="00ED118A">
        <w:t xml:space="preserve"> of</w:t>
      </w:r>
      <w:r w:rsidR="00F82C5A">
        <w:t xml:space="preserve">, </w:t>
      </w:r>
      <w:r w:rsidR="00DF28B8" w:rsidRPr="00521304">
        <w:rPr>
          <w:i/>
          <w:iCs/>
        </w:rPr>
        <w:t>decommission</w:t>
      </w:r>
      <w:r w:rsidR="00DF28B8">
        <w:t xml:space="preserve">, </w:t>
      </w:r>
      <w:r w:rsidR="0093028D">
        <w:t xml:space="preserve">or </w:t>
      </w:r>
      <w:r w:rsidR="00DF28B8" w:rsidRPr="00521304">
        <w:rPr>
          <w:i/>
          <w:iCs/>
        </w:rPr>
        <w:t>abandon</w:t>
      </w:r>
      <w:r w:rsidR="00DF28B8">
        <w:t xml:space="preserve"> a </w:t>
      </w:r>
      <w:r w:rsidR="00157EFB">
        <w:t>facility</w:t>
      </w:r>
      <w:r w:rsidR="00DF28B8">
        <w:t>)</w:t>
      </w:r>
      <w:r w:rsidR="00596EF4">
        <w:t xml:space="preserve"> covered by a </w:t>
      </w:r>
      <w:r w:rsidR="00F63206">
        <w:t>separate</w:t>
      </w:r>
      <w:r w:rsidR="00596EF4">
        <w:t xml:space="preserve"> licence </w:t>
      </w:r>
      <w:r w:rsidR="00771C03">
        <w:t xml:space="preserve">application </w:t>
      </w:r>
      <w:r w:rsidR="009D0BF0" w:rsidRPr="00E11F6A">
        <w:t>(</w:t>
      </w:r>
      <w:r w:rsidR="009D0BF0">
        <w:t>section 46</w:t>
      </w:r>
      <w:r w:rsidR="009D0BF0" w:rsidRPr="00E11F6A">
        <w:t xml:space="preserve"> of the Regulations). </w:t>
      </w:r>
      <w:r w:rsidR="00DA128C">
        <w:t>S</w:t>
      </w:r>
      <w:r w:rsidR="009D0BF0" w:rsidRPr="00E11F6A">
        <w:t xml:space="preserve">taged project development and licensing </w:t>
      </w:r>
      <w:r w:rsidR="00665F07">
        <w:t>that</w:t>
      </w:r>
      <w:r w:rsidR="009D0BF0" w:rsidRPr="00E11F6A">
        <w:t xml:space="preserve"> </w:t>
      </w:r>
      <w:r w:rsidR="009D0BF0">
        <w:t>require</w:t>
      </w:r>
      <w:r w:rsidR="009D0BF0" w:rsidRPr="00E11F6A">
        <w:t xml:space="preserve"> sequential </w:t>
      </w:r>
      <w:r w:rsidR="00880A46">
        <w:t xml:space="preserve">applications and </w:t>
      </w:r>
      <w:r w:rsidR="009D0BF0" w:rsidRPr="00E11F6A">
        <w:t xml:space="preserve">regulatory </w:t>
      </w:r>
      <w:r w:rsidR="00DF28B8">
        <w:t>decisions</w:t>
      </w:r>
      <w:r w:rsidR="009D0BF0" w:rsidRPr="00E11F6A">
        <w:t xml:space="preserve"> mitigate </w:t>
      </w:r>
      <w:r w:rsidR="003C53C2">
        <w:t xml:space="preserve">the risk </w:t>
      </w:r>
      <w:r w:rsidR="000E1321">
        <w:t xml:space="preserve">of </w:t>
      </w:r>
      <w:r w:rsidR="009D0BF0" w:rsidRPr="00E11F6A">
        <w:t xml:space="preserve">problems arising from </w:t>
      </w:r>
      <w:r w:rsidR="000E1321">
        <w:t>issues</w:t>
      </w:r>
      <w:r w:rsidR="003C334E">
        <w:t xml:space="preserve"> detected late</w:t>
      </w:r>
      <w:r w:rsidR="00F42061">
        <w:t xml:space="preserve"> or at the end of </w:t>
      </w:r>
      <w:r w:rsidR="003C334E">
        <w:t>the project</w:t>
      </w:r>
      <w:r w:rsidR="004A1953">
        <w:t xml:space="preserve"> and</w:t>
      </w:r>
      <w:r w:rsidR="003C334E">
        <w:t xml:space="preserve"> </w:t>
      </w:r>
      <w:r w:rsidR="004C179D">
        <w:t xml:space="preserve">that </w:t>
      </w:r>
      <w:r w:rsidR="00E921D8">
        <w:t>had</w:t>
      </w:r>
      <w:r w:rsidR="004C179D">
        <w:t xml:space="preserve"> been </w:t>
      </w:r>
      <w:r w:rsidR="009D0BF0" w:rsidRPr="00E11F6A">
        <w:t xml:space="preserve">overlooked at the onset of the project. </w:t>
      </w:r>
      <w:r w:rsidR="00DF28B8">
        <w:t>However, a</w:t>
      </w:r>
      <w:r w:rsidR="006A1CE8">
        <w:t xml:space="preserve"> prerequisite for a successful staged licensing process is that </w:t>
      </w:r>
      <w:r w:rsidR="00A7570E">
        <w:t xml:space="preserve">ultimate </w:t>
      </w:r>
      <w:r w:rsidR="006A1CE8">
        <w:t xml:space="preserve">purpose, design, operation and decommissioning of the facility </w:t>
      </w:r>
      <w:r w:rsidR="00DF28B8">
        <w:t>are</w:t>
      </w:r>
      <w:r w:rsidR="006A1CE8">
        <w:t xml:space="preserve"> </w:t>
      </w:r>
      <w:r w:rsidR="00AE4C75">
        <w:t xml:space="preserve">understood in sufficient detail </w:t>
      </w:r>
      <w:r w:rsidR="006A1CE8" w:rsidRPr="006A1CE8">
        <w:rPr>
          <w:i/>
          <w:iCs/>
        </w:rPr>
        <w:t xml:space="preserve">at the </w:t>
      </w:r>
      <w:r w:rsidR="00F72B37">
        <w:rPr>
          <w:i/>
          <w:iCs/>
        </w:rPr>
        <w:t xml:space="preserve">initial </w:t>
      </w:r>
      <w:r w:rsidR="006A1CE8" w:rsidRPr="006A1CE8">
        <w:rPr>
          <w:i/>
          <w:iCs/>
        </w:rPr>
        <w:t>stage</w:t>
      </w:r>
      <w:r w:rsidR="0090584B">
        <w:rPr>
          <w:i/>
          <w:iCs/>
        </w:rPr>
        <w:t xml:space="preserve"> of preparing a site for </w:t>
      </w:r>
      <w:r w:rsidR="009403FD">
        <w:rPr>
          <w:i/>
          <w:iCs/>
        </w:rPr>
        <w:t>a</w:t>
      </w:r>
      <w:r w:rsidR="0090584B">
        <w:rPr>
          <w:i/>
          <w:iCs/>
        </w:rPr>
        <w:t xml:space="preserve"> facility</w:t>
      </w:r>
      <w:r w:rsidR="00880A46">
        <w:t xml:space="preserve"> </w:t>
      </w:r>
      <w:r w:rsidR="006A1CE8">
        <w:t>to avoid costly and time-consuming rectification work</w:t>
      </w:r>
      <w:r w:rsidR="007C77C6">
        <w:t xml:space="preserve"> and a re-start of </w:t>
      </w:r>
      <w:r w:rsidR="006033E9">
        <w:t>the regulatory review and assessment process</w:t>
      </w:r>
      <w:r w:rsidR="006A1CE8">
        <w:t xml:space="preserve">. </w:t>
      </w:r>
    </w:p>
    <w:p w14:paraId="2DFF9A57" w14:textId="4413DAE0" w:rsidR="00DF5272" w:rsidRDefault="006A1CE8" w:rsidP="00C10B2C">
      <w:pPr>
        <w:spacing w:before="120" w:line="264" w:lineRule="auto"/>
      </w:pPr>
      <w:r>
        <w:t>In relation to the ILW</w:t>
      </w:r>
      <w:r w:rsidR="009550AA">
        <w:t>CI</w:t>
      </w:r>
      <w:r>
        <w:t xml:space="preserve"> Facility, </w:t>
      </w:r>
      <w:r w:rsidR="00DF28B8">
        <w:t xml:space="preserve">some of the </w:t>
      </w:r>
      <w:r>
        <w:t xml:space="preserve">submitted documentation </w:t>
      </w:r>
      <w:r w:rsidR="00DF28B8">
        <w:t xml:space="preserve">is </w:t>
      </w:r>
      <w:r w:rsidR="00317658">
        <w:t xml:space="preserve">necessarily </w:t>
      </w:r>
      <w:r w:rsidR="00DF28B8">
        <w:t xml:space="preserve">generic </w:t>
      </w:r>
      <w:r w:rsidR="004A1953">
        <w:t xml:space="preserve">in </w:t>
      </w:r>
      <w:r w:rsidR="00DF28B8">
        <w:t xml:space="preserve">nature and </w:t>
      </w:r>
      <w:r>
        <w:t>lack</w:t>
      </w:r>
      <w:r w:rsidR="0060310C">
        <w:t>s</w:t>
      </w:r>
      <w:r>
        <w:t xml:space="preserve"> </w:t>
      </w:r>
      <w:r w:rsidR="00774D48">
        <w:t xml:space="preserve">full </w:t>
      </w:r>
      <w:r>
        <w:t>detail</w:t>
      </w:r>
      <w:r w:rsidR="00317658">
        <w:t xml:space="preserve"> at this stage of the facility lifecycle</w:t>
      </w:r>
      <w:r w:rsidR="00DF28B8">
        <w:t>.</w:t>
      </w:r>
      <w:r>
        <w:t xml:space="preserve"> However, </w:t>
      </w:r>
      <w:r w:rsidR="00CB2A30">
        <w:t xml:space="preserve">the </w:t>
      </w:r>
      <w:r w:rsidR="00675EEE">
        <w:t>sit</w:t>
      </w:r>
      <w:r w:rsidR="00CB2A30">
        <w:t xml:space="preserve">e characteristics </w:t>
      </w:r>
      <w:r w:rsidR="00675EEE">
        <w:t xml:space="preserve">documentation, </w:t>
      </w:r>
      <w:r>
        <w:t xml:space="preserve">the </w:t>
      </w:r>
      <w:r w:rsidR="0032545C">
        <w:t xml:space="preserve">design, the </w:t>
      </w:r>
      <w:r>
        <w:t xml:space="preserve">risk assessment, </w:t>
      </w:r>
      <w:r w:rsidR="00F02A58">
        <w:t xml:space="preserve">and the safety analysis report </w:t>
      </w:r>
      <w:r w:rsidR="00601EDC">
        <w:t xml:space="preserve">(SAR) </w:t>
      </w:r>
      <w:r w:rsidR="0032545C">
        <w:t xml:space="preserve">provide </w:t>
      </w:r>
      <w:r w:rsidR="004C5ED4">
        <w:t xml:space="preserve">meaningful information </w:t>
      </w:r>
      <w:r w:rsidR="00880A46">
        <w:t>and</w:t>
      </w:r>
      <w:r w:rsidR="004C5ED4">
        <w:t xml:space="preserve"> allow conclusions to be drawn about</w:t>
      </w:r>
      <w:r>
        <w:t xml:space="preserve"> </w:t>
      </w:r>
      <w:r w:rsidR="0032545C">
        <w:t>safety</w:t>
      </w:r>
      <w:r w:rsidR="00880A46">
        <w:t xml:space="preserve"> </w:t>
      </w:r>
      <w:r w:rsidR="0060310C">
        <w:t xml:space="preserve">and security </w:t>
      </w:r>
      <w:r w:rsidR="00880A46">
        <w:t>with reasonable certainty</w:t>
      </w:r>
      <w:r w:rsidR="00DF5272">
        <w:t xml:space="preserve"> and appropriate to the </w:t>
      </w:r>
      <w:r w:rsidR="00751335">
        <w:t xml:space="preserve">site </w:t>
      </w:r>
      <w:r w:rsidR="00DF5272">
        <w:t>licensing stage</w:t>
      </w:r>
      <w:r w:rsidR="0032545C">
        <w:t>. Other p</w:t>
      </w:r>
      <w:r w:rsidR="00DF28B8">
        <w:t>l</w:t>
      </w:r>
      <w:r w:rsidR="0032545C">
        <w:t xml:space="preserve">ans </w:t>
      </w:r>
      <w:r w:rsidR="00DF28B8">
        <w:t xml:space="preserve">and arrangements for managing safety </w:t>
      </w:r>
      <w:r w:rsidR="0032545C">
        <w:t xml:space="preserve">must </w:t>
      </w:r>
      <w:r w:rsidR="00DF28B8">
        <w:t>b</w:t>
      </w:r>
      <w:r w:rsidR="0032545C">
        <w:t xml:space="preserve">e </w:t>
      </w:r>
      <w:r w:rsidR="00B540C0">
        <w:t xml:space="preserve">considerably more developed </w:t>
      </w:r>
      <w:r w:rsidR="0032545C">
        <w:t xml:space="preserve">in advance of </w:t>
      </w:r>
      <w:proofErr w:type="gramStart"/>
      <w:r w:rsidR="0032545C">
        <w:t xml:space="preserve">submitting </w:t>
      </w:r>
      <w:r w:rsidR="00B540C0">
        <w:t xml:space="preserve">an </w:t>
      </w:r>
      <w:r w:rsidR="0032545C">
        <w:t>application</w:t>
      </w:r>
      <w:proofErr w:type="gramEnd"/>
      <w:r w:rsidR="0032545C">
        <w:t xml:space="preserve"> to construct</w:t>
      </w:r>
      <w:r w:rsidR="00B540C0">
        <w:t xml:space="preserve"> </w:t>
      </w:r>
      <w:r w:rsidR="0032545C">
        <w:t>the facility</w:t>
      </w:r>
      <w:r w:rsidR="002177E2">
        <w:t xml:space="preserve"> and at later stages of the </w:t>
      </w:r>
      <w:r w:rsidR="006F7B36">
        <w:t>facility lifecycle</w:t>
      </w:r>
      <w:r w:rsidR="0032545C">
        <w:t>.</w:t>
      </w:r>
      <w:r w:rsidR="004C5ED4">
        <w:t xml:space="preserve"> </w:t>
      </w:r>
      <w:r w:rsidR="00BD76FE">
        <w:t>See further section 3.3.</w:t>
      </w:r>
    </w:p>
    <w:p w14:paraId="1DBAB0D4" w14:textId="1C4B71DD" w:rsidR="00A331F8" w:rsidRDefault="00A331F8" w:rsidP="001B2873">
      <w:pPr>
        <w:pStyle w:val="Heading3"/>
        <w:numPr>
          <w:ilvl w:val="2"/>
          <w:numId w:val="3"/>
        </w:numPr>
        <w:spacing w:before="120" w:after="60"/>
        <w:ind w:left="1077"/>
      </w:pPr>
      <w:bookmarkStart w:id="25" w:name="_Toc96958665"/>
      <w:r>
        <w:t>Conclusions</w:t>
      </w:r>
      <w:bookmarkEnd w:id="25"/>
    </w:p>
    <w:p w14:paraId="389B17BD" w14:textId="77777777" w:rsidR="001D6158" w:rsidRPr="001D6158" w:rsidRDefault="001D6158" w:rsidP="001D6158"/>
    <w:tbl>
      <w:tblPr>
        <w:tblStyle w:val="TableGrid"/>
        <w:tblW w:w="0" w:type="auto"/>
        <w:tblLook w:val="04A0" w:firstRow="1" w:lastRow="0" w:firstColumn="1" w:lastColumn="0" w:noHBand="0" w:noVBand="1"/>
      </w:tblPr>
      <w:tblGrid>
        <w:gridCol w:w="9628"/>
      </w:tblGrid>
      <w:tr w:rsidR="00A331F8" w14:paraId="23691ADF" w14:textId="77777777" w:rsidTr="00A331F8">
        <w:tc>
          <w:tcPr>
            <w:tcW w:w="9628" w:type="dxa"/>
            <w:shd w:val="clear" w:color="auto" w:fill="3D145C" w:themeFill="accent1" w:themeFillShade="40"/>
          </w:tcPr>
          <w:p w14:paraId="787108BC" w14:textId="534937C2" w:rsidR="00A331F8" w:rsidRPr="00A331F8" w:rsidRDefault="006B2F84" w:rsidP="00A331F8">
            <w:pPr>
              <w:spacing w:before="120" w:after="120" w:line="264" w:lineRule="auto"/>
              <w:rPr>
                <w:b/>
                <w:bCs/>
                <w:color w:val="F2F2F2" w:themeColor="background1" w:themeShade="F2"/>
              </w:rPr>
            </w:pPr>
            <w:r>
              <w:rPr>
                <w:b/>
                <w:bCs/>
                <w:color w:val="F2F2F2" w:themeColor="background1" w:themeShade="F2"/>
              </w:rPr>
              <w:t>Does</w:t>
            </w:r>
            <w:r w:rsidR="00A331F8" w:rsidRPr="00A331F8">
              <w:rPr>
                <w:b/>
                <w:bCs/>
                <w:color w:val="F2F2F2" w:themeColor="background1" w:themeShade="F2"/>
              </w:rPr>
              <w:t xml:space="preserve"> the application for the licence compl</w:t>
            </w:r>
            <w:r>
              <w:rPr>
                <w:b/>
                <w:bCs/>
                <w:color w:val="F2F2F2" w:themeColor="background1" w:themeShade="F2"/>
              </w:rPr>
              <w:t>y</w:t>
            </w:r>
            <w:r w:rsidR="00A331F8" w:rsidRPr="00A331F8">
              <w:rPr>
                <w:b/>
                <w:bCs/>
                <w:color w:val="F2F2F2" w:themeColor="background1" w:themeShade="F2"/>
              </w:rPr>
              <w:t xml:space="preserve"> with </w:t>
            </w:r>
            <w:r w:rsidR="00BA24CB">
              <w:rPr>
                <w:b/>
                <w:bCs/>
                <w:color w:val="F2F2F2" w:themeColor="background1" w:themeShade="F2"/>
              </w:rPr>
              <w:t>sub-</w:t>
            </w:r>
            <w:r w:rsidR="00A331F8" w:rsidRPr="00A331F8">
              <w:rPr>
                <w:b/>
                <w:bCs/>
                <w:color w:val="F2F2F2" w:themeColor="background1" w:themeShade="F2"/>
              </w:rPr>
              <w:t>section 46(1) of the Regulations</w:t>
            </w:r>
          </w:p>
        </w:tc>
      </w:tr>
      <w:tr w:rsidR="00A331F8" w14:paraId="20594E15" w14:textId="77777777" w:rsidTr="00A331F8">
        <w:tc>
          <w:tcPr>
            <w:tcW w:w="9628" w:type="dxa"/>
            <w:shd w:val="clear" w:color="auto" w:fill="E3CCF4" w:themeFill="accent1"/>
          </w:tcPr>
          <w:p w14:paraId="1238992F" w14:textId="223DDEBD" w:rsidR="00A331F8" w:rsidRDefault="00B5592C" w:rsidP="00053E60">
            <w:pPr>
              <w:spacing w:before="120" w:after="120"/>
            </w:pPr>
            <w:r>
              <w:t>Information has been provided relevant to</w:t>
            </w:r>
            <w:r w:rsidR="00A331F8">
              <w:t xml:space="preserve"> all areas itemised under sub</w:t>
            </w:r>
            <w:r w:rsidR="00F04FEF">
              <w:t>-</w:t>
            </w:r>
            <w:r w:rsidR="00A51C53">
              <w:t>section</w:t>
            </w:r>
            <w:r w:rsidR="00A331F8">
              <w:t xml:space="preserve"> 46(1)</w:t>
            </w:r>
            <w:r w:rsidR="00A51C53">
              <w:t xml:space="preserve"> of the Regulations</w:t>
            </w:r>
            <w:r w:rsidR="00A331F8">
              <w:t xml:space="preserve">. </w:t>
            </w:r>
            <w:r w:rsidR="00051FE4">
              <w:t>The main purpose is to st</w:t>
            </w:r>
            <w:r w:rsidR="004D2725">
              <w:t>o</w:t>
            </w:r>
            <w:r w:rsidR="00051FE4">
              <w:t xml:space="preserve">re </w:t>
            </w:r>
            <w:r w:rsidR="00DF5272">
              <w:t>ILW</w:t>
            </w:r>
            <w:r w:rsidR="00F71B5C">
              <w:t xml:space="preserve"> </w:t>
            </w:r>
            <w:r w:rsidR="00051FE4">
              <w:t>from nuclear medicine production</w:t>
            </w:r>
            <w:r w:rsidR="00951999">
              <w:t xml:space="preserve"> and research activities</w:t>
            </w:r>
            <w:r w:rsidR="00115B58">
              <w:t xml:space="preserve">; no other purpose </w:t>
            </w:r>
            <w:r w:rsidR="006B3B8D">
              <w:t>has been</w:t>
            </w:r>
            <w:r w:rsidR="00115B58">
              <w:t xml:space="preserve"> stated</w:t>
            </w:r>
            <w:r w:rsidR="001A17C3">
              <w:t xml:space="preserve">. </w:t>
            </w:r>
            <w:r w:rsidR="00A51C53">
              <w:t xml:space="preserve">Plans and arrangements for managing safety </w:t>
            </w:r>
            <w:r w:rsidR="005922B2">
              <w:t xml:space="preserve">currently </w:t>
            </w:r>
            <w:r w:rsidR="00D76CC0">
              <w:t>lack detail</w:t>
            </w:r>
            <w:r w:rsidR="000D26AB">
              <w:t>. H</w:t>
            </w:r>
            <w:r w:rsidR="006A1E43">
              <w:t xml:space="preserve">owever, </w:t>
            </w:r>
            <w:r w:rsidR="00E17AC7">
              <w:t>in</w:t>
            </w:r>
            <w:r w:rsidR="00A51C53">
              <w:t xml:space="preserve">formation </w:t>
            </w:r>
            <w:r w:rsidR="001354D5">
              <w:t>on</w:t>
            </w:r>
            <w:r w:rsidR="00E17AC7">
              <w:t xml:space="preserve"> site characteristics</w:t>
            </w:r>
            <w:r w:rsidR="00AA22CF">
              <w:t xml:space="preserve"> and</w:t>
            </w:r>
            <w:r w:rsidR="00E17AC7">
              <w:t xml:space="preserve"> design</w:t>
            </w:r>
            <w:r w:rsidR="00AA22CF">
              <w:t>,</w:t>
            </w:r>
            <w:r w:rsidR="00C23962">
              <w:t xml:space="preserve"> </w:t>
            </w:r>
            <w:r w:rsidR="00E91D96">
              <w:t xml:space="preserve">the </w:t>
            </w:r>
            <w:r w:rsidR="00C23962">
              <w:t xml:space="preserve">risk </w:t>
            </w:r>
            <w:proofErr w:type="gramStart"/>
            <w:r w:rsidR="00C23962">
              <w:t>assessment</w:t>
            </w:r>
            <w:proofErr w:type="gramEnd"/>
            <w:r w:rsidR="00C23962">
              <w:t xml:space="preserve"> and </w:t>
            </w:r>
            <w:r w:rsidR="00E91D96">
              <w:t xml:space="preserve">the </w:t>
            </w:r>
            <w:r w:rsidR="00AA22CF">
              <w:t>safety analysis report</w:t>
            </w:r>
            <w:r w:rsidR="000012A8">
              <w:t>,</w:t>
            </w:r>
            <w:r w:rsidR="00945389">
              <w:t xml:space="preserve"> </w:t>
            </w:r>
            <w:r w:rsidR="000012A8">
              <w:t>are</w:t>
            </w:r>
            <w:r w:rsidR="00F20918">
              <w:t xml:space="preserve"> adequate </w:t>
            </w:r>
            <w:r w:rsidR="004312CA">
              <w:t xml:space="preserve">and appropriate for the current stage of licensing, </w:t>
            </w:r>
            <w:r w:rsidR="00E91D96">
              <w:t>a</w:t>
            </w:r>
            <w:r w:rsidR="00153984">
              <w:t>llow</w:t>
            </w:r>
            <w:r w:rsidR="004312CA">
              <w:t>ing</w:t>
            </w:r>
            <w:r w:rsidR="00153984">
              <w:t xml:space="preserve"> meaningful</w:t>
            </w:r>
            <w:r w:rsidR="007A0471">
              <w:t xml:space="preserve"> reasoning and</w:t>
            </w:r>
            <w:r w:rsidR="00153984">
              <w:t xml:space="preserve"> conclusions on safety of the ILWCI</w:t>
            </w:r>
            <w:r w:rsidR="00801A7F">
              <w:t xml:space="preserve"> </w:t>
            </w:r>
            <w:r w:rsidR="007A0471">
              <w:t xml:space="preserve">Facility. </w:t>
            </w:r>
            <w:r w:rsidR="00961453">
              <w:t xml:space="preserve"> </w:t>
            </w:r>
          </w:p>
        </w:tc>
      </w:tr>
    </w:tbl>
    <w:p w14:paraId="1E78393B" w14:textId="147F3421" w:rsidR="00BB2F16" w:rsidRDefault="00BB2F16" w:rsidP="001B2873">
      <w:pPr>
        <w:pStyle w:val="Heading2"/>
        <w:numPr>
          <w:ilvl w:val="1"/>
          <w:numId w:val="3"/>
        </w:numPr>
        <w:tabs>
          <w:tab w:val="left" w:pos="993"/>
        </w:tabs>
        <w:spacing w:before="240"/>
        <w:ind w:left="981" w:hanging="624"/>
      </w:pPr>
      <w:r>
        <w:lastRenderedPageBreak/>
        <w:tab/>
      </w:r>
      <w:bookmarkStart w:id="26" w:name="_Toc96958666"/>
      <w:r w:rsidR="00880A46">
        <w:t>Ha</w:t>
      </w:r>
      <w:r w:rsidR="00822282">
        <w:t>s</w:t>
      </w:r>
      <w:r w:rsidR="00880A46">
        <w:t xml:space="preserve"> the applicant given the information asked for by the CEO</w:t>
      </w:r>
      <w:r>
        <w:t>?</w:t>
      </w:r>
      <w:bookmarkEnd w:id="26"/>
    </w:p>
    <w:p w14:paraId="5621E630" w14:textId="60D81559" w:rsidR="002F61F2" w:rsidRDefault="00053E60" w:rsidP="009D0BF0">
      <w:pPr>
        <w:spacing w:before="120" w:line="264" w:lineRule="auto"/>
      </w:pPr>
      <w:r>
        <w:t>S</w:t>
      </w:r>
      <w:r w:rsidR="00E72059">
        <w:t>ub</w:t>
      </w:r>
      <w:r w:rsidR="008E7CA3">
        <w:t>-</w:t>
      </w:r>
      <w:r w:rsidR="00E72059">
        <w:t>s</w:t>
      </w:r>
      <w:r>
        <w:t>ection 46</w:t>
      </w:r>
      <w:r w:rsidR="00415125">
        <w:t>(2)</w:t>
      </w:r>
      <w:r>
        <w:t xml:space="preserve"> of the </w:t>
      </w:r>
      <w:r w:rsidR="008E7CA3">
        <w:t xml:space="preserve">Regulations </w:t>
      </w:r>
      <w:r>
        <w:t xml:space="preserve">specifies documentation that the CEO may require from an applicant for a facility licence, noting the CEO </w:t>
      </w:r>
      <w:r w:rsidR="007006F2">
        <w:t>may</w:t>
      </w:r>
      <w:r>
        <w:t xml:space="preserve"> </w:t>
      </w:r>
      <w:r w:rsidR="00042184">
        <w:t xml:space="preserve">determine to </w:t>
      </w:r>
      <w:r>
        <w:t xml:space="preserve">request only some of </w:t>
      </w:r>
      <w:r w:rsidR="007D25C7">
        <w:t xml:space="preserve">the </w:t>
      </w:r>
      <w:r w:rsidR="0069614D">
        <w:t>listed</w:t>
      </w:r>
      <w:r w:rsidR="001F59F1">
        <w:t xml:space="preserve"> </w:t>
      </w:r>
      <w:r w:rsidR="007D25C7">
        <w:t>documentation</w:t>
      </w:r>
      <w:r w:rsidR="00AF6C08">
        <w:t xml:space="preserve"> and/or</w:t>
      </w:r>
      <w:r>
        <w:t xml:space="preserve"> request other </w:t>
      </w:r>
      <w:r w:rsidR="00A27FF1">
        <w:t xml:space="preserve">relevant </w:t>
      </w:r>
      <w:r>
        <w:t xml:space="preserve">documentation in addition to </w:t>
      </w:r>
      <w:r w:rsidR="00DE67B9">
        <w:t>what is</w:t>
      </w:r>
      <w:r>
        <w:t xml:space="preserve"> listed. </w:t>
      </w:r>
    </w:p>
    <w:p w14:paraId="7E1B3A90" w14:textId="12C957B2" w:rsidR="00053E60" w:rsidRDefault="00053E60" w:rsidP="009D0BF0">
      <w:pPr>
        <w:spacing w:before="120" w:line="264" w:lineRule="auto"/>
      </w:pPr>
      <w:r>
        <w:t>Notwithstanding what was s</w:t>
      </w:r>
      <w:r w:rsidR="009D0992">
        <w:t>tated</w:t>
      </w:r>
      <w:r>
        <w:t xml:space="preserve"> above about the need for </w:t>
      </w:r>
      <w:r w:rsidR="00276CB0">
        <w:t xml:space="preserve">a fulsome albeit preliminary understanding of </w:t>
      </w:r>
      <w:r w:rsidR="00607110">
        <w:t xml:space="preserve">the </w:t>
      </w:r>
      <w:r w:rsidR="007D5EB3">
        <w:t>life cycle</w:t>
      </w:r>
      <w:r w:rsidR="00607110">
        <w:t xml:space="preserve"> of the facility</w:t>
      </w:r>
      <w:r w:rsidR="00BF3DC6">
        <w:t xml:space="preserve"> when </w:t>
      </w:r>
      <w:r w:rsidR="004A15E4">
        <w:t xml:space="preserve">initially </w:t>
      </w:r>
      <w:r w:rsidR="005E2F7B">
        <w:t>prepar</w:t>
      </w:r>
      <w:r w:rsidR="00BF3DC6">
        <w:t>ing</w:t>
      </w:r>
      <w:r w:rsidR="005E2F7B">
        <w:t xml:space="preserve"> </w:t>
      </w:r>
      <w:r w:rsidR="00276CB0">
        <w:t xml:space="preserve">a site for </w:t>
      </w:r>
      <w:r w:rsidR="00EA1357">
        <w:t>the</w:t>
      </w:r>
      <w:r w:rsidR="00276CB0">
        <w:t xml:space="preserve"> facility, I consider the following (excerpts from </w:t>
      </w:r>
      <w:r w:rsidR="00F06C5B">
        <w:t>sub</w:t>
      </w:r>
      <w:r w:rsidR="001367EB">
        <w:t>-</w:t>
      </w:r>
      <w:r w:rsidR="00276CB0">
        <w:t>section 46</w:t>
      </w:r>
      <w:r w:rsidR="00BA7CB0">
        <w:t>(2)</w:t>
      </w:r>
      <w:r w:rsidR="00276CB0">
        <w:t xml:space="preserve"> of the Regulations) most relevant</w:t>
      </w:r>
      <w:r w:rsidR="005E2F7B">
        <w:t xml:space="preserve"> for the present licensing decision</w:t>
      </w:r>
      <w:r w:rsidR="00276CB0">
        <w:t>:</w:t>
      </w:r>
    </w:p>
    <w:p w14:paraId="6BB2FDD6" w14:textId="62C8700D" w:rsidR="00276CB0" w:rsidRDefault="00276CB0" w:rsidP="001B2873">
      <w:pPr>
        <w:pStyle w:val="ListParagraph"/>
        <w:numPr>
          <w:ilvl w:val="0"/>
          <w:numId w:val="15"/>
        </w:numPr>
        <w:spacing w:line="264" w:lineRule="auto"/>
      </w:pPr>
      <w:r>
        <w:t>Preparing a site for a controlled facility:</w:t>
      </w:r>
    </w:p>
    <w:p w14:paraId="578A81E4" w14:textId="792D8238" w:rsidR="00276CB0" w:rsidRPr="00276CB0" w:rsidRDefault="00276CB0" w:rsidP="001B2873">
      <w:pPr>
        <w:pStyle w:val="ListParagraph"/>
        <w:numPr>
          <w:ilvl w:val="0"/>
          <w:numId w:val="7"/>
        </w:numPr>
        <w:spacing w:line="264" w:lineRule="auto"/>
      </w:pPr>
      <w:r w:rsidRPr="00276CB0">
        <w:t>detailed site evaluation establishing the suitability of the site for the facility</w:t>
      </w:r>
    </w:p>
    <w:p w14:paraId="77A5E004" w14:textId="61E98658" w:rsidR="00276CB0" w:rsidRPr="00276CB0" w:rsidRDefault="00276CB0" w:rsidP="001B2873">
      <w:pPr>
        <w:pStyle w:val="ListParagraph"/>
        <w:numPr>
          <w:ilvl w:val="0"/>
          <w:numId w:val="7"/>
        </w:numPr>
        <w:spacing w:line="264" w:lineRule="auto"/>
      </w:pPr>
      <w:r w:rsidRPr="00276CB0">
        <w:t>the characteristics of the site, including the extent to which the site may be affected by natural and human events</w:t>
      </w:r>
    </w:p>
    <w:p w14:paraId="1F150DF2" w14:textId="5232267B" w:rsidR="00276CB0" w:rsidRDefault="00276CB0" w:rsidP="001B2873">
      <w:pPr>
        <w:pStyle w:val="ListParagraph"/>
        <w:numPr>
          <w:ilvl w:val="0"/>
          <w:numId w:val="7"/>
        </w:numPr>
        <w:spacing w:line="264" w:lineRule="auto"/>
      </w:pPr>
      <w:r w:rsidRPr="00276CB0">
        <w:t xml:space="preserve">any environmental impact statement (however described) requested or required by a Commonwealth, State, </w:t>
      </w:r>
      <w:proofErr w:type="gramStart"/>
      <w:r w:rsidRPr="00276CB0">
        <w:t>Territory</w:t>
      </w:r>
      <w:proofErr w:type="gramEnd"/>
      <w:r w:rsidRPr="00276CB0">
        <w:t xml:space="preserve"> or local government agency in relation to the site or the facility, and the outcome of the environmental assessment</w:t>
      </w:r>
      <w:r w:rsidR="00017D61">
        <w:t>.</w:t>
      </w:r>
    </w:p>
    <w:p w14:paraId="657EE032" w14:textId="4EDD43D4" w:rsidR="00276CB0" w:rsidRDefault="00B042CE" w:rsidP="001B2873">
      <w:pPr>
        <w:pStyle w:val="ListParagraph"/>
        <w:numPr>
          <w:ilvl w:val="0"/>
          <w:numId w:val="15"/>
        </w:numPr>
        <w:spacing w:line="264" w:lineRule="auto"/>
      </w:pPr>
      <w:r>
        <w:t>Constructing a controlled facility</w:t>
      </w:r>
    </w:p>
    <w:p w14:paraId="40510A04" w14:textId="56D3BC4D" w:rsidR="00B042CE" w:rsidRPr="00276CB0" w:rsidRDefault="00B042CE" w:rsidP="001B2873">
      <w:pPr>
        <w:pStyle w:val="ListParagraph"/>
        <w:numPr>
          <w:ilvl w:val="0"/>
          <w:numId w:val="6"/>
        </w:numPr>
        <w:spacing w:line="264" w:lineRule="auto"/>
      </w:pPr>
      <w:r w:rsidRPr="00276CB0">
        <w:t>the design of the facility, including ways in which the design deals with the physical and environmental characteristics of the site</w:t>
      </w:r>
    </w:p>
    <w:p w14:paraId="772D7A1A" w14:textId="68FB2BCD" w:rsidR="00276CB0" w:rsidRDefault="00B042CE" w:rsidP="001B2873">
      <w:pPr>
        <w:pStyle w:val="ListParagraph"/>
        <w:numPr>
          <w:ilvl w:val="0"/>
          <w:numId w:val="6"/>
        </w:numPr>
        <w:spacing w:line="264" w:lineRule="auto"/>
      </w:pPr>
      <w:bookmarkStart w:id="27" w:name="_Hlk92722875"/>
      <w:r w:rsidRPr="00276CB0">
        <w:t>any fundamental difficulties that will need to be resolved before any facility licence relating to the facility is issued</w:t>
      </w:r>
      <w:r w:rsidR="00017D61">
        <w:t>.</w:t>
      </w:r>
    </w:p>
    <w:bookmarkEnd w:id="27"/>
    <w:p w14:paraId="1F2A4053" w14:textId="06CC3FA0" w:rsidR="00276CB0" w:rsidRDefault="00B042CE" w:rsidP="001B2873">
      <w:pPr>
        <w:pStyle w:val="ListParagraph"/>
        <w:numPr>
          <w:ilvl w:val="0"/>
          <w:numId w:val="15"/>
        </w:numPr>
        <w:spacing w:line="264" w:lineRule="auto"/>
      </w:pPr>
      <w:r>
        <w:t>Decommissioning a controlled facility</w:t>
      </w:r>
      <w:r w:rsidR="00017D61">
        <w:t>.</w:t>
      </w:r>
    </w:p>
    <w:p w14:paraId="218875CB" w14:textId="4E6A13D6" w:rsidR="00B15643" w:rsidRDefault="00154FEE" w:rsidP="009D0BF0">
      <w:pPr>
        <w:spacing w:before="120" w:line="264" w:lineRule="auto"/>
      </w:pPr>
      <w:r>
        <w:t xml:space="preserve">ANSTO has provided information relevant to the above </w:t>
      </w:r>
      <w:r w:rsidR="00EB45CE">
        <w:t xml:space="preserve">and </w:t>
      </w:r>
      <w:r w:rsidR="000A2975">
        <w:t xml:space="preserve">has </w:t>
      </w:r>
      <w:r>
        <w:t>not communicat</w:t>
      </w:r>
      <w:r w:rsidR="00EB45CE">
        <w:t>ed</w:t>
      </w:r>
      <w:r>
        <w:t xml:space="preserve"> any fundamental issue </w:t>
      </w:r>
      <w:r w:rsidR="00366BAB">
        <w:t xml:space="preserve">to ARPANSA </w:t>
      </w:r>
      <w:r>
        <w:t xml:space="preserve">that needs to be resolved </w:t>
      </w:r>
      <w:r w:rsidR="00BB1687">
        <w:t>before</w:t>
      </w:r>
      <w:r w:rsidR="00B650F4">
        <w:t xml:space="preserve"> </w:t>
      </w:r>
      <w:r w:rsidR="00EB45CE">
        <w:t>a</w:t>
      </w:r>
      <w:r>
        <w:t xml:space="preserve"> facility licence</w:t>
      </w:r>
      <w:r w:rsidR="00B650F4">
        <w:t xml:space="preserve"> decision</w:t>
      </w:r>
      <w:r w:rsidR="00A57755">
        <w:t xml:space="preserve"> can be made</w:t>
      </w:r>
      <w:r>
        <w:t xml:space="preserve">. </w:t>
      </w:r>
    </w:p>
    <w:p w14:paraId="39B88A7B" w14:textId="6E080CAA" w:rsidR="00822282" w:rsidRPr="000803B2" w:rsidRDefault="00154FEE" w:rsidP="009D0BF0">
      <w:pPr>
        <w:spacing w:before="120" w:line="264" w:lineRule="auto"/>
      </w:pPr>
      <w:r>
        <w:t xml:space="preserve">ARPANSA has received the outcome of the notification under the </w:t>
      </w:r>
      <w:r w:rsidRPr="001D6158">
        <w:rPr>
          <w:i/>
          <w:iCs/>
        </w:rPr>
        <w:t xml:space="preserve">Environment Protection and Biodiversity Conservation Act </w:t>
      </w:r>
      <w:r w:rsidR="009137DD">
        <w:t>1999</w:t>
      </w:r>
      <w:r w:rsidR="0065163A" w:rsidRPr="0065163A">
        <w:t xml:space="preserve"> (the EPBC Act</w:t>
      </w:r>
      <w:r w:rsidR="006B3B8D">
        <w:t xml:space="preserve">; </w:t>
      </w:r>
      <w:r w:rsidR="006B3B8D" w:rsidRPr="00EB0022">
        <w:rPr>
          <w:i/>
          <w:iCs/>
        </w:rPr>
        <w:t>cf</w:t>
      </w:r>
      <w:r w:rsidR="006B3B8D">
        <w:t>. item 1(iii) in the list above</w:t>
      </w:r>
      <w:r w:rsidR="0065163A" w:rsidRPr="0065163A">
        <w:t>)</w:t>
      </w:r>
      <w:r w:rsidRPr="001D6158">
        <w:rPr>
          <w:i/>
          <w:iCs/>
        </w:rPr>
        <w:t>.</w:t>
      </w:r>
      <w:r>
        <w:t xml:space="preserve"> </w:t>
      </w:r>
      <w:r w:rsidR="00D867E0">
        <w:t xml:space="preserve">On 13 October 2021, the Department of Agriculture, Water and Environment </w:t>
      </w:r>
      <w:r w:rsidR="0070642D">
        <w:t xml:space="preserve">(DAWE) </w:t>
      </w:r>
      <w:r w:rsidR="00D867E0">
        <w:t>determined that the referral does not constitute a controlled action provided that certain conditions are met</w:t>
      </w:r>
      <w:r w:rsidR="00D867E0">
        <w:rPr>
          <w:rStyle w:val="FootnoteReference"/>
        </w:rPr>
        <w:footnoteReference w:id="21"/>
      </w:r>
      <w:r w:rsidR="00D867E0">
        <w:t>.</w:t>
      </w:r>
      <w:r w:rsidR="00D66E04">
        <w:t xml:space="preserve"> ARPANSA supports </w:t>
      </w:r>
      <w:r w:rsidR="00A43A5E">
        <w:t>the</w:t>
      </w:r>
      <w:r w:rsidR="00D66E04">
        <w:t xml:space="preserve"> conditions</w:t>
      </w:r>
      <w:r w:rsidR="00A43A5E">
        <w:t xml:space="preserve"> imposed by DAWE</w:t>
      </w:r>
      <w:r w:rsidR="00BF19B3">
        <w:t xml:space="preserve">; they correspond </w:t>
      </w:r>
      <w:r w:rsidR="004D4E37">
        <w:t>to</w:t>
      </w:r>
      <w:r w:rsidR="00BF19B3">
        <w:t xml:space="preserve"> ARPANSA’s licensing basis and conditions issued with this licence.</w:t>
      </w:r>
    </w:p>
    <w:p w14:paraId="230E5893" w14:textId="77777777" w:rsidR="0065163A" w:rsidRDefault="0065163A" w:rsidP="001B2873">
      <w:pPr>
        <w:pStyle w:val="Heading3"/>
        <w:numPr>
          <w:ilvl w:val="2"/>
          <w:numId w:val="3"/>
        </w:numPr>
        <w:spacing w:before="120" w:after="60"/>
        <w:ind w:left="1077"/>
      </w:pPr>
      <w:bookmarkStart w:id="28" w:name="_Toc96958667"/>
      <w:bookmarkEnd w:id="21"/>
      <w:bookmarkEnd w:id="22"/>
      <w:r>
        <w:lastRenderedPageBreak/>
        <w:t>Considerations</w:t>
      </w:r>
      <w:bookmarkEnd w:id="28"/>
    </w:p>
    <w:p w14:paraId="3C9BC1C4" w14:textId="08CB5FD8" w:rsidR="009C039D" w:rsidRDefault="0065163A" w:rsidP="0065163A">
      <w:pPr>
        <w:pStyle w:val="Heading4"/>
      </w:pPr>
      <w:r>
        <w:t xml:space="preserve">The site </w:t>
      </w:r>
    </w:p>
    <w:p w14:paraId="2DD6BDA0" w14:textId="18DA5364" w:rsidR="00A07446" w:rsidRDefault="00F0588E" w:rsidP="00F0588E">
      <w:pPr>
        <w:spacing w:before="120" w:line="264" w:lineRule="auto"/>
      </w:pPr>
      <w:r>
        <w:t>The site characteristics of the Lucas Heights site ha</w:t>
      </w:r>
      <w:r w:rsidR="008320C2">
        <w:t>ve</w:t>
      </w:r>
      <w:r>
        <w:t xml:space="preserve"> been assessed on several occasions for the purpose of establishing new </w:t>
      </w:r>
      <w:r w:rsidR="00963CCA">
        <w:t>facilities licen</w:t>
      </w:r>
      <w:r w:rsidR="00D9058C">
        <w:t>s</w:t>
      </w:r>
      <w:r w:rsidR="00963CCA">
        <w:t>ed under the Act</w:t>
      </w:r>
      <w:r>
        <w:t xml:space="preserve"> including </w:t>
      </w:r>
      <w:r w:rsidR="006F0BE7">
        <w:t xml:space="preserve">the </w:t>
      </w:r>
      <w:r>
        <w:t xml:space="preserve">detailed assessments preceding the construction of the OPAL reactor. </w:t>
      </w:r>
      <w:r w:rsidR="00D242E3">
        <w:t xml:space="preserve">However, </w:t>
      </w:r>
      <w:r w:rsidR="00760EF4">
        <w:t xml:space="preserve">underground storage of waste requires analysis of the </w:t>
      </w:r>
      <w:r w:rsidR="006E5237">
        <w:t>specific</w:t>
      </w:r>
      <w:r w:rsidR="00760EF4">
        <w:t xml:space="preserve"> site for the </w:t>
      </w:r>
      <w:r w:rsidR="006E5237">
        <w:t xml:space="preserve">ILWCI Facility, </w:t>
      </w:r>
      <w:r w:rsidR="00D242E3">
        <w:t xml:space="preserve">new knowledge may </w:t>
      </w:r>
      <w:r w:rsidR="00A1631A">
        <w:t>emerge,</w:t>
      </w:r>
      <w:r w:rsidR="00D242E3">
        <w:t xml:space="preserve"> and </w:t>
      </w:r>
      <w:r w:rsidR="00DF4380">
        <w:t>experience</w:t>
      </w:r>
      <w:r w:rsidR="00D242E3">
        <w:t xml:space="preserve"> may have been </w:t>
      </w:r>
      <w:r w:rsidR="006274F8">
        <w:t>gained</w:t>
      </w:r>
      <w:r w:rsidR="00D242E3">
        <w:t xml:space="preserve"> that further</w:t>
      </w:r>
      <w:r w:rsidR="00D9058C">
        <w:t>s</w:t>
      </w:r>
      <w:r w:rsidR="00D242E3">
        <w:t xml:space="preserve"> </w:t>
      </w:r>
      <w:r w:rsidR="00FB0BAD">
        <w:t>the</w:t>
      </w:r>
      <w:r w:rsidR="00D242E3">
        <w:t xml:space="preserve"> understanding of the site</w:t>
      </w:r>
      <w:r w:rsidR="004B03B0">
        <w:t xml:space="preserve"> </w:t>
      </w:r>
      <w:r w:rsidR="00D242E3">
        <w:t>characteristics</w:t>
      </w:r>
      <w:r w:rsidR="006274F8">
        <w:t xml:space="preserve"> and its impact on systems, structures, </w:t>
      </w:r>
      <w:proofErr w:type="gramStart"/>
      <w:r w:rsidR="006274F8">
        <w:t>components</w:t>
      </w:r>
      <w:proofErr w:type="gramEnd"/>
      <w:r w:rsidR="006274F8">
        <w:t xml:space="preserve"> and equipment important to safety. </w:t>
      </w:r>
    </w:p>
    <w:p w14:paraId="6222E55E" w14:textId="7DB1DBB4" w:rsidR="00F0588E" w:rsidRDefault="00F0588E" w:rsidP="00F0588E">
      <w:pPr>
        <w:spacing w:before="120" w:line="264" w:lineRule="auto"/>
      </w:pPr>
      <w:proofErr w:type="gramStart"/>
      <w:r>
        <w:t>For the purpose of</w:t>
      </w:r>
      <w:proofErr w:type="gramEnd"/>
      <w:r>
        <w:t xml:space="preserve"> preparing a site for the ILWCI Facility, ANSTO submitted </w:t>
      </w:r>
      <w:r w:rsidR="00E520D4">
        <w:t xml:space="preserve">an analysis of site characteristics and site related design basis, as well </w:t>
      </w:r>
      <w:r w:rsidR="00027CEF">
        <w:t xml:space="preserve">as design documentation. </w:t>
      </w:r>
      <w:r w:rsidR="007A5A10">
        <w:t xml:space="preserve">The characterisation study was supplemented by geotechnical investigations specific to the proposed location of the ILWCI Facility. </w:t>
      </w:r>
      <w:r w:rsidR="00027CEF">
        <w:t>S</w:t>
      </w:r>
      <w:r>
        <w:t xml:space="preserve">ite </w:t>
      </w:r>
      <w:r w:rsidR="00027CEF">
        <w:t xml:space="preserve">characteristics </w:t>
      </w:r>
      <w:r w:rsidR="00BD06D0">
        <w:t>have</w:t>
      </w:r>
      <w:r>
        <w:t xml:space="preserve"> also been considered </w:t>
      </w:r>
      <w:r w:rsidR="00323EAA">
        <w:t xml:space="preserve">in the safety assessment and </w:t>
      </w:r>
      <w:r w:rsidR="008459B3">
        <w:t>SAR.</w:t>
      </w:r>
    </w:p>
    <w:p w14:paraId="50DEF8B9" w14:textId="0ABDDBE7" w:rsidR="003A668C" w:rsidRDefault="00354EE8" w:rsidP="00F0588E">
      <w:pPr>
        <w:spacing w:before="120" w:line="264" w:lineRule="auto"/>
      </w:pPr>
      <w:r>
        <w:t xml:space="preserve">Two </w:t>
      </w:r>
      <w:r w:rsidR="00632E4B">
        <w:t xml:space="preserve">feasible </w:t>
      </w:r>
      <w:r>
        <w:t xml:space="preserve">locations within the </w:t>
      </w:r>
      <w:r w:rsidR="00C11ABC">
        <w:t>W</w:t>
      </w:r>
      <w:r>
        <w:t xml:space="preserve">aste </w:t>
      </w:r>
      <w:r w:rsidR="00C11ABC">
        <w:t>M</w:t>
      </w:r>
      <w:r w:rsidR="00764C80">
        <w:t xml:space="preserve">anagement </w:t>
      </w:r>
      <w:r w:rsidR="00C11ABC">
        <w:t>P</w:t>
      </w:r>
      <w:r>
        <w:t>recinct were considered</w:t>
      </w:r>
      <w:r w:rsidR="00956AA5">
        <w:t xml:space="preserve">. The </w:t>
      </w:r>
      <w:r w:rsidR="0014583B">
        <w:t>preferred</w:t>
      </w:r>
      <w:r w:rsidR="00956AA5">
        <w:t xml:space="preserve"> site </w:t>
      </w:r>
      <w:r w:rsidR="00007DA1">
        <w:t xml:space="preserve">(Site A) </w:t>
      </w:r>
      <w:r w:rsidR="00956AA5">
        <w:t xml:space="preserve">scored higher </w:t>
      </w:r>
      <w:r w:rsidR="0014583B">
        <w:t xml:space="preserve">than the other </w:t>
      </w:r>
      <w:r w:rsidR="000906AB">
        <w:t xml:space="preserve">(Site B) </w:t>
      </w:r>
      <w:r w:rsidR="00956AA5">
        <w:t xml:space="preserve">on </w:t>
      </w:r>
      <w:proofErr w:type="gramStart"/>
      <w:r w:rsidR="00956AA5">
        <w:t>a number of</w:t>
      </w:r>
      <w:proofErr w:type="gramEnd"/>
      <w:r w:rsidR="00956AA5">
        <w:t xml:space="preserve"> criteria, including </w:t>
      </w:r>
      <w:r w:rsidR="00E92367">
        <w:t xml:space="preserve">risks posed </w:t>
      </w:r>
      <w:r w:rsidR="001C003E">
        <w:t xml:space="preserve">by </w:t>
      </w:r>
      <w:r w:rsidR="00E92367">
        <w:t>bushfires</w:t>
      </w:r>
      <w:r w:rsidR="00DA7CB9">
        <w:t xml:space="preserve"> (</w:t>
      </w:r>
      <w:r w:rsidR="00E92367">
        <w:t xml:space="preserve">where the </w:t>
      </w:r>
      <w:r w:rsidR="00632E4B">
        <w:t>preferred site is outside of the flame zone</w:t>
      </w:r>
      <w:r w:rsidR="00DA7CB9">
        <w:t>)</w:t>
      </w:r>
      <w:r w:rsidR="00780854">
        <w:t xml:space="preserve"> and</w:t>
      </w:r>
      <w:r w:rsidR="00FE0FE9">
        <w:t xml:space="preserve"> facilitati</w:t>
      </w:r>
      <w:r w:rsidR="00E41FD0">
        <w:t>on of</w:t>
      </w:r>
      <w:r w:rsidR="00FE0FE9">
        <w:t xml:space="preserve"> workflow</w:t>
      </w:r>
      <w:r w:rsidR="00780854">
        <w:t xml:space="preserve">. </w:t>
      </w:r>
      <w:r w:rsidR="00D24FE5">
        <w:t xml:space="preserve">It only scored </w:t>
      </w:r>
      <w:r w:rsidR="00355FAE">
        <w:t xml:space="preserve">lower on one </w:t>
      </w:r>
      <w:r w:rsidR="00103749">
        <w:t>criteri</w:t>
      </w:r>
      <w:r w:rsidR="00650988">
        <w:t>on</w:t>
      </w:r>
      <w:r w:rsidR="00355FAE">
        <w:t xml:space="preserve"> being </w:t>
      </w:r>
      <w:r w:rsidR="00D25AAD">
        <w:t>expandability</w:t>
      </w:r>
      <w:r w:rsidR="00355FAE">
        <w:t xml:space="preserve"> (3 out 5</w:t>
      </w:r>
      <w:r w:rsidR="00EB6B19">
        <w:t>)</w:t>
      </w:r>
      <w:r w:rsidR="00D25AAD">
        <w:t xml:space="preserve"> compared to </w:t>
      </w:r>
      <w:r w:rsidR="00EB6B19">
        <w:t>Site B</w:t>
      </w:r>
      <w:r w:rsidR="00D25AAD">
        <w:t xml:space="preserve"> </w:t>
      </w:r>
      <w:r w:rsidR="00B74B18">
        <w:t>(4 out of 5)</w:t>
      </w:r>
      <w:r w:rsidR="00BB2F9A">
        <w:t>. ARPANSA ag</w:t>
      </w:r>
      <w:r w:rsidR="002B5788">
        <w:t xml:space="preserve">rees with the preference for </w:t>
      </w:r>
      <w:r w:rsidR="002C1AC8">
        <w:t>site A</w:t>
      </w:r>
      <w:r w:rsidR="00007DA1">
        <w:t>.</w:t>
      </w:r>
      <w:r w:rsidR="002C1AC8">
        <w:t xml:space="preserve"> </w:t>
      </w:r>
    </w:p>
    <w:p w14:paraId="76B9713D" w14:textId="3B3ED8E5" w:rsidR="00F479B4" w:rsidRDefault="00E41FD0" w:rsidP="00F0588E">
      <w:pPr>
        <w:spacing w:before="120" w:line="264" w:lineRule="auto"/>
      </w:pPr>
      <w:r>
        <w:t xml:space="preserve">The site characteristics analysis </w:t>
      </w:r>
      <w:r w:rsidR="00F479B4">
        <w:t xml:space="preserve">identifies the following areas </w:t>
      </w:r>
      <w:r w:rsidR="006C4205">
        <w:t xml:space="preserve">for further </w:t>
      </w:r>
      <w:r w:rsidR="00F479B4">
        <w:t>consider</w:t>
      </w:r>
      <w:r w:rsidR="006C4205">
        <w:t xml:space="preserve">ation in the </w:t>
      </w:r>
      <w:r w:rsidR="00F479B4">
        <w:t>design</w:t>
      </w:r>
      <w:r w:rsidR="006C4205">
        <w:t xml:space="preserve"> of the facility</w:t>
      </w:r>
      <w:r w:rsidR="00F479B4">
        <w:t xml:space="preserve">: bushfire; drought; high summer temperature; lightning; low water supply; seismic activity; soil shrink – swell consolidation; extreme wind; ventilation air quality; and water supply quality. </w:t>
      </w:r>
    </w:p>
    <w:p w14:paraId="2876A8AE" w14:textId="1A36C3F9" w:rsidR="00BD24F4" w:rsidRDefault="00392144" w:rsidP="00F0588E">
      <w:pPr>
        <w:spacing w:before="120" w:line="264" w:lineRule="auto"/>
      </w:pPr>
      <w:r>
        <w:t xml:space="preserve">The ILWCI Facility is an integral part of the activities at the site </w:t>
      </w:r>
      <w:r w:rsidR="000922EC">
        <w:t>and interfaces with</w:t>
      </w:r>
      <w:r>
        <w:t xml:space="preserve"> facilities and activities on site that give rise to ILSW that requires remote handling. </w:t>
      </w:r>
      <w:r w:rsidR="00B00B3F">
        <w:t>ARPANSA’s review has considered the impact of co</w:t>
      </w:r>
      <w:r w:rsidR="00783187">
        <w:t>-</w:t>
      </w:r>
      <w:r w:rsidR="00B00B3F">
        <w:t>location of facilities</w:t>
      </w:r>
      <w:r w:rsidR="002D6F2D">
        <w:t xml:space="preserve"> and the</w:t>
      </w:r>
      <w:r w:rsidR="006E384C">
        <w:t xml:space="preserve"> interaction between different facilities on the Lucas Heights site</w:t>
      </w:r>
      <w:r w:rsidR="00B00B3F">
        <w:t xml:space="preserve">. </w:t>
      </w:r>
      <w:r w:rsidR="007E130F">
        <w:t xml:space="preserve">The reviewers have also considered ANSTO’s assessment of </w:t>
      </w:r>
      <w:r w:rsidR="005C29AC">
        <w:t xml:space="preserve">the safety significance </w:t>
      </w:r>
      <w:r w:rsidR="00D045A5">
        <w:t xml:space="preserve">of </w:t>
      </w:r>
      <w:r w:rsidR="007E130F">
        <w:t xml:space="preserve">human activity (e.g., road, </w:t>
      </w:r>
      <w:proofErr w:type="gramStart"/>
      <w:r w:rsidR="007E130F">
        <w:t>rail</w:t>
      </w:r>
      <w:proofErr w:type="gramEnd"/>
      <w:r w:rsidR="007E130F">
        <w:t xml:space="preserve"> and air transport; other industrial activity; military activity)</w:t>
      </w:r>
      <w:r w:rsidR="00D045A5">
        <w:t xml:space="preserve"> for safety of the ILWCI Facility</w:t>
      </w:r>
      <w:r w:rsidR="007E130F">
        <w:t xml:space="preserve">. The scenarios applicable to the ILWCI Facility are not different from those considered for other facilities on site and possibly </w:t>
      </w:r>
      <w:r w:rsidR="00D045A5">
        <w:t>carr</w:t>
      </w:r>
      <w:r w:rsidR="00B4274A">
        <w:t>y</w:t>
      </w:r>
      <w:r w:rsidR="00D045A5">
        <w:t xml:space="preserve"> less risk</w:t>
      </w:r>
      <w:r w:rsidR="007E130F">
        <w:t xml:space="preserve"> because the main purpose of the facility is storage </w:t>
      </w:r>
      <w:r w:rsidR="00D0444D">
        <w:t xml:space="preserve">with little handling and </w:t>
      </w:r>
      <w:r w:rsidR="007E130F">
        <w:t xml:space="preserve">with </w:t>
      </w:r>
      <w:r w:rsidR="00F05E48">
        <w:t xml:space="preserve">predominantly passive </w:t>
      </w:r>
      <w:r w:rsidR="007E130F">
        <w:t xml:space="preserve">safety features. </w:t>
      </w:r>
      <w:r w:rsidR="00BF30DE">
        <w:t>No industrial activit</w:t>
      </w:r>
      <w:r w:rsidR="00453FF7">
        <w:t>y</w:t>
      </w:r>
      <w:r w:rsidR="00BF30DE">
        <w:t xml:space="preserve"> that would preclude siting of the ILWCI Facility </w:t>
      </w:r>
      <w:r w:rsidR="00760D57">
        <w:t>as</w:t>
      </w:r>
      <w:r w:rsidR="00BF30DE">
        <w:t xml:space="preserve"> proposed </w:t>
      </w:r>
      <w:r w:rsidR="00CE76AF">
        <w:t xml:space="preserve">has </w:t>
      </w:r>
      <w:r w:rsidR="00BF30DE">
        <w:t>been identified.</w:t>
      </w:r>
    </w:p>
    <w:p w14:paraId="265D96A2" w14:textId="6B2AF8D1" w:rsidR="006A5E26" w:rsidRDefault="00AA6CF4" w:rsidP="00F0588E">
      <w:pPr>
        <w:spacing w:before="120" w:line="264" w:lineRule="auto"/>
      </w:pPr>
      <w:r>
        <w:t xml:space="preserve">ARPANSA’s regulatory officers have concluded that the site characteristics would not preclude location of the ILWCI Facility at the selected site while also acknowledging that the design of the facility is conceptual and that some </w:t>
      </w:r>
      <w:r w:rsidR="001F5915">
        <w:t>risks</w:t>
      </w:r>
      <w:r>
        <w:t xml:space="preserve"> should be given </w:t>
      </w:r>
      <w:r w:rsidR="00677601">
        <w:t>future</w:t>
      </w:r>
      <w:r>
        <w:t xml:space="preserve"> consideration</w:t>
      </w:r>
      <w:r w:rsidR="001F5915">
        <w:t xml:space="preserve"> in the design of the facility</w:t>
      </w:r>
      <w:r w:rsidR="006D1CB2">
        <w:t>.</w:t>
      </w:r>
      <w:r>
        <w:t xml:space="preserve"> </w:t>
      </w:r>
      <w:r w:rsidR="00C744DA">
        <w:t xml:space="preserve">The selected site appears a logical choice and is suitable based on available documentation. </w:t>
      </w:r>
      <w:r w:rsidR="00D557C2">
        <w:t>I agree with the reviewers</w:t>
      </w:r>
      <w:r w:rsidR="00E721C3" w:rsidDel="00CE76AF">
        <w:t xml:space="preserve"> </w:t>
      </w:r>
      <w:r w:rsidR="00E10AB5">
        <w:t>that</w:t>
      </w:r>
      <w:r w:rsidR="00E721C3">
        <w:t xml:space="preserve"> the information submitted on the site characteristics</w:t>
      </w:r>
      <w:r w:rsidR="00E10AB5">
        <w:t xml:space="preserve"> provides reasonable assurance that the </w:t>
      </w:r>
      <w:r w:rsidR="00DA192E">
        <w:t>facility can be established and operated safe</w:t>
      </w:r>
      <w:r w:rsidR="00D5078C">
        <w:t>ly at the proposed site</w:t>
      </w:r>
      <w:r w:rsidR="00D557C2">
        <w:t xml:space="preserve"> with the caveat that the design must carefully </w:t>
      </w:r>
      <w:r w:rsidR="0055146A">
        <w:t>consider certain</w:t>
      </w:r>
      <w:r w:rsidR="007A44FD">
        <w:t xml:space="preserve"> </w:t>
      </w:r>
      <w:r w:rsidR="00D5078C">
        <w:t xml:space="preserve">safety </w:t>
      </w:r>
      <w:r w:rsidR="00D557C2">
        <w:t>aspects already identified by ANSTO</w:t>
      </w:r>
      <w:r w:rsidR="00155FA1">
        <w:t>.</w:t>
      </w:r>
      <w:r w:rsidR="00D557C2">
        <w:t xml:space="preserve"> </w:t>
      </w:r>
    </w:p>
    <w:p w14:paraId="7103DC3B" w14:textId="06595519" w:rsidR="0065163A" w:rsidRDefault="0065163A" w:rsidP="0065163A">
      <w:pPr>
        <w:pStyle w:val="Heading4"/>
      </w:pPr>
      <w:r>
        <w:t>Design</w:t>
      </w:r>
      <w:r w:rsidR="00D5423E">
        <w:t xml:space="preserve"> and Decommissioning</w:t>
      </w:r>
    </w:p>
    <w:p w14:paraId="769C41B0" w14:textId="6A986A20" w:rsidR="00434832" w:rsidRDefault="00D75114" w:rsidP="00916733">
      <w:pPr>
        <w:spacing w:before="120" w:line="264" w:lineRule="auto"/>
      </w:pPr>
      <w:r>
        <w:t xml:space="preserve">Design options have been developed by </w:t>
      </w:r>
      <w:r w:rsidR="00A0142F">
        <w:t xml:space="preserve">a consultant </w:t>
      </w:r>
      <w:r>
        <w:t>and submitted with the application</w:t>
      </w:r>
      <w:r w:rsidR="00213DB7">
        <w:t xml:space="preserve">. </w:t>
      </w:r>
      <w:r w:rsidR="00CA77AD">
        <w:t xml:space="preserve">Broadly, the </w:t>
      </w:r>
      <w:r w:rsidR="00102278">
        <w:t xml:space="preserve">design </w:t>
      </w:r>
      <w:r w:rsidR="00AF4568">
        <w:t xml:space="preserve">is </w:t>
      </w:r>
      <w:r w:rsidR="002E599E">
        <w:t xml:space="preserve">very </w:t>
      </w:r>
      <w:r w:rsidR="00AF4568">
        <w:t xml:space="preserve">similar to that </w:t>
      </w:r>
      <w:r w:rsidR="007A44FD">
        <w:t>of</w:t>
      </w:r>
      <w:r w:rsidR="00AF4568">
        <w:t xml:space="preserve"> the existing </w:t>
      </w:r>
      <w:r w:rsidR="004C621C">
        <w:t>ILSW Facility</w:t>
      </w:r>
      <w:r w:rsidR="00AF4568">
        <w:t xml:space="preserve"> with</w:t>
      </w:r>
      <w:r w:rsidR="001D2EA2">
        <w:t xml:space="preserve"> holes and pits for SUF cup</w:t>
      </w:r>
      <w:r w:rsidR="00DD7FE7">
        <w:t xml:space="preserve"> storage vessels</w:t>
      </w:r>
      <w:r w:rsidR="001D2EA2">
        <w:t xml:space="preserve"> and</w:t>
      </w:r>
      <w:r w:rsidR="00604DDD">
        <w:t xml:space="preserve"> ARB</w:t>
      </w:r>
      <w:r w:rsidR="00DD7FE7">
        <w:t>s</w:t>
      </w:r>
      <w:r w:rsidR="00604DDD">
        <w:t xml:space="preserve"> </w:t>
      </w:r>
      <w:r w:rsidR="005B67B0">
        <w:t>below floor level and covered with concrete lids</w:t>
      </w:r>
      <w:r w:rsidR="00DB6DF7">
        <w:t xml:space="preserve">. </w:t>
      </w:r>
      <w:r w:rsidR="00C7151A">
        <w:t>The ARPANSA revi</w:t>
      </w:r>
      <w:r w:rsidR="007335CB">
        <w:t>e</w:t>
      </w:r>
      <w:r w:rsidR="00C7151A">
        <w:t xml:space="preserve">wers have </w:t>
      </w:r>
      <w:r w:rsidR="007335CB">
        <w:t>considered</w:t>
      </w:r>
      <w:r w:rsidR="00C7151A">
        <w:t xml:space="preserve"> the </w:t>
      </w:r>
      <w:r w:rsidR="000006FB">
        <w:t xml:space="preserve">conceptual </w:t>
      </w:r>
      <w:r w:rsidR="00C7151A">
        <w:t>design</w:t>
      </w:r>
      <w:r w:rsidR="00365694" w:rsidDel="000006FB">
        <w:t xml:space="preserve"> </w:t>
      </w:r>
      <w:r w:rsidR="00365694">
        <w:t xml:space="preserve">and are satisfied the documentation </w:t>
      </w:r>
      <w:r w:rsidR="00155BBE">
        <w:t xml:space="preserve">provides </w:t>
      </w:r>
      <w:r w:rsidR="007857B0">
        <w:t>assurance of sound design and safety</w:t>
      </w:r>
      <w:r w:rsidR="00742101">
        <w:t xml:space="preserve"> for the purpose of</w:t>
      </w:r>
      <w:r w:rsidR="00B70BB8">
        <w:t xml:space="preserve"> issuing a licence to authorise </w:t>
      </w:r>
      <w:r w:rsidR="007A5699">
        <w:t>ANSTO to</w:t>
      </w:r>
      <w:r w:rsidR="00742101">
        <w:t xml:space="preserve"> prepar</w:t>
      </w:r>
      <w:r w:rsidR="007A5699">
        <w:t>e</w:t>
      </w:r>
      <w:r w:rsidR="00742101">
        <w:t xml:space="preserve"> a site for the ILWCI Facility. </w:t>
      </w:r>
      <w:r w:rsidR="00434832">
        <w:t>I agree with the revie</w:t>
      </w:r>
      <w:r w:rsidR="005A2256">
        <w:t xml:space="preserve">wers. </w:t>
      </w:r>
    </w:p>
    <w:p w14:paraId="13BAD9FC" w14:textId="37B1F76C" w:rsidR="00AD51AC" w:rsidRDefault="00706132" w:rsidP="00916733">
      <w:pPr>
        <w:spacing w:before="120" w:line="264" w:lineRule="auto"/>
      </w:pPr>
      <w:r>
        <w:lastRenderedPageBreak/>
        <w:t xml:space="preserve">ANSTO’s plan for decommissioning of the ILWCI Facility </w:t>
      </w:r>
      <w:r w:rsidR="00271CB1">
        <w:t>is</w:t>
      </w:r>
      <w:r>
        <w:t>, at this stage, preliminary and</w:t>
      </w:r>
      <w:r w:rsidR="00B2047A">
        <w:t xml:space="preserve"> as such</w:t>
      </w:r>
      <w:r>
        <w:t xml:space="preserve"> lack</w:t>
      </w:r>
      <w:r w:rsidR="00271CB1">
        <w:t>s</w:t>
      </w:r>
      <w:r>
        <w:t xml:space="preserve"> detail. However, I agree with ANSTO that </w:t>
      </w:r>
      <w:r w:rsidR="007F475D">
        <w:t xml:space="preserve">for a facility of this nature (and </w:t>
      </w:r>
      <w:r w:rsidR="000F1DE2">
        <w:t xml:space="preserve">provided </w:t>
      </w:r>
      <w:r w:rsidR="007F475D">
        <w:t xml:space="preserve">no significant incident </w:t>
      </w:r>
      <w:r w:rsidR="001708F1">
        <w:t>causing</w:t>
      </w:r>
      <w:r w:rsidR="007F475D">
        <w:t xml:space="preserve"> spread of </w:t>
      </w:r>
      <w:r w:rsidR="002D5A8E">
        <w:t xml:space="preserve">radioactive material </w:t>
      </w:r>
      <w:r w:rsidR="001708F1">
        <w:t xml:space="preserve">occurs) </w:t>
      </w:r>
      <w:r w:rsidR="002D5A8E" w:rsidRPr="001708F1">
        <w:rPr>
          <w:i/>
          <w:iCs/>
        </w:rPr>
        <w:t xml:space="preserve">the decommissioning </w:t>
      </w:r>
      <w:r w:rsidR="009A50B3" w:rsidRPr="001708F1">
        <w:rPr>
          <w:i/>
          <w:iCs/>
        </w:rPr>
        <w:t>operations should not present significant technical challenges</w:t>
      </w:r>
      <w:r w:rsidR="00FC6469">
        <w:t xml:space="preserve">. </w:t>
      </w:r>
      <w:r w:rsidR="005A5C10">
        <w:t>T</w:t>
      </w:r>
      <w:r w:rsidR="00CB17AE">
        <w:t xml:space="preserve">he ARPANSA reviewers consider, and I concur, that </w:t>
      </w:r>
      <w:r w:rsidR="00A45FB7">
        <w:t xml:space="preserve">the </w:t>
      </w:r>
      <w:r w:rsidR="00CB17AE">
        <w:t xml:space="preserve">decommissioning </w:t>
      </w:r>
      <w:r w:rsidR="00A45FB7">
        <w:t xml:space="preserve">plan </w:t>
      </w:r>
      <w:r w:rsidR="00CB17AE">
        <w:t xml:space="preserve">should </w:t>
      </w:r>
      <w:r w:rsidR="00271CB1">
        <w:t xml:space="preserve">provide </w:t>
      </w:r>
      <w:r w:rsidR="00AE533B">
        <w:t xml:space="preserve">significantly </w:t>
      </w:r>
      <w:r w:rsidR="00105936">
        <w:t xml:space="preserve">more </w:t>
      </w:r>
      <w:r w:rsidR="00CB17AE">
        <w:t>detail in</w:t>
      </w:r>
      <w:r w:rsidR="00271CB1">
        <w:t xml:space="preserve"> the next </w:t>
      </w:r>
      <w:r w:rsidR="00CB17AE">
        <w:t>licensing stage.</w:t>
      </w:r>
    </w:p>
    <w:p w14:paraId="54E263B3" w14:textId="35192236" w:rsidR="00BD24F4" w:rsidRDefault="009154F6" w:rsidP="00916733">
      <w:pPr>
        <w:spacing w:before="120" w:line="264" w:lineRule="auto"/>
      </w:pPr>
      <w:r>
        <w:t xml:space="preserve">While the decommissioning plans lack detail there is an </w:t>
      </w:r>
      <w:r w:rsidR="006900B5">
        <w:t>in-</w:t>
      </w:r>
      <w:proofErr w:type="gramStart"/>
      <w:r w:rsidR="006900B5">
        <w:t>principle</w:t>
      </w:r>
      <w:proofErr w:type="gramEnd"/>
      <w:r>
        <w:t xml:space="preserve"> commitment </w:t>
      </w:r>
      <w:r w:rsidR="00C04E9A">
        <w:t>by</w:t>
      </w:r>
      <w:r>
        <w:t xml:space="preserve"> </w:t>
      </w:r>
      <w:r w:rsidR="00582B3F">
        <w:t xml:space="preserve">ANSTO </w:t>
      </w:r>
      <w:r w:rsidR="00C04E9A">
        <w:t>to</w:t>
      </w:r>
      <w:r w:rsidR="00582B3F">
        <w:t xml:space="preserve"> the ‘immediate dismantling’ option in accordance with international guidance. This is commendable but contingent on </w:t>
      </w:r>
      <w:r w:rsidR="00C06C3A">
        <w:t xml:space="preserve">careful planning and </w:t>
      </w:r>
      <w:r w:rsidR="00582B3F">
        <w:t>adequate funding. Planning for decommissioning</w:t>
      </w:r>
      <w:r w:rsidR="006A2976">
        <w:t xml:space="preserve"> and </w:t>
      </w:r>
      <w:r w:rsidR="00A87891">
        <w:t xml:space="preserve">integration of decommissioning in the over-all strategy for managing </w:t>
      </w:r>
      <w:r w:rsidR="006A2976">
        <w:t xml:space="preserve">radioactive </w:t>
      </w:r>
      <w:r w:rsidR="00A87891">
        <w:t>waste</w:t>
      </w:r>
      <w:r w:rsidR="006A2976">
        <w:t xml:space="preserve"> </w:t>
      </w:r>
      <w:r w:rsidR="00BA6E16">
        <w:t xml:space="preserve">are required at a sufficiently </w:t>
      </w:r>
      <w:r w:rsidR="00FC69B7">
        <w:t xml:space="preserve">early stage </w:t>
      </w:r>
      <w:r w:rsidR="00767A0F">
        <w:t>to</w:t>
      </w:r>
      <w:r w:rsidR="00FC69B7">
        <w:t xml:space="preserve"> assess </w:t>
      </w:r>
      <w:r w:rsidR="00C06C3A">
        <w:t>the</w:t>
      </w:r>
      <w:r w:rsidR="00FC69B7">
        <w:t xml:space="preserve"> implications for various waste streams and the associated funding for managing such waste streams.</w:t>
      </w:r>
      <w:r w:rsidR="006A2976">
        <w:t xml:space="preserve"> </w:t>
      </w:r>
      <w:r w:rsidR="00547EAD">
        <w:t xml:space="preserve">This should be considered in ANSTO’s waste management strategy which is </w:t>
      </w:r>
      <w:r w:rsidR="00511AFB">
        <w:t xml:space="preserve">currently </w:t>
      </w:r>
      <w:r w:rsidR="00547EAD">
        <w:t>under development.</w:t>
      </w:r>
    </w:p>
    <w:p w14:paraId="34B87605" w14:textId="6C95095A" w:rsidR="00E22D5D" w:rsidRDefault="00E22D5D" w:rsidP="008F3526">
      <w:pPr>
        <w:pStyle w:val="Heading3"/>
        <w:numPr>
          <w:ilvl w:val="2"/>
          <w:numId w:val="3"/>
        </w:numPr>
        <w:spacing w:before="120" w:after="120"/>
        <w:ind w:left="1077"/>
      </w:pPr>
      <w:bookmarkStart w:id="29" w:name="_Toc96958668"/>
      <w:r>
        <w:t>Conclusions</w:t>
      </w:r>
      <w:bookmarkEnd w:id="29"/>
    </w:p>
    <w:tbl>
      <w:tblPr>
        <w:tblStyle w:val="TableGrid"/>
        <w:tblW w:w="0" w:type="auto"/>
        <w:tblLook w:val="04A0" w:firstRow="1" w:lastRow="0" w:firstColumn="1" w:lastColumn="0" w:noHBand="0" w:noVBand="1"/>
      </w:tblPr>
      <w:tblGrid>
        <w:gridCol w:w="9628"/>
      </w:tblGrid>
      <w:tr w:rsidR="00E721C3" w:rsidRPr="00E721C3" w14:paraId="448F084B" w14:textId="77777777" w:rsidTr="00D63627">
        <w:tc>
          <w:tcPr>
            <w:tcW w:w="9628" w:type="dxa"/>
            <w:shd w:val="clear" w:color="auto" w:fill="3D145C" w:themeFill="accent1" w:themeFillShade="40"/>
          </w:tcPr>
          <w:p w14:paraId="0057D4E5" w14:textId="2B02116B" w:rsidR="00E721C3" w:rsidRPr="00E721C3" w:rsidRDefault="00BF40ED" w:rsidP="00E721C3">
            <w:pPr>
              <w:spacing w:line="264" w:lineRule="auto"/>
              <w:ind w:left="360" w:hanging="360"/>
              <w:rPr>
                <w:b/>
                <w:bCs/>
                <w:color w:val="FFFFFF" w:themeColor="background1"/>
              </w:rPr>
            </w:pPr>
            <w:r>
              <w:rPr>
                <w:b/>
                <w:bCs/>
                <w:color w:val="FFFFFF" w:themeColor="background1"/>
              </w:rPr>
              <w:t>Has</w:t>
            </w:r>
            <w:r w:rsidR="00E721C3" w:rsidRPr="00E721C3">
              <w:rPr>
                <w:b/>
                <w:bCs/>
                <w:color w:val="FFFFFF" w:themeColor="background1"/>
              </w:rPr>
              <w:t xml:space="preserve"> the applicant for the licence given the information asked for by the CEO</w:t>
            </w:r>
          </w:p>
        </w:tc>
      </w:tr>
      <w:tr w:rsidR="00E721C3" w14:paraId="6ABD9711" w14:textId="77777777" w:rsidTr="00D63627">
        <w:tc>
          <w:tcPr>
            <w:tcW w:w="9628" w:type="dxa"/>
            <w:shd w:val="clear" w:color="auto" w:fill="E3CCF4" w:themeFill="accent1"/>
          </w:tcPr>
          <w:p w14:paraId="3E3DFA71" w14:textId="151C94D3" w:rsidR="00E721C3" w:rsidRDefault="00F449D1" w:rsidP="00D63627">
            <w:pPr>
              <w:spacing w:before="120" w:after="120"/>
            </w:pPr>
            <w:r>
              <w:t>T</w:t>
            </w:r>
            <w:r w:rsidR="00FB1E76">
              <w:t xml:space="preserve">he submitted information is sufficient in terms of scope and breadth to provide reasonable assurance that the </w:t>
            </w:r>
            <w:r w:rsidR="00621EAA">
              <w:t xml:space="preserve">selected </w:t>
            </w:r>
            <w:r w:rsidR="00FB1E76">
              <w:t>site</w:t>
            </w:r>
            <w:r w:rsidR="00621EAA">
              <w:t xml:space="preserve"> </w:t>
            </w:r>
            <w:r w:rsidR="00767A0F">
              <w:t xml:space="preserve">is </w:t>
            </w:r>
            <w:r w:rsidR="00FB1E76">
              <w:t>suitable for the proposed ILW</w:t>
            </w:r>
            <w:r w:rsidR="005A0721">
              <w:t>CI</w:t>
            </w:r>
            <w:r w:rsidR="00FB1E76">
              <w:t xml:space="preserve"> Facility</w:t>
            </w:r>
            <w:r w:rsidR="00363BC6">
              <w:t>, logical in terms of interface with other facilities on site, and</w:t>
            </w:r>
            <w:r w:rsidR="00087D30">
              <w:t xml:space="preserve"> - </w:t>
            </w:r>
            <w:r w:rsidR="00203354">
              <w:t xml:space="preserve">if </w:t>
            </w:r>
            <w:r w:rsidR="00767A0F">
              <w:t xml:space="preserve">the facility </w:t>
            </w:r>
            <w:r w:rsidR="00F55767">
              <w:t xml:space="preserve">is </w:t>
            </w:r>
            <w:r w:rsidR="00203354">
              <w:t>designed and constructed</w:t>
            </w:r>
            <w:r w:rsidR="00772482">
              <w:t xml:space="preserve"> as intended</w:t>
            </w:r>
            <w:r w:rsidR="00F636EC">
              <w:t xml:space="preserve"> </w:t>
            </w:r>
            <w:r w:rsidR="00F55767">
              <w:t>–</w:t>
            </w:r>
            <w:r w:rsidR="00F636EC">
              <w:t xml:space="preserve"> </w:t>
            </w:r>
            <w:r w:rsidR="00501174">
              <w:t xml:space="preserve">that </w:t>
            </w:r>
            <w:r w:rsidR="00F55767">
              <w:t xml:space="preserve">the facility </w:t>
            </w:r>
            <w:r w:rsidR="00501174">
              <w:t>would</w:t>
            </w:r>
            <w:r w:rsidR="00F55767">
              <w:t xml:space="preserve"> be </w:t>
            </w:r>
            <w:r w:rsidR="00203354">
              <w:t xml:space="preserve">able to withstand adverse </w:t>
            </w:r>
            <w:r w:rsidR="002F56C8">
              <w:t>environmental conditions and events as well as accident</w:t>
            </w:r>
            <w:r w:rsidR="00087D30">
              <w:t>s</w:t>
            </w:r>
            <w:r w:rsidR="002F56C8">
              <w:t xml:space="preserve"> associated with human activity. </w:t>
            </w:r>
            <w:r w:rsidR="0062224E">
              <w:t>However</w:t>
            </w:r>
            <w:r w:rsidR="00FB6892">
              <w:t xml:space="preserve">, the </w:t>
            </w:r>
            <w:r w:rsidR="00FB1E76">
              <w:t xml:space="preserve">facility </w:t>
            </w:r>
            <w:r w:rsidR="002F56C8">
              <w:t>design</w:t>
            </w:r>
            <w:r w:rsidR="00FB1E76">
              <w:t xml:space="preserve"> is at a conceptual stage </w:t>
            </w:r>
            <w:r w:rsidR="006915C8">
              <w:t xml:space="preserve">and the site </w:t>
            </w:r>
            <w:r w:rsidR="009D4D2A">
              <w:t>evaluation</w:t>
            </w:r>
            <w:r w:rsidR="006915C8">
              <w:t xml:space="preserve"> has identified </w:t>
            </w:r>
            <w:r w:rsidR="00526AC7">
              <w:t xml:space="preserve">external </w:t>
            </w:r>
            <w:r w:rsidR="006915C8">
              <w:t>factors that should be considered in the final design.</w:t>
            </w:r>
            <w:r w:rsidR="00C873D3">
              <w:t xml:space="preserve"> </w:t>
            </w:r>
          </w:p>
        </w:tc>
      </w:tr>
    </w:tbl>
    <w:p w14:paraId="0CF6AF45" w14:textId="7B6D2F99" w:rsidR="000B276C" w:rsidRPr="006245E9" w:rsidRDefault="000B276C" w:rsidP="001B2873">
      <w:pPr>
        <w:pStyle w:val="Heading2"/>
        <w:numPr>
          <w:ilvl w:val="1"/>
          <w:numId w:val="3"/>
        </w:numPr>
        <w:tabs>
          <w:tab w:val="left" w:pos="993"/>
        </w:tabs>
        <w:spacing w:before="240"/>
        <w:ind w:left="981" w:hanging="624"/>
      </w:pPr>
      <w:r>
        <w:tab/>
      </w:r>
      <w:bookmarkStart w:id="30" w:name="_Toc96958669"/>
      <w:r>
        <w:t>Does the application establish that the proposed conduct can be carried out without undue risk to the health and safety of people, and to the environment</w:t>
      </w:r>
      <w:r w:rsidR="0026220D">
        <w:t>?</w:t>
      </w:r>
      <w:bookmarkEnd w:id="30"/>
      <w:r>
        <w:t xml:space="preserve"> </w:t>
      </w:r>
    </w:p>
    <w:p w14:paraId="3FD088DC" w14:textId="7862460B" w:rsidR="000B276C" w:rsidRDefault="00032D8D" w:rsidP="001B2873">
      <w:pPr>
        <w:pStyle w:val="Heading3"/>
        <w:numPr>
          <w:ilvl w:val="2"/>
          <w:numId w:val="3"/>
        </w:numPr>
        <w:spacing w:before="120" w:after="60"/>
        <w:ind w:left="1077"/>
      </w:pPr>
      <w:bookmarkStart w:id="31" w:name="_Toc96958670"/>
      <w:r>
        <w:t>C</w:t>
      </w:r>
      <w:r w:rsidR="000B276C">
        <w:t>onsiderations</w:t>
      </w:r>
      <w:bookmarkEnd w:id="31"/>
      <w:r w:rsidR="009452BF">
        <w:t xml:space="preserve"> </w:t>
      </w:r>
    </w:p>
    <w:p w14:paraId="52F3F132" w14:textId="63152D2C" w:rsidR="00712E5E" w:rsidRDefault="000B276C" w:rsidP="0026220D">
      <w:pPr>
        <w:spacing w:before="120" w:line="264" w:lineRule="auto"/>
      </w:pPr>
      <w:r>
        <w:t xml:space="preserve">The issue </w:t>
      </w:r>
      <w:r w:rsidR="00611809">
        <w:t>t</w:t>
      </w:r>
      <w:r w:rsidR="00684512">
        <w:t xml:space="preserve">o be considered is </w:t>
      </w:r>
      <w:r>
        <w:t xml:space="preserve">whether the applicant has demonstrated that </w:t>
      </w:r>
      <w:r w:rsidR="00903133">
        <w:t xml:space="preserve">risks have been identified, </w:t>
      </w:r>
      <w:r w:rsidR="00BF04CE">
        <w:t>assessed,</w:t>
      </w:r>
      <w:r w:rsidR="00903133">
        <w:t xml:space="preserve"> and mitigated</w:t>
      </w:r>
      <w:r w:rsidR="006E7D22">
        <w:t>;</w:t>
      </w:r>
      <w:r w:rsidR="00BC25E9">
        <w:t xml:space="preserve"> and that the management system </w:t>
      </w:r>
      <w:r w:rsidR="00B520DB">
        <w:t xml:space="preserve">provides reasonable assurance that the </w:t>
      </w:r>
      <w:r w:rsidR="00C86A70">
        <w:t xml:space="preserve">facility </w:t>
      </w:r>
      <w:r w:rsidR="003F56AD">
        <w:t>c</w:t>
      </w:r>
      <w:r w:rsidR="00C86A70">
        <w:t>an be constructed</w:t>
      </w:r>
      <w:r w:rsidR="002B729B">
        <w:t xml:space="preserve"> with appropriate </w:t>
      </w:r>
      <w:r w:rsidR="001900CE">
        <w:t>consideration of</w:t>
      </w:r>
      <w:r w:rsidR="002B729B">
        <w:t xml:space="preserve"> safety, </w:t>
      </w:r>
      <w:r w:rsidR="00C86A70">
        <w:t>and subsequently operated and decommissioned safely</w:t>
      </w:r>
      <w:r w:rsidR="007E3FA0">
        <w:t xml:space="preserve"> (the requisite plans and arrangements for managing safety are </w:t>
      </w:r>
      <w:r w:rsidR="00D77336">
        <w:t xml:space="preserve">listed in </w:t>
      </w:r>
      <w:r w:rsidR="005C270A">
        <w:t>sub</w:t>
      </w:r>
      <w:r w:rsidR="00150293">
        <w:t>-</w:t>
      </w:r>
      <w:r w:rsidR="00D77336">
        <w:t>section 46(1) of the Regulations</w:t>
      </w:r>
      <w:r w:rsidR="00712E5E">
        <w:t>)</w:t>
      </w:r>
      <w:r w:rsidR="00D77336">
        <w:t>.</w:t>
      </w:r>
    </w:p>
    <w:p w14:paraId="5D09B8DF" w14:textId="0FE18EC4" w:rsidR="00AC4AA3" w:rsidRPr="003C2E44" w:rsidRDefault="003C2E44" w:rsidP="008C76ED">
      <w:pPr>
        <w:pStyle w:val="Heading4"/>
      </w:pPr>
      <w:r w:rsidRPr="003C2E44">
        <w:t>Safety Assessment (preliminary)</w:t>
      </w:r>
      <w:r w:rsidR="00FD048E">
        <w:t>,</w:t>
      </w:r>
      <w:r w:rsidRPr="003C2E44">
        <w:t xml:space="preserve"> Safety Analysis Report (SAR)</w:t>
      </w:r>
      <w:r w:rsidR="00FD048E">
        <w:t xml:space="preserve"> and reference accident</w:t>
      </w:r>
    </w:p>
    <w:p w14:paraId="2A4514AD" w14:textId="78417FF0" w:rsidR="003C2E44" w:rsidRDefault="0026220D" w:rsidP="00633C09">
      <w:pPr>
        <w:spacing w:before="120" w:line="264" w:lineRule="auto"/>
      </w:pPr>
      <w:r>
        <w:t xml:space="preserve">Consistent with </w:t>
      </w:r>
      <w:r w:rsidR="00772C01">
        <w:t>sub</w:t>
      </w:r>
      <w:r w:rsidR="00803AA7">
        <w:t>-</w:t>
      </w:r>
      <w:r>
        <w:t>section 46(1) of the Regulations and aligned with guidance from ARPANSA</w:t>
      </w:r>
      <w:r w:rsidR="00633C09" w:rsidRPr="00CC1F05">
        <w:rPr>
          <w:vertAlign w:val="superscript"/>
        </w:rPr>
        <w:footnoteReference w:id="22"/>
      </w:r>
      <w:r>
        <w:t>, ANS</w:t>
      </w:r>
      <w:r w:rsidR="00633C09">
        <w:t>T</w:t>
      </w:r>
      <w:r>
        <w:t xml:space="preserve">O submitted a </w:t>
      </w:r>
      <w:r w:rsidR="007E2A9F">
        <w:t>SAR</w:t>
      </w:r>
      <w:r>
        <w:t xml:space="preserve"> with the application</w:t>
      </w:r>
      <w:r w:rsidR="00365D04">
        <w:t xml:space="preserve"> </w:t>
      </w:r>
      <w:r w:rsidR="00365D04" w:rsidRPr="00596170">
        <w:rPr>
          <w:i/>
          <w:iCs/>
        </w:rPr>
        <w:t>as complete as possible</w:t>
      </w:r>
      <w:r w:rsidR="00365D04">
        <w:t xml:space="preserve"> considering the stage of </w:t>
      </w:r>
      <w:r w:rsidR="00A45F40">
        <w:t>licensing</w:t>
      </w:r>
      <w:r w:rsidR="00596170">
        <w:t xml:space="preserve"> (</w:t>
      </w:r>
      <w:r w:rsidR="00596170" w:rsidRPr="00EC76DD">
        <w:rPr>
          <w:i/>
          <w:iCs/>
        </w:rPr>
        <w:t>cf</w:t>
      </w:r>
      <w:r w:rsidR="00596170">
        <w:t xml:space="preserve">. </w:t>
      </w:r>
      <w:r w:rsidR="00772C01">
        <w:t>sub</w:t>
      </w:r>
      <w:r w:rsidR="003C6FA1">
        <w:t>-</w:t>
      </w:r>
      <w:r w:rsidR="00596170">
        <w:t>section 46(1) of the Regulations)</w:t>
      </w:r>
      <w:r w:rsidR="008638D6">
        <w:t xml:space="preserve">. As </w:t>
      </w:r>
      <w:r w:rsidR="00C04026">
        <w:t>concluded</w:t>
      </w:r>
      <w:r w:rsidR="00A048B6">
        <w:t xml:space="preserve"> in section 3.1, </w:t>
      </w:r>
      <w:r w:rsidR="005B2CF0">
        <w:t>ANSTO</w:t>
      </w:r>
      <w:r w:rsidR="008638D6">
        <w:t xml:space="preserve"> </w:t>
      </w:r>
      <w:r w:rsidR="002851D4">
        <w:t>provided</w:t>
      </w:r>
      <w:r w:rsidR="00A048B6">
        <w:t xml:space="preserve"> sufficient information for </w:t>
      </w:r>
      <w:r w:rsidR="00C04026">
        <w:t>meaningful assessment of</w:t>
      </w:r>
      <w:r w:rsidR="00A048B6">
        <w:t xml:space="preserve"> the major safety aspects of the proposed </w:t>
      </w:r>
      <w:r w:rsidR="00963C78">
        <w:t xml:space="preserve">facility and </w:t>
      </w:r>
      <w:r w:rsidR="0051188D">
        <w:t>activities</w:t>
      </w:r>
      <w:r w:rsidR="00E53598">
        <w:t xml:space="preserve">. </w:t>
      </w:r>
      <w:r w:rsidR="00C62A6E">
        <w:t>ANSTO submitted a safety assessment</w:t>
      </w:r>
      <w:r w:rsidR="00063B9B">
        <w:rPr>
          <w:rStyle w:val="FootnoteReference"/>
        </w:rPr>
        <w:footnoteReference w:id="23"/>
      </w:r>
      <w:r w:rsidR="00EC76DD">
        <w:t xml:space="preserve"> </w:t>
      </w:r>
      <w:r w:rsidR="00E53598">
        <w:t>underpinning the SAR</w:t>
      </w:r>
      <w:r w:rsidR="001E68D9">
        <w:t xml:space="preserve"> </w:t>
      </w:r>
      <w:r w:rsidR="00C352CB">
        <w:t>including hazard identification (HAZID)</w:t>
      </w:r>
      <w:r w:rsidR="00EB7962">
        <w:t xml:space="preserve"> and </w:t>
      </w:r>
      <w:r w:rsidR="00C352CB">
        <w:t xml:space="preserve">assessment of </w:t>
      </w:r>
      <w:r w:rsidR="00E22AD8">
        <w:t>incident</w:t>
      </w:r>
      <w:r w:rsidR="00EA0085">
        <w:rPr>
          <w:rStyle w:val="FootnoteReference"/>
        </w:rPr>
        <w:footnoteReference w:id="24"/>
      </w:r>
      <w:r w:rsidR="00E22AD8">
        <w:t xml:space="preserve"> </w:t>
      </w:r>
      <w:r w:rsidR="00C352CB">
        <w:t>scenarios in terms of likelihood and consequence</w:t>
      </w:r>
      <w:r w:rsidR="00F1133F">
        <w:t>,</w:t>
      </w:r>
      <w:r w:rsidR="00C352CB">
        <w:t xml:space="preserve"> </w:t>
      </w:r>
      <w:r w:rsidR="00587D71">
        <w:t xml:space="preserve">in radiation protection terminology </w:t>
      </w:r>
      <w:r w:rsidR="007114F8">
        <w:t>referred to as potential exposures</w:t>
      </w:r>
      <w:r w:rsidR="007E5548">
        <w:t xml:space="preserve"> </w:t>
      </w:r>
      <w:r w:rsidR="007114F8">
        <w:t xml:space="preserve">that </w:t>
      </w:r>
      <w:r w:rsidR="005579E6">
        <w:t>could</w:t>
      </w:r>
      <w:r w:rsidR="007114F8">
        <w:t xml:space="preserve"> be approached through risk constraints</w:t>
      </w:r>
      <w:r w:rsidR="00B32789">
        <w:rPr>
          <w:rStyle w:val="FootnoteReference"/>
        </w:rPr>
        <w:footnoteReference w:id="25"/>
      </w:r>
      <w:r w:rsidR="00157B2B">
        <w:t xml:space="preserve">. </w:t>
      </w:r>
      <w:r w:rsidR="00C74BD3">
        <w:t xml:space="preserve">In addition, </w:t>
      </w:r>
      <w:r w:rsidR="00C62A6E">
        <w:t xml:space="preserve">a reference </w:t>
      </w:r>
      <w:r w:rsidR="00C62A6E">
        <w:lastRenderedPageBreak/>
        <w:t xml:space="preserve">accident assessment </w:t>
      </w:r>
      <w:r w:rsidR="00C74BD3">
        <w:t xml:space="preserve">was submitted </w:t>
      </w:r>
      <w:r w:rsidR="00C62A6E">
        <w:t>for the purpose of establishing the relevant emergency preparedness category for the ILWCI Facility.</w:t>
      </w:r>
      <w:r>
        <w:t xml:space="preserve"> </w:t>
      </w:r>
    </w:p>
    <w:p w14:paraId="17B0B64B" w14:textId="0DC934CE" w:rsidR="0092660D" w:rsidRDefault="0092660D" w:rsidP="00633C09">
      <w:pPr>
        <w:spacing w:before="120" w:line="264" w:lineRule="auto"/>
      </w:pPr>
      <w:r>
        <w:t xml:space="preserve">The SAR makes the </w:t>
      </w:r>
      <w:r w:rsidR="00F52A44">
        <w:t xml:space="preserve">following </w:t>
      </w:r>
      <w:r>
        <w:t>claim</w:t>
      </w:r>
      <w:r w:rsidR="00F52A44">
        <w:t>:</w:t>
      </w:r>
      <w:r>
        <w:t xml:space="preserve"> </w:t>
      </w:r>
    </w:p>
    <w:p w14:paraId="7DE45547" w14:textId="43E382B8" w:rsidR="0092660D" w:rsidRPr="006E18A6" w:rsidRDefault="0092660D" w:rsidP="006B27EA">
      <w:pPr>
        <w:spacing w:before="120" w:line="264" w:lineRule="auto"/>
        <w:ind w:left="720"/>
        <w:rPr>
          <w:i/>
          <w:iCs/>
        </w:rPr>
      </w:pPr>
      <w:proofErr w:type="gramStart"/>
      <w:r w:rsidRPr="006E18A6">
        <w:rPr>
          <w:i/>
          <w:iCs/>
        </w:rPr>
        <w:t>On the basis of</w:t>
      </w:r>
      <w:proofErr w:type="gramEnd"/>
      <w:r w:rsidRPr="006E18A6">
        <w:rPr>
          <w:i/>
          <w:iCs/>
        </w:rPr>
        <w:t xml:space="preserve"> the site characteristics information and the specific site-related design basis considerations, it is concluded that the proposed site for the storage facility, within the Lucas Heights site, does not have any negative features which cannot be overcome by the high standard and quality of engineering design and construction which are required by ANSTO.</w:t>
      </w:r>
    </w:p>
    <w:p w14:paraId="3BA86ED1" w14:textId="0A1AA304" w:rsidR="0092660D" w:rsidRPr="006E18A6" w:rsidRDefault="0092660D" w:rsidP="006B27EA">
      <w:pPr>
        <w:spacing w:before="120" w:line="264" w:lineRule="auto"/>
        <w:ind w:left="720"/>
        <w:rPr>
          <w:i/>
          <w:iCs/>
        </w:rPr>
      </w:pPr>
      <w:r w:rsidRPr="006E18A6">
        <w:rPr>
          <w:i/>
          <w:iCs/>
        </w:rPr>
        <w:t>The radiological risks to the population from accident conditions, including those that may require mitigation measures, are acceptably low and in accordance with national requirements. This facility will be designed to meet the safety objectives, and the appropriate external events, codes, standards, and design methods have been considered in the design.</w:t>
      </w:r>
    </w:p>
    <w:p w14:paraId="38101E3A" w14:textId="2F037DD0" w:rsidR="00B3065F" w:rsidRDefault="0092660D" w:rsidP="0092660D">
      <w:pPr>
        <w:spacing w:before="120" w:line="264" w:lineRule="auto"/>
      </w:pPr>
      <w:r>
        <w:t>ANSTO used a</w:t>
      </w:r>
      <w:r w:rsidR="00945449">
        <w:t xml:space="preserve"> workshop approach</w:t>
      </w:r>
      <w:r>
        <w:t xml:space="preserve"> </w:t>
      </w:r>
      <w:r w:rsidR="000B5D1B">
        <w:t xml:space="preserve">with a team representing </w:t>
      </w:r>
      <w:r w:rsidR="00477CA4">
        <w:t>several</w:t>
      </w:r>
      <w:r w:rsidR="000B5D1B">
        <w:t xml:space="preserve"> </w:t>
      </w:r>
      <w:r w:rsidR="00C76AB7">
        <w:t xml:space="preserve">specialist competencies </w:t>
      </w:r>
      <w:r>
        <w:t xml:space="preserve">with a variety of roles and backgrounds to </w:t>
      </w:r>
      <w:r w:rsidR="00C76AB7">
        <w:t>identify</w:t>
      </w:r>
      <w:r w:rsidR="00602F14">
        <w:t xml:space="preserve"> </w:t>
      </w:r>
      <w:r w:rsidR="00E24754">
        <w:t>incidents</w:t>
      </w:r>
      <w:r w:rsidR="00B3065F">
        <w:t xml:space="preserve"> </w:t>
      </w:r>
      <w:r w:rsidR="00602F14">
        <w:t xml:space="preserve">that, should they occur, </w:t>
      </w:r>
      <w:r w:rsidR="000E4AB8">
        <w:t xml:space="preserve">would </w:t>
      </w:r>
      <w:r w:rsidR="00602F14">
        <w:t xml:space="preserve">have </w:t>
      </w:r>
      <w:r w:rsidR="000E4AB8">
        <w:t>non-negligible radiological</w:t>
      </w:r>
      <w:r w:rsidR="009239DF">
        <w:t xml:space="preserve"> or WHS-related</w:t>
      </w:r>
      <w:r w:rsidR="000E4AB8">
        <w:t xml:space="preserve"> </w:t>
      </w:r>
      <w:r w:rsidR="000A766C">
        <w:t xml:space="preserve">impact on </w:t>
      </w:r>
      <w:r w:rsidR="00602F14">
        <w:t>workers, the public or the environment</w:t>
      </w:r>
      <w:r w:rsidR="000E4AB8">
        <w:t xml:space="preserve">. </w:t>
      </w:r>
      <w:r w:rsidR="00E24754">
        <w:t>Estimates of likelihood and impact inform</w:t>
      </w:r>
      <w:r w:rsidR="008B5600">
        <w:t>ed</w:t>
      </w:r>
      <w:r w:rsidR="00E24754">
        <w:t xml:space="preserve"> the </w:t>
      </w:r>
      <w:r w:rsidR="00501AAE">
        <w:t>estimates of inherent risk</w:t>
      </w:r>
      <w:r w:rsidR="00602F14">
        <w:t xml:space="preserve">. Controls </w:t>
      </w:r>
      <w:r w:rsidR="008B5600">
        <w:t>were</w:t>
      </w:r>
      <w:r w:rsidR="00602F14">
        <w:t xml:space="preserve"> identified and the residual risk</w:t>
      </w:r>
      <w:r w:rsidR="003A3A11">
        <w:t>s were</w:t>
      </w:r>
      <w:r w:rsidR="00602F14">
        <w:t xml:space="preserve"> estimated with controls in place. The controls </w:t>
      </w:r>
      <w:r w:rsidR="003968FC">
        <w:t xml:space="preserve">were </w:t>
      </w:r>
      <w:r w:rsidR="00FB2564">
        <w:t xml:space="preserve">generally </w:t>
      </w:r>
      <w:r w:rsidR="003968FC">
        <w:t xml:space="preserve">designed to </w:t>
      </w:r>
      <w:r w:rsidR="00602F14">
        <w:t>reduce the likelihood</w:t>
      </w:r>
      <w:r w:rsidR="00F25967">
        <w:t xml:space="preserve"> of the incident. </w:t>
      </w:r>
      <w:r w:rsidR="00B3065F">
        <w:t xml:space="preserve">The controls </w:t>
      </w:r>
      <w:r w:rsidR="00F25967">
        <w:t>were</w:t>
      </w:r>
      <w:r w:rsidR="00495D2B">
        <w:t xml:space="preserve"> </w:t>
      </w:r>
      <w:r w:rsidR="00F25967">
        <w:t>either</w:t>
      </w:r>
      <w:r w:rsidR="00B3065F">
        <w:t xml:space="preserve"> ‘critical’ (requires ongoing monitoring) or ‘other’. </w:t>
      </w:r>
    </w:p>
    <w:p w14:paraId="533CB4A4" w14:textId="09342F21" w:rsidR="0092660D" w:rsidRDefault="00B3065F" w:rsidP="0092660D">
      <w:pPr>
        <w:spacing w:before="120" w:line="264" w:lineRule="auto"/>
      </w:pPr>
      <w:r>
        <w:t xml:space="preserve">The risk assessment methodology has </w:t>
      </w:r>
      <w:r w:rsidR="00002209">
        <w:t>further</w:t>
      </w:r>
      <w:r>
        <w:t xml:space="preserve"> developed compared to what </w:t>
      </w:r>
      <w:r w:rsidR="003D6B03">
        <w:t xml:space="preserve">was used in </w:t>
      </w:r>
      <w:r>
        <w:t>previous</w:t>
      </w:r>
      <w:r w:rsidR="00CF5E67">
        <w:t xml:space="preserve"> licence</w:t>
      </w:r>
      <w:r>
        <w:t xml:space="preserve"> applications. </w:t>
      </w:r>
      <w:r w:rsidR="00CF5E67">
        <w:t>I</w:t>
      </w:r>
      <w:r w:rsidR="00A52291">
        <w:t xml:space="preserve">t is </w:t>
      </w:r>
      <w:r w:rsidR="00CF5E67">
        <w:t xml:space="preserve">generally </w:t>
      </w:r>
      <w:r w:rsidR="00A52291">
        <w:t xml:space="preserve">reliant on managing residual risks by limiting their </w:t>
      </w:r>
      <w:r w:rsidR="004F436B">
        <w:t>probability</w:t>
      </w:r>
      <w:r w:rsidR="00A52291">
        <w:t xml:space="preserve"> of occurrence to levels where the occurrence (annual or over the </w:t>
      </w:r>
      <w:r w:rsidR="004D5D26">
        <w:t>lifetime</w:t>
      </w:r>
      <w:r w:rsidR="004F436B">
        <w:t xml:space="preserve"> of the facility</w:t>
      </w:r>
      <w:r w:rsidR="00A52291">
        <w:t>) is inherently uncertain and not easily supported by observation</w:t>
      </w:r>
      <w:r w:rsidR="004D5D26">
        <w:t xml:space="preserve"> and experience</w:t>
      </w:r>
      <w:r w:rsidR="00A52291">
        <w:t xml:space="preserve">. </w:t>
      </w:r>
      <w:r w:rsidR="008700A0">
        <w:t>Certain</w:t>
      </w:r>
      <w:r w:rsidR="00A52291">
        <w:t xml:space="preserve"> scenarios are, </w:t>
      </w:r>
      <w:r w:rsidR="004D5D26">
        <w:t>based on</w:t>
      </w:r>
      <w:r w:rsidR="00A52291">
        <w:t xml:space="preserve"> their low likelihood</w:t>
      </w:r>
      <w:r w:rsidR="00A1751A">
        <w:t>,</w:t>
      </w:r>
      <w:r w:rsidR="00A52291">
        <w:t xml:space="preserve"> eliminated from further management as they are considered ‘incredible’</w:t>
      </w:r>
      <w:r w:rsidR="008700A0">
        <w:t xml:space="preserve"> </w:t>
      </w:r>
      <w:r w:rsidR="006F5B25">
        <w:t xml:space="preserve">using a </w:t>
      </w:r>
      <w:r w:rsidR="004F436B">
        <w:t>probability</w:t>
      </w:r>
      <w:r w:rsidR="006F5B25">
        <w:t xml:space="preserve"> </w:t>
      </w:r>
      <w:r w:rsidR="002F7C99">
        <w:t xml:space="preserve">threshold of </w:t>
      </w:r>
      <w:r w:rsidR="008700A0">
        <w:t>10</w:t>
      </w:r>
      <w:r w:rsidR="008700A0" w:rsidRPr="002F7C99">
        <w:rPr>
          <w:vertAlign w:val="superscript"/>
        </w:rPr>
        <w:t>-6</w:t>
      </w:r>
      <w:r w:rsidR="008700A0">
        <w:t xml:space="preserve"> per year.</w:t>
      </w:r>
    </w:p>
    <w:p w14:paraId="387346E7" w14:textId="4F8CDB15" w:rsidR="005B3A72" w:rsidRDefault="00051524" w:rsidP="0092660D">
      <w:pPr>
        <w:spacing w:before="120" w:line="264" w:lineRule="auto"/>
      </w:pPr>
      <w:r>
        <w:t>Inherent c</w:t>
      </w:r>
      <w:r w:rsidR="008700A0">
        <w:t>atastrophic</w:t>
      </w:r>
      <w:r w:rsidR="00F66B88">
        <w:t xml:space="preserve"> or severe</w:t>
      </w:r>
      <w:r w:rsidR="008700A0">
        <w:t xml:space="preserve"> </w:t>
      </w:r>
      <w:r w:rsidR="00AC3DE9">
        <w:t xml:space="preserve">radiological </w:t>
      </w:r>
      <w:r w:rsidR="008700A0">
        <w:t>impact</w:t>
      </w:r>
      <w:r w:rsidR="00CF6AD1">
        <w:rPr>
          <w:rStyle w:val="FootnoteReference"/>
        </w:rPr>
        <w:footnoteReference w:id="26"/>
      </w:r>
      <w:r w:rsidR="006A1773">
        <w:t>and residual risks after considering the estimated frequency</w:t>
      </w:r>
      <w:r w:rsidR="0012249D">
        <w:t xml:space="preserve"> after mitigating the risk</w:t>
      </w:r>
      <w:r w:rsidR="006A1773">
        <w:t xml:space="preserve"> </w:t>
      </w:r>
      <w:r w:rsidR="008C07AB">
        <w:t>were identified</w:t>
      </w:r>
      <w:r w:rsidR="00437A5A">
        <w:t xml:space="preserve"> for incidents</w:t>
      </w:r>
      <w:r w:rsidR="008C07AB">
        <w:t xml:space="preserve"> </w:t>
      </w:r>
      <w:r w:rsidR="00B61C3E">
        <w:t>as follows</w:t>
      </w:r>
      <w:r w:rsidR="005B3A72">
        <w:t>:</w:t>
      </w:r>
    </w:p>
    <w:p w14:paraId="4823FB59" w14:textId="27D3C96B" w:rsidR="005B3A72" w:rsidRDefault="001773BF" w:rsidP="001B2873">
      <w:pPr>
        <w:pStyle w:val="ListParagraph"/>
        <w:numPr>
          <w:ilvl w:val="0"/>
          <w:numId w:val="17"/>
        </w:numPr>
        <w:spacing w:line="264" w:lineRule="auto"/>
      </w:pPr>
      <w:r>
        <w:t>D</w:t>
      </w:r>
      <w:r w:rsidR="008C07AB">
        <w:t xml:space="preserve">ropping </w:t>
      </w:r>
      <w:r w:rsidR="008F19AA">
        <w:t>the</w:t>
      </w:r>
      <w:r w:rsidR="008C07AB">
        <w:t xml:space="preserve"> general purpose </w:t>
      </w:r>
      <w:r w:rsidR="00EF13C5">
        <w:t xml:space="preserve">(GP) </w:t>
      </w:r>
      <w:r w:rsidR="008C07AB">
        <w:t>flask used for transportation of SUF cups</w:t>
      </w:r>
      <w:r w:rsidR="004738CE">
        <w:t xml:space="preserve"> </w:t>
      </w:r>
      <w:r w:rsidR="00F16890">
        <w:t xml:space="preserve">during </w:t>
      </w:r>
      <w:r w:rsidR="004738CE">
        <w:t>transport</w:t>
      </w:r>
      <w:r w:rsidR="008C07AB">
        <w:t xml:space="preserve"> </w:t>
      </w:r>
      <w:r w:rsidR="00B61C3E">
        <w:t>(catastrophic</w:t>
      </w:r>
      <w:r w:rsidR="0012347B">
        <w:t xml:space="preserve"> impact</w:t>
      </w:r>
      <w:r w:rsidR="00B61C3E">
        <w:t>)</w:t>
      </w:r>
      <w:r w:rsidR="0042687F">
        <w:t xml:space="preserve"> – </w:t>
      </w:r>
      <w:r w:rsidR="00B43522">
        <w:t>considered not credible and</w:t>
      </w:r>
      <w:r w:rsidR="006A1773">
        <w:t xml:space="preserve"> therefore</w:t>
      </w:r>
      <w:r w:rsidR="00B43522">
        <w:t xml:space="preserve"> not further assessed</w:t>
      </w:r>
      <w:r w:rsidR="00BC3E24">
        <w:t>.</w:t>
      </w:r>
    </w:p>
    <w:p w14:paraId="1F8C4454" w14:textId="02E2D1C3" w:rsidR="00903383" w:rsidRDefault="001773BF" w:rsidP="001B2873">
      <w:pPr>
        <w:pStyle w:val="ListParagraph"/>
        <w:numPr>
          <w:ilvl w:val="0"/>
          <w:numId w:val="17"/>
        </w:numPr>
        <w:spacing w:line="264" w:lineRule="auto"/>
      </w:pPr>
      <w:r>
        <w:t>D</w:t>
      </w:r>
      <w:r w:rsidR="00903383">
        <w:t xml:space="preserve">ropping </w:t>
      </w:r>
      <w:r w:rsidR="008F19AA">
        <w:t>the</w:t>
      </w:r>
      <w:r w:rsidR="00903383">
        <w:t xml:space="preserve"> retrievable waste flas</w:t>
      </w:r>
      <w:r w:rsidR="00EF13C5">
        <w:t>k during transport (severe</w:t>
      </w:r>
      <w:r w:rsidR="00A87905">
        <w:t xml:space="preserve"> i</w:t>
      </w:r>
      <w:r w:rsidR="0012347B">
        <w:t>mpact</w:t>
      </w:r>
      <w:r w:rsidR="00EF13C5">
        <w:t>)</w:t>
      </w:r>
      <w:r w:rsidR="0012347B">
        <w:t xml:space="preserve"> - </w:t>
      </w:r>
      <w:r w:rsidR="00A87905">
        <w:t xml:space="preserve">the residual risk was calculated as </w:t>
      </w:r>
      <w:r w:rsidR="00912DDD">
        <w:t>‘</w:t>
      </w:r>
      <w:r w:rsidR="00E1436E">
        <w:t>low</w:t>
      </w:r>
      <w:r w:rsidR="00912DDD">
        <w:t>’</w:t>
      </w:r>
      <w:r w:rsidR="00BC3E24">
        <w:t>.</w:t>
      </w:r>
    </w:p>
    <w:p w14:paraId="0F8835BE" w14:textId="5295C8AE" w:rsidR="008F19AA" w:rsidRDefault="001773BF" w:rsidP="001B2873">
      <w:pPr>
        <w:pStyle w:val="ListParagraph"/>
        <w:numPr>
          <w:ilvl w:val="0"/>
          <w:numId w:val="17"/>
        </w:numPr>
        <w:spacing w:line="264" w:lineRule="auto"/>
      </w:pPr>
      <w:r>
        <w:t>D</w:t>
      </w:r>
      <w:r w:rsidR="004738CE">
        <w:t xml:space="preserve">ropping the </w:t>
      </w:r>
      <w:r w:rsidR="00126B52">
        <w:t>GP</w:t>
      </w:r>
      <w:r w:rsidR="004738CE">
        <w:t xml:space="preserve"> flas</w:t>
      </w:r>
      <w:r w:rsidR="00F16890">
        <w:t>k</w:t>
      </w:r>
      <w:r w:rsidR="004738CE">
        <w:t xml:space="preserve"> </w:t>
      </w:r>
      <w:r w:rsidR="0011193D">
        <w:t>due to crane failure</w:t>
      </w:r>
      <w:r w:rsidR="008F19AA">
        <w:t xml:space="preserve"> (catastrophic</w:t>
      </w:r>
      <w:r w:rsidR="0012347B">
        <w:t xml:space="preserve"> impact</w:t>
      </w:r>
      <w:r w:rsidR="008F19AA">
        <w:t>)</w:t>
      </w:r>
      <w:r w:rsidR="009C0EB8">
        <w:t xml:space="preserve"> </w:t>
      </w:r>
      <w:r w:rsidR="008F2593">
        <w:t>–</w:t>
      </w:r>
      <w:r w:rsidR="009C0EB8">
        <w:t xml:space="preserve"> </w:t>
      </w:r>
      <w:r w:rsidR="008F2593">
        <w:t>considered not credible and</w:t>
      </w:r>
      <w:r w:rsidR="007A2DE6">
        <w:t xml:space="preserve"> therefore</w:t>
      </w:r>
      <w:r w:rsidR="008F2593">
        <w:t xml:space="preserve"> not further assessed</w:t>
      </w:r>
      <w:r w:rsidR="00BC3E24">
        <w:t>.</w:t>
      </w:r>
    </w:p>
    <w:p w14:paraId="4E8E2071" w14:textId="7C8E99AC" w:rsidR="005B3A72" w:rsidRDefault="00297C8D" w:rsidP="001B2873">
      <w:pPr>
        <w:pStyle w:val="ListParagraph"/>
        <w:numPr>
          <w:ilvl w:val="0"/>
          <w:numId w:val="17"/>
        </w:numPr>
        <w:spacing w:line="264" w:lineRule="auto"/>
      </w:pPr>
      <w:r>
        <w:lastRenderedPageBreak/>
        <w:t>D</w:t>
      </w:r>
      <w:r w:rsidR="008F19AA">
        <w:t xml:space="preserve">ropping the </w:t>
      </w:r>
      <w:r w:rsidR="00B31C81">
        <w:t>retrievable waste flask due to crane failure (severe</w:t>
      </w:r>
      <w:r w:rsidR="0012347B">
        <w:t xml:space="preserve"> impact</w:t>
      </w:r>
      <w:r w:rsidR="00B31C81">
        <w:t>)</w:t>
      </w:r>
      <w:r w:rsidR="007A2DE6">
        <w:t xml:space="preserve"> – residual risk calculated as </w:t>
      </w:r>
      <w:r w:rsidR="00912DDD">
        <w:t>‘</w:t>
      </w:r>
      <w:r w:rsidR="007A2DE6">
        <w:t>low</w:t>
      </w:r>
      <w:r w:rsidR="00912DDD">
        <w:t>’</w:t>
      </w:r>
      <w:r w:rsidR="00C7634E">
        <w:t>.</w:t>
      </w:r>
    </w:p>
    <w:p w14:paraId="5E57886F" w14:textId="70928307" w:rsidR="005B3A72" w:rsidRDefault="00C7634E" w:rsidP="001B2873">
      <w:pPr>
        <w:pStyle w:val="ListParagraph"/>
        <w:numPr>
          <w:ilvl w:val="0"/>
          <w:numId w:val="17"/>
        </w:numPr>
        <w:spacing w:line="264" w:lineRule="auto"/>
      </w:pPr>
      <w:r>
        <w:t>W</w:t>
      </w:r>
      <w:r w:rsidR="004738CE">
        <w:t>orker falling into an open pit inside the facility</w:t>
      </w:r>
      <w:r w:rsidR="00521173">
        <w:t xml:space="preserve"> </w:t>
      </w:r>
      <w:r w:rsidR="00B61B3C">
        <w:t>(</w:t>
      </w:r>
      <w:r w:rsidR="00521173">
        <w:t>catastrophic</w:t>
      </w:r>
      <w:r w:rsidR="0012347B">
        <w:t xml:space="preserve"> impact</w:t>
      </w:r>
      <w:r w:rsidR="00521173">
        <w:t>)</w:t>
      </w:r>
      <w:r w:rsidR="001736E6">
        <w:t xml:space="preserve"> </w:t>
      </w:r>
      <w:r w:rsidR="000D6C6F">
        <w:t>–</w:t>
      </w:r>
      <w:r w:rsidR="001736E6">
        <w:t xml:space="preserve"> </w:t>
      </w:r>
      <w:r w:rsidR="000D6C6F">
        <w:t>incident with significant physical injury in addition to the radiological</w:t>
      </w:r>
      <w:r w:rsidR="002846D1">
        <w:t>.</w:t>
      </w:r>
      <w:r w:rsidR="004738CE">
        <w:t xml:space="preserve"> </w:t>
      </w:r>
    </w:p>
    <w:p w14:paraId="01DB24F0" w14:textId="1B5D5E44" w:rsidR="00BE3AB4" w:rsidRDefault="00CC5D3D" w:rsidP="0042320D">
      <w:pPr>
        <w:spacing w:before="120" w:line="264" w:lineRule="auto"/>
      </w:pPr>
      <w:r>
        <w:t>T</w:t>
      </w:r>
      <w:r w:rsidR="004738CE">
        <w:t>he residual consequence was not altered by the risk mitigation actions</w:t>
      </w:r>
      <w:r w:rsidR="00B82229">
        <w:t xml:space="preserve">, but the residual risks were </w:t>
      </w:r>
      <w:r w:rsidR="00203C4C">
        <w:t>assessed to be reduced to acceptable levels (see the RAR for discussion)</w:t>
      </w:r>
      <w:r w:rsidR="004738CE">
        <w:t xml:space="preserve">. </w:t>
      </w:r>
      <w:r w:rsidR="005B6B54">
        <w:t>The potential exposures are below, or in many cases much below, the 2x10</w:t>
      </w:r>
      <w:r w:rsidR="005B6B54" w:rsidRPr="00342386">
        <w:rPr>
          <w:vertAlign w:val="superscript"/>
        </w:rPr>
        <w:t>-4</w:t>
      </w:r>
      <w:r w:rsidR="005B6B54">
        <w:t xml:space="preserve"> annual risk constraint (below which protection should be optimised) for fatal cancer, which is recommended for occupational exposure by the ICRP</w:t>
      </w:r>
      <w:r w:rsidR="005B6B54">
        <w:rPr>
          <w:rStyle w:val="FootnoteReference"/>
        </w:rPr>
        <w:footnoteReference w:id="27"/>
      </w:r>
      <w:r w:rsidR="005B6B54">
        <w:t xml:space="preserve">. </w:t>
      </w:r>
      <w:r w:rsidR="004738CE">
        <w:t xml:space="preserve">Critical controls </w:t>
      </w:r>
      <w:r w:rsidR="005A64B1">
        <w:t>included</w:t>
      </w:r>
      <w:r w:rsidR="004738CE">
        <w:t xml:space="preserve"> crane and flask scheduled maintenance</w:t>
      </w:r>
      <w:r w:rsidR="00373495">
        <w:t xml:space="preserve">. Three recommendations were </w:t>
      </w:r>
      <w:r w:rsidR="000011C5">
        <w:t xml:space="preserve">made </w:t>
      </w:r>
      <w:proofErr w:type="gramStart"/>
      <w:r w:rsidR="007B1E97">
        <w:t>with regard to</w:t>
      </w:r>
      <w:proofErr w:type="gramEnd"/>
      <w:r w:rsidR="007B1E97">
        <w:t xml:space="preserve"> reducing the likelihood </w:t>
      </w:r>
      <w:r w:rsidR="00A94AF4">
        <w:t xml:space="preserve">of </w:t>
      </w:r>
      <w:r w:rsidR="009F00D9">
        <w:t xml:space="preserve">a worker falling into an open pit. So </w:t>
      </w:r>
      <w:r w:rsidR="00050473">
        <w:t>far,</w:t>
      </w:r>
      <w:r w:rsidR="009F00D9">
        <w:t xml:space="preserve"> no credit has been taken for mitigating actions </w:t>
      </w:r>
      <w:r w:rsidR="00106435">
        <w:t>for this incident</w:t>
      </w:r>
      <w:r w:rsidR="000D5FAC">
        <w:t xml:space="preserve">, </w:t>
      </w:r>
      <w:r w:rsidR="00671E6A">
        <w:t>pending the recommendations being actioned</w:t>
      </w:r>
      <w:r w:rsidR="00882648">
        <w:t>,</w:t>
      </w:r>
      <w:r w:rsidR="00671E6A">
        <w:t xml:space="preserve"> </w:t>
      </w:r>
      <w:r w:rsidR="009F00D9">
        <w:t xml:space="preserve">and the risk </w:t>
      </w:r>
      <w:r w:rsidR="00882648">
        <w:t xml:space="preserve">thus </w:t>
      </w:r>
      <w:r w:rsidR="009F00D9">
        <w:t>remains ‘high’</w:t>
      </w:r>
      <w:r w:rsidR="0042320D">
        <w:t>.</w:t>
      </w:r>
      <w:r w:rsidR="00912DDD">
        <w:t xml:space="preserve"> It is expected that the mitigating actions for this risk will reduce the residual risk but more details on the design are required before this can be fully assessed</w:t>
      </w:r>
      <w:r w:rsidR="001A0707">
        <w:t>.</w:t>
      </w:r>
      <w:r w:rsidR="0042320D">
        <w:t xml:space="preserve"> </w:t>
      </w:r>
    </w:p>
    <w:p w14:paraId="358B3DB5" w14:textId="77777777" w:rsidR="00535AF7" w:rsidRDefault="00535AF7" w:rsidP="00535AF7">
      <w:pPr>
        <w:spacing w:before="120" w:line="264" w:lineRule="auto"/>
      </w:pPr>
      <w:r>
        <w:t>The SAR and underpinning risk assessment have been reviewed by the ARPANSA reviewers against the relevant regulatory guidance. Their conclusion is that the SAR and risk assessment provide a reasonable level of assurance of safety of the ILWCI Facility for the purpose of preparing a site for the facility. I agree with the reviewers.</w:t>
      </w:r>
    </w:p>
    <w:p w14:paraId="2FA8C95B" w14:textId="0045E0D3" w:rsidR="00E265B8" w:rsidRDefault="00EA65D7" w:rsidP="0042320D">
      <w:pPr>
        <w:spacing w:before="120" w:line="264" w:lineRule="auto"/>
      </w:pPr>
      <w:r>
        <w:t xml:space="preserve">However, </w:t>
      </w:r>
      <w:r w:rsidR="005624C8">
        <w:t xml:space="preserve">and notwithstanding the fact </w:t>
      </w:r>
      <w:r w:rsidR="000B6ED2">
        <w:t xml:space="preserve">that </w:t>
      </w:r>
      <w:r w:rsidR="005B1FA0">
        <w:t xml:space="preserve">there </w:t>
      </w:r>
      <w:r w:rsidR="000D54AC">
        <w:t xml:space="preserve">is reasonable confidence in safety of the facility, </w:t>
      </w:r>
      <w:r w:rsidR="00BD7523">
        <w:t xml:space="preserve">doses </w:t>
      </w:r>
      <w:r w:rsidR="00D51681">
        <w:t>up to and above the annual dose limit (20 mSv as a five-y</w:t>
      </w:r>
      <w:r w:rsidR="00BD7523">
        <w:t>ea</w:t>
      </w:r>
      <w:r w:rsidR="00D51681">
        <w:t xml:space="preserve">r average) have been identified </w:t>
      </w:r>
      <w:r w:rsidR="007454D0">
        <w:t xml:space="preserve">for several incidents but with low </w:t>
      </w:r>
      <w:r w:rsidR="00B14C7C">
        <w:t xml:space="preserve">to very low </w:t>
      </w:r>
      <w:r w:rsidR="007454D0">
        <w:t xml:space="preserve">likelihood of </w:t>
      </w:r>
      <w:r w:rsidR="00BD7523">
        <w:t>occu</w:t>
      </w:r>
      <w:r w:rsidR="00282EA9">
        <w:t>rrence</w:t>
      </w:r>
      <w:r w:rsidR="007454D0">
        <w:t xml:space="preserve">. </w:t>
      </w:r>
      <w:r w:rsidR="008B21AA">
        <w:t xml:space="preserve">I note that the </w:t>
      </w:r>
      <w:r w:rsidR="004D273A">
        <w:t>estimates</w:t>
      </w:r>
      <w:r w:rsidR="008B21AA">
        <w:t xml:space="preserve"> of likelihoods </w:t>
      </w:r>
      <w:r w:rsidR="001A4782">
        <w:t xml:space="preserve">appear </w:t>
      </w:r>
      <w:r w:rsidR="008B21AA">
        <w:t>conservati</w:t>
      </w:r>
      <w:r w:rsidR="001A4782">
        <w:t xml:space="preserve">ve </w:t>
      </w:r>
      <w:r w:rsidR="008B21AA">
        <w:t xml:space="preserve">in some </w:t>
      </w:r>
      <w:r w:rsidR="003E3777">
        <w:t>cases,</w:t>
      </w:r>
      <w:r w:rsidR="00CC670C">
        <w:t xml:space="preserve"> but c</w:t>
      </w:r>
      <w:r w:rsidR="007454D0">
        <w:t xml:space="preserve">aution should be </w:t>
      </w:r>
      <w:r w:rsidR="004840BC">
        <w:t xml:space="preserve">exercised </w:t>
      </w:r>
      <w:r w:rsidR="007454D0">
        <w:t xml:space="preserve">against </w:t>
      </w:r>
      <w:r w:rsidR="00724485">
        <w:t>placing confiden</w:t>
      </w:r>
      <w:r w:rsidR="00C665F9">
        <w:t>c</w:t>
      </w:r>
      <w:r w:rsidR="00724485">
        <w:t xml:space="preserve">e in </w:t>
      </w:r>
      <w:r w:rsidR="007C413A">
        <w:t>purportedly low likelihoods as the</w:t>
      </w:r>
      <w:r w:rsidR="00282EA9">
        <w:t xml:space="preserve">y </w:t>
      </w:r>
      <w:r w:rsidR="00CC670C">
        <w:t>remain</w:t>
      </w:r>
      <w:r w:rsidR="00282EA9">
        <w:t xml:space="preserve"> </w:t>
      </w:r>
      <w:proofErr w:type="gramStart"/>
      <w:r w:rsidR="00ED7991">
        <w:t>uncertain</w:t>
      </w:r>
      <w:proofErr w:type="gramEnd"/>
      <w:r w:rsidR="002E0A10">
        <w:t xml:space="preserve"> and mistakes caused by distraction</w:t>
      </w:r>
      <w:r w:rsidR="00DF32D2">
        <w:t xml:space="preserve">, </w:t>
      </w:r>
      <w:r w:rsidR="00C0634A">
        <w:t xml:space="preserve">unawareness, </w:t>
      </w:r>
      <w:r w:rsidR="009B3844">
        <w:t>negligence,</w:t>
      </w:r>
      <w:r w:rsidR="00DF32D2">
        <w:t xml:space="preserve"> or other factors </w:t>
      </w:r>
      <w:r w:rsidR="002E0A10">
        <w:t xml:space="preserve">can be made </w:t>
      </w:r>
      <w:r w:rsidR="00750A76">
        <w:t>even</w:t>
      </w:r>
      <w:r w:rsidR="002E0A10">
        <w:t xml:space="preserve"> by trained</w:t>
      </w:r>
      <w:r w:rsidR="00DF32D2">
        <w:t xml:space="preserve"> and experienced </w:t>
      </w:r>
      <w:r w:rsidR="002E0A10">
        <w:t>staff</w:t>
      </w:r>
      <w:r w:rsidR="002E0DA5">
        <w:t xml:space="preserve">. </w:t>
      </w:r>
      <w:r w:rsidR="00B14C7C">
        <w:t>While</w:t>
      </w:r>
      <w:r w:rsidR="00C52E6C">
        <w:t xml:space="preserve"> human and organisational factors have been considered in the risk </w:t>
      </w:r>
      <w:r w:rsidR="0077767F">
        <w:t xml:space="preserve">estimates, information has been taken from sources that are over 30 years old. It is expected that a future safety assessment will consider more up to date data sources where they are available for human factors. </w:t>
      </w:r>
      <w:r w:rsidR="003F2B41">
        <w:t xml:space="preserve">In addition, in some cases where engineering judgement has been applied for probability of failure, no explanation/justification has been documented. </w:t>
      </w:r>
    </w:p>
    <w:p w14:paraId="50252D05" w14:textId="248411FB" w:rsidR="000119D4" w:rsidRDefault="00E265B8" w:rsidP="0042320D">
      <w:pPr>
        <w:spacing w:before="120" w:line="264" w:lineRule="auto"/>
      </w:pPr>
      <w:r>
        <w:t>Furthermore, a</w:t>
      </w:r>
      <w:r w:rsidR="002E0DA5">
        <w:t>n unlikely</w:t>
      </w:r>
      <w:r w:rsidR="007C33EA">
        <w:t xml:space="preserve">, or </w:t>
      </w:r>
      <w:r w:rsidR="00550FD7">
        <w:t xml:space="preserve">even </w:t>
      </w:r>
      <w:r w:rsidR="00823077">
        <w:t>a</w:t>
      </w:r>
      <w:r w:rsidR="00A64A12">
        <w:t xml:space="preserve">n </w:t>
      </w:r>
      <w:r w:rsidR="00C407B0">
        <w:t>incredible</w:t>
      </w:r>
      <w:r w:rsidR="00823077">
        <w:t xml:space="preserve"> </w:t>
      </w:r>
      <w:r w:rsidR="00550FD7">
        <w:t xml:space="preserve">incident </w:t>
      </w:r>
      <w:r w:rsidR="00C407B0">
        <w:t>may still be</w:t>
      </w:r>
      <w:r w:rsidR="00550FD7">
        <w:t xml:space="preserve"> </w:t>
      </w:r>
      <w:r w:rsidR="00550FD7" w:rsidRPr="007C6A9F">
        <w:rPr>
          <w:i/>
          <w:iCs/>
        </w:rPr>
        <w:t>possible</w:t>
      </w:r>
      <w:r w:rsidR="00550FD7">
        <w:t xml:space="preserve"> and if it happens, it is the impact that </w:t>
      </w:r>
      <w:r w:rsidR="002077F4">
        <w:t xml:space="preserve">matters. </w:t>
      </w:r>
      <w:r w:rsidR="00F43556">
        <w:t xml:space="preserve">For high-impact incidents, </w:t>
      </w:r>
      <w:r w:rsidR="004E6423">
        <w:t xml:space="preserve">the likelihood that it will happen during the operational lifespan </w:t>
      </w:r>
      <w:r w:rsidR="00C04520">
        <w:t>of</w:t>
      </w:r>
      <w:r w:rsidR="004E6423">
        <w:t xml:space="preserve"> the facility is </w:t>
      </w:r>
      <w:r w:rsidR="0053615C">
        <w:t xml:space="preserve">also </w:t>
      </w:r>
      <w:r w:rsidR="004E6423">
        <w:t xml:space="preserve">of </w:t>
      </w:r>
      <w:r w:rsidR="005375C5">
        <w:t>importance</w:t>
      </w:r>
      <w:r w:rsidR="00B51D61">
        <w:t>.</w:t>
      </w:r>
      <w:r w:rsidR="007454D0">
        <w:t xml:space="preserve"> </w:t>
      </w:r>
      <w:r w:rsidR="004E250C">
        <w:t xml:space="preserve">I recommend </w:t>
      </w:r>
      <w:r w:rsidR="006466FC">
        <w:t>that ANSTO consider</w:t>
      </w:r>
      <w:r w:rsidR="0016614B">
        <w:t>s</w:t>
      </w:r>
      <w:r w:rsidR="006466FC">
        <w:t xml:space="preserve"> </w:t>
      </w:r>
      <w:r w:rsidR="00343C6E">
        <w:t xml:space="preserve">the application of a risk constraint </w:t>
      </w:r>
      <w:r w:rsidR="007D3206">
        <w:t xml:space="preserve">for systematic optimisation </w:t>
      </w:r>
      <w:r w:rsidR="00123B2F">
        <w:t>of protection</w:t>
      </w:r>
      <w:r w:rsidR="00215D63">
        <w:t xml:space="preserve"> addressing</w:t>
      </w:r>
      <w:r w:rsidR="0079363B">
        <w:t xml:space="preserve"> likelihoods</w:t>
      </w:r>
      <w:r w:rsidR="00431AE5">
        <w:t xml:space="preserve"> and impacts over the operational lifespan of the facility</w:t>
      </w:r>
      <w:r w:rsidR="00EC5811">
        <w:t xml:space="preserve"> and carefully considers options to </w:t>
      </w:r>
      <w:r w:rsidR="005055C9">
        <w:t>reduce the impact of incidents where they are rated severe or higher</w:t>
      </w:r>
      <w:r w:rsidR="00E907AE">
        <w:t xml:space="preserve">. </w:t>
      </w:r>
      <w:r w:rsidR="00C6071C">
        <w:t xml:space="preserve"> </w:t>
      </w:r>
    </w:p>
    <w:p w14:paraId="7BBD38AF" w14:textId="29DDF82B" w:rsidR="00142854" w:rsidRDefault="00142854" w:rsidP="0092660D">
      <w:pPr>
        <w:spacing w:before="120" w:line="264" w:lineRule="auto"/>
      </w:pPr>
      <w:r>
        <w:t xml:space="preserve">The recommendations made in the SAR should be </w:t>
      </w:r>
      <w:r w:rsidR="00A1667D">
        <w:t>actioned</w:t>
      </w:r>
      <w:r>
        <w:t xml:space="preserve"> by ANSTO</w:t>
      </w:r>
      <w:r w:rsidR="003B3A2C">
        <w:t xml:space="preserve"> and </w:t>
      </w:r>
      <w:r w:rsidR="00385419">
        <w:t xml:space="preserve">evidence provided to ARPANSA </w:t>
      </w:r>
      <w:r w:rsidR="00C407B0">
        <w:t xml:space="preserve">at the latest </w:t>
      </w:r>
      <w:r w:rsidR="00385419">
        <w:t>with an application to construct the I</w:t>
      </w:r>
      <w:r w:rsidR="00EA17F7">
        <w:t>LWCI</w:t>
      </w:r>
      <w:r w:rsidR="00385419">
        <w:t xml:space="preserve"> Facility. </w:t>
      </w:r>
    </w:p>
    <w:p w14:paraId="40842322" w14:textId="13CEB5CD" w:rsidR="00EA5C09" w:rsidRDefault="008C1D2D" w:rsidP="0092660D">
      <w:pPr>
        <w:spacing w:before="120" w:line="264" w:lineRule="auto"/>
      </w:pPr>
      <w:r w:rsidRPr="00A14ED0">
        <w:t xml:space="preserve">ANSTO </w:t>
      </w:r>
      <w:r w:rsidR="00F33ECF">
        <w:t>conducted</w:t>
      </w:r>
      <w:r w:rsidRPr="00A14ED0">
        <w:t xml:space="preserve"> a reference </w:t>
      </w:r>
      <w:r w:rsidR="006475D7" w:rsidRPr="00A14ED0">
        <w:t xml:space="preserve">accident analysis to support classification of </w:t>
      </w:r>
      <w:r w:rsidR="00056887" w:rsidRPr="00A14ED0">
        <w:t xml:space="preserve">the ILWCI Facility in terms of </w:t>
      </w:r>
      <w:r w:rsidR="006475D7" w:rsidRPr="00A14ED0">
        <w:t>Emergency Prepared</w:t>
      </w:r>
      <w:r w:rsidR="00056887" w:rsidRPr="00A14ED0">
        <w:t xml:space="preserve">ness Category. </w:t>
      </w:r>
      <w:r w:rsidR="00CC2516" w:rsidRPr="00A14ED0">
        <w:t xml:space="preserve">The </w:t>
      </w:r>
      <w:r w:rsidR="00056887" w:rsidRPr="00A14ED0">
        <w:t>f</w:t>
      </w:r>
      <w:r w:rsidR="00433FDC" w:rsidRPr="00A14ED0">
        <w:t xml:space="preserve">acility has been classified </w:t>
      </w:r>
      <w:r w:rsidR="00887ACC" w:rsidRPr="00A14ED0">
        <w:t>as</w:t>
      </w:r>
      <w:r w:rsidR="00433FDC" w:rsidRPr="00A14ED0">
        <w:t xml:space="preserve"> Emergency Preparedness Category </w:t>
      </w:r>
      <w:r w:rsidR="00FD436A" w:rsidRPr="00A14ED0">
        <w:t xml:space="preserve">III </w:t>
      </w:r>
      <w:r w:rsidR="001067A8" w:rsidRPr="00A14ED0">
        <w:t xml:space="preserve">in accordance with national </w:t>
      </w:r>
      <w:r w:rsidR="00887ACC" w:rsidRPr="00A14ED0">
        <w:t xml:space="preserve">and international </w:t>
      </w:r>
      <w:r w:rsidR="001067A8" w:rsidRPr="00A14ED0">
        <w:t>guidance</w:t>
      </w:r>
      <w:r w:rsidR="00887ACC" w:rsidRPr="00A14ED0">
        <w:rPr>
          <w:rStyle w:val="FootnoteReference"/>
        </w:rPr>
        <w:footnoteReference w:id="28"/>
      </w:r>
      <w:r w:rsidR="00C25724">
        <w:t>;</w:t>
      </w:r>
      <w:r w:rsidR="005B0119">
        <w:t xml:space="preserve"> not requiring early or urgent protective </w:t>
      </w:r>
      <w:r w:rsidR="00150AF2">
        <w:t xml:space="preserve">actions </w:t>
      </w:r>
      <w:r w:rsidR="00150AF2">
        <w:lastRenderedPageBreak/>
        <w:t xml:space="preserve">off-site. </w:t>
      </w:r>
      <w:r w:rsidR="006A26C6">
        <w:t xml:space="preserve">ARPANSA accepts this </w:t>
      </w:r>
      <w:r w:rsidR="009665A6">
        <w:t>category for the purpose of preparing a site for the ILWCI Facility</w:t>
      </w:r>
      <w:r w:rsidR="001B2BD5">
        <w:t xml:space="preserve"> and will perform independent accident analysis based on </w:t>
      </w:r>
      <w:r w:rsidR="00616917">
        <w:t xml:space="preserve">updated design and inventory information </w:t>
      </w:r>
      <w:r w:rsidR="006B1C03">
        <w:t>to be submitted with an application to construct the ILWCI Facility.</w:t>
      </w:r>
      <w:r w:rsidR="00EA5C09">
        <w:t xml:space="preserve"> </w:t>
      </w:r>
    </w:p>
    <w:p w14:paraId="3BEA8720" w14:textId="2140BA2C" w:rsidR="000B276C" w:rsidRDefault="000B276C" w:rsidP="003B6D27">
      <w:pPr>
        <w:pStyle w:val="Heading4"/>
      </w:pPr>
      <w:bookmarkStart w:id="32" w:name="_Toc365889216"/>
      <w:bookmarkStart w:id="33" w:name="_Toc418680025"/>
      <w:r w:rsidRPr="003C2E44">
        <w:t>Plans and arrangements for managing safety</w:t>
      </w:r>
      <w:bookmarkEnd w:id="32"/>
      <w:r w:rsidRPr="003C2E44">
        <w:t xml:space="preserve"> </w:t>
      </w:r>
      <w:bookmarkEnd w:id="33"/>
    </w:p>
    <w:p w14:paraId="6C694679" w14:textId="7C214752" w:rsidR="00B64FDC" w:rsidRDefault="00B64FDC" w:rsidP="009736B1">
      <w:pPr>
        <w:spacing w:before="120" w:line="264" w:lineRule="auto"/>
      </w:pPr>
      <w:r>
        <w:t xml:space="preserve">In support of the application, ANSTO has submitted </w:t>
      </w:r>
      <w:r w:rsidR="001F0D5E">
        <w:t>p</w:t>
      </w:r>
      <w:r w:rsidR="00147B02">
        <w:t xml:space="preserve">lans and </w:t>
      </w:r>
      <w:r w:rsidR="001F0D5E">
        <w:t>a</w:t>
      </w:r>
      <w:r w:rsidR="00147B02">
        <w:t xml:space="preserve">rrangements for managing safety at the </w:t>
      </w:r>
      <w:r w:rsidR="00881EDC">
        <w:t>ILWCI</w:t>
      </w:r>
      <w:r w:rsidR="001F0D5E">
        <w:t xml:space="preserve"> F</w:t>
      </w:r>
      <w:r w:rsidR="00147B02">
        <w:t>ac</w:t>
      </w:r>
      <w:r w:rsidR="009736B1">
        <w:t>il</w:t>
      </w:r>
      <w:r w:rsidR="00147B02">
        <w:t xml:space="preserve">ity in </w:t>
      </w:r>
      <w:r w:rsidR="00390D6C">
        <w:t>accordance</w:t>
      </w:r>
      <w:r w:rsidR="00147B02">
        <w:t xml:space="preserve"> with </w:t>
      </w:r>
      <w:r w:rsidR="00F60FD0">
        <w:t>sub</w:t>
      </w:r>
      <w:r w:rsidR="00C6268E">
        <w:t>-</w:t>
      </w:r>
      <w:r w:rsidR="00147B02">
        <w:t xml:space="preserve">section 46(1) </w:t>
      </w:r>
      <w:r w:rsidR="00397A59">
        <w:t>of</w:t>
      </w:r>
      <w:r w:rsidR="00147B02">
        <w:t xml:space="preserve"> the Regulations. The Decommissioning Plan was briefly considered in section </w:t>
      </w:r>
      <w:r w:rsidR="002C4AAA">
        <w:t>3.1</w:t>
      </w:r>
      <w:r w:rsidR="00147B02">
        <w:t xml:space="preserve">; the Radiation Management Plan will be considered further in section 3.5 on optimisation. </w:t>
      </w:r>
    </w:p>
    <w:p w14:paraId="5796FC76" w14:textId="4069A418" w:rsidR="00147B02" w:rsidRDefault="00147B02" w:rsidP="009736B1">
      <w:pPr>
        <w:spacing w:before="120" w:line="264" w:lineRule="auto"/>
      </w:pPr>
      <w:r>
        <w:t>The Effective Control Plan, Safety Management Plan, Radioactive Waste Management Plan, Security Plan, Emergency Plan and Environment Protection Plan have all been submitted</w:t>
      </w:r>
      <w:r w:rsidR="009736B1">
        <w:t xml:space="preserve"> </w:t>
      </w:r>
      <w:r>
        <w:t>with t</w:t>
      </w:r>
      <w:r w:rsidR="009736B1">
        <w:t>h</w:t>
      </w:r>
      <w:r>
        <w:t xml:space="preserve">e application. They build on existing practices and documentation at ANSTO. The ARPANSA reviewers have considered the plans in detail as regards their general content and acknowledge that at this stage of </w:t>
      </w:r>
      <w:r w:rsidR="005B5982">
        <w:t xml:space="preserve">licensing </w:t>
      </w:r>
      <w:r w:rsidR="009736B1">
        <w:t xml:space="preserve">the documentation </w:t>
      </w:r>
      <w:r w:rsidR="00E54AAA">
        <w:t>meets</w:t>
      </w:r>
      <w:r w:rsidR="009736B1">
        <w:t xml:space="preserve"> the intent of the ARPANSA regulatory </w:t>
      </w:r>
      <w:r w:rsidR="00891E78">
        <w:t>guidance</w:t>
      </w:r>
      <w:r w:rsidR="00AB4D97">
        <w:t>,</w:t>
      </w:r>
      <w:r w:rsidR="002B190F">
        <w:rPr>
          <w:rStyle w:val="FootnoteReference"/>
        </w:rPr>
        <w:footnoteReference w:id="29"/>
      </w:r>
      <w:r w:rsidR="00891E78">
        <w:t xml:space="preserve"> but</w:t>
      </w:r>
      <w:r w:rsidR="009736B1">
        <w:t xml:space="preserve"> </w:t>
      </w:r>
      <w:r w:rsidR="00D839F2">
        <w:t xml:space="preserve">are currently </w:t>
      </w:r>
      <w:r w:rsidR="009736B1">
        <w:t xml:space="preserve">not detailed enough for a </w:t>
      </w:r>
      <w:r w:rsidR="00D839F2">
        <w:t>fulsome</w:t>
      </w:r>
      <w:r w:rsidR="009736B1">
        <w:t xml:space="preserve"> review. </w:t>
      </w:r>
    </w:p>
    <w:p w14:paraId="6F282062" w14:textId="2FC8FF37" w:rsidR="00AB32B4" w:rsidRDefault="00516F29" w:rsidP="009736B1">
      <w:pPr>
        <w:spacing w:before="120" w:line="264" w:lineRule="auto"/>
      </w:pPr>
      <w:r>
        <w:t>In the next iteration, expected in support of an application to construct the facility</w:t>
      </w:r>
      <w:r w:rsidR="007E184B">
        <w:t>, ANSTO should concretely outline and explain how the differen</w:t>
      </w:r>
      <w:r w:rsidR="00E21788">
        <w:t>t</w:t>
      </w:r>
      <w:r w:rsidR="007E184B">
        <w:t xml:space="preserve"> elements of the plans and arrangements </w:t>
      </w:r>
      <w:r w:rsidR="00E21788">
        <w:t xml:space="preserve">have </w:t>
      </w:r>
      <w:r w:rsidR="00D73AB6">
        <w:t xml:space="preserve">been tailored to the specific requirements of the ILWCI </w:t>
      </w:r>
      <w:r w:rsidR="00AE3C12">
        <w:t>F</w:t>
      </w:r>
      <w:r w:rsidR="00D73AB6">
        <w:t>acility</w:t>
      </w:r>
      <w:r w:rsidR="004D5425">
        <w:t xml:space="preserve">, i.e., </w:t>
      </w:r>
      <w:r w:rsidR="00E54AAA">
        <w:t>focus on the specific aspects that differ from or that establish interface</w:t>
      </w:r>
      <w:r w:rsidR="00CE4792">
        <w:t>s</w:t>
      </w:r>
      <w:r w:rsidR="00E54AAA">
        <w:t xml:space="preserve"> with existing</w:t>
      </w:r>
      <w:r w:rsidR="00F97827">
        <w:t xml:space="preserve"> site-wide</w:t>
      </w:r>
      <w:r w:rsidR="00E54AAA">
        <w:t xml:space="preserve"> </w:t>
      </w:r>
      <w:r w:rsidR="00F97827">
        <w:t>p</w:t>
      </w:r>
      <w:r w:rsidR="00E54AAA">
        <w:t xml:space="preserve">lans and </w:t>
      </w:r>
      <w:r w:rsidR="00F97827">
        <w:t>a</w:t>
      </w:r>
      <w:r w:rsidR="00E54AAA">
        <w:t>rrangements at the ANSTO Lucas Heights site.</w:t>
      </w:r>
      <w:r w:rsidR="00F97827">
        <w:t xml:space="preserve"> </w:t>
      </w:r>
      <w:r w:rsidR="001A1DEC">
        <w:t xml:space="preserve">The plans and arrangements should be presented in a way </w:t>
      </w:r>
      <w:r w:rsidR="00D73AB6">
        <w:t>that ma</w:t>
      </w:r>
      <w:r w:rsidR="00DB79A3">
        <w:t>kes the</w:t>
      </w:r>
      <w:r w:rsidR="001A1DEC">
        <w:t xml:space="preserve">m </w:t>
      </w:r>
      <w:r w:rsidR="00DB79A3">
        <w:t>useful</w:t>
      </w:r>
      <w:r w:rsidR="00E72CB5">
        <w:t xml:space="preserve"> for ANSTO staff</w:t>
      </w:r>
      <w:r w:rsidR="00F01ADD">
        <w:t xml:space="preserve">. </w:t>
      </w:r>
      <w:r w:rsidR="00E72CB5">
        <w:t xml:space="preserve"> </w:t>
      </w:r>
    </w:p>
    <w:p w14:paraId="5BA6E668" w14:textId="77777777" w:rsidR="00032D8D" w:rsidRDefault="00032D8D" w:rsidP="004E4D12">
      <w:pPr>
        <w:pStyle w:val="Heading3"/>
        <w:numPr>
          <w:ilvl w:val="2"/>
          <w:numId w:val="3"/>
        </w:numPr>
        <w:spacing w:before="240" w:after="120"/>
        <w:ind w:left="1077"/>
      </w:pPr>
      <w:bookmarkStart w:id="34" w:name="_Toc96958671"/>
      <w:r>
        <w:t>Conclusions</w:t>
      </w:r>
      <w:bookmarkEnd w:id="34"/>
    </w:p>
    <w:tbl>
      <w:tblPr>
        <w:tblStyle w:val="TableGrid"/>
        <w:tblW w:w="0" w:type="auto"/>
        <w:tblLook w:val="04A0" w:firstRow="1" w:lastRow="0" w:firstColumn="1" w:lastColumn="0" w:noHBand="0" w:noVBand="1"/>
      </w:tblPr>
      <w:tblGrid>
        <w:gridCol w:w="9628"/>
      </w:tblGrid>
      <w:tr w:rsidR="000B276C" w:rsidRPr="009736B1" w14:paraId="2B619326" w14:textId="77777777" w:rsidTr="0026220D">
        <w:tc>
          <w:tcPr>
            <w:tcW w:w="9628" w:type="dxa"/>
            <w:shd w:val="clear" w:color="auto" w:fill="3D145C" w:themeFill="accent1" w:themeFillShade="40"/>
          </w:tcPr>
          <w:p w14:paraId="514DA937" w14:textId="3D3EBCDE" w:rsidR="000B276C" w:rsidRPr="00F41E62" w:rsidRDefault="00507072" w:rsidP="00F41E62">
            <w:pPr>
              <w:spacing w:line="264" w:lineRule="auto"/>
              <w:rPr>
                <w:b/>
                <w:bCs/>
                <w:color w:val="FFFFFF" w:themeColor="background1"/>
              </w:rPr>
            </w:pPr>
            <w:r>
              <w:rPr>
                <w:b/>
                <w:bCs/>
                <w:color w:val="FFFFFF" w:themeColor="background1"/>
              </w:rPr>
              <w:t>Can</w:t>
            </w:r>
            <w:r w:rsidR="009736B1" w:rsidRPr="00F41E62">
              <w:rPr>
                <w:b/>
                <w:bCs/>
                <w:color w:val="FFFFFF" w:themeColor="background1"/>
              </w:rPr>
              <w:t xml:space="preserve"> the proposed conduct be carried out without undue risk to the health and safety of people, and to the environment</w:t>
            </w:r>
          </w:p>
        </w:tc>
      </w:tr>
      <w:tr w:rsidR="000B276C" w14:paraId="772BDB2C" w14:textId="77777777" w:rsidTr="0026220D">
        <w:tc>
          <w:tcPr>
            <w:tcW w:w="9628" w:type="dxa"/>
            <w:shd w:val="clear" w:color="auto" w:fill="E3CCF4" w:themeFill="accent1"/>
          </w:tcPr>
          <w:p w14:paraId="5956EF6C" w14:textId="1C50773F" w:rsidR="000B276C" w:rsidRDefault="00FE07B9" w:rsidP="0026220D">
            <w:pPr>
              <w:spacing w:before="120" w:after="120"/>
            </w:pPr>
            <w:r>
              <w:t xml:space="preserve">The material transported </w:t>
            </w:r>
            <w:r w:rsidR="00B37B97">
              <w:t>from facilities within the Lucas Heights site to the</w:t>
            </w:r>
            <w:r w:rsidR="00DA4F68">
              <w:t xml:space="preserve"> ILW</w:t>
            </w:r>
            <w:r w:rsidR="00256152">
              <w:t>CI</w:t>
            </w:r>
            <w:r w:rsidR="00DA4F68">
              <w:t xml:space="preserve"> </w:t>
            </w:r>
            <w:r w:rsidR="00B37B97">
              <w:t xml:space="preserve">Facility for storage </w:t>
            </w:r>
            <w:r>
              <w:t xml:space="preserve">is inherently hazardous and </w:t>
            </w:r>
            <w:r w:rsidR="00D31C95">
              <w:t>cap</w:t>
            </w:r>
            <w:r>
              <w:t xml:space="preserve">able of causing </w:t>
            </w:r>
            <w:r w:rsidR="00E40EBB">
              <w:t>serious</w:t>
            </w:r>
            <w:r>
              <w:t xml:space="preserve"> radiation-</w:t>
            </w:r>
            <w:r w:rsidR="00E40EBB">
              <w:t>related</w:t>
            </w:r>
            <w:r>
              <w:t xml:space="preserve"> health effects</w:t>
            </w:r>
            <w:r w:rsidR="00680F83">
              <w:t xml:space="preserve"> on workers </w:t>
            </w:r>
            <w:r w:rsidR="002759B9">
              <w:t>engaged in the operations</w:t>
            </w:r>
            <w:r>
              <w:t xml:space="preserve">. </w:t>
            </w:r>
            <w:r w:rsidR="00756C69">
              <w:t xml:space="preserve">The SAR </w:t>
            </w:r>
            <w:r w:rsidR="00DF7D87">
              <w:t>considers</w:t>
            </w:r>
            <w:r w:rsidR="00756C69">
              <w:t xml:space="preserve"> the risk assessments for several identified hazards</w:t>
            </w:r>
            <w:r w:rsidR="000069DB">
              <w:t xml:space="preserve">. </w:t>
            </w:r>
            <w:r>
              <w:t xml:space="preserve">The </w:t>
            </w:r>
            <w:r w:rsidR="008C3CBB">
              <w:t xml:space="preserve">risk </w:t>
            </w:r>
            <w:r>
              <w:t xml:space="preserve">mitigating measures </w:t>
            </w:r>
            <w:r w:rsidR="008C3CBB">
              <w:t xml:space="preserve">applied to </w:t>
            </w:r>
            <w:r w:rsidR="00DA4F68">
              <w:t xml:space="preserve">handling and storage provide </w:t>
            </w:r>
            <w:r w:rsidR="00BE23B2">
              <w:t>reasonable and sufficient</w:t>
            </w:r>
            <w:r w:rsidR="00464599">
              <w:t xml:space="preserve"> assurance</w:t>
            </w:r>
            <w:r w:rsidR="00DA4F68">
              <w:t xml:space="preserve"> of safety</w:t>
            </w:r>
            <w:r w:rsidR="00464599">
              <w:t xml:space="preserve">, </w:t>
            </w:r>
            <w:r w:rsidR="00BE23B2">
              <w:t>commensurate with</w:t>
            </w:r>
            <w:r w:rsidR="00845074">
              <w:t xml:space="preserve"> the </w:t>
            </w:r>
            <w:r w:rsidR="00DA4F68">
              <w:t>current licensing stage.</w:t>
            </w:r>
            <w:r w:rsidR="008F745F">
              <w:t xml:space="preserve"> </w:t>
            </w:r>
            <w:r w:rsidR="00DA4F68">
              <w:t>The recommendations from the SAR</w:t>
            </w:r>
            <w:r w:rsidR="009F0686">
              <w:t>,</w:t>
            </w:r>
            <w:r w:rsidR="00F91665">
              <w:t xml:space="preserve"> and the </w:t>
            </w:r>
            <w:r w:rsidR="00D5680F">
              <w:t xml:space="preserve">human </w:t>
            </w:r>
            <w:r w:rsidR="005E5058">
              <w:t xml:space="preserve">and organisational </w:t>
            </w:r>
            <w:r w:rsidR="00BA18A5">
              <w:t xml:space="preserve">aspects of </w:t>
            </w:r>
            <w:r w:rsidR="00074FEC">
              <w:t>incidents</w:t>
            </w:r>
            <w:r w:rsidR="005D613C">
              <w:t xml:space="preserve"> </w:t>
            </w:r>
            <w:r w:rsidR="008D7C9D">
              <w:t>with</w:t>
            </w:r>
            <w:r w:rsidR="005D613C">
              <w:t xml:space="preserve"> higher inherent risk</w:t>
            </w:r>
            <w:r w:rsidR="00BA18A5">
              <w:t xml:space="preserve"> must be considered </w:t>
            </w:r>
            <w:r w:rsidR="00AD0F3A">
              <w:t xml:space="preserve">in the lead up to </w:t>
            </w:r>
            <w:r w:rsidR="00576DA9">
              <w:t>applying</w:t>
            </w:r>
            <w:r w:rsidR="00AD0F3A">
              <w:t xml:space="preserve"> </w:t>
            </w:r>
            <w:r w:rsidR="00576DA9">
              <w:t xml:space="preserve">for authorisation to construct the ILWCI Facility. </w:t>
            </w:r>
            <w:r w:rsidR="00D5680F">
              <w:t xml:space="preserve">The </w:t>
            </w:r>
            <w:r w:rsidR="00384DD8">
              <w:t>p</w:t>
            </w:r>
            <w:r w:rsidR="00D5680F">
              <w:t xml:space="preserve">lans and </w:t>
            </w:r>
            <w:r w:rsidR="00384DD8">
              <w:t>a</w:t>
            </w:r>
            <w:r w:rsidR="00D5680F">
              <w:t xml:space="preserve">rrangements should clearly identify how </w:t>
            </w:r>
            <w:r w:rsidR="00942285">
              <w:t>the</w:t>
            </w:r>
            <w:r w:rsidR="00D5680F">
              <w:t xml:space="preserve"> </w:t>
            </w:r>
            <w:r w:rsidR="008D7C9D">
              <w:t>site-wide plans</w:t>
            </w:r>
            <w:r w:rsidR="00D5680F">
              <w:t xml:space="preserve"> will be applied to the </w:t>
            </w:r>
            <w:r w:rsidR="00CE1A51">
              <w:t>design and operations of</w:t>
            </w:r>
            <w:r w:rsidR="00D5680F">
              <w:t xml:space="preserve"> the ILWCI Facility.</w:t>
            </w:r>
            <w:r w:rsidR="000349CD">
              <w:t xml:space="preserve"> </w:t>
            </w:r>
          </w:p>
        </w:tc>
      </w:tr>
    </w:tbl>
    <w:p w14:paraId="03057670" w14:textId="0A42AD1D" w:rsidR="00032D8D" w:rsidRPr="006245E9" w:rsidRDefault="00032D8D" w:rsidP="001B2873">
      <w:pPr>
        <w:pStyle w:val="Heading2"/>
        <w:numPr>
          <w:ilvl w:val="1"/>
          <w:numId w:val="3"/>
        </w:numPr>
        <w:tabs>
          <w:tab w:val="left" w:pos="993"/>
        </w:tabs>
        <w:spacing w:before="240"/>
        <w:ind w:left="981" w:hanging="624"/>
      </w:pPr>
      <w:r>
        <w:tab/>
      </w:r>
      <w:bookmarkStart w:id="35" w:name="_Toc96958672"/>
      <w:r>
        <w:t>Has the applicant shown that there is a net benefit from carrying out the proposed conduct?</w:t>
      </w:r>
      <w:bookmarkEnd w:id="35"/>
      <w:r>
        <w:t xml:space="preserve"> </w:t>
      </w:r>
    </w:p>
    <w:p w14:paraId="461A4187" w14:textId="77777777" w:rsidR="00530FF2" w:rsidRDefault="008257F3" w:rsidP="001B2873">
      <w:pPr>
        <w:pStyle w:val="Heading3"/>
        <w:numPr>
          <w:ilvl w:val="2"/>
          <w:numId w:val="3"/>
        </w:numPr>
        <w:spacing w:before="120" w:after="60"/>
        <w:ind w:left="1077"/>
      </w:pPr>
      <w:bookmarkStart w:id="36" w:name="_Toc96958673"/>
      <w:r>
        <w:t>Considerations</w:t>
      </w:r>
      <w:bookmarkEnd w:id="36"/>
    </w:p>
    <w:p w14:paraId="12AC5055" w14:textId="2AE06086" w:rsidR="00624F9D" w:rsidRDefault="000E736E" w:rsidP="00A7688F">
      <w:pPr>
        <w:spacing w:before="120" w:line="264" w:lineRule="auto"/>
      </w:pPr>
      <w:r>
        <w:t>N</w:t>
      </w:r>
      <w:r w:rsidR="009C039D" w:rsidRPr="00255E97">
        <w:t xml:space="preserve">et benefit relates to the principle of </w:t>
      </w:r>
      <w:r w:rsidR="009C039D" w:rsidRPr="00A7688F">
        <w:t>justification</w:t>
      </w:r>
      <w:r w:rsidR="001F4767">
        <w:t>.</w:t>
      </w:r>
      <w:r w:rsidR="009C039D" w:rsidRPr="00255E97">
        <w:t xml:space="preserve"> </w:t>
      </w:r>
      <w:r w:rsidR="001F4767">
        <w:t>I</w:t>
      </w:r>
      <w:r w:rsidR="009C039D" w:rsidRPr="00255E97">
        <w:t>n the international framework for safety</w:t>
      </w:r>
      <w:r w:rsidR="001F4767">
        <w:t>, j</w:t>
      </w:r>
      <w:r w:rsidR="00E6674A">
        <w:t xml:space="preserve">ustification for the </w:t>
      </w:r>
      <w:r w:rsidR="00A861C2">
        <w:t>establishment</w:t>
      </w:r>
      <w:r w:rsidR="00E6674A">
        <w:t xml:space="preserve"> of a waste management facility cannot be judged in isolation </w:t>
      </w:r>
      <w:r w:rsidR="00326746">
        <w:t xml:space="preserve">from </w:t>
      </w:r>
      <w:r w:rsidR="00423C71">
        <w:t xml:space="preserve">the </w:t>
      </w:r>
      <w:r w:rsidR="00F22602">
        <w:t xml:space="preserve">purpose of the </w:t>
      </w:r>
      <w:r w:rsidR="00D3257A">
        <w:t>practice</w:t>
      </w:r>
      <w:r w:rsidR="00F22602">
        <w:t xml:space="preserve"> that generates the waste. </w:t>
      </w:r>
      <w:r w:rsidR="002B2368">
        <w:t xml:space="preserve">The reasoning around </w:t>
      </w:r>
      <w:r w:rsidR="00F22602">
        <w:t>net benefit need</w:t>
      </w:r>
      <w:r w:rsidR="00F2288B">
        <w:t>s</w:t>
      </w:r>
      <w:r w:rsidR="00F22602">
        <w:t xml:space="preserve"> to </w:t>
      </w:r>
      <w:proofErr w:type="gramStart"/>
      <w:r w:rsidR="001D0173">
        <w:t>take into account</w:t>
      </w:r>
      <w:proofErr w:type="gramEnd"/>
      <w:r w:rsidR="00732321">
        <w:t xml:space="preserve"> the benefit from </w:t>
      </w:r>
      <w:r w:rsidR="001D0173">
        <w:t>nuclear medicine production</w:t>
      </w:r>
      <w:r w:rsidR="001F641F">
        <w:t xml:space="preserve"> </w:t>
      </w:r>
      <w:r w:rsidR="001F641F" w:rsidRPr="00371DDF">
        <w:rPr>
          <w:i/>
          <w:iCs/>
        </w:rPr>
        <w:t>and</w:t>
      </w:r>
      <w:r w:rsidR="001F641F">
        <w:t xml:space="preserve"> any</w:t>
      </w:r>
      <w:r w:rsidR="00035AB4">
        <w:t xml:space="preserve"> negative impact on </w:t>
      </w:r>
      <w:r w:rsidR="000A30A1">
        <w:t>health, society and economy</w:t>
      </w:r>
      <w:r w:rsidR="005A7C97">
        <w:t xml:space="preserve">. </w:t>
      </w:r>
      <w:r w:rsidR="00E278AB">
        <w:t>In my decision of 12 April 2018</w:t>
      </w:r>
      <w:r w:rsidR="003224B1">
        <w:rPr>
          <w:rStyle w:val="FootnoteReference"/>
        </w:rPr>
        <w:footnoteReference w:id="30"/>
      </w:r>
      <w:r w:rsidR="00E278AB">
        <w:t xml:space="preserve">, which authorised ANSTO to commence ‘hot commissioning’ of the </w:t>
      </w:r>
      <w:r w:rsidR="00624F9D">
        <w:t>ANM Facility for fission-based production of Mo-99, I concluded:</w:t>
      </w:r>
    </w:p>
    <w:p w14:paraId="1FC208A8" w14:textId="48546E8F" w:rsidR="00624F9D" w:rsidRPr="00A7688F" w:rsidRDefault="00624F9D" w:rsidP="00A7688F">
      <w:pPr>
        <w:spacing w:before="120" w:line="264" w:lineRule="auto"/>
        <w:ind w:left="720"/>
        <w:rPr>
          <w:i/>
          <w:iCs/>
        </w:rPr>
      </w:pPr>
      <w:r w:rsidRPr="00A7688F">
        <w:rPr>
          <w:i/>
          <w:iCs/>
        </w:rPr>
        <w:lastRenderedPageBreak/>
        <w:t>There is health benefit for cancer patients from sustained supply of Mo-99/Tc-99m, in which the ANM Facility will play a role. Irradiation of LEU targets in the multi-purpose OPAL reactor and subsequent extraction of Mo-99 in the ANM Facility will, provided the facilities are maintained and operated safely, not carry with it significant radiation risks. While current projections regarding global production capacity do not forecast any shortage in the next five-year period, operation of the ANM Facility provides additional certainty in availability of Mo-99/Tc-99m for several decades. There remain uncertainties around long-term waste management on site and a national facility for waste management and disposal is not yet available. However, the commitment to develop policies supporting establishment of systems and facilities for full life-cycle management of all radioactive waste is strong. On this basis I may proceed with reaching a decision on authorisation to operate a controlled facility for the purpose of hot commissioning, being the ANM Facility.</w:t>
      </w:r>
    </w:p>
    <w:p w14:paraId="3F35C1C4" w14:textId="6A224D12" w:rsidR="00556A69" w:rsidRDefault="00E1525E" w:rsidP="00CA667B">
      <w:pPr>
        <w:spacing w:before="120" w:line="264" w:lineRule="auto"/>
      </w:pPr>
      <w:r>
        <w:t>In</w:t>
      </w:r>
      <w:r w:rsidR="00C36630">
        <w:t xml:space="preserve"> </w:t>
      </w:r>
      <w:r>
        <w:t>my</w:t>
      </w:r>
      <w:r w:rsidR="00C36630">
        <w:t xml:space="preserve"> decision </w:t>
      </w:r>
      <w:r w:rsidR="008D69BB">
        <w:t xml:space="preserve">of 24 May 2019 </w:t>
      </w:r>
      <w:r w:rsidR="00C36630">
        <w:t>to amend the licen</w:t>
      </w:r>
      <w:r>
        <w:t>c</w:t>
      </w:r>
      <w:r w:rsidR="00C36630">
        <w:t>e for the ANM Facility</w:t>
      </w:r>
      <w:r w:rsidR="00D27110">
        <w:rPr>
          <w:rStyle w:val="FootnoteReference"/>
        </w:rPr>
        <w:footnoteReference w:id="31"/>
      </w:r>
      <w:r w:rsidR="008D69BB">
        <w:t>, allowing</w:t>
      </w:r>
      <w:r w:rsidR="00E73152">
        <w:t xml:space="preserve"> routine operations</w:t>
      </w:r>
      <w:r w:rsidR="008D69BB">
        <w:t xml:space="preserve"> to commence</w:t>
      </w:r>
      <w:r w:rsidR="00E73152">
        <w:t>, I reiterated th</w:t>
      </w:r>
      <w:r w:rsidR="00556A69">
        <w:t>i</w:t>
      </w:r>
      <w:r w:rsidR="00E73152">
        <w:t>s view</w:t>
      </w:r>
      <w:r w:rsidR="00C30EBF">
        <w:t xml:space="preserve"> </w:t>
      </w:r>
      <w:r w:rsidR="00DF6013">
        <w:t>in the light of</w:t>
      </w:r>
      <w:r w:rsidR="00E73152">
        <w:t xml:space="preserve"> updated </w:t>
      </w:r>
      <w:r w:rsidR="00556A69">
        <w:t>projection</w:t>
      </w:r>
      <w:r w:rsidR="007F6245">
        <w:t>s</w:t>
      </w:r>
      <w:r w:rsidR="00556A69">
        <w:t xml:space="preserve"> of global </w:t>
      </w:r>
      <w:r w:rsidR="007F6245">
        <w:t>demand for Mo-99</w:t>
      </w:r>
      <w:r w:rsidR="00556A69">
        <w:t xml:space="preserve"> </w:t>
      </w:r>
      <w:r w:rsidR="007F6245">
        <w:t xml:space="preserve">in relation to </w:t>
      </w:r>
      <w:r w:rsidR="00874485">
        <w:t>production</w:t>
      </w:r>
      <w:r w:rsidR="00854F18">
        <w:t xml:space="preserve"> capacity. </w:t>
      </w:r>
      <w:r w:rsidR="00D00FC7">
        <w:t xml:space="preserve">However, the </w:t>
      </w:r>
      <w:r w:rsidR="00854F18">
        <w:t>supply</w:t>
      </w:r>
      <w:r w:rsidR="00D00FC7">
        <w:t xml:space="preserve"> </w:t>
      </w:r>
      <w:r w:rsidR="00854F18">
        <w:t>depends on a</w:t>
      </w:r>
      <w:r w:rsidR="003C608E">
        <w:t xml:space="preserve"> </w:t>
      </w:r>
      <w:proofErr w:type="gramStart"/>
      <w:r w:rsidR="003C608E">
        <w:t>fairly small</w:t>
      </w:r>
      <w:proofErr w:type="gramEnd"/>
      <w:r w:rsidR="003C608E">
        <w:t xml:space="preserve"> number of processing facilities</w:t>
      </w:r>
      <w:r w:rsidR="00997778">
        <w:t xml:space="preserve"> and </w:t>
      </w:r>
      <w:r w:rsidR="00C32714">
        <w:t>while</w:t>
      </w:r>
      <w:r w:rsidR="00997778">
        <w:t xml:space="preserve"> </w:t>
      </w:r>
      <w:r w:rsidR="00C32714">
        <w:t xml:space="preserve">there is </w:t>
      </w:r>
      <w:r w:rsidR="00997778">
        <w:t xml:space="preserve">an expectation </w:t>
      </w:r>
      <w:r w:rsidR="00C32714">
        <w:t>that</w:t>
      </w:r>
      <w:r w:rsidR="00997778">
        <w:t xml:space="preserve"> new facilities for non-reactor nuclear medicine </w:t>
      </w:r>
      <w:r w:rsidR="00C32714">
        <w:t>production</w:t>
      </w:r>
      <w:r w:rsidR="00997778">
        <w:t xml:space="preserve"> </w:t>
      </w:r>
      <w:r w:rsidR="00AE7AC1">
        <w:t>will come</w:t>
      </w:r>
      <w:r w:rsidR="00997778">
        <w:t xml:space="preserve"> </w:t>
      </w:r>
      <w:r w:rsidR="00C339F0">
        <w:t>online</w:t>
      </w:r>
      <w:r w:rsidR="00997778">
        <w:t xml:space="preserve"> in the next few years, some existing facilities may retire. </w:t>
      </w:r>
      <w:r w:rsidR="00D56C28">
        <w:t>T</w:t>
      </w:r>
      <w:r w:rsidR="00E020C7">
        <w:t xml:space="preserve">he </w:t>
      </w:r>
      <w:r w:rsidR="00551B4B">
        <w:t xml:space="preserve">ANM Facility </w:t>
      </w:r>
      <w:r w:rsidR="00E020C7">
        <w:t>will</w:t>
      </w:r>
      <w:r w:rsidR="003441DF">
        <w:t xml:space="preserve"> likely</w:t>
      </w:r>
      <w:r w:rsidR="00E020C7">
        <w:t xml:space="preserve"> remain a cornerstone</w:t>
      </w:r>
      <w:r w:rsidR="005642F4">
        <w:t xml:space="preserve"> in </w:t>
      </w:r>
      <w:r w:rsidR="00551B4B">
        <w:t>the nuclear medicine supply chain in Australia</w:t>
      </w:r>
      <w:r w:rsidR="00AE7AC1">
        <w:t xml:space="preserve"> and</w:t>
      </w:r>
      <w:r w:rsidR="00A13914">
        <w:t xml:space="preserve"> could</w:t>
      </w:r>
      <w:r w:rsidR="00AE7AC1">
        <w:t xml:space="preserve"> also play a significant role globally</w:t>
      </w:r>
      <w:r w:rsidR="00D56C28">
        <w:t xml:space="preserve">; however, </w:t>
      </w:r>
      <w:r w:rsidR="005642F4">
        <w:t xml:space="preserve">the actual production </w:t>
      </w:r>
      <w:r w:rsidR="00A125A2">
        <w:t xml:space="preserve">may be impacted by </w:t>
      </w:r>
      <w:r w:rsidR="00521B89">
        <w:t>changes in supply and demand</w:t>
      </w:r>
      <w:r w:rsidR="000276C9">
        <w:t xml:space="preserve"> on the international market</w:t>
      </w:r>
      <w:r w:rsidR="00C6246B">
        <w:t xml:space="preserve">. This, in turn, </w:t>
      </w:r>
      <w:r w:rsidR="003441DF">
        <w:t>may</w:t>
      </w:r>
      <w:r w:rsidR="00FA1F25">
        <w:t xml:space="preserve"> have consequences for the </w:t>
      </w:r>
      <w:r w:rsidR="007069A4">
        <w:t>projected time (year</w:t>
      </w:r>
      <w:r w:rsidR="00FF2992">
        <w:t>s</w:t>
      </w:r>
      <w:r w:rsidR="007069A4">
        <w:t xml:space="preserve">) </w:t>
      </w:r>
      <w:r w:rsidR="00FF2992">
        <w:t xml:space="preserve">for </w:t>
      </w:r>
      <w:r w:rsidR="006C21EB">
        <w:t xml:space="preserve">the ILWCI Facility </w:t>
      </w:r>
      <w:r w:rsidR="00FA4453">
        <w:t xml:space="preserve">to </w:t>
      </w:r>
      <w:r w:rsidR="007069A4">
        <w:t>reach capacity</w:t>
      </w:r>
      <w:r w:rsidR="00FA1F25">
        <w:t xml:space="preserve">. </w:t>
      </w:r>
      <w:r w:rsidR="003441DF">
        <w:t>This should be considered in a</w:t>
      </w:r>
      <w:r w:rsidR="005D119E">
        <w:t xml:space="preserve">n analysis </w:t>
      </w:r>
      <w:r w:rsidR="002829A6">
        <w:t>o</w:t>
      </w:r>
      <w:r w:rsidR="005D119E">
        <w:t xml:space="preserve">f </w:t>
      </w:r>
      <w:r w:rsidR="009E7821">
        <w:t xml:space="preserve">different </w:t>
      </w:r>
      <w:r w:rsidR="005D119E">
        <w:t>scenarios</w:t>
      </w:r>
      <w:r w:rsidR="00742C8A">
        <w:t xml:space="preserve"> as it </w:t>
      </w:r>
      <w:r w:rsidR="001037BF">
        <w:t xml:space="preserve">is of </w:t>
      </w:r>
      <w:r w:rsidR="00742C8A">
        <w:t xml:space="preserve">fundamental </w:t>
      </w:r>
      <w:r w:rsidR="001037BF">
        <w:t xml:space="preserve">importance </w:t>
      </w:r>
      <w:r w:rsidR="00742C8A">
        <w:t xml:space="preserve">for </w:t>
      </w:r>
      <w:r w:rsidR="001037BF">
        <w:t xml:space="preserve">the </w:t>
      </w:r>
      <w:r w:rsidR="00742C8A">
        <w:t xml:space="preserve">understanding of </w:t>
      </w:r>
      <w:r w:rsidR="001E740B">
        <w:t xml:space="preserve">when </w:t>
      </w:r>
      <w:r w:rsidR="0070436B">
        <w:t>other measures for waste storage</w:t>
      </w:r>
      <w:r w:rsidR="001E740B">
        <w:t xml:space="preserve"> must be implemented</w:t>
      </w:r>
      <w:r w:rsidR="00C339F0">
        <w:t xml:space="preserve"> or </w:t>
      </w:r>
      <w:r w:rsidR="004E50F4">
        <w:t xml:space="preserve">the generation of </w:t>
      </w:r>
      <w:r w:rsidR="00C339F0">
        <w:t xml:space="preserve">waste </w:t>
      </w:r>
      <w:r w:rsidR="004E50F4">
        <w:t>must cease</w:t>
      </w:r>
      <w:r w:rsidR="00C339F0">
        <w:t xml:space="preserve">. </w:t>
      </w:r>
      <w:r w:rsidR="0070436B">
        <w:t xml:space="preserve"> </w:t>
      </w:r>
      <w:r w:rsidR="00551B4B">
        <w:t xml:space="preserve"> </w:t>
      </w:r>
    </w:p>
    <w:p w14:paraId="54FBAC14" w14:textId="094C3CA5" w:rsidR="00B77A2D" w:rsidRDefault="00334EA0" w:rsidP="00CA667B">
      <w:pPr>
        <w:spacing w:before="120" w:line="264" w:lineRule="auto"/>
      </w:pPr>
      <w:r>
        <w:t>S</w:t>
      </w:r>
      <w:r w:rsidR="00074583">
        <w:t xml:space="preserve">uccessive </w:t>
      </w:r>
      <w:r>
        <w:t xml:space="preserve">licensing </w:t>
      </w:r>
      <w:r w:rsidR="00074583">
        <w:t xml:space="preserve">decisions </w:t>
      </w:r>
      <w:r w:rsidR="004E50F4">
        <w:t xml:space="preserve">have </w:t>
      </w:r>
      <w:r w:rsidR="00175D0D">
        <w:t>emphasised the need for careful</w:t>
      </w:r>
      <w:r w:rsidR="0052621A">
        <w:t xml:space="preserve"> </w:t>
      </w:r>
      <w:r w:rsidR="00F9473D">
        <w:t xml:space="preserve">planning </w:t>
      </w:r>
      <w:r w:rsidR="00175D0D">
        <w:t>of</w:t>
      </w:r>
      <w:r w:rsidR="00F9473D">
        <w:t xml:space="preserve"> </w:t>
      </w:r>
      <w:r w:rsidR="00B017F0">
        <w:t xml:space="preserve">waste management at the </w:t>
      </w:r>
      <w:r w:rsidR="0035212C">
        <w:t>Lucas Heights</w:t>
      </w:r>
      <w:r w:rsidR="00B017F0">
        <w:t xml:space="preserve"> site </w:t>
      </w:r>
      <w:r w:rsidR="0052621A">
        <w:t>and for contingenc</w:t>
      </w:r>
      <w:r w:rsidR="008A023B">
        <w:t xml:space="preserve">y planning. </w:t>
      </w:r>
      <w:r w:rsidR="00682B5D">
        <w:t>ANST</w:t>
      </w:r>
      <w:r w:rsidR="00DB4941">
        <w:t>O is developing i</w:t>
      </w:r>
      <w:r w:rsidR="0079767C">
        <w:t>t</w:t>
      </w:r>
      <w:r w:rsidR="00DB4941">
        <w:t>s Waste Management Strat</w:t>
      </w:r>
      <w:r w:rsidR="009B184F">
        <w:t>eg</w:t>
      </w:r>
      <w:r w:rsidR="00DB4941">
        <w:t>y and a</w:t>
      </w:r>
      <w:r w:rsidR="00175D0D">
        <w:t>n in</w:t>
      </w:r>
      <w:r w:rsidR="00C57517">
        <w:t>i</w:t>
      </w:r>
      <w:r w:rsidR="00175D0D">
        <w:t>tial</w:t>
      </w:r>
      <w:r w:rsidR="00DB4941">
        <w:t xml:space="preserve"> draft has been made available </w:t>
      </w:r>
      <w:r w:rsidR="009B184F">
        <w:t>to</w:t>
      </w:r>
      <w:r w:rsidR="00DB4941">
        <w:t xml:space="preserve"> ARPANSA.</w:t>
      </w:r>
      <w:r w:rsidR="0079767C">
        <w:t xml:space="preserve"> The ILWCI Facility is a</w:t>
      </w:r>
      <w:r w:rsidR="00905BB1">
        <w:t>n</w:t>
      </w:r>
      <w:r w:rsidR="0079767C">
        <w:t xml:space="preserve"> </w:t>
      </w:r>
      <w:r w:rsidR="00905BB1">
        <w:t>element</w:t>
      </w:r>
      <w:r w:rsidR="0079767C">
        <w:t xml:space="preserve"> of this strategy</w:t>
      </w:r>
      <w:r w:rsidR="00B30845">
        <w:t xml:space="preserve"> </w:t>
      </w:r>
      <w:r w:rsidR="00532FFF">
        <w:t>and</w:t>
      </w:r>
      <w:r w:rsidR="004E547E">
        <w:t xml:space="preserve"> </w:t>
      </w:r>
      <w:r w:rsidR="00B30845">
        <w:t>offers an opportunity</w:t>
      </w:r>
      <w:r w:rsidR="004E547E">
        <w:t xml:space="preserve"> </w:t>
      </w:r>
      <w:r w:rsidR="00B30845">
        <w:t xml:space="preserve">to </w:t>
      </w:r>
      <w:r w:rsidR="00C57517">
        <w:t xml:space="preserve">extend </w:t>
      </w:r>
      <w:r w:rsidR="00DA16D5">
        <w:t>s</w:t>
      </w:r>
      <w:r w:rsidR="00C57517">
        <w:t>afe management</w:t>
      </w:r>
      <w:r w:rsidR="00B30845">
        <w:t xml:space="preserve"> </w:t>
      </w:r>
      <w:r w:rsidR="00B01354">
        <w:t xml:space="preserve">of </w:t>
      </w:r>
      <w:r w:rsidR="00B30845">
        <w:t>the waste stream</w:t>
      </w:r>
      <w:r w:rsidR="007A53AC">
        <w:t>s associated with the operation of the ANM Facility</w:t>
      </w:r>
      <w:r w:rsidR="004E547E">
        <w:t xml:space="preserve"> </w:t>
      </w:r>
      <w:r w:rsidR="00AD7668">
        <w:t>15 years</w:t>
      </w:r>
      <w:r w:rsidR="00730572">
        <w:t xml:space="preserve"> into the future</w:t>
      </w:r>
      <w:r w:rsidR="00AD7668">
        <w:t xml:space="preserve"> </w:t>
      </w:r>
      <w:r w:rsidR="004A4F04">
        <w:t>and possibly beyond</w:t>
      </w:r>
      <w:r w:rsidR="007722BF">
        <w:rPr>
          <w:rStyle w:val="FootnoteReference"/>
        </w:rPr>
        <w:footnoteReference w:id="32"/>
      </w:r>
      <w:r w:rsidR="004A4F04">
        <w:t xml:space="preserve">. </w:t>
      </w:r>
      <w:r w:rsidR="00B63D23">
        <w:t xml:space="preserve">It is desirable that the </w:t>
      </w:r>
      <w:r w:rsidR="00385D11">
        <w:t xml:space="preserve">Waste Management Strategy separates the individual </w:t>
      </w:r>
      <w:r w:rsidR="002829A6">
        <w:t xml:space="preserve">ILW streams </w:t>
      </w:r>
      <w:r w:rsidR="00647847">
        <w:t>and that</w:t>
      </w:r>
      <w:r w:rsidR="002829A6">
        <w:t xml:space="preserve"> the planning </w:t>
      </w:r>
      <w:r w:rsidR="000B6DB3">
        <w:t xml:space="preserve">considers </w:t>
      </w:r>
      <w:r w:rsidR="00385D11">
        <w:t>predisposal management</w:t>
      </w:r>
      <w:r w:rsidR="00277370">
        <w:t xml:space="preserve"> and </w:t>
      </w:r>
      <w:r w:rsidR="00C339F0">
        <w:t>disposal</w:t>
      </w:r>
      <w:r w:rsidR="00D9298D">
        <w:t xml:space="preserve"> </w:t>
      </w:r>
      <w:r w:rsidR="00D11C91">
        <w:t xml:space="preserve">for </w:t>
      </w:r>
      <w:r w:rsidR="00824301">
        <w:t>those waste streams</w:t>
      </w:r>
      <w:r w:rsidR="00730572">
        <w:t xml:space="preserve"> separately</w:t>
      </w:r>
      <w:r w:rsidR="00D9298D">
        <w:t xml:space="preserve"> including contingencies</w:t>
      </w:r>
      <w:r w:rsidR="00824301">
        <w:t xml:space="preserve"> should there be delays</w:t>
      </w:r>
      <w:r w:rsidR="00800E44">
        <w:t xml:space="preserve"> or changes to </w:t>
      </w:r>
      <w:r w:rsidR="00730572">
        <w:t>ANSTO’s</w:t>
      </w:r>
      <w:r w:rsidR="00800E44">
        <w:t xml:space="preserve"> preferred option</w:t>
      </w:r>
      <w:r w:rsidR="00046256">
        <w:t>(s)</w:t>
      </w:r>
      <w:r w:rsidR="00800E44">
        <w:t xml:space="preserve"> for final management of the </w:t>
      </w:r>
      <w:r w:rsidR="008D6DB6">
        <w:t xml:space="preserve">different </w:t>
      </w:r>
      <w:r w:rsidR="00800E44">
        <w:t>ILW</w:t>
      </w:r>
      <w:r w:rsidR="00D9298D">
        <w:t xml:space="preserve"> streams</w:t>
      </w:r>
      <w:r w:rsidR="00800E44">
        <w:t xml:space="preserve">.  </w:t>
      </w:r>
    </w:p>
    <w:p w14:paraId="7B627375" w14:textId="22F7DC7E" w:rsidR="009C039D" w:rsidRDefault="00530FF2" w:rsidP="00386FA0">
      <w:pPr>
        <w:pStyle w:val="Heading3"/>
        <w:numPr>
          <w:ilvl w:val="2"/>
          <w:numId w:val="3"/>
        </w:numPr>
        <w:spacing w:before="240" w:after="120"/>
        <w:ind w:left="1077"/>
      </w:pPr>
      <w:bookmarkStart w:id="37" w:name="_Toc418680030"/>
      <w:bookmarkStart w:id="38" w:name="_Toc96958674"/>
      <w:r>
        <w:t>C</w:t>
      </w:r>
      <w:r w:rsidR="009C039D">
        <w:t>onclusion</w:t>
      </w:r>
      <w:bookmarkEnd w:id="37"/>
      <w:r>
        <w:t>s</w:t>
      </w:r>
      <w:bookmarkEnd w:id="38"/>
    </w:p>
    <w:tbl>
      <w:tblPr>
        <w:tblStyle w:val="TableGrid"/>
        <w:tblW w:w="0" w:type="auto"/>
        <w:tblLook w:val="04A0" w:firstRow="1" w:lastRow="0" w:firstColumn="1" w:lastColumn="0" w:noHBand="0" w:noVBand="1"/>
      </w:tblPr>
      <w:tblGrid>
        <w:gridCol w:w="9628"/>
      </w:tblGrid>
      <w:tr w:rsidR="00D5680F" w:rsidRPr="00DA0F63" w14:paraId="3DC785D0" w14:textId="77777777" w:rsidTr="00DA0F63">
        <w:tc>
          <w:tcPr>
            <w:tcW w:w="9628" w:type="dxa"/>
            <w:shd w:val="clear" w:color="auto" w:fill="3D145C" w:themeFill="accent1" w:themeFillShade="40"/>
          </w:tcPr>
          <w:p w14:paraId="6A04308D" w14:textId="5E27942B" w:rsidR="00D5680F" w:rsidRPr="00DA0F63" w:rsidRDefault="00490510" w:rsidP="00DA0F63">
            <w:pPr>
              <w:spacing w:line="264" w:lineRule="auto"/>
              <w:rPr>
                <w:b/>
                <w:bCs/>
                <w:color w:val="FFFFFF" w:themeColor="background1"/>
              </w:rPr>
            </w:pPr>
            <w:r>
              <w:rPr>
                <w:b/>
                <w:bCs/>
                <w:color w:val="FFFFFF" w:themeColor="background1"/>
              </w:rPr>
              <w:t>Has</w:t>
            </w:r>
            <w:r w:rsidR="00D5680F" w:rsidRPr="00DA0F63">
              <w:rPr>
                <w:b/>
                <w:bCs/>
                <w:color w:val="FFFFFF" w:themeColor="background1"/>
              </w:rPr>
              <w:t xml:space="preserve"> </w:t>
            </w:r>
            <w:r w:rsidR="00DA0F63" w:rsidRPr="00DA0F63">
              <w:rPr>
                <w:b/>
                <w:bCs/>
                <w:color w:val="FFFFFF" w:themeColor="background1"/>
              </w:rPr>
              <w:t xml:space="preserve">applicant shown that there is a net benefit from carrying out the proposed </w:t>
            </w:r>
            <w:proofErr w:type="gramStart"/>
            <w:r w:rsidR="00DA0F63" w:rsidRPr="00DA0F63">
              <w:rPr>
                <w:b/>
                <w:bCs/>
                <w:color w:val="FFFFFF" w:themeColor="background1"/>
              </w:rPr>
              <w:t>conduct</w:t>
            </w:r>
            <w:r w:rsidR="000373DF">
              <w:rPr>
                <w:b/>
                <w:bCs/>
                <w:color w:val="FFFFFF" w:themeColor="background1"/>
              </w:rPr>
              <w:t>:</w:t>
            </w:r>
            <w:proofErr w:type="gramEnd"/>
          </w:p>
        </w:tc>
      </w:tr>
      <w:tr w:rsidR="00D5680F" w14:paraId="0A941768" w14:textId="77777777" w:rsidTr="00DA0F63">
        <w:tc>
          <w:tcPr>
            <w:tcW w:w="9628" w:type="dxa"/>
            <w:shd w:val="clear" w:color="auto" w:fill="E3CCF4" w:themeFill="accent1"/>
          </w:tcPr>
          <w:p w14:paraId="2A654851" w14:textId="6390A5E3" w:rsidR="00D5680F" w:rsidRDefault="000673DD" w:rsidP="00DA0F63">
            <w:pPr>
              <w:spacing w:before="120" w:after="120"/>
            </w:pPr>
            <w:r>
              <w:t xml:space="preserve">The benefit of the ILWCI Facility </w:t>
            </w:r>
            <w:r w:rsidR="002B69BC">
              <w:t>is based on</w:t>
            </w:r>
            <w:r>
              <w:t xml:space="preserve"> </w:t>
            </w:r>
            <w:r w:rsidR="005C5562">
              <w:t>the production of nuclear medicine</w:t>
            </w:r>
            <w:r w:rsidR="0035212C">
              <w:t xml:space="preserve">. </w:t>
            </w:r>
            <w:r w:rsidR="006F1612">
              <w:t>The ILW</w:t>
            </w:r>
            <w:r w:rsidR="00B40287">
              <w:t xml:space="preserve">CI Facility </w:t>
            </w:r>
            <w:r w:rsidR="009726A3">
              <w:t xml:space="preserve">could </w:t>
            </w:r>
            <w:r w:rsidR="00B40287">
              <w:t>extend th</w:t>
            </w:r>
            <w:r w:rsidR="002427E6">
              <w:t>e</w:t>
            </w:r>
            <w:r w:rsidR="00B40287">
              <w:t xml:space="preserve"> </w:t>
            </w:r>
            <w:r w:rsidR="009726A3">
              <w:t>ability</w:t>
            </w:r>
            <w:r w:rsidR="00B40287">
              <w:t xml:space="preserve"> to safely manage ILW resulting from </w:t>
            </w:r>
            <w:r w:rsidR="002427E6">
              <w:t>nuclear medicine production to 2037</w:t>
            </w:r>
            <w:r w:rsidR="007F406B">
              <w:t xml:space="preserve"> assuming no major changes to the projected production rates</w:t>
            </w:r>
            <w:r w:rsidR="005B5753">
              <w:t xml:space="preserve"> over the next </w:t>
            </w:r>
            <w:r w:rsidR="001D3332">
              <w:t>15 years</w:t>
            </w:r>
            <w:r w:rsidR="005B5753">
              <w:t xml:space="preserve">. </w:t>
            </w:r>
            <w:r w:rsidR="00953628">
              <w:t xml:space="preserve">I consider </w:t>
            </w:r>
            <w:r w:rsidR="001B7637">
              <w:t>that the</w:t>
            </w:r>
            <w:r w:rsidR="00953628">
              <w:t xml:space="preserve"> ILWCI Facility has a </w:t>
            </w:r>
            <w:r w:rsidR="00217E2F">
              <w:t>role in securing the domestic availability of nuclear medicine</w:t>
            </w:r>
            <w:r w:rsidR="00803DC7">
              <w:t xml:space="preserve">. While this is a contingency </w:t>
            </w:r>
            <w:r w:rsidR="001E4D74">
              <w:t>brought about by the current lack of a disposal solution for ILW</w:t>
            </w:r>
            <w:r w:rsidR="006E43C7">
              <w:t xml:space="preserve"> </w:t>
            </w:r>
            <w:r w:rsidR="00615175">
              <w:t>leading to prolonged storage</w:t>
            </w:r>
            <w:r w:rsidR="00C24839">
              <w:t>,</w:t>
            </w:r>
            <w:r w:rsidR="00615175">
              <w:t xml:space="preserve"> either </w:t>
            </w:r>
            <w:r w:rsidR="00C24839">
              <w:t>at</w:t>
            </w:r>
            <w:r w:rsidR="00615175">
              <w:t xml:space="preserve"> the ILWCI </w:t>
            </w:r>
            <w:r w:rsidR="00C24839">
              <w:t xml:space="preserve">Facility </w:t>
            </w:r>
            <w:r w:rsidR="00615175">
              <w:t xml:space="preserve">or elsewhere, I continue to consider the risks </w:t>
            </w:r>
            <w:r w:rsidR="00E459DD">
              <w:t xml:space="preserve">associated with prolonged storage </w:t>
            </w:r>
            <w:r w:rsidR="00C84CF8">
              <w:t xml:space="preserve">at the Lucas Heights site </w:t>
            </w:r>
            <w:r w:rsidR="00E459DD">
              <w:t>manageable</w:t>
            </w:r>
            <w:r w:rsidR="000B4769">
              <w:t xml:space="preserve"> based on information available to date. </w:t>
            </w:r>
          </w:p>
        </w:tc>
      </w:tr>
    </w:tbl>
    <w:p w14:paraId="651D706E" w14:textId="356F105E" w:rsidR="00D5680F" w:rsidRDefault="00D5680F" w:rsidP="0037120B">
      <w:pPr>
        <w:spacing w:before="120"/>
      </w:pPr>
    </w:p>
    <w:p w14:paraId="588EB0EA" w14:textId="046A9608" w:rsidR="009C039D" w:rsidRPr="00571A58" w:rsidRDefault="00724DF9" w:rsidP="001B2873">
      <w:pPr>
        <w:pStyle w:val="Heading2"/>
        <w:numPr>
          <w:ilvl w:val="1"/>
          <w:numId w:val="3"/>
        </w:numPr>
        <w:tabs>
          <w:tab w:val="left" w:pos="993"/>
        </w:tabs>
        <w:spacing w:before="240"/>
        <w:ind w:left="981" w:hanging="624"/>
      </w:pPr>
      <w:bookmarkStart w:id="39" w:name="_Toc365889225"/>
      <w:bookmarkStart w:id="40" w:name="_Toc418680031"/>
      <w:bookmarkStart w:id="41" w:name="_Toc96958675"/>
      <w:r>
        <w:t xml:space="preserve">Has </w:t>
      </w:r>
      <w:bookmarkEnd w:id="39"/>
      <w:bookmarkEnd w:id="40"/>
      <w:r w:rsidRPr="006245E9">
        <w:t>the applicant shown that the magnitude of individual doses, the number of people exposed and the likelihood that exposure will happen are as low as reasonably achievable, having regard to economic and societal factors</w:t>
      </w:r>
      <w:r>
        <w:t>?</w:t>
      </w:r>
      <w:bookmarkEnd w:id="41"/>
    </w:p>
    <w:p w14:paraId="2005638C" w14:textId="77777777" w:rsidR="0074670C" w:rsidRDefault="0074670C" w:rsidP="001B2873">
      <w:pPr>
        <w:pStyle w:val="Heading3"/>
        <w:numPr>
          <w:ilvl w:val="2"/>
          <w:numId w:val="3"/>
        </w:numPr>
        <w:spacing w:before="120" w:after="60"/>
        <w:ind w:left="1077"/>
      </w:pPr>
      <w:bookmarkStart w:id="42" w:name="_Toc96958676"/>
      <w:r>
        <w:t>Considerations</w:t>
      </w:r>
      <w:bookmarkEnd w:id="42"/>
    </w:p>
    <w:p w14:paraId="32EF77B0" w14:textId="1823B491" w:rsidR="00A51709" w:rsidRDefault="00C93D13" w:rsidP="00724DF9">
      <w:pPr>
        <w:spacing w:before="120" w:line="264" w:lineRule="auto"/>
      </w:pPr>
      <w:r>
        <w:t>Once a</w:t>
      </w:r>
      <w:r w:rsidR="00DC05E1">
        <w:t>n</w:t>
      </w:r>
      <w:r w:rsidR="002946FD">
        <w:t xml:space="preserve"> </w:t>
      </w:r>
      <w:r w:rsidR="00C13D30">
        <w:t>activity</w:t>
      </w:r>
      <w:r w:rsidR="00303A1B">
        <w:t xml:space="preserve"> is deemed</w:t>
      </w:r>
      <w:r w:rsidR="0069138E">
        <w:t xml:space="preserve"> justified</w:t>
      </w:r>
      <w:r w:rsidR="00303A1B">
        <w:t xml:space="preserve">, </w:t>
      </w:r>
      <w:r w:rsidR="00A8348C">
        <w:t xml:space="preserve">dose limits apply, and protection must be optimised. </w:t>
      </w:r>
      <w:r w:rsidR="00FA7BE7">
        <w:t>O</w:t>
      </w:r>
      <w:r w:rsidR="009C039D" w:rsidRPr="00724DF9">
        <w:t>ptimisation means</w:t>
      </w:r>
      <w:r w:rsidR="008772D2">
        <w:t xml:space="preserve">, in essence, </w:t>
      </w:r>
      <w:r w:rsidR="009C039D" w:rsidRPr="00724DF9">
        <w:t xml:space="preserve">that all reasonable (from </w:t>
      </w:r>
      <w:r w:rsidR="008772D2">
        <w:t xml:space="preserve">the </w:t>
      </w:r>
      <w:r w:rsidR="009C039D" w:rsidRPr="00724DF9">
        <w:t xml:space="preserve">cost and societal perspectives) </w:t>
      </w:r>
      <w:r w:rsidR="00441B77" w:rsidRPr="00724DF9">
        <w:t>effort</w:t>
      </w:r>
      <w:r w:rsidR="008772D2">
        <w:t>s</w:t>
      </w:r>
      <w:r w:rsidR="00441B77" w:rsidRPr="00724DF9">
        <w:t xml:space="preserve"> </w:t>
      </w:r>
      <w:r w:rsidR="009C039D" w:rsidRPr="00724DF9">
        <w:t xml:space="preserve">should be made to reduce </w:t>
      </w:r>
      <w:r w:rsidR="00441B77">
        <w:t>exposures</w:t>
      </w:r>
      <w:r w:rsidR="009C039D" w:rsidRPr="00724DF9">
        <w:t>, the number of people exposed and the likelihood of exposure</w:t>
      </w:r>
      <w:r w:rsidR="008772D2">
        <w:t xml:space="preserve">. </w:t>
      </w:r>
      <w:r w:rsidR="00FA7BE7" w:rsidRPr="00724DF9">
        <w:t>To</w:t>
      </w:r>
      <w:r w:rsidR="009C039D" w:rsidRPr="00724DF9">
        <w:t xml:space="preserve"> </w:t>
      </w:r>
      <w:r w:rsidR="002678FE">
        <w:t xml:space="preserve">prevent significant </w:t>
      </w:r>
      <w:r w:rsidR="00301C0B">
        <w:t>exposures of</w:t>
      </w:r>
      <w:r w:rsidR="00B32125">
        <w:t xml:space="preserve"> individuals, </w:t>
      </w:r>
      <w:r w:rsidR="009C039D" w:rsidRPr="00724DF9">
        <w:t>dose constraint</w:t>
      </w:r>
      <w:r w:rsidR="00A342D3">
        <w:t>s should be</w:t>
      </w:r>
      <w:r w:rsidR="009C039D" w:rsidRPr="00724DF9">
        <w:t xml:space="preserve"> </w:t>
      </w:r>
      <w:r w:rsidR="00A342D3">
        <w:t xml:space="preserve">established </w:t>
      </w:r>
      <w:r w:rsidR="0069138E">
        <w:t>below the dose limit</w:t>
      </w:r>
      <w:r w:rsidR="00486F8A" w:rsidRPr="00486F8A">
        <w:t xml:space="preserve"> </w:t>
      </w:r>
      <w:r w:rsidR="00486F8A" w:rsidRPr="00724DF9">
        <w:t>by an appropriate margin</w:t>
      </w:r>
      <w:r w:rsidR="0068242E">
        <w:t>.</w:t>
      </w:r>
      <w:r w:rsidR="009C039D" w:rsidRPr="00724DF9">
        <w:t xml:space="preserve"> </w:t>
      </w:r>
      <w:r w:rsidR="0068242E">
        <w:t>I</w:t>
      </w:r>
      <w:r w:rsidR="009C039D" w:rsidRPr="00724DF9">
        <w:t xml:space="preserve">t would be considered unacceptable to plan a conduct so that the constraint is exceeded. </w:t>
      </w:r>
      <w:r w:rsidR="00EC6778">
        <w:t xml:space="preserve">This is </w:t>
      </w:r>
      <w:r w:rsidR="00586AC3">
        <w:t>captured</w:t>
      </w:r>
      <w:r w:rsidR="005A5336">
        <w:t xml:space="preserve"> in the Radiation Protection Plan </w:t>
      </w:r>
      <w:r w:rsidR="00586AC3">
        <w:t xml:space="preserve">and in </w:t>
      </w:r>
      <w:r w:rsidR="005A5336">
        <w:t xml:space="preserve">ANSTO’s </w:t>
      </w:r>
      <w:r w:rsidR="009C4D5D">
        <w:t>Radiation Safety Standard</w:t>
      </w:r>
      <w:r w:rsidR="000F6518">
        <w:t xml:space="preserve">, </w:t>
      </w:r>
      <w:r w:rsidR="00EC6778">
        <w:t xml:space="preserve">the latter stating </w:t>
      </w:r>
      <w:proofErr w:type="gramStart"/>
      <w:r w:rsidR="000F6518">
        <w:t>with regard to</w:t>
      </w:r>
      <w:proofErr w:type="gramEnd"/>
      <w:r w:rsidR="000F6518">
        <w:t xml:space="preserve"> optimisation:</w:t>
      </w:r>
    </w:p>
    <w:p w14:paraId="0CDD9370" w14:textId="77777777" w:rsidR="000F6518" w:rsidRDefault="000F6518" w:rsidP="00DA213B">
      <w:pPr>
        <w:autoSpaceDE w:val="0"/>
        <w:autoSpaceDN w:val="0"/>
        <w:adjustRightInd w:val="0"/>
        <w:spacing w:before="0"/>
        <w:rPr>
          <w:rFonts w:ascii="Tahoma" w:hAnsi="Tahoma" w:cs="Tahoma"/>
          <w:color w:val="000000"/>
          <w:sz w:val="20"/>
          <w:szCs w:val="20"/>
        </w:rPr>
      </w:pPr>
    </w:p>
    <w:p w14:paraId="201400B7" w14:textId="2ABCD142" w:rsidR="00DA213B" w:rsidRPr="009E6608" w:rsidRDefault="00DA213B" w:rsidP="009E6608">
      <w:pPr>
        <w:spacing w:line="264" w:lineRule="auto"/>
        <w:ind w:left="360"/>
        <w:rPr>
          <w:i/>
          <w:iCs/>
        </w:rPr>
      </w:pPr>
      <w:r w:rsidRPr="009E6608">
        <w:rPr>
          <w:i/>
          <w:iCs/>
        </w:rPr>
        <w:t>Optimisation of protection at ANSTO is always aimed at achieving the best level of protection under the</w:t>
      </w:r>
      <w:r w:rsidR="00586AC3" w:rsidRPr="009E6608">
        <w:rPr>
          <w:i/>
          <w:iCs/>
        </w:rPr>
        <w:t xml:space="preserve"> p</w:t>
      </w:r>
      <w:r w:rsidRPr="009E6608">
        <w:rPr>
          <w:i/>
          <w:iCs/>
        </w:rPr>
        <w:t>revailing circumstances through an ongoing, iterative process that involves:</w:t>
      </w:r>
    </w:p>
    <w:p w14:paraId="3A6C2979" w14:textId="250AE29B" w:rsidR="00DA213B" w:rsidRPr="009E6608" w:rsidRDefault="00DA213B" w:rsidP="001B2873">
      <w:pPr>
        <w:pStyle w:val="ListParagraph"/>
        <w:numPr>
          <w:ilvl w:val="0"/>
          <w:numId w:val="9"/>
        </w:numPr>
        <w:spacing w:line="264" w:lineRule="auto"/>
        <w:ind w:left="1080"/>
        <w:rPr>
          <w:i/>
          <w:iCs/>
        </w:rPr>
      </w:pPr>
      <w:r w:rsidRPr="009E6608">
        <w:rPr>
          <w:i/>
          <w:iCs/>
        </w:rPr>
        <w:t>evaluation of the exposure situation, including any potential exposures (the framing of the process)</w:t>
      </w:r>
    </w:p>
    <w:p w14:paraId="627FDB40" w14:textId="2DA42289" w:rsidR="00DA213B" w:rsidRPr="009E6608" w:rsidRDefault="00DA213B" w:rsidP="001B2873">
      <w:pPr>
        <w:pStyle w:val="ListParagraph"/>
        <w:numPr>
          <w:ilvl w:val="0"/>
          <w:numId w:val="9"/>
        </w:numPr>
        <w:spacing w:line="264" w:lineRule="auto"/>
        <w:ind w:left="1080"/>
        <w:rPr>
          <w:i/>
          <w:iCs/>
        </w:rPr>
      </w:pPr>
      <w:r w:rsidRPr="009E6608">
        <w:rPr>
          <w:i/>
          <w:iCs/>
        </w:rPr>
        <w:t>selection of an appropriate value for the constraint or reference level</w:t>
      </w:r>
    </w:p>
    <w:p w14:paraId="5E0B0D5A" w14:textId="0CCDAD87" w:rsidR="00DA213B" w:rsidRPr="009E6608" w:rsidRDefault="00DA213B" w:rsidP="001B2873">
      <w:pPr>
        <w:pStyle w:val="ListParagraph"/>
        <w:numPr>
          <w:ilvl w:val="0"/>
          <w:numId w:val="9"/>
        </w:numPr>
        <w:spacing w:line="264" w:lineRule="auto"/>
        <w:ind w:left="1080"/>
        <w:rPr>
          <w:i/>
          <w:iCs/>
        </w:rPr>
      </w:pPr>
      <w:r w:rsidRPr="009E6608">
        <w:rPr>
          <w:i/>
          <w:iCs/>
        </w:rPr>
        <w:t>identification of the possible protection options</w:t>
      </w:r>
    </w:p>
    <w:p w14:paraId="76F230BC" w14:textId="0D1A7428" w:rsidR="00DA213B" w:rsidRPr="009E6608" w:rsidRDefault="00DA213B" w:rsidP="001B2873">
      <w:pPr>
        <w:pStyle w:val="ListParagraph"/>
        <w:numPr>
          <w:ilvl w:val="0"/>
          <w:numId w:val="9"/>
        </w:numPr>
        <w:spacing w:line="264" w:lineRule="auto"/>
        <w:ind w:left="1080"/>
        <w:rPr>
          <w:i/>
          <w:iCs/>
        </w:rPr>
      </w:pPr>
      <w:r w:rsidRPr="009E6608">
        <w:rPr>
          <w:i/>
          <w:iCs/>
        </w:rPr>
        <w:t>selection of the best option under the prevailing circumstances</w:t>
      </w:r>
      <w:r w:rsidR="00092A90">
        <w:rPr>
          <w:i/>
          <w:iCs/>
        </w:rPr>
        <w:t>,</w:t>
      </w:r>
      <w:r w:rsidRPr="009E6608">
        <w:rPr>
          <w:i/>
          <w:iCs/>
        </w:rPr>
        <w:t xml:space="preserve"> and</w:t>
      </w:r>
    </w:p>
    <w:p w14:paraId="610E718E" w14:textId="68CEB905" w:rsidR="00DA213B" w:rsidRPr="009E6608" w:rsidRDefault="00DA213B" w:rsidP="001B2873">
      <w:pPr>
        <w:pStyle w:val="ListParagraph"/>
        <w:numPr>
          <w:ilvl w:val="0"/>
          <w:numId w:val="9"/>
        </w:numPr>
        <w:spacing w:line="264" w:lineRule="auto"/>
        <w:ind w:left="1080"/>
        <w:rPr>
          <w:i/>
          <w:iCs/>
        </w:rPr>
      </w:pPr>
      <w:r w:rsidRPr="009E6608">
        <w:rPr>
          <w:i/>
          <w:iCs/>
        </w:rPr>
        <w:t>implementation of the selected option.</w:t>
      </w:r>
    </w:p>
    <w:p w14:paraId="21FE77AB" w14:textId="61DB784B" w:rsidR="00CB291A" w:rsidRDefault="009E6608" w:rsidP="00724DF9">
      <w:pPr>
        <w:spacing w:before="120" w:line="264" w:lineRule="auto"/>
      </w:pPr>
      <w:r>
        <w:t>This</w:t>
      </w:r>
      <w:r w:rsidR="006C04D6">
        <w:t xml:space="preserve"> resonate</w:t>
      </w:r>
      <w:r>
        <w:t>s</w:t>
      </w:r>
      <w:r w:rsidR="006C04D6">
        <w:t xml:space="preserve"> with the</w:t>
      </w:r>
      <w:r w:rsidR="006C04D6" w:rsidDel="00CE3EBB">
        <w:t xml:space="preserve"> </w:t>
      </w:r>
      <w:r w:rsidR="00CE3EBB">
        <w:t xml:space="preserve">recommendations </w:t>
      </w:r>
      <w:r w:rsidR="006C04D6">
        <w:t xml:space="preserve">of the </w:t>
      </w:r>
      <w:r w:rsidR="002C7A66">
        <w:t>International Commission on Radiological Protection</w:t>
      </w:r>
      <w:r w:rsidR="000D703D">
        <w:rPr>
          <w:rStyle w:val="FootnoteReference"/>
        </w:rPr>
        <w:footnoteReference w:id="33"/>
      </w:r>
      <w:r w:rsidR="00716601">
        <w:t xml:space="preserve"> </w:t>
      </w:r>
      <w:r w:rsidR="002C73EA">
        <w:t>and the International Basic Safety Standards</w:t>
      </w:r>
      <w:r w:rsidR="00EC1293">
        <w:rPr>
          <w:rStyle w:val="FootnoteReference"/>
        </w:rPr>
        <w:footnoteReference w:id="34"/>
      </w:r>
      <w:r w:rsidR="002C73EA">
        <w:t xml:space="preserve"> (BSS</w:t>
      </w:r>
      <w:r w:rsidR="009A10B8">
        <w:t>) and</w:t>
      </w:r>
      <w:r w:rsidR="00716601">
        <w:t xml:space="preserve"> should be considered in the design of a facility </w:t>
      </w:r>
      <w:r w:rsidR="002A2932">
        <w:t>(safety by design)</w:t>
      </w:r>
      <w:r w:rsidR="000D703D">
        <w:t xml:space="preserve"> and in planning for its subsequent operations</w:t>
      </w:r>
      <w:r w:rsidR="001E3259">
        <w:t xml:space="preserve">. </w:t>
      </w:r>
      <w:r w:rsidR="0055323A">
        <w:t xml:space="preserve">ANSTO’s </w:t>
      </w:r>
      <w:r w:rsidR="00D84ECA">
        <w:t xml:space="preserve">Radiation </w:t>
      </w:r>
      <w:r w:rsidR="00B67C99">
        <w:t>S</w:t>
      </w:r>
      <w:r w:rsidR="00D84ECA">
        <w:t xml:space="preserve">afety Standard does not </w:t>
      </w:r>
      <w:r w:rsidR="00BF2E85">
        <w:t>explicitly</w:t>
      </w:r>
      <w:r w:rsidR="00D84ECA">
        <w:t xml:space="preserve"> address optimisation against a risk constraint</w:t>
      </w:r>
      <w:r w:rsidR="00BF2E85">
        <w:t xml:space="preserve">. </w:t>
      </w:r>
      <w:r w:rsidR="005A7A9A">
        <w:t xml:space="preserve">I recommend ANSTO consider adopting the risk constraint </w:t>
      </w:r>
      <w:r w:rsidR="00290334">
        <w:t>concept in the risk assessment</w:t>
      </w:r>
      <w:r w:rsidR="00B4512F">
        <w:t xml:space="preserve"> methodology</w:t>
      </w:r>
      <w:r w:rsidR="00290334">
        <w:t xml:space="preserve">, including </w:t>
      </w:r>
      <w:r w:rsidR="00F53AF8">
        <w:t>incorporating the actual risk of harm in the impact analysis</w:t>
      </w:r>
      <w:r w:rsidR="00F06B08">
        <w:t xml:space="preserve"> for the higher exposures</w:t>
      </w:r>
      <w:r w:rsidR="00F53AF8">
        <w:t>, using appropriate dose coefficients</w:t>
      </w:r>
      <w:r w:rsidR="00F06B08">
        <w:t xml:space="preserve"> and </w:t>
      </w:r>
      <w:r w:rsidR="00B9359B">
        <w:t>exercising</w:t>
      </w:r>
      <w:r w:rsidR="00F06B08">
        <w:t xml:space="preserve"> some caution </w:t>
      </w:r>
      <w:proofErr w:type="gramStart"/>
      <w:r w:rsidR="00681AB3">
        <w:t>with regard</w:t>
      </w:r>
      <w:r w:rsidR="00626093">
        <w:t xml:space="preserve"> to</w:t>
      </w:r>
      <w:proofErr w:type="gramEnd"/>
      <w:r w:rsidR="00626093">
        <w:t xml:space="preserve"> </w:t>
      </w:r>
      <w:r w:rsidR="00681AB3">
        <w:t xml:space="preserve">possible </w:t>
      </w:r>
      <w:r w:rsidR="00626093">
        <w:t>overinterpretation of numerical values for health risks (actual or inferred).</w:t>
      </w:r>
      <w:r w:rsidR="00726C61">
        <w:t xml:space="preserve"> </w:t>
      </w:r>
    </w:p>
    <w:p w14:paraId="69EC60B5" w14:textId="2242F419" w:rsidR="00F104E1" w:rsidRDefault="0016055F" w:rsidP="00724DF9">
      <w:pPr>
        <w:spacing w:before="120" w:line="264" w:lineRule="auto"/>
      </w:pPr>
      <w:r>
        <w:t xml:space="preserve">I emphasise that optimisation must be considered in the planning </w:t>
      </w:r>
      <w:r w:rsidR="0055323A">
        <w:t xml:space="preserve">and design </w:t>
      </w:r>
      <w:r>
        <w:t>stage</w:t>
      </w:r>
      <w:r w:rsidR="00AE272B">
        <w:t xml:space="preserve">. </w:t>
      </w:r>
      <w:r w:rsidR="005A4D3B">
        <w:t xml:space="preserve">At the </w:t>
      </w:r>
      <w:r w:rsidR="009B602B">
        <w:t>construction application stage, I expect specific documentation</w:t>
      </w:r>
      <w:r w:rsidR="001B2311">
        <w:t xml:space="preserve"> regarding th</w:t>
      </w:r>
      <w:r w:rsidR="00607298">
        <w:t>e way optimisation has been considered in the design of systems, structures</w:t>
      </w:r>
      <w:r w:rsidR="00605166">
        <w:t>,</w:t>
      </w:r>
      <w:r w:rsidR="00607298">
        <w:t xml:space="preserve"> and components, and in</w:t>
      </w:r>
      <w:r w:rsidR="00D15103">
        <w:t xml:space="preserve"> the</w:t>
      </w:r>
      <w:r w:rsidR="00607298">
        <w:t xml:space="preserve"> arrangements for workflow</w:t>
      </w:r>
      <w:r w:rsidR="00A72C39">
        <w:t xml:space="preserve"> and processes; using a graded approach that focus on the major risks</w:t>
      </w:r>
      <w:r w:rsidR="000A7CB9">
        <w:t xml:space="preserve"> and </w:t>
      </w:r>
      <w:r w:rsidR="005B2C44">
        <w:t>health impacts</w:t>
      </w:r>
      <w:r w:rsidR="00D15103">
        <w:t xml:space="preserve">. </w:t>
      </w:r>
      <w:r w:rsidR="009B602B">
        <w:t xml:space="preserve"> </w:t>
      </w:r>
    </w:p>
    <w:p w14:paraId="45FCC299" w14:textId="6768EF67" w:rsidR="00A8119E" w:rsidRDefault="00910A68" w:rsidP="00724DF9">
      <w:pPr>
        <w:spacing w:before="120" w:line="264" w:lineRule="auto"/>
      </w:pPr>
      <w:r>
        <w:t>E</w:t>
      </w:r>
      <w:r w:rsidR="00D86629">
        <w:t xml:space="preserve">xperience from the current </w:t>
      </w:r>
      <w:r>
        <w:t xml:space="preserve">operations of the </w:t>
      </w:r>
      <w:r w:rsidR="00B1017C">
        <w:t xml:space="preserve">ILSW Facility have not revealed significant exposures of </w:t>
      </w:r>
      <w:r w:rsidR="008E4D7C">
        <w:t>staff</w:t>
      </w:r>
      <w:r w:rsidR="008571FC">
        <w:t xml:space="preserve"> of ANSTO’s Waste Management Services. </w:t>
      </w:r>
      <w:r w:rsidR="00263CA0">
        <w:t>A r</w:t>
      </w:r>
      <w:r w:rsidR="008571FC">
        <w:t xml:space="preserve">eview of worker doses for </w:t>
      </w:r>
      <w:r w:rsidR="00031B88">
        <w:t>t</w:t>
      </w:r>
      <w:r w:rsidR="00FD463E">
        <w:t>h</w:t>
      </w:r>
      <w:r w:rsidR="00031B88">
        <w:t>e last 10 years shows that m</w:t>
      </w:r>
      <w:r w:rsidR="008571FC">
        <w:t xml:space="preserve">aximum </w:t>
      </w:r>
      <w:r w:rsidR="00263CA0">
        <w:t xml:space="preserve">effective doses </w:t>
      </w:r>
      <w:r w:rsidR="00031B88">
        <w:t xml:space="preserve">for individual years </w:t>
      </w:r>
      <w:r w:rsidR="008571FC">
        <w:t>typically range</w:t>
      </w:r>
      <w:r w:rsidR="00031B88">
        <w:t xml:space="preserve"> between 1.5 and 2.5 mSv</w:t>
      </w:r>
      <w:r w:rsidR="00C57FF7">
        <w:t xml:space="preserve"> for about 10% of the </w:t>
      </w:r>
      <w:r w:rsidR="00D04A3A">
        <w:t>workforce</w:t>
      </w:r>
      <w:r w:rsidR="000C4E7F">
        <w:t>, with the rest of the workforce incurring lower or negligible doses</w:t>
      </w:r>
      <w:r w:rsidR="00D04A3A">
        <w:t xml:space="preserve">. </w:t>
      </w:r>
      <w:r w:rsidR="006F3A40">
        <w:t>Skin, eye</w:t>
      </w:r>
      <w:r w:rsidR="00F658E4">
        <w:t>,</w:t>
      </w:r>
      <w:r w:rsidR="006F3A40">
        <w:t xml:space="preserve"> and extremity </w:t>
      </w:r>
      <w:r w:rsidR="00263CA0">
        <w:t xml:space="preserve">equivalent </w:t>
      </w:r>
      <w:r w:rsidR="006F3A40">
        <w:t>doses are correspondingly low</w:t>
      </w:r>
      <w:r w:rsidR="00F93E06">
        <w:t xml:space="preserve">. </w:t>
      </w:r>
      <w:r w:rsidR="00D56A65">
        <w:t>Possible i</w:t>
      </w:r>
      <w:r w:rsidR="003D4C65">
        <w:t xml:space="preserve">nternal contamination </w:t>
      </w:r>
      <w:r w:rsidR="00D56A65">
        <w:t>is below detection limit</w:t>
      </w:r>
      <w:r w:rsidR="00C707F1">
        <w:t>s</w:t>
      </w:r>
      <w:r w:rsidR="003D4C65">
        <w:t xml:space="preserve"> providing </w:t>
      </w:r>
      <w:r w:rsidR="00B94264">
        <w:t xml:space="preserve">an indication </w:t>
      </w:r>
      <w:r w:rsidR="003D4C65">
        <w:t>that committed effective doses</w:t>
      </w:r>
      <w:r w:rsidR="00F93E06">
        <w:t xml:space="preserve"> are </w:t>
      </w:r>
      <w:r w:rsidR="004146BB">
        <w:t>of low concern</w:t>
      </w:r>
      <w:r w:rsidR="006F3A40">
        <w:t>.</w:t>
      </w:r>
      <w:r w:rsidR="00A945C5">
        <w:t xml:space="preserve"> Airborne discharges, which are </w:t>
      </w:r>
      <w:r w:rsidR="00A945C5">
        <w:lastRenderedPageBreak/>
        <w:t>reported quarterly to ARPANSA have remained well below regulatory limits with the off-site dose demonstrated to be negligible through modelling.</w:t>
      </w:r>
    </w:p>
    <w:p w14:paraId="6F6A1350" w14:textId="01FEA75D" w:rsidR="006E37C0" w:rsidRDefault="00F658E4" w:rsidP="00724DF9">
      <w:pPr>
        <w:spacing w:before="120" w:line="264" w:lineRule="auto"/>
      </w:pPr>
      <w:r>
        <w:t xml:space="preserve">It is reasonable to assume that </w:t>
      </w:r>
      <w:r w:rsidR="00A8119E">
        <w:t xml:space="preserve">the doses incurred </w:t>
      </w:r>
      <w:r w:rsidR="00974534">
        <w:t xml:space="preserve">currently will </w:t>
      </w:r>
      <w:r w:rsidR="00ED0BC8">
        <w:t xml:space="preserve">not be exceeded in the ILWCI Facility, but potentially </w:t>
      </w:r>
      <w:r w:rsidR="00FB2449">
        <w:t xml:space="preserve">be lower </w:t>
      </w:r>
      <w:proofErr w:type="gramStart"/>
      <w:r w:rsidR="00E01E2B">
        <w:t>as a result of</w:t>
      </w:r>
      <w:proofErr w:type="gramEnd"/>
      <w:r w:rsidR="00E01E2B">
        <w:t xml:space="preserve"> further optimisation</w:t>
      </w:r>
      <w:r w:rsidR="00434A33">
        <w:t>.</w:t>
      </w:r>
      <w:r w:rsidR="00F1074C">
        <w:t xml:space="preserve"> </w:t>
      </w:r>
      <w:r w:rsidR="00216DBE">
        <w:t>A preliminary dose constraint (or constrain</w:t>
      </w:r>
      <w:r w:rsidR="007640ED">
        <w:t>t</w:t>
      </w:r>
      <w:r w:rsidR="00216DBE">
        <w:t xml:space="preserve">s) should be provided with an application to construct the ILWCI Facility. </w:t>
      </w:r>
    </w:p>
    <w:p w14:paraId="5FBA38AD" w14:textId="02C52E97" w:rsidR="005530E8" w:rsidRDefault="00CA66A9" w:rsidP="003F3B5C">
      <w:pPr>
        <w:pStyle w:val="Heading3"/>
        <w:numPr>
          <w:ilvl w:val="2"/>
          <w:numId w:val="3"/>
        </w:numPr>
        <w:spacing w:before="240" w:after="120"/>
        <w:ind w:left="1077"/>
      </w:pPr>
      <w:bookmarkStart w:id="43" w:name="_Toc96958677"/>
      <w:r>
        <w:t>Conclusions</w:t>
      </w:r>
      <w:bookmarkEnd w:id="43"/>
    </w:p>
    <w:tbl>
      <w:tblPr>
        <w:tblStyle w:val="TableGrid"/>
        <w:tblW w:w="9717" w:type="dxa"/>
        <w:tblLook w:val="04A0" w:firstRow="1" w:lastRow="0" w:firstColumn="1" w:lastColumn="0" w:noHBand="0" w:noVBand="1"/>
      </w:tblPr>
      <w:tblGrid>
        <w:gridCol w:w="9717"/>
      </w:tblGrid>
      <w:tr w:rsidR="007C41A8" w:rsidRPr="00FF29FD" w14:paraId="6DB7DC45" w14:textId="77777777" w:rsidTr="00764FE9">
        <w:trPr>
          <w:trHeight w:val="966"/>
        </w:trPr>
        <w:tc>
          <w:tcPr>
            <w:tcW w:w="9717" w:type="dxa"/>
            <w:shd w:val="clear" w:color="auto" w:fill="3D145C" w:themeFill="accent1" w:themeFillShade="40"/>
          </w:tcPr>
          <w:p w14:paraId="6EDEA048" w14:textId="0D4B1C92" w:rsidR="00764FE9" w:rsidRPr="007C41A8" w:rsidRDefault="0096765C" w:rsidP="00FF29FD">
            <w:pPr>
              <w:spacing w:line="264" w:lineRule="auto"/>
              <w:rPr>
                <w:b/>
                <w:bCs/>
                <w:color w:val="FFFFFF" w:themeColor="background1"/>
              </w:rPr>
            </w:pPr>
            <w:r>
              <w:rPr>
                <w:b/>
                <w:bCs/>
                <w:color w:val="FFFFFF" w:themeColor="background1"/>
              </w:rPr>
              <w:t>Has</w:t>
            </w:r>
            <w:r w:rsidR="007C41A8" w:rsidRPr="00FF29FD">
              <w:rPr>
                <w:b/>
                <w:bCs/>
                <w:color w:val="FFFFFF" w:themeColor="background1"/>
              </w:rPr>
              <w:t xml:space="preserve"> the applicant shown that the magnitude of individual doses, the number of people exposed and the likelihood that exposure will happen are as low as reasonably achievable, having regard to economic and societal factors</w:t>
            </w:r>
          </w:p>
        </w:tc>
      </w:tr>
      <w:tr w:rsidR="005530E8" w14:paraId="6E32979B" w14:textId="77777777" w:rsidTr="00B17335">
        <w:trPr>
          <w:trHeight w:val="2160"/>
        </w:trPr>
        <w:tc>
          <w:tcPr>
            <w:tcW w:w="9717" w:type="dxa"/>
            <w:shd w:val="clear" w:color="auto" w:fill="E3CCF4" w:themeFill="accent1"/>
          </w:tcPr>
          <w:p w14:paraId="418A357B" w14:textId="68A343DA" w:rsidR="005530E8" w:rsidRDefault="00F7655E" w:rsidP="00A07EE2">
            <w:pPr>
              <w:spacing w:before="120" w:after="120"/>
            </w:pPr>
            <w:r>
              <w:t>Experience from the current storage of</w:t>
            </w:r>
            <w:r w:rsidR="00CC05F9">
              <w:t xml:space="preserve"> spent uranium filters and from waste operations in general </w:t>
            </w:r>
            <w:r w:rsidR="00696365">
              <w:t xml:space="preserve">demonstrate that </w:t>
            </w:r>
            <w:r w:rsidR="008B1D8C">
              <w:t>radiation exposures</w:t>
            </w:r>
            <w:r w:rsidR="00317F47">
              <w:t xml:space="preserve"> during normal operations</w:t>
            </w:r>
            <w:r w:rsidR="008B1D8C">
              <w:t xml:space="preserve"> are low</w:t>
            </w:r>
            <w:r w:rsidR="00AD77B8">
              <w:t xml:space="preserve">. </w:t>
            </w:r>
            <w:r w:rsidR="00D71188">
              <w:t xml:space="preserve">The safety </w:t>
            </w:r>
            <w:r w:rsidR="00263896">
              <w:t>analysis</w:t>
            </w:r>
            <w:r w:rsidR="00D71188">
              <w:t xml:space="preserve"> report </w:t>
            </w:r>
            <w:r w:rsidR="00317F47">
              <w:t>indicates a</w:t>
            </w:r>
            <w:r w:rsidR="00F0088F">
              <w:t xml:space="preserve"> potential for</w:t>
            </w:r>
            <w:r w:rsidR="00DD6DC1">
              <w:t xml:space="preserve"> significantly higher </w:t>
            </w:r>
            <w:r w:rsidR="00F0088F">
              <w:t>exposures as the result of certain incidents</w:t>
            </w:r>
            <w:r w:rsidR="0075417B">
              <w:t xml:space="preserve"> with local</w:t>
            </w:r>
            <w:r w:rsidR="00BA39D7">
              <w:t>ised impact</w:t>
            </w:r>
            <w:r w:rsidR="003C156A">
              <w:t>, but the likelihood is low</w:t>
            </w:r>
            <w:r w:rsidR="00BA39D7">
              <w:t xml:space="preserve">. </w:t>
            </w:r>
            <w:r w:rsidR="00317F47">
              <w:t xml:space="preserve"> </w:t>
            </w:r>
            <w:r w:rsidR="00326824">
              <w:t xml:space="preserve">While information </w:t>
            </w:r>
            <w:r w:rsidR="00A518BD">
              <w:t xml:space="preserve">and evidence on </w:t>
            </w:r>
            <w:r w:rsidR="00326824">
              <w:t>optimisation in design considerations</w:t>
            </w:r>
            <w:r w:rsidR="00F1074C">
              <w:t>, including preliminary dose constraints,</w:t>
            </w:r>
            <w:r w:rsidR="00326824">
              <w:t xml:space="preserve"> should be </w:t>
            </w:r>
            <w:r w:rsidR="00A518BD">
              <w:t xml:space="preserve">provided with </w:t>
            </w:r>
            <w:r w:rsidR="00B42A71">
              <w:t xml:space="preserve">an </w:t>
            </w:r>
            <w:r w:rsidR="00A518BD">
              <w:t xml:space="preserve">application </w:t>
            </w:r>
            <w:r w:rsidR="00B42A71">
              <w:t>for</w:t>
            </w:r>
            <w:r w:rsidR="00A518BD">
              <w:t xml:space="preserve"> a construction</w:t>
            </w:r>
            <w:r w:rsidR="00B42A71">
              <w:t xml:space="preserve"> licence, </w:t>
            </w:r>
            <w:r w:rsidR="00940BFF">
              <w:t>existing documentation</w:t>
            </w:r>
            <w:r w:rsidR="00DC3954">
              <w:t xml:space="preserve"> and </w:t>
            </w:r>
            <w:r w:rsidR="00940BFF">
              <w:t xml:space="preserve">experience </w:t>
            </w:r>
            <w:r w:rsidR="007A1195">
              <w:t xml:space="preserve">provide assurance that </w:t>
            </w:r>
            <w:r w:rsidR="00DC3954">
              <w:t>normal operations result in only low exposures</w:t>
            </w:r>
            <w:r w:rsidR="004F5036">
              <w:t>. Re</w:t>
            </w:r>
            <w:r w:rsidR="783E9686">
              <w:t>asonable</w:t>
            </w:r>
            <w:r w:rsidR="007A1195">
              <w:t xml:space="preserve"> optimisation </w:t>
            </w:r>
            <w:r w:rsidR="005F7D06">
              <w:t>measures</w:t>
            </w:r>
            <w:r w:rsidR="007A1195">
              <w:t xml:space="preserve"> </w:t>
            </w:r>
            <w:r w:rsidR="004F5036">
              <w:t xml:space="preserve">should </w:t>
            </w:r>
            <w:r w:rsidR="007A1195">
              <w:t>be put in place.</w:t>
            </w:r>
            <w:r w:rsidR="005F7D06">
              <w:t xml:space="preserve"> </w:t>
            </w:r>
          </w:p>
        </w:tc>
      </w:tr>
    </w:tbl>
    <w:p w14:paraId="1A7F1038" w14:textId="612AAFAA" w:rsidR="009C039D" w:rsidRPr="00FF7A83" w:rsidRDefault="00E70B1E" w:rsidP="001B2873">
      <w:pPr>
        <w:pStyle w:val="Heading2"/>
        <w:numPr>
          <w:ilvl w:val="1"/>
          <w:numId w:val="3"/>
        </w:numPr>
        <w:tabs>
          <w:tab w:val="left" w:pos="993"/>
        </w:tabs>
        <w:spacing w:before="240"/>
        <w:ind w:left="981" w:hanging="624"/>
      </w:pPr>
      <w:bookmarkStart w:id="44" w:name="_Toc96958678"/>
      <w:r>
        <w:t>Has</w:t>
      </w:r>
      <w:r w:rsidRPr="006245E9">
        <w:t xml:space="preserve"> the applicant shown a capacity for complying with </w:t>
      </w:r>
      <w:r w:rsidR="000423CA">
        <w:t>the Regulations</w:t>
      </w:r>
      <w:r w:rsidRPr="006245E9">
        <w:t xml:space="preserve"> and the licence conditions that would be imposed under section 35 of the Act</w:t>
      </w:r>
      <w:r w:rsidR="00802A05">
        <w:t>?</w:t>
      </w:r>
      <w:bookmarkEnd w:id="44"/>
    </w:p>
    <w:p w14:paraId="66B1336A" w14:textId="15EDA426" w:rsidR="009452BF" w:rsidRDefault="009452BF" w:rsidP="008310F8">
      <w:pPr>
        <w:pStyle w:val="Heading3"/>
        <w:numPr>
          <w:ilvl w:val="2"/>
          <w:numId w:val="3"/>
        </w:numPr>
        <w:spacing w:before="240" w:after="60"/>
        <w:ind w:left="1077"/>
      </w:pPr>
      <w:bookmarkStart w:id="45" w:name="_Toc96958679"/>
      <w:r>
        <w:t>Considerations and conclu</w:t>
      </w:r>
      <w:r w:rsidR="00B312E5">
        <w:t>sions</w:t>
      </w:r>
      <w:bookmarkEnd w:id="45"/>
    </w:p>
    <w:p w14:paraId="585C3C98" w14:textId="5F2F39BB" w:rsidR="00AB3BF9" w:rsidRDefault="00265FB2" w:rsidP="007015C2">
      <w:pPr>
        <w:spacing w:before="120" w:line="264" w:lineRule="auto"/>
      </w:pPr>
      <w:r>
        <w:t xml:space="preserve">Waste Management Services currently operates under </w:t>
      </w:r>
      <w:r w:rsidR="00A945C5">
        <w:t>five</w:t>
      </w:r>
      <w:r>
        <w:t xml:space="preserve"> licences issued by ARPANSA</w:t>
      </w:r>
      <w:r w:rsidR="000C2AAD">
        <w:t xml:space="preserve">; </w:t>
      </w:r>
      <w:r w:rsidR="00845C17">
        <w:t xml:space="preserve">operations of </w:t>
      </w:r>
      <w:r w:rsidR="00C17A04">
        <w:t>the Interi</w:t>
      </w:r>
      <w:r w:rsidR="00404172">
        <w:t>m</w:t>
      </w:r>
      <w:r w:rsidR="00C17A04">
        <w:t xml:space="preserve"> </w:t>
      </w:r>
      <w:r w:rsidR="00404172">
        <w:t>W</w:t>
      </w:r>
      <w:r w:rsidR="00C17A04">
        <w:t>aste Store</w:t>
      </w:r>
      <w:r w:rsidR="009A1CC1">
        <w:t xml:space="preserve"> </w:t>
      </w:r>
      <w:r w:rsidR="00861C7A">
        <w:t xml:space="preserve">Facility </w:t>
      </w:r>
      <w:r w:rsidR="009A1CC1">
        <w:t>for returned waste</w:t>
      </w:r>
      <w:r w:rsidR="005F0025">
        <w:t xml:space="preserve"> from the </w:t>
      </w:r>
      <w:r w:rsidR="008470CF">
        <w:t xml:space="preserve">overseas </w:t>
      </w:r>
      <w:r w:rsidR="005F0025">
        <w:t>reprocessing of spent OPAL and HIFAR fuel assemblies</w:t>
      </w:r>
      <w:r w:rsidR="00EF630B">
        <w:t xml:space="preserve"> (</w:t>
      </w:r>
      <w:r w:rsidR="00674D14">
        <w:t>F0292</w:t>
      </w:r>
      <w:r w:rsidR="00EF630B">
        <w:t>)</w:t>
      </w:r>
      <w:r w:rsidR="00AB6A6C">
        <w:t>,</w:t>
      </w:r>
      <w:r w:rsidR="00BC5530">
        <w:t xml:space="preserve"> </w:t>
      </w:r>
      <w:r w:rsidR="00934DDD">
        <w:t>ANSTO Waste Operations</w:t>
      </w:r>
      <w:r w:rsidR="005A5D68">
        <w:t xml:space="preserve"> </w:t>
      </w:r>
      <w:r w:rsidR="009A1CC1">
        <w:t>i</w:t>
      </w:r>
      <w:r w:rsidR="005A5D68">
        <w:t xml:space="preserve">ncluding </w:t>
      </w:r>
      <w:r w:rsidR="00186914">
        <w:t xml:space="preserve">the existing </w:t>
      </w:r>
      <w:r w:rsidR="00255CC2">
        <w:t xml:space="preserve">ILSW </w:t>
      </w:r>
      <w:r w:rsidR="00257D4D">
        <w:t>Facility</w:t>
      </w:r>
      <w:r w:rsidR="00255CC2">
        <w:t xml:space="preserve"> (F0260</w:t>
      </w:r>
      <w:r w:rsidR="00BA2041">
        <w:t>)</w:t>
      </w:r>
      <w:r w:rsidR="00845C17">
        <w:t>,</w:t>
      </w:r>
      <w:r w:rsidR="005A5D68">
        <w:t xml:space="preserve"> </w:t>
      </w:r>
      <w:r w:rsidR="00AD5875">
        <w:t>a licence</w:t>
      </w:r>
      <w:r w:rsidR="00D02096">
        <w:t xml:space="preserve"> </w:t>
      </w:r>
      <w:r w:rsidR="001F19F6">
        <w:t xml:space="preserve">to </w:t>
      </w:r>
      <w:r w:rsidR="005A5D68">
        <w:t>possess or control</w:t>
      </w:r>
      <w:r w:rsidR="00F6419E">
        <w:t xml:space="preserve"> </w:t>
      </w:r>
      <w:r w:rsidR="005A5D68">
        <w:t>the permanently shut down HIFAR reactor</w:t>
      </w:r>
      <w:r w:rsidR="00F6419E">
        <w:t xml:space="preserve"> (</w:t>
      </w:r>
      <w:r w:rsidR="00BA2041">
        <w:t>F0184</w:t>
      </w:r>
      <w:r w:rsidR="00845C17">
        <w:t>)</w:t>
      </w:r>
      <w:r w:rsidR="00D84D8B">
        <w:t xml:space="preserve">, a licence </w:t>
      </w:r>
      <w:r w:rsidR="001F19F6">
        <w:t xml:space="preserve">to </w:t>
      </w:r>
      <w:r w:rsidR="00D84D8B">
        <w:t xml:space="preserve">possess or control the Little Forest Legacy Site (F0293) and a </w:t>
      </w:r>
      <w:r w:rsidR="001F19F6">
        <w:t>l</w:t>
      </w:r>
      <w:r w:rsidR="00D84D8B">
        <w:t xml:space="preserve">icence to site and construct the </w:t>
      </w:r>
      <w:proofErr w:type="spellStart"/>
      <w:r w:rsidR="00D84D8B">
        <w:t>SyMo</w:t>
      </w:r>
      <w:proofErr w:type="spellEnd"/>
      <w:r w:rsidR="00D84D8B">
        <w:t xml:space="preserve"> facility (F0266)</w:t>
      </w:r>
      <w:r w:rsidR="007015C2">
        <w:t xml:space="preserve">. </w:t>
      </w:r>
    </w:p>
    <w:p w14:paraId="0AAA8171" w14:textId="36549EE5" w:rsidR="003C5B03" w:rsidRDefault="007015C2" w:rsidP="007015C2">
      <w:pPr>
        <w:spacing w:before="120" w:line="264" w:lineRule="auto"/>
      </w:pPr>
      <w:r>
        <w:t xml:space="preserve">Over the last 10 years, there have been </w:t>
      </w:r>
      <w:r w:rsidR="00D84D8B">
        <w:t>7</w:t>
      </w:r>
      <w:r>
        <w:t xml:space="preserve"> breaches</w:t>
      </w:r>
      <w:r w:rsidR="0075574C">
        <w:t xml:space="preserve"> </w:t>
      </w:r>
      <w:r w:rsidR="00320FC7">
        <w:t>of</w:t>
      </w:r>
      <w:r w:rsidR="00AB3BF9">
        <w:t xml:space="preserve"> licences managed by Waste Management Services</w:t>
      </w:r>
      <w:r w:rsidR="000B25A0">
        <w:t xml:space="preserve">. </w:t>
      </w:r>
      <w:r w:rsidR="00320FC7">
        <w:t>Six</w:t>
      </w:r>
      <w:r w:rsidR="0075574C">
        <w:t xml:space="preserve"> had minor or negligible safety significance and </w:t>
      </w:r>
      <w:r w:rsidR="00320FC7">
        <w:t>one</w:t>
      </w:r>
      <w:r w:rsidR="0075574C">
        <w:t xml:space="preserve"> </w:t>
      </w:r>
      <w:proofErr w:type="gramStart"/>
      <w:r w:rsidR="0075574C">
        <w:t>was considered to be</w:t>
      </w:r>
      <w:proofErr w:type="gramEnd"/>
      <w:r w:rsidR="0075574C">
        <w:t xml:space="preserve"> potentially safety significant although no doses were actually received.</w:t>
      </w:r>
      <w:r w:rsidR="004F5036">
        <w:t xml:space="preserve"> </w:t>
      </w:r>
      <w:r w:rsidR="009773D4">
        <w:t xml:space="preserve">As noted in section </w:t>
      </w:r>
      <w:r w:rsidR="004C4306">
        <w:t>3.5</w:t>
      </w:r>
      <w:r w:rsidR="009773D4">
        <w:t>, radiation exposures of staff in t</w:t>
      </w:r>
      <w:r w:rsidR="00173E6C">
        <w:t xml:space="preserve">he existing </w:t>
      </w:r>
      <w:r w:rsidR="00257D4D">
        <w:t>ILSW Facility</w:t>
      </w:r>
      <w:r w:rsidR="00173E6C">
        <w:t xml:space="preserve"> are low. </w:t>
      </w:r>
      <w:r w:rsidR="00833607">
        <w:t>ARPANSA is not aware of any</w:t>
      </w:r>
      <w:r w:rsidR="00AB3167">
        <w:t xml:space="preserve"> resource</w:t>
      </w:r>
      <w:r w:rsidR="00833607">
        <w:t xml:space="preserve"> limitation that would </w:t>
      </w:r>
      <w:r w:rsidR="000E2027">
        <w:t xml:space="preserve">negatively impact the ability to comply with </w:t>
      </w:r>
      <w:r w:rsidR="00AB3167">
        <w:t>legislation and licence conditions</w:t>
      </w:r>
      <w:r w:rsidR="00935583">
        <w:t>. A</w:t>
      </w:r>
      <w:r w:rsidR="00257D4D">
        <w:t xml:space="preserve">dditional </w:t>
      </w:r>
      <w:r w:rsidR="006C0A85">
        <w:t xml:space="preserve">resources have been made available to ANSTO to establish </w:t>
      </w:r>
      <w:r w:rsidR="00F31581">
        <w:t>the ILWCI Facility</w:t>
      </w:r>
      <w:r w:rsidR="00276BB0">
        <w:t xml:space="preserve"> and once it is established and starting to receive waste, existing workforce will be diverted from the currently operating store to the ILWCI Facility</w:t>
      </w:r>
      <w:r w:rsidR="005670F7" w:rsidDel="0093147F">
        <w:t>.</w:t>
      </w:r>
    </w:p>
    <w:p w14:paraId="48C5A3CB" w14:textId="1D27354F" w:rsidR="00701CAA" w:rsidRDefault="00DA70BB" w:rsidP="007015C2">
      <w:pPr>
        <w:spacing w:before="120" w:line="264" w:lineRule="auto"/>
      </w:pPr>
      <w:r>
        <w:t>I believe</w:t>
      </w:r>
      <w:r w:rsidR="00E30E8E">
        <w:t xml:space="preserve"> </w:t>
      </w:r>
      <w:r w:rsidR="00701CAA">
        <w:t>ANSTO</w:t>
      </w:r>
      <w:r w:rsidR="003602E3">
        <w:t xml:space="preserve"> and</w:t>
      </w:r>
      <w:r w:rsidR="007B3349">
        <w:t xml:space="preserve"> -</w:t>
      </w:r>
      <w:r w:rsidR="003602E3">
        <w:t xml:space="preserve"> in this case</w:t>
      </w:r>
      <w:r w:rsidR="007B3349">
        <w:t xml:space="preserve"> -</w:t>
      </w:r>
      <w:r w:rsidR="003602E3">
        <w:t xml:space="preserve"> </w:t>
      </w:r>
      <w:r w:rsidR="00E43146">
        <w:t xml:space="preserve">its </w:t>
      </w:r>
      <w:r w:rsidR="003602E3">
        <w:t>Waste Management Services</w:t>
      </w:r>
      <w:r w:rsidR="00F55E54">
        <w:t xml:space="preserve"> and Waste Operations</w:t>
      </w:r>
      <w:r w:rsidR="00986F4C">
        <w:t>,</w:t>
      </w:r>
      <w:r w:rsidR="00701CAA">
        <w:t xml:space="preserve"> </w:t>
      </w:r>
      <w:r w:rsidR="00E30E8E">
        <w:t>have</w:t>
      </w:r>
      <w:r w:rsidR="00701CAA">
        <w:t xml:space="preserve"> the </w:t>
      </w:r>
      <w:r w:rsidR="00701CAA" w:rsidRPr="00E30E8E">
        <w:rPr>
          <w:i/>
          <w:iCs/>
        </w:rPr>
        <w:t>capacity</w:t>
      </w:r>
      <w:r w:rsidR="00701CAA">
        <w:t xml:space="preserve"> to </w:t>
      </w:r>
      <w:r w:rsidR="00CF3018">
        <w:t xml:space="preserve">comply and carry out the functions safely. </w:t>
      </w:r>
      <w:r w:rsidR="00FB2947">
        <w:t xml:space="preserve">Human and organisational factors </w:t>
      </w:r>
      <w:r w:rsidR="00A52BEE">
        <w:t xml:space="preserve">will determine how well this capacity will be </w:t>
      </w:r>
      <w:r w:rsidR="0060061C">
        <w:t>utilised</w:t>
      </w:r>
      <w:r w:rsidR="00474FE7">
        <w:t xml:space="preserve"> in day-to-day routines and in non-routine work</w:t>
      </w:r>
      <w:r w:rsidR="00A52BEE">
        <w:t xml:space="preserve">. </w:t>
      </w:r>
      <w:r w:rsidR="0006307C">
        <w:t>Th</w:t>
      </w:r>
      <w:r w:rsidR="00C8258F">
        <w:t xml:space="preserve">ese are not issues </w:t>
      </w:r>
      <w:r w:rsidR="0006307C">
        <w:t xml:space="preserve">specific to </w:t>
      </w:r>
      <w:r w:rsidR="00D81682">
        <w:t xml:space="preserve">the proposed ILWCI </w:t>
      </w:r>
      <w:r w:rsidR="0060061C">
        <w:t>F</w:t>
      </w:r>
      <w:r w:rsidR="00D81682">
        <w:t>acility but appl</w:t>
      </w:r>
      <w:r w:rsidR="00C8258F">
        <w:t>y</w:t>
      </w:r>
      <w:r w:rsidR="00D81682">
        <w:t xml:space="preserve"> across all </w:t>
      </w:r>
      <w:r w:rsidR="00A91609">
        <w:t>licen</w:t>
      </w:r>
      <w:r>
        <w:t>sed</w:t>
      </w:r>
      <w:r w:rsidR="0060061C" w:rsidDel="00DA70BB">
        <w:t xml:space="preserve"> </w:t>
      </w:r>
      <w:r>
        <w:t xml:space="preserve">activities </w:t>
      </w:r>
      <w:r w:rsidR="0060061C">
        <w:t>within the Lucas Heights site</w:t>
      </w:r>
      <w:r w:rsidR="0078272C">
        <w:t>.</w:t>
      </w:r>
      <w:r w:rsidR="00CF3018">
        <w:t xml:space="preserve"> </w:t>
      </w:r>
      <w:r w:rsidR="00F25AF6">
        <w:t xml:space="preserve">ARPANSA’s reviewers have not </w:t>
      </w:r>
      <w:r w:rsidR="007B3349">
        <w:t>identified</w:t>
      </w:r>
      <w:r w:rsidR="00F25AF6">
        <w:t xml:space="preserve"> any issue that would </w:t>
      </w:r>
      <w:r w:rsidR="00F95FB5">
        <w:t>challenge the view</w:t>
      </w:r>
      <w:r w:rsidR="00F25AF6">
        <w:t xml:space="preserve"> that ANSTO through Waste Management Services</w:t>
      </w:r>
      <w:r w:rsidR="00F55E54">
        <w:t xml:space="preserve"> and Waste Operations</w:t>
      </w:r>
      <w:r w:rsidR="00F25AF6">
        <w:t xml:space="preserve"> has the capacity to manage the ILWCI </w:t>
      </w:r>
      <w:r w:rsidR="00F95FB5">
        <w:t xml:space="preserve">Facility </w:t>
      </w:r>
      <w:r w:rsidR="00F25AF6">
        <w:t xml:space="preserve">safely. I </w:t>
      </w:r>
      <w:r w:rsidR="007D4281">
        <w:t xml:space="preserve">agree </w:t>
      </w:r>
      <w:r w:rsidR="009123BF">
        <w:t>and urge ANSTO to maintain strong vigilance of the human and organisational factors that govern safety, including the culture for safety</w:t>
      </w:r>
      <w:r w:rsidR="007D4281">
        <w:t>.</w:t>
      </w:r>
      <w:r w:rsidR="00650388">
        <w:t xml:space="preserve"> </w:t>
      </w:r>
    </w:p>
    <w:p w14:paraId="6D88EB89" w14:textId="77777777" w:rsidR="000F3DED" w:rsidRDefault="000F3DED">
      <w:r>
        <w:br w:type="page"/>
      </w:r>
    </w:p>
    <w:tbl>
      <w:tblPr>
        <w:tblStyle w:val="TableGrid"/>
        <w:tblW w:w="0" w:type="auto"/>
        <w:tblLook w:val="04A0" w:firstRow="1" w:lastRow="0" w:firstColumn="1" w:lastColumn="0" w:noHBand="0" w:noVBand="1"/>
      </w:tblPr>
      <w:tblGrid>
        <w:gridCol w:w="9628"/>
      </w:tblGrid>
      <w:tr w:rsidR="00E52A77" w:rsidRPr="00E52A77" w14:paraId="688B6D21" w14:textId="77777777" w:rsidTr="00BF30D5">
        <w:tc>
          <w:tcPr>
            <w:tcW w:w="9628" w:type="dxa"/>
            <w:shd w:val="clear" w:color="auto" w:fill="3D145C" w:themeFill="accent1" w:themeFillShade="40"/>
          </w:tcPr>
          <w:p w14:paraId="1EB38895" w14:textId="781ECE9D" w:rsidR="00D20DA2" w:rsidRPr="00E52A77" w:rsidRDefault="002767D8" w:rsidP="00BF30D5">
            <w:pPr>
              <w:spacing w:line="264" w:lineRule="auto"/>
              <w:rPr>
                <w:b/>
                <w:bCs/>
                <w:color w:val="FFFFFF" w:themeColor="background1"/>
              </w:rPr>
            </w:pPr>
            <w:r>
              <w:rPr>
                <w:b/>
                <w:bCs/>
                <w:color w:val="FFFFFF" w:themeColor="background1"/>
              </w:rPr>
              <w:lastRenderedPageBreak/>
              <w:t>Has</w:t>
            </w:r>
            <w:r w:rsidR="00D0757F">
              <w:rPr>
                <w:b/>
                <w:bCs/>
                <w:color w:val="FFFFFF" w:themeColor="background1"/>
              </w:rPr>
              <w:t xml:space="preserve"> </w:t>
            </w:r>
            <w:r w:rsidR="00E52A77" w:rsidRPr="00E52A77">
              <w:rPr>
                <w:b/>
                <w:bCs/>
                <w:color w:val="FFFFFF" w:themeColor="background1"/>
              </w:rPr>
              <w:t xml:space="preserve">the applicant shown a capacity for complying with </w:t>
            </w:r>
            <w:r w:rsidR="00764781">
              <w:rPr>
                <w:b/>
                <w:bCs/>
                <w:color w:val="FFFFFF" w:themeColor="background1"/>
              </w:rPr>
              <w:t>the Regulations</w:t>
            </w:r>
            <w:r w:rsidR="00E52A77" w:rsidRPr="00E52A77">
              <w:rPr>
                <w:b/>
                <w:bCs/>
                <w:color w:val="FFFFFF" w:themeColor="background1"/>
              </w:rPr>
              <w:t xml:space="preserve"> and the licence conditions that would be imposed under section 35 of the Act</w:t>
            </w:r>
          </w:p>
        </w:tc>
      </w:tr>
      <w:tr w:rsidR="00D20DA2" w14:paraId="7145F62E" w14:textId="77777777" w:rsidTr="00BF30D5">
        <w:tc>
          <w:tcPr>
            <w:tcW w:w="9628" w:type="dxa"/>
            <w:shd w:val="clear" w:color="auto" w:fill="E3CCF4" w:themeFill="accent1"/>
          </w:tcPr>
          <w:p w14:paraId="47E6833F" w14:textId="50E9685D" w:rsidR="00D20DA2" w:rsidRDefault="008B006A" w:rsidP="00BF30D5">
            <w:pPr>
              <w:spacing w:before="120" w:after="120"/>
            </w:pPr>
            <w:r>
              <w:t xml:space="preserve">Experience from </w:t>
            </w:r>
            <w:r w:rsidR="00263CD9">
              <w:t xml:space="preserve">the </w:t>
            </w:r>
            <w:r w:rsidR="000730D1">
              <w:t>existing ILSW Facility</w:t>
            </w:r>
            <w:r>
              <w:t xml:space="preserve"> </w:t>
            </w:r>
            <w:r w:rsidR="00070256">
              <w:t>including compliance with licence conditions</w:t>
            </w:r>
            <w:r w:rsidR="00F874BE">
              <w:t xml:space="preserve"> and occupational radiation exposure </w:t>
            </w:r>
            <w:r w:rsidR="00D42534">
              <w:t>provide reasonable assurance that ANST</w:t>
            </w:r>
            <w:r w:rsidR="00FE134B">
              <w:t xml:space="preserve">O, through Waste Management Services, </w:t>
            </w:r>
            <w:r w:rsidR="002F0C70">
              <w:t xml:space="preserve">has the capacity to comply with the Act, </w:t>
            </w:r>
            <w:proofErr w:type="gramStart"/>
            <w:r w:rsidR="002F0C70">
              <w:t>Regulations</w:t>
            </w:r>
            <w:proofErr w:type="gramEnd"/>
            <w:r w:rsidR="002F0C70">
              <w:t xml:space="preserve"> and licence conditions.</w:t>
            </w:r>
          </w:p>
        </w:tc>
      </w:tr>
    </w:tbl>
    <w:p w14:paraId="2115267B" w14:textId="77777777" w:rsidR="009C039D" w:rsidRPr="00FF7A83" w:rsidRDefault="00825289" w:rsidP="007B7ABC">
      <w:pPr>
        <w:pStyle w:val="Heading2"/>
        <w:numPr>
          <w:ilvl w:val="1"/>
          <w:numId w:val="3"/>
        </w:numPr>
        <w:tabs>
          <w:tab w:val="left" w:pos="993"/>
        </w:tabs>
        <w:spacing w:before="240" w:after="120"/>
        <w:ind w:left="981" w:hanging="624"/>
      </w:pPr>
      <w:r>
        <w:tab/>
      </w:r>
      <w:bookmarkStart w:id="46" w:name="_Toc96958680"/>
      <w:r>
        <w:t>A</w:t>
      </w:r>
      <w:r w:rsidR="009C039D">
        <w:t>uthorised signatory</w:t>
      </w:r>
      <w:bookmarkEnd w:id="46"/>
    </w:p>
    <w:p w14:paraId="1C0622A9" w14:textId="77777777" w:rsidR="005104EE" w:rsidRDefault="005104EE" w:rsidP="001B2873">
      <w:pPr>
        <w:pStyle w:val="Heading3"/>
        <w:numPr>
          <w:ilvl w:val="2"/>
          <w:numId w:val="3"/>
        </w:numPr>
        <w:spacing w:before="120" w:after="60"/>
        <w:ind w:left="1077"/>
      </w:pPr>
      <w:bookmarkStart w:id="47" w:name="_Toc96958681"/>
      <w:r>
        <w:t>Considerations and conclusions</w:t>
      </w:r>
      <w:bookmarkEnd w:id="47"/>
    </w:p>
    <w:p w14:paraId="4371EE83" w14:textId="29FC2486" w:rsidR="009C039D" w:rsidRDefault="0025087A" w:rsidP="00483D45">
      <w:pPr>
        <w:spacing w:before="120" w:line="264" w:lineRule="auto"/>
      </w:pPr>
      <w:r>
        <w:t>Mr Shaun Jenkinson, CEO of ANSTO, submitted the application on 19 July 2021.</w:t>
      </w:r>
      <w:r w:rsidR="006754FB">
        <w:t xml:space="preserve"> </w:t>
      </w:r>
      <w:r w:rsidR="00AA332F">
        <w:t xml:space="preserve">Mr Jenkinson is authorised to submit the application under </w:t>
      </w:r>
      <w:r w:rsidR="000F3DED">
        <w:t>sub</w:t>
      </w:r>
      <w:r w:rsidR="00DF3E06">
        <w:t>-</w:t>
      </w:r>
      <w:r w:rsidR="00AA332F">
        <w:t>section 45(b) of the Regulations.</w:t>
      </w:r>
    </w:p>
    <w:p w14:paraId="620A5E10" w14:textId="2FB6B395" w:rsidR="00F969DC" w:rsidRDefault="00F969DC" w:rsidP="00483D45">
      <w:pPr>
        <w:spacing w:before="120" w:line="264" w:lineRule="auto"/>
      </w:pPr>
      <w:r w:rsidRPr="00483D45">
        <w:t xml:space="preserve">Persons covered by </w:t>
      </w:r>
      <w:r w:rsidR="004B7191">
        <w:t>the</w:t>
      </w:r>
      <w:r w:rsidRPr="00483D45">
        <w:t xml:space="preserve"> licence are the licence holder</w:t>
      </w:r>
      <w:r w:rsidR="00AA332F">
        <w:rPr>
          <w:rStyle w:val="FootnoteReference"/>
        </w:rPr>
        <w:footnoteReference w:id="35"/>
      </w:r>
      <w:r w:rsidRPr="00483D45">
        <w:t>, employees of the licence holder, Commonwealth contractors, employees of Commonwealth contractors, and Permitted Persons.</w:t>
      </w:r>
    </w:p>
    <w:p w14:paraId="48A8AABE" w14:textId="77777777" w:rsidR="00263896" w:rsidRDefault="00263896" w:rsidP="00F969DC">
      <w:pPr>
        <w:spacing w:line="264" w:lineRule="auto"/>
      </w:pPr>
    </w:p>
    <w:tbl>
      <w:tblPr>
        <w:tblStyle w:val="TableGrid"/>
        <w:tblW w:w="0" w:type="auto"/>
        <w:tblLook w:val="04A0" w:firstRow="1" w:lastRow="0" w:firstColumn="1" w:lastColumn="0" w:noHBand="0" w:noVBand="1"/>
      </w:tblPr>
      <w:tblGrid>
        <w:gridCol w:w="9628"/>
      </w:tblGrid>
      <w:tr w:rsidR="00762AAB" w:rsidRPr="00762AAB" w14:paraId="4C3E39FB" w14:textId="77777777" w:rsidTr="00D01973">
        <w:tc>
          <w:tcPr>
            <w:tcW w:w="9628" w:type="dxa"/>
            <w:shd w:val="clear" w:color="auto" w:fill="3D145C" w:themeFill="accent1" w:themeFillShade="40"/>
          </w:tcPr>
          <w:p w14:paraId="4E9F3197" w14:textId="1B878CBE" w:rsidR="005D2EC3" w:rsidRPr="00762AAB" w:rsidRDefault="00762AAB" w:rsidP="00D01973">
            <w:pPr>
              <w:spacing w:line="264" w:lineRule="auto"/>
              <w:rPr>
                <w:b/>
                <w:bCs/>
                <w:color w:val="FFFFFF" w:themeColor="background1"/>
              </w:rPr>
            </w:pPr>
            <w:r w:rsidRPr="00762AAB">
              <w:rPr>
                <w:b/>
                <w:bCs/>
                <w:color w:val="FFFFFF" w:themeColor="background1"/>
              </w:rPr>
              <w:t>Authorised signatory</w:t>
            </w:r>
          </w:p>
        </w:tc>
      </w:tr>
      <w:tr w:rsidR="005D2EC3" w14:paraId="51218FA4" w14:textId="77777777" w:rsidTr="00D01973">
        <w:tc>
          <w:tcPr>
            <w:tcW w:w="9628" w:type="dxa"/>
            <w:shd w:val="clear" w:color="auto" w:fill="E3CCF4" w:themeFill="accent1"/>
          </w:tcPr>
          <w:p w14:paraId="0A434102" w14:textId="44D97655" w:rsidR="005D2EC3" w:rsidRDefault="005268D0" w:rsidP="00D01973">
            <w:pPr>
              <w:spacing w:before="120" w:after="120"/>
            </w:pPr>
            <w:r>
              <w:t xml:space="preserve">The CEO </w:t>
            </w:r>
            <w:r w:rsidR="00DE27C0">
              <w:t xml:space="preserve">of ANSTO </w:t>
            </w:r>
            <w:r w:rsidR="001D5FA3">
              <w:t>is</w:t>
            </w:r>
            <w:r w:rsidR="00DE27C0">
              <w:t xml:space="preserve"> </w:t>
            </w:r>
            <w:r w:rsidR="006754FB">
              <w:t>an authorised signatory.</w:t>
            </w:r>
          </w:p>
        </w:tc>
      </w:tr>
    </w:tbl>
    <w:p w14:paraId="67C75D0D" w14:textId="7A0B7C46" w:rsidR="009C039D" w:rsidRPr="00062F52" w:rsidRDefault="00825289" w:rsidP="001B2873">
      <w:pPr>
        <w:pStyle w:val="Heading2"/>
        <w:numPr>
          <w:ilvl w:val="1"/>
          <w:numId w:val="3"/>
        </w:numPr>
        <w:tabs>
          <w:tab w:val="left" w:pos="993"/>
        </w:tabs>
        <w:spacing w:before="240"/>
        <w:ind w:left="981" w:hanging="624"/>
      </w:pPr>
      <w:bookmarkStart w:id="48" w:name="_Toc365889231"/>
      <w:bookmarkStart w:id="49" w:name="_Toc418680038"/>
      <w:bookmarkStart w:id="50" w:name="_Toc365889238"/>
      <w:r>
        <w:tab/>
      </w:r>
      <w:bookmarkStart w:id="51" w:name="_Toc96958682"/>
      <w:r>
        <w:t>C</w:t>
      </w:r>
      <w:r w:rsidR="009C039D" w:rsidRPr="00062F52">
        <w:t xml:space="preserve">ontent of submissions </w:t>
      </w:r>
      <w:bookmarkEnd w:id="48"/>
      <w:bookmarkEnd w:id="49"/>
      <w:r w:rsidR="00354530">
        <w:t xml:space="preserve">about the </w:t>
      </w:r>
      <w:r w:rsidR="002C584E">
        <w:t>application</w:t>
      </w:r>
      <w:bookmarkEnd w:id="51"/>
    </w:p>
    <w:p w14:paraId="4298659D" w14:textId="43BC5512" w:rsidR="00492E54" w:rsidRDefault="001F59BB" w:rsidP="00483D45">
      <w:pPr>
        <w:spacing w:before="120" w:line="264" w:lineRule="auto"/>
      </w:pPr>
      <w:r>
        <w:t>The process for consultation was briefly outlined in section 2.3 of this Statement of Reasons</w:t>
      </w:r>
      <w:r w:rsidR="004F15B4">
        <w:t xml:space="preserve">. </w:t>
      </w:r>
      <w:r w:rsidR="00B00644" w:rsidRPr="006F1002">
        <w:t>Five</w:t>
      </w:r>
      <w:r w:rsidR="00A13BBE">
        <w:t xml:space="preserve"> submissions were received, in some cases </w:t>
      </w:r>
      <w:r w:rsidR="00C80F1D">
        <w:t xml:space="preserve">extensive and </w:t>
      </w:r>
      <w:r w:rsidR="00D03EFF">
        <w:t xml:space="preserve">drawing on </w:t>
      </w:r>
      <w:r w:rsidR="00DA5E5E">
        <w:t xml:space="preserve">other </w:t>
      </w:r>
      <w:r w:rsidR="00A53687">
        <w:t xml:space="preserve">documentation such as </w:t>
      </w:r>
      <w:r w:rsidR="00DA5E5E">
        <w:t xml:space="preserve">previous </w:t>
      </w:r>
      <w:r w:rsidR="00D03EFF">
        <w:t xml:space="preserve">submissions </w:t>
      </w:r>
      <w:r w:rsidR="0053273C">
        <w:t xml:space="preserve">to </w:t>
      </w:r>
      <w:r w:rsidR="00B24B67">
        <w:t xml:space="preserve">Senate </w:t>
      </w:r>
      <w:r w:rsidR="00A53687">
        <w:t>inquiries</w:t>
      </w:r>
      <w:r w:rsidR="00B24B67">
        <w:t xml:space="preserve">. </w:t>
      </w:r>
      <w:r w:rsidR="00E22F55">
        <w:t xml:space="preserve">Comments and questions </w:t>
      </w:r>
      <w:r w:rsidR="00492E54">
        <w:t xml:space="preserve">put forward </w:t>
      </w:r>
      <w:r w:rsidR="00483D45">
        <w:t xml:space="preserve">at the </w:t>
      </w:r>
      <w:r w:rsidR="00083A96">
        <w:t>P</w:t>
      </w:r>
      <w:r w:rsidR="00483D45">
        <w:t xml:space="preserve">ublic </w:t>
      </w:r>
      <w:r w:rsidR="00083A96">
        <w:t>F</w:t>
      </w:r>
      <w:r w:rsidR="00483D45">
        <w:t xml:space="preserve">orum on 13 October </w:t>
      </w:r>
      <w:r w:rsidR="00C10BD2">
        <w:t>2021 were largely similar</w:t>
      </w:r>
      <w:r w:rsidR="00483D45">
        <w:t>.</w:t>
      </w:r>
      <w:r w:rsidR="003B332E">
        <w:t xml:space="preserve"> </w:t>
      </w:r>
    </w:p>
    <w:p w14:paraId="1240225D" w14:textId="7A9FA83C" w:rsidR="000F0086" w:rsidRDefault="003B332E" w:rsidP="00483D45">
      <w:pPr>
        <w:spacing w:before="120" w:line="264" w:lineRule="auto"/>
      </w:pPr>
      <w:r>
        <w:t>ARPANSA wishes to tha</w:t>
      </w:r>
      <w:r w:rsidR="00090DA6">
        <w:t>nk</w:t>
      </w:r>
      <w:r>
        <w:t xml:space="preserve"> the individuals </w:t>
      </w:r>
      <w:r w:rsidR="00C10BD2">
        <w:t>and</w:t>
      </w:r>
      <w:r w:rsidR="00492E54">
        <w:t xml:space="preserve">, </w:t>
      </w:r>
      <w:r w:rsidR="0070055C">
        <w:t>where</w:t>
      </w:r>
      <w:r w:rsidR="00492E54">
        <w:t xml:space="preserve"> relevant</w:t>
      </w:r>
      <w:r w:rsidR="00A40442">
        <w:t xml:space="preserve">, </w:t>
      </w:r>
      <w:r>
        <w:t>the</w:t>
      </w:r>
      <w:r w:rsidR="00BE6F88">
        <w:t xml:space="preserve">ir parent organisations for the </w:t>
      </w:r>
      <w:r w:rsidR="00C10BD2">
        <w:t xml:space="preserve">time and </w:t>
      </w:r>
      <w:r w:rsidR="00BE6F88">
        <w:t xml:space="preserve">effort in </w:t>
      </w:r>
      <w:r w:rsidR="00A40442">
        <w:t>expressing</w:t>
      </w:r>
      <w:r w:rsidR="00BE6F88">
        <w:t xml:space="preserve"> their views on the </w:t>
      </w:r>
      <w:r w:rsidR="00EF290B">
        <w:t>application submitted by ANSTO.</w:t>
      </w:r>
      <w:r w:rsidR="00EA59F3">
        <w:t xml:space="preserve"> </w:t>
      </w:r>
      <w:r w:rsidR="006F1002">
        <w:t>Co</w:t>
      </w:r>
      <w:r w:rsidR="00EA59F3">
        <w:t xml:space="preserve">nsultation </w:t>
      </w:r>
      <w:r w:rsidR="004F44BC">
        <w:t>enables</w:t>
      </w:r>
      <w:r w:rsidR="00EA59F3">
        <w:t xml:space="preserve"> informed decision</w:t>
      </w:r>
      <w:r w:rsidR="00DB6317">
        <w:t>-making</w:t>
      </w:r>
      <w:r w:rsidR="000C4E14">
        <w:t xml:space="preserve"> and</w:t>
      </w:r>
      <w:r w:rsidR="005F7ECE">
        <w:t xml:space="preserve"> </w:t>
      </w:r>
      <w:r w:rsidR="00502437">
        <w:t xml:space="preserve">ARPANSA recognises </w:t>
      </w:r>
      <w:r w:rsidR="00DB6317">
        <w:t>the value</w:t>
      </w:r>
      <w:r w:rsidR="00502437">
        <w:t xml:space="preserve"> of consultation</w:t>
      </w:r>
      <w:r w:rsidR="005F7ECE">
        <w:t xml:space="preserve"> and</w:t>
      </w:r>
      <w:r w:rsidR="00062851">
        <w:t xml:space="preserve"> stakeholder engagement</w:t>
      </w:r>
      <w:r w:rsidR="00502437">
        <w:t xml:space="preserve"> in enhancing institutional strength-in-depth</w:t>
      </w:r>
      <w:r w:rsidR="00C922AA">
        <w:rPr>
          <w:rStyle w:val="FootnoteReference"/>
        </w:rPr>
        <w:footnoteReference w:id="36"/>
      </w:r>
      <w:r w:rsidR="00C922AA">
        <w:t>.</w:t>
      </w:r>
    </w:p>
    <w:p w14:paraId="35A13E3B" w14:textId="25559BAB" w:rsidR="00EF290B" w:rsidRDefault="00AF47CC" w:rsidP="00483D45">
      <w:pPr>
        <w:spacing w:before="120" w:line="264" w:lineRule="auto"/>
      </w:pPr>
      <w:r>
        <w:t xml:space="preserve">Very little input was received </w:t>
      </w:r>
      <w:r w:rsidR="00A07C63">
        <w:t xml:space="preserve">that </w:t>
      </w:r>
      <w:r w:rsidR="006D05CE">
        <w:t xml:space="preserve">related </w:t>
      </w:r>
      <w:r w:rsidR="00A07C63">
        <w:t>to safety</w:t>
      </w:r>
      <w:r w:rsidR="00A372B0">
        <w:t xml:space="preserve"> </w:t>
      </w:r>
      <w:r w:rsidR="00A07C63">
        <w:t>of the ILWCI Facility</w:t>
      </w:r>
      <w:r w:rsidR="00A372B0" w:rsidRPr="00A372B0">
        <w:rPr>
          <w:i/>
          <w:iCs/>
        </w:rPr>
        <w:t xml:space="preserve"> per se</w:t>
      </w:r>
      <w:r w:rsidR="002D30B4">
        <w:t>. H</w:t>
      </w:r>
      <w:r w:rsidR="00A07C63">
        <w:t xml:space="preserve">owever, many </w:t>
      </w:r>
      <w:r w:rsidR="003C7005">
        <w:t>comments</w:t>
      </w:r>
      <w:r w:rsidR="00A07C63">
        <w:t xml:space="preserve"> </w:t>
      </w:r>
      <w:r w:rsidR="006D05CE">
        <w:t>were received in relation</w:t>
      </w:r>
      <w:r w:rsidR="00A07C63">
        <w:t xml:space="preserve"> to the </w:t>
      </w:r>
      <w:r w:rsidR="00634FD5">
        <w:t>position of the</w:t>
      </w:r>
      <w:r w:rsidR="003532E9">
        <w:t xml:space="preserve"> ILWCI Facility in the national framework for ma</w:t>
      </w:r>
      <w:r w:rsidR="004E7F88">
        <w:t>n</w:t>
      </w:r>
      <w:r w:rsidR="003532E9">
        <w:t>aging radioactive waste</w:t>
      </w:r>
      <w:r w:rsidR="00BE67EF">
        <w:t xml:space="preserve">, </w:t>
      </w:r>
      <w:proofErr w:type="gramStart"/>
      <w:r w:rsidR="00DD32BD">
        <w:t>in particular as</w:t>
      </w:r>
      <w:proofErr w:type="gramEnd"/>
      <w:r w:rsidR="00DD32BD">
        <w:t xml:space="preserve"> regards </w:t>
      </w:r>
      <w:r w:rsidR="00BE67EF">
        <w:t xml:space="preserve">the plans for establishing a </w:t>
      </w:r>
      <w:r w:rsidR="007F598E">
        <w:t>storage facility for ILW as part of the NRWMF</w:t>
      </w:r>
      <w:r w:rsidR="003532E9">
        <w:t xml:space="preserve">. </w:t>
      </w:r>
      <w:r w:rsidR="00364CEB">
        <w:t>These comments are relevant</w:t>
      </w:r>
      <w:r w:rsidR="00D74352">
        <w:t>.</w:t>
      </w:r>
      <w:r w:rsidR="00364CEB">
        <w:t xml:space="preserve"> </w:t>
      </w:r>
      <w:r w:rsidR="00166F88">
        <w:t>A</w:t>
      </w:r>
      <w:r w:rsidR="00A372B0">
        <w:t>ny</w:t>
      </w:r>
      <w:r w:rsidR="00166F88">
        <w:t xml:space="preserve"> waste facility </w:t>
      </w:r>
      <w:r w:rsidR="00364CEB">
        <w:t xml:space="preserve">is part of a </w:t>
      </w:r>
      <w:r w:rsidR="00364CEB" w:rsidRPr="00DC501F">
        <w:rPr>
          <w:i/>
          <w:iCs/>
        </w:rPr>
        <w:t>system</w:t>
      </w:r>
      <w:r w:rsidR="00364CEB">
        <w:t xml:space="preserve"> for waste management</w:t>
      </w:r>
      <w:r w:rsidR="00CB3200">
        <w:t xml:space="preserve"> </w:t>
      </w:r>
      <w:r w:rsidR="00304326">
        <w:t xml:space="preserve">that </w:t>
      </w:r>
      <w:r w:rsidR="00CB3200">
        <w:t>includ</w:t>
      </w:r>
      <w:r w:rsidR="00534747">
        <w:t>e</w:t>
      </w:r>
      <w:r w:rsidR="00304326">
        <w:t>s</w:t>
      </w:r>
      <w:r w:rsidR="00CB3200">
        <w:t xml:space="preserve"> predisposal management</w:t>
      </w:r>
      <w:r w:rsidR="009F57BB">
        <w:t xml:space="preserve"> (for example </w:t>
      </w:r>
      <w:r w:rsidR="00627CF9">
        <w:t>storage and conditioning)</w:t>
      </w:r>
      <w:r w:rsidR="00CB3200">
        <w:t>, transport and disposal</w:t>
      </w:r>
      <w:r w:rsidR="00627CF9">
        <w:t>. The</w:t>
      </w:r>
      <w:r w:rsidR="008209CC">
        <w:t xml:space="preserve"> need for </w:t>
      </w:r>
      <w:r w:rsidR="00DC501F">
        <w:t>this system</w:t>
      </w:r>
      <w:r w:rsidR="008209CC">
        <w:t xml:space="preserve"> is related to the </w:t>
      </w:r>
      <w:r w:rsidR="00B24633">
        <w:t xml:space="preserve">purpose of </w:t>
      </w:r>
      <w:r w:rsidR="00525B87">
        <w:t xml:space="preserve">the </w:t>
      </w:r>
      <w:r w:rsidR="00B24633">
        <w:t xml:space="preserve">facilities and activities </w:t>
      </w:r>
      <w:r w:rsidR="003C7005">
        <w:t xml:space="preserve">that </w:t>
      </w:r>
      <w:r w:rsidR="00003B7C">
        <w:t>give rise</w:t>
      </w:r>
      <w:r w:rsidR="003C7005">
        <w:t xml:space="preserve"> </w:t>
      </w:r>
      <w:r w:rsidR="00BD1C15">
        <w:t xml:space="preserve">to </w:t>
      </w:r>
      <w:r w:rsidR="003C7005">
        <w:t>radioactive waste</w:t>
      </w:r>
      <w:r w:rsidR="00531FD1">
        <w:t xml:space="preserve"> </w:t>
      </w:r>
      <w:r w:rsidR="00BD1C15">
        <w:t>and</w:t>
      </w:r>
      <w:r w:rsidR="00531FD1">
        <w:t xml:space="preserve"> thus intrinsically linked to justification</w:t>
      </w:r>
      <w:r w:rsidR="00EF69EC">
        <w:t>.</w:t>
      </w:r>
      <w:r w:rsidR="00B24633">
        <w:t xml:space="preserve"> </w:t>
      </w:r>
    </w:p>
    <w:p w14:paraId="5DC13CC5" w14:textId="16AC468A" w:rsidR="00FB0BC6" w:rsidRDefault="00A270F0" w:rsidP="00483D45">
      <w:pPr>
        <w:spacing w:before="120" w:line="264" w:lineRule="auto"/>
      </w:pPr>
      <w:r>
        <w:t>T</w:t>
      </w:r>
      <w:r w:rsidR="001D1578">
        <w:t>he ARPANSA reviewers</w:t>
      </w:r>
      <w:r w:rsidR="00434955">
        <w:t xml:space="preserve"> grouped the issues into themes and </w:t>
      </w:r>
      <w:r w:rsidR="00E163FC">
        <w:t>evaluated the</w:t>
      </w:r>
      <w:r>
        <w:t>m</w:t>
      </w:r>
      <w:r w:rsidR="00692BDD">
        <w:t xml:space="preserve"> </w:t>
      </w:r>
      <w:r w:rsidR="00007133">
        <w:t>as recorded in</w:t>
      </w:r>
      <w:r w:rsidR="005B7B9F">
        <w:t xml:space="preserve"> </w:t>
      </w:r>
      <w:r w:rsidR="00807109">
        <w:t>a</w:t>
      </w:r>
      <w:r w:rsidR="005B7B9F">
        <w:t>ppendix</w:t>
      </w:r>
      <w:r w:rsidR="003228F5">
        <w:t xml:space="preserve"> 3</w:t>
      </w:r>
      <w:r w:rsidR="009551C1">
        <w:rPr>
          <w:rStyle w:val="FootnoteReference"/>
        </w:rPr>
        <w:footnoteReference w:id="37"/>
      </w:r>
      <w:r w:rsidR="005B7B9F">
        <w:t xml:space="preserve"> to </w:t>
      </w:r>
      <w:r w:rsidR="00007133">
        <w:t xml:space="preserve">the Regulatory Assessment Report. </w:t>
      </w:r>
      <w:r w:rsidR="008A796F">
        <w:t xml:space="preserve">ANSTO was consulted </w:t>
      </w:r>
      <w:r w:rsidR="009551C1">
        <w:t>in cases where the factual correctness had to be verified</w:t>
      </w:r>
      <w:r w:rsidR="000D30C1">
        <w:t xml:space="preserve">. </w:t>
      </w:r>
      <w:r>
        <w:t>In this section</w:t>
      </w:r>
      <w:r w:rsidR="00513F1A">
        <w:t xml:space="preserve">, I consider the </w:t>
      </w:r>
      <w:r w:rsidR="000D30C1">
        <w:t>comments in an aggregated form</w:t>
      </w:r>
      <w:r w:rsidR="00B70564">
        <w:t xml:space="preserve"> where s</w:t>
      </w:r>
      <w:r w:rsidR="00AF5F39">
        <w:t>ome of the</w:t>
      </w:r>
      <w:r w:rsidR="00F865D0">
        <w:t xml:space="preserve"> nuances </w:t>
      </w:r>
      <w:r w:rsidR="00971025">
        <w:t xml:space="preserve">will </w:t>
      </w:r>
      <w:r w:rsidR="00F865D0">
        <w:t xml:space="preserve">have </w:t>
      </w:r>
      <w:r w:rsidR="00BE0FB4">
        <w:t xml:space="preserve">been </w:t>
      </w:r>
      <w:r w:rsidR="00F865D0">
        <w:t>lost</w:t>
      </w:r>
      <w:r w:rsidR="00B751C5">
        <w:t>,</w:t>
      </w:r>
      <w:r w:rsidR="00AF5F39">
        <w:t xml:space="preserve"> although</w:t>
      </w:r>
      <w:r w:rsidR="00C62DEB">
        <w:t xml:space="preserve"> </w:t>
      </w:r>
      <w:r w:rsidR="00177A19">
        <w:t xml:space="preserve">– in my view - </w:t>
      </w:r>
      <w:r w:rsidR="00C62DEB">
        <w:t xml:space="preserve">the </w:t>
      </w:r>
      <w:r w:rsidR="000255F5">
        <w:t>‘</w:t>
      </w:r>
      <w:r w:rsidR="00C62DEB">
        <w:t>essence’</w:t>
      </w:r>
      <w:r w:rsidR="00971025">
        <w:t xml:space="preserve"> is </w:t>
      </w:r>
      <w:r w:rsidR="00D114E6">
        <w:t>captured</w:t>
      </w:r>
      <w:r w:rsidR="00D77D77">
        <w:t xml:space="preserve">. </w:t>
      </w:r>
      <w:r w:rsidR="00F865D0">
        <w:t xml:space="preserve">I refer a reader to the </w:t>
      </w:r>
      <w:r w:rsidR="00807109">
        <w:t xml:space="preserve">previously mentioned </w:t>
      </w:r>
      <w:r w:rsidR="004B058E">
        <w:t>a</w:t>
      </w:r>
      <w:r w:rsidR="00807109">
        <w:t>ppendix to the RAR</w:t>
      </w:r>
      <w:r w:rsidR="00807800">
        <w:t xml:space="preserve"> for </w:t>
      </w:r>
      <w:r w:rsidR="00D525AD">
        <w:t>full</w:t>
      </w:r>
      <w:r w:rsidR="00807800">
        <w:t xml:space="preserve"> detail. </w:t>
      </w:r>
      <w:r w:rsidR="00F865D0">
        <w:t xml:space="preserve">Some of the </w:t>
      </w:r>
      <w:r w:rsidR="001B5590">
        <w:t xml:space="preserve">views </w:t>
      </w:r>
      <w:r w:rsidR="00807800">
        <w:t>recorded</w:t>
      </w:r>
      <w:r w:rsidR="00F865D0">
        <w:t xml:space="preserve"> in the submissions </w:t>
      </w:r>
      <w:r w:rsidR="003A7755">
        <w:t>express perceptions</w:t>
      </w:r>
      <w:r w:rsidR="00F865D0">
        <w:t xml:space="preserve"> based on conjecture</w:t>
      </w:r>
      <w:r w:rsidR="008616B5">
        <w:t xml:space="preserve">; I </w:t>
      </w:r>
      <w:r w:rsidR="009570B0">
        <w:t>have not commented on those</w:t>
      </w:r>
      <w:r w:rsidR="008616B5">
        <w:t>.</w:t>
      </w:r>
    </w:p>
    <w:p w14:paraId="4ED298F4" w14:textId="0831174C" w:rsidR="00BA7CA0" w:rsidRDefault="00BA7CA0" w:rsidP="00483D45">
      <w:pPr>
        <w:spacing w:before="120" w:line="264" w:lineRule="auto"/>
      </w:pPr>
      <w:r>
        <w:lastRenderedPageBreak/>
        <w:t>One submission</w:t>
      </w:r>
      <w:r w:rsidR="00F369E5">
        <w:t xml:space="preserve"> </w:t>
      </w:r>
      <w:r>
        <w:t xml:space="preserve">was made with the request that the </w:t>
      </w:r>
      <w:r w:rsidR="00F35307">
        <w:t>contents</w:t>
      </w:r>
      <w:r>
        <w:t xml:space="preserve"> remain confidential.</w:t>
      </w:r>
      <w:r w:rsidR="00FD5A84">
        <w:t xml:space="preserve"> </w:t>
      </w:r>
      <w:r>
        <w:t>While the content has been</w:t>
      </w:r>
      <w:r w:rsidR="0083062F">
        <w:t xml:space="preserve"> reviewed by ARPANSA</w:t>
      </w:r>
      <w:r w:rsidR="00015B48">
        <w:t xml:space="preserve"> and considered in the decision</w:t>
      </w:r>
      <w:r w:rsidR="0083062F">
        <w:t xml:space="preserve">, the RAR and this Statement of Reasons </w:t>
      </w:r>
      <w:r w:rsidR="00A454BF">
        <w:t xml:space="preserve">do not make specific </w:t>
      </w:r>
      <w:r w:rsidR="005D2C1F">
        <w:t>reference</w:t>
      </w:r>
      <w:r w:rsidR="00A454BF">
        <w:t xml:space="preserve"> </w:t>
      </w:r>
      <w:r w:rsidR="00702E46">
        <w:t>to any</w:t>
      </w:r>
      <w:r w:rsidR="00A454BF">
        <w:t xml:space="preserve"> </w:t>
      </w:r>
      <w:r w:rsidR="005D2C1F">
        <w:t>details</w:t>
      </w:r>
      <w:r w:rsidR="00A454BF">
        <w:t xml:space="preserve"> of the submission</w:t>
      </w:r>
      <w:r w:rsidR="00702E46">
        <w:t xml:space="preserve"> to prevent </w:t>
      </w:r>
      <w:r w:rsidR="0083062F">
        <w:t xml:space="preserve">inadvertent </w:t>
      </w:r>
      <w:r w:rsidR="00D32AB0">
        <w:t xml:space="preserve">disclosure of the identity of the </w:t>
      </w:r>
      <w:r w:rsidR="00FD5A84">
        <w:t xml:space="preserve">person or body making the submission. </w:t>
      </w:r>
      <w:r w:rsidR="00E1014E">
        <w:t xml:space="preserve">Broadly, it related to the </w:t>
      </w:r>
      <w:r w:rsidR="008E3A02">
        <w:t xml:space="preserve">financial </w:t>
      </w:r>
      <w:r w:rsidR="00943D0C">
        <w:t xml:space="preserve">justification of continued </w:t>
      </w:r>
      <w:r w:rsidR="005A5559">
        <w:t>nuclear medicine production</w:t>
      </w:r>
      <w:r w:rsidR="00943D0C">
        <w:t xml:space="preserve"> at ANSTO and </w:t>
      </w:r>
      <w:r w:rsidR="00215F45">
        <w:t xml:space="preserve">therefore </w:t>
      </w:r>
      <w:r w:rsidR="00943D0C">
        <w:t>the need for</w:t>
      </w:r>
      <w:r w:rsidR="00295342">
        <w:t xml:space="preserve"> </w:t>
      </w:r>
      <w:r w:rsidR="005A5559">
        <w:t>the ILWCI Facility</w:t>
      </w:r>
      <w:r w:rsidR="00215F45">
        <w:t xml:space="preserve">. </w:t>
      </w:r>
      <w:r w:rsidR="00620FDE">
        <w:t xml:space="preserve">It did </w:t>
      </w:r>
      <w:r w:rsidR="0097379B">
        <w:t xml:space="preserve">also raise </w:t>
      </w:r>
      <w:r w:rsidR="001C4A6F">
        <w:t xml:space="preserve">questions regarding the appropriateness of the </w:t>
      </w:r>
      <w:r w:rsidR="00CD3E56">
        <w:t>p</w:t>
      </w:r>
      <w:r w:rsidR="00620FDE">
        <w:t xml:space="preserve">roposed </w:t>
      </w:r>
      <w:r w:rsidR="00743C23">
        <w:t>NRWMF</w:t>
      </w:r>
      <w:r w:rsidR="00620FDE">
        <w:t xml:space="preserve"> facility</w:t>
      </w:r>
      <w:r w:rsidR="003E322D">
        <w:t xml:space="preserve"> </w:t>
      </w:r>
      <w:r w:rsidR="00CD3E56">
        <w:t xml:space="preserve">in relation to alternative </w:t>
      </w:r>
      <w:r w:rsidR="00743C23">
        <w:t xml:space="preserve">site </w:t>
      </w:r>
      <w:r w:rsidR="00CD3E56">
        <w:t xml:space="preserve">options. </w:t>
      </w:r>
    </w:p>
    <w:p w14:paraId="74207AF4" w14:textId="0A462AD9" w:rsidR="009C039D" w:rsidRDefault="009C039D" w:rsidP="001B2873">
      <w:pPr>
        <w:pStyle w:val="Heading3"/>
        <w:numPr>
          <w:ilvl w:val="2"/>
          <w:numId w:val="3"/>
        </w:numPr>
        <w:spacing w:before="120" w:after="60"/>
        <w:ind w:left="1077"/>
      </w:pPr>
      <w:bookmarkStart w:id="52" w:name="_Toc96958683"/>
      <w:bookmarkStart w:id="53" w:name="_Toc418680041"/>
      <w:r w:rsidRPr="00191B52">
        <w:t>Considerations</w:t>
      </w:r>
      <w:bookmarkEnd w:id="52"/>
      <w:r w:rsidRPr="00191B52">
        <w:t xml:space="preserve"> </w:t>
      </w:r>
      <w:bookmarkEnd w:id="53"/>
    </w:p>
    <w:p w14:paraId="40E67A16" w14:textId="3BE40BB8" w:rsidR="00F301D1" w:rsidRPr="00497600" w:rsidRDefault="00FE6C75" w:rsidP="003B6D27">
      <w:pPr>
        <w:pStyle w:val="Heading4"/>
      </w:pPr>
      <w:r w:rsidRPr="00497600">
        <w:t xml:space="preserve">The forecast </w:t>
      </w:r>
      <w:r w:rsidR="00B53A2F" w:rsidRPr="00497600">
        <w:t xml:space="preserve">for reaching </w:t>
      </w:r>
      <w:r w:rsidR="00862C0D" w:rsidRPr="00497600">
        <w:t>capacit</w:t>
      </w:r>
      <w:r w:rsidR="00497600">
        <w:t>y o</w:t>
      </w:r>
      <w:r w:rsidR="00862C0D" w:rsidRPr="00497600">
        <w:t xml:space="preserve">f the ILWCI Facility (2037) </w:t>
      </w:r>
    </w:p>
    <w:p w14:paraId="1768D02A" w14:textId="5DE68EA1" w:rsidR="006B4794" w:rsidRDefault="00317ADD" w:rsidP="00457376">
      <w:pPr>
        <w:spacing w:before="120" w:line="264" w:lineRule="auto"/>
      </w:pPr>
      <w:r>
        <w:t xml:space="preserve">One submission </w:t>
      </w:r>
      <w:r w:rsidR="00F35307">
        <w:t>questioned</w:t>
      </w:r>
      <w:r w:rsidR="001A0A83">
        <w:t xml:space="preserve"> </w:t>
      </w:r>
      <w:r w:rsidR="0005190F">
        <w:t xml:space="preserve">the </w:t>
      </w:r>
      <w:r w:rsidR="0072567D">
        <w:t>precision of ANSTO’s estimate</w:t>
      </w:r>
      <w:r w:rsidR="0063278C">
        <w:t xml:space="preserve"> of </w:t>
      </w:r>
      <w:r w:rsidR="0024416C">
        <w:t>when</w:t>
      </w:r>
      <w:r w:rsidR="00FC62F6">
        <w:t xml:space="preserve"> the ILWCI </w:t>
      </w:r>
      <w:r w:rsidR="00494924">
        <w:t xml:space="preserve">Facility </w:t>
      </w:r>
      <w:r w:rsidR="00FF2414">
        <w:t xml:space="preserve">is expected to </w:t>
      </w:r>
      <w:r w:rsidR="00FC62F6">
        <w:t xml:space="preserve">reach capacity. </w:t>
      </w:r>
      <w:r w:rsidR="00EF1973">
        <w:t>ANSTO</w:t>
      </w:r>
      <w:r w:rsidR="00AE51BD">
        <w:t xml:space="preserve"> considers that the ILWCI Facility will be able to receive </w:t>
      </w:r>
      <w:r w:rsidR="008A04E4">
        <w:t>waste until 2037</w:t>
      </w:r>
      <w:r w:rsidR="00494924">
        <w:t xml:space="preserve">. </w:t>
      </w:r>
      <w:r w:rsidR="00A40B42">
        <w:t xml:space="preserve">ARPANSA considers it </w:t>
      </w:r>
      <w:r w:rsidR="00034A1B">
        <w:t xml:space="preserve">desirable </w:t>
      </w:r>
      <w:r w:rsidR="00FB78BA">
        <w:t xml:space="preserve">to </w:t>
      </w:r>
      <w:r w:rsidR="00A40B42">
        <w:t>explore</w:t>
      </w:r>
      <w:r w:rsidR="00105354">
        <w:t xml:space="preserve"> </w:t>
      </w:r>
      <w:r w:rsidR="006B4794">
        <w:t xml:space="preserve">different scenarios </w:t>
      </w:r>
      <w:r w:rsidR="00105354">
        <w:t xml:space="preserve">regarding </w:t>
      </w:r>
      <w:r w:rsidR="00E8640D">
        <w:t xml:space="preserve">national and international supply and demand of nuclear medicine and </w:t>
      </w:r>
      <w:r w:rsidR="00A40B42">
        <w:t xml:space="preserve">the possibility </w:t>
      </w:r>
      <w:r w:rsidR="00D23764">
        <w:t xml:space="preserve">that existing </w:t>
      </w:r>
      <w:r w:rsidR="000F1D9D">
        <w:t xml:space="preserve">production facilities may retire </w:t>
      </w:r>
      <w:r w:rsidR="00CA36BF">
        <w:t>and/or</w:t>
      </w:r>
      <w:r w:rsidR="000F1D9D">
        <w:t xml:space="preserve"> </w:t>
      </w:r>
      <w:r w:rsidR="00D23764">
        <w:t xml:space="preserve">new facilities </w:t>
      </w:r>
      <w:r w:rsidR="000F1D9D">
        <w:t xml:space="preserve">come online. </w:t>
      </w:r>
      <w:r w:rsidR="00A11D12">
        <w:t>A</w:t>
      </w:r>
      <w:r w:rsidR="006B4794">
        <w:t xml:space="preserve"> </w:t>
      </w:r>
      <w:r w:rsidR="00AE3DCE">
        <w:t xml:space="preserve">licence condition has been </w:t>
      </w:r>
      <w:r w:rsidR="00335C48">
        <w:t>issued</w:t>
      </w:r>
      <w:r w:rsidR="003E48CD">
        <w:t xml:space="preserve"> to</w:t>
      </w:r>
      <w:r w:rsidR="00566B20">
        <w:t xml:space="preserve"> </w:t>
      </w:r>
      <w:r w:rsidR="008C3ACF">
        <w:t xml:space="preserve">gain more certainty regarding the </w:t>
      </w:r>
      <w:r w:rsidR="00E36D72">
        <w:t>time</w:t>
      </w:r>
      <w:r w:rsidR="0045012B">
        <w:t xml:space="preserve"> during which</w:t>
      </w:r>
      <w:r w:rsidR="00E36D72">
        <w:t xml:space="preserve"> the ILWCI </w:t>
      </w:r>
      <w:r w:rsidR="00822848">
        <w:t>fa</w:t>
      </w:r>
      <w:r w:rsidR="00C36EF1">
        <w:t xml:space="preserve">cility </w:t>
      </w:r>
      <w:r w:rsidR="00E36D72">
        <w:t>may receive waste</w:t>
      </w:r>
      <w:r w:rsidR="00582274">
        <w:t xml:space="preserve"> and</w:t>
      </w:r>
      <w:r w:rsidR="0050635E">
        <w:t xml:space="preserve">, </w:t>
      </w:r>
      <w:proofErr w:type="gramStart"/>
      <w:r w:rsidR="0050635E">
        <w:t>as a consequence</w:t>
      </w:r>
      <w:proofErr w:type="gramEnd"/>
      <w:r w:rsidR="0050635E">
        <w:t>,</w:t>
      </w:r>
      <w:r w:rsidR="00582274">
        <w:t xml:space="preserve"> nuclear medicine production can be sustained without the need for </w:t>
      </w:r>
      <w:r w:rsidR="0050635E">
        <w:t xml:space="preserve">further contingency measures. </w:t>
      </w:r>
    </w:p>
    <w:p w14:paraId="559032BD" w14:textId="22C80511" w:rsidR="00143F42" w:rsidRDefault="001A3B54" w:rsidP="003B6D27">
      <w:pPr>
        <w:pStyle w:val="Heading4"/>
      </w:pPr>
      <w:r>
        <w:t xml:space="preserve">Storage of ILW until </w:t>
      </w:r>
      <w:r w:rsidR="00FF6C8C">
        <w:t>disposal</w:t>
      </w:r>
    </w:p>
    <w:p w14:paraId="37044A23" w14:textId="4F0C59E5" w:rsidR="00C54665" w:rsidRDefault="00E96167" w:rsidP="00457376">
      <w:pPr>
        <w:spacing w:before="120" w:line="264" w:lineRule="auto"/>
      </w:pPr>
      <w:r>
        <w:t xml:space="preserve">Several submissions </w:t>
      </w:r>
      <w:r w:rsidR="005F56F2">
        <w:t>raised</w:t>
      </w:r>
      <w:r>
        <w:t xml:space="preserve"> question</w:t>
      </w:r>
      <w:r w:rsidR="005F56F2">
        <w:t xml:space="preserve">s </w:t>
      </w:r>
      <w:r w:rsidR="003F2CD7">
        <w:t xml:space="preserve">around the need </w:t>
      </w:r>
      <w:r w:rsidR="00F111FB">
        <w:t xml:space="preserve">for </w:t>
      </w:r>
      <w:r w:rsidR="002777D3">
        <w:t>a storage facility for ILW as part of the N</w:t>
      </w:r>
      <w:r w:rsidR="00494924">
        <w:t xml:space="preserve">RWMF. </w:t>
      </w:r>
      <w:r w:rsidR="008711EB">
        <w:t xml:space="preserve">The </w:t>
      </w:r>
      <w:r w:rsidR="00770CFB">
        <w:t>questions are summarised</w:t>
      </w:r>
      <w:r w:rsidR="001E0DBC">
        <w:t xml:space="preserve"> in italics below, </w:t>
      </w:r>
      <w:r w:rsidR="00DA7457">
        <w:t xml:space="preserve">followed by </w:t>
      </w:r>
      <w:r w:rsidR="001E0DBC">
        <w:t xml:space="preserve">my </w:t>
      </w:r>
      <w:r w:rsidR="00BA6F6C">
        <w:t>response</w:t>
      </w:r>
      <w:r w:rsidR="00D773AB">
        <w:t>.</w:t>
      </w:r>
      <w:r w:rsidR="0094434E">
        <w:t xml:space="preserve"> </w:t>
      </w:r>
    </w:p>
    <w:p w14:paraId="7867DBA0" w14:textId="359021CB" w:rsidR="006C24C5" w:rsidRPr="007D102D" w:rsidRDefault="00EB2F9C" w:rsidP="001B2873">
      <w:pPr>
        <w:pStyle w:val="ListParagraph"/>
        <w:numPr>
          <w:ilvl w:val="0"/>
          <w:numId w:val="12"/>
        </w:numPr>
        <w:spacing w:line="264" w:lineRule="auto"/>
      </w:pPr>
      <w:r w:rsidRPr="007D102D">
        <w:rPr>
          <w:i/>
          <w:iCs/>
        </w:rPr>
        <w:t>ARPANSA should require that all ILW remain at Lucas Heights un</w:t>
      </w:r>
      <w:r w:rsidR="00C20F60" w:rsidRPr="007D102D">
        <w:rPr>
          <w:i/>
          <w:iCs/>
        </w:rPr>
        <w:t>til a disposal facility has been established</w:t>
      </w:r>
      <w:r w:rsidR="00C20F60" w:rsidRPr="007D102D">
        <w:t xml:space="preserve"> </w:t>
      </w:r>
    </w:p>
    <w:p w14:paraId="7B7BF14C" w14:textId="49B1A4E2" w:rsidR="00CA47BA" w:rsidRDefault="00970997" w:rsidP="006C24C5">
      <w:pPr>
        <w:pStyle w:val="ListParagraph"/>
        <w:numPr>
          <w:ilvl w:val="0"/>
          <w:numId w:val="0"/>
        </w:numPr>
        <w:spacing w:line="264" w:lineRule="auto"/>
        <w:ind w:left="720"/>
      </w:pPr>
      <w:r>
        <w:t xml:space="preserve">ARPANSA’s mandate is not to </w:t>
      </w:r>
      <w:r w:rsidR="00A6407E">
        <w:t xml:space="preserve">plan for the management of </w:t>
      </w:r>
      <w:r>
        <w:t xml:space="preserve">radioactive waste </w:t>
      </w:r>
      <w:r w:rsidR="00A6407E">
        <w:t>at ANSTO or in Australia</w:t>
      </w:r>
      <w:r w:rsidR="00EC41FB">
        <w:t xml:space="preserve">, but to </w:t>
      </w:r>
      <w:r w:rsidR="002B7CB6">
        <w:t xml:space="preserve">review and </w:t>
      </w:r>
      <w:r w:rsidR="00EC41FB">
        <w:t>assess</w:t>
      </w:r>
      <w:r w:rsidR="006A4AB9">
        <w:t xml:space="preserve"> </w:t>
      </w:r>
      <w:r w:rsidR="00D773AB">
        <w:t xml:space="preserve">such </w:t>
      </w:r>
      <w:r w:rsidR="006A4AB9">
        <w:t xml:space="preserve">plans with </w:t>
      </w:r>
      <w:r w:rsidR="00D773AB">
        <w:t>emphasis</w:t>
      </w:r>
      <w:r w:rsidR="00CB3285">
        <w:t xml:space="preserve"> on</w:t>
      </w:r>
      <w:r w:rsidR="006A4AB9">
        <w:t xml:space="preserve"> safety and protection</w:t>
      </w:r>
      <w:r w:rsidR="00CB3285">
        <w:t xml:space="preserve">, </w:t>
      </w:r>
      <w:r w:rsidR="006A4AB9">
        <w:t xml:space="preserve">based on the safety case put forward by the </w:t>
      </w:r>
      <w:r w:rsidR="009027AB">
        <w:t>proponent as well as contingencies</w:t>
      </w:r>
      <w:r w:rsidR="00944998">
        <w:t xml:space="preserve"> and a thorough understanding of the system for waste management</w:t>
      </w:r>
      <w:r w:rsidR="006A4AB9">
        <w:t xml:space="preserve">. </w:t>
      </w:r>
      <w:r w:rsidR="002737CA">
        <w:t xml:space="preserve">ARPANSA’s view is that for some ILW, safe </w:t>
      </w:r>
      <w:r w:rsidR="00B25C82">
        <w:t>storage can continue for decades</w:t>
      </w:r>
      <w:r w:rsidR="00B4024D">
        <w:rPr>
          <w:rStyle w:val="FootnoteReference"/>
        </w:rPr>
        <w:footnoteReference w:id="38"/>
      </w:r>
      <w:r w:rsidR="00BD7EDF">
        <w:t xml:space="preserve">, </w:t>
      </w:r>
      <w:r w:rsidR="002B2DB2">
        <w:t>confirming the views expressed</w:t>
      </w:r>
      <w:r w:rsidR="002A48E8">
        <w:t xml:space="preserve"> by ANSTO</w:t>
      </w:r>
      <w:r w:rsidR="002A48E8">
        <w:rPr>
          <w:rStyle w:val="FootnoteReference"/>
        </w:rPr>
        <w:footnoteReference w:id="39"/>
      </w:r>
      <w:r w:rsidR="002A48E8">
        <w:t>.</w:t>
      </w:r>
      <w:r w:rsidR="00BE078F">
        <w:t xml:space="preserve"> </w:t>
      </w:r>
      <w:r w:rsidR="00B55EBD">
        <w:t xml:space="preserve">A waste </w:t>
      </w:r>
      <w:r w:rsidR="001C2F7F">
        <w:t xml:space="preserve">management </w:t>
      </w:r>
      <w:r w:rsidR="00B55EBD">
        <w:t xml:space="preserve">strategy </w:t>
      </w:r>
      <w:r w:rsidR="001C5DBE">
        <w:t xml:space="preserve">is under development </w:t>
      </w:r>
      <w:r w:rsidR="006103E2">
        <w:t>by ANSTO</w:t>
      </w:r>
      <w:r w:rsidR="00DA2240">
        <w:t xml:space="preserve">. </w:t>
      </w:r>
      <w:r w:rsidR="006103E2">
        <w:t xml:space="preserve"> </w:t>
      </w:r>
      <w:r w:rsidR="009D282E">
        <w:t>The</w:t>
      </w:r>
      <w:r w:rsidR="003960D8">
        <w:t xml:space="preserve"> strategy should consider all </w:t>
      </w:r>
      <w:r w:rsidR="000F6F01">
        <w:t xml:space="preserve">waste streams, including </w:t>
      </w:r>
      <w:r w:rsidR="004810F0">
        <w:t>legacy waste</w:t>
      </w:r>
      <w:r w:rsidR="002B6ADC">
        <w:t xml:space="preserve">, and the different options for </w:t>
      </w:r>
      <w:r w:rsidR="000249A9">
        <w:t>predisposal management and disposal.</w:t>
      </w:r>
      <w:r w:rsidR="004810F0">
        <w:t xml:space="preserve"> This matter is subject to ongoing discussions between ARPANSA and ANSTO.</w:t>
      </w:r>
    </w:p>
    <w:p w14:paraId="0E2F00AA" w14:textId="5A6837F1" w:rsidR="006C24C5" w:rsidRPr="002D0B21" w:rsidRDefault="00B4200D" w:rsidP="001B2873">
      <w:pPr>
        <w:pStyle w:val="ListParagraph"/>
        <w:numPr>
          <w:ilvl w:val="0"/>
          <w:numId w:val="12"/>
        </w:numPr>
        <w:spacing w:line="264" w:lineRule="auto"/>
      </w:pPr>
      <w:r w:rsidRPr="002D0B21">
        <w:rPr>
          <w:i/>
          <w:iCs/>
        </w:rPr>
        <w:t xml:space="preserve">ARPANSA should prepare for a </w:t>
      </w:r>
      <w:r w:rsidR="00295614" w:rsidRPr="002D0B21">
        <w:rPr>
          <w:i/>
          <w:iCs/>
        </w:rPr>
        <w:t>decision that a ILW stor</w:t>
      </w:r>
      <w:r w:rsidR="00543889" w:rsidRPr="002D0B21">
        <w:rPr>
          <w:i/>
          <w:iCs/>
        </w:rPr>
        <w:t>e (as part of the NRWMF)</w:t>
      </w:r>
      <w:r w:rsidR="00295614" w:rsidRPr="002D0B21">
        <w:rPr>
          <w:i/>
          <w:iCs/>
        </w:rPr>
        <w:t xml:space="preserve"> may not be licen</w:t>
      </w:r>
      <w:r w:rsidR="00284CC0">
        <w:rPr>
          <w:i/>
          <w:iCs/>
        </w:rPr>
        <w:t>s</w:t>
      </w:r>
      <w:r w:rsidR="00295614" w:rsidRPr="002D0B21">
        <w:rPr>
          <w:i/>
          <w:iCs/>
        </w:rPr>
        <w:t xml:space="preserve">ed and </w:t>
      </w:r>
      <w:r w:rsidR="009665A3" w:rsidRPr="002D0B21">
        <w:rPr>
          <w:i/>
          <w:iCs/>
        </w:rPr>
        <w:t xml:space="preserve">that licence applications for a disposal </w:t>
      </w:r>
      <w:r w:rsidR="00EF74B0" w:rsidRPr="002D0B21">
        <w:rPr>
          <w:i/>
          <w:iCs/>
        </w:rPr>
        <w:t>facility</w:t>
      </w:r>
      <w:r w:rsidR="009665A3" w:rsidRPr="002D0B21">
        <w:rPr>
          <w:i/>
          <w:iCs/>
        </w:rPr>
        <w:t xml:space="preserve"> for low-level waste and for storage of intermediate level waste </w:t>
      </w:r>
      <w:r w:rsidR="00DD0D3B" w:rsidRPr="002D0B21">
        <w:rPr>
          <w:i/>
          <w:iCs/>
        </w:rPr>
        <w:t xml:space="preserve">must be separate </w:t>
      </w:r>
    </w:p>
    <w:p w14:paraId="4B02052F" w14:textId="4CE0043F" w:rsidR="00B4200D" w:rsidRDefault="003F6B3B" w:rsidP="006C24C5">
      <w:pPr>
        <w:pStyle w:val="ListParagraph"/>
        <w:numPr>
          <w:ilvl w:val="0"/>
          <w:numId w:val="0"/>
        </w:numPr>
        <w:spacing w:line="264" w:lineRule="auto"/>
        <w:ind w:left="720"/>
      </w:pPr>
      <w:r>
        <w:t>Because of fundamentally different purposes, t</w:t>
      </w:r>
      <w:r w:rsidR="008B2E6B">
        <w:t>he safety case</w:t>
      </w:r>
      <w:r w:rsidR="00EB02D9">
        <w:t xml:space="preserve"> for disposal of LLW would</w:t>
      </w:r>
      <w:r w:rsidR="00845701">
        <w:t xml:space="preserve"> reasonably</w:t>
      </w:r>
      <w:r w:rsidR="00EB02D9">
        <w:t xml:space="preserve"> </w:t>
      </w:r>
      <w:r w:rsidR="00D83A30">
        <w:t>differ significantly from the safety case for ILW disposal</w:t>
      </w:r>
      <w:r w:rsidR="00E40EA2" w:rsidRPr="00E40EA2">
        <w:t xml:space="preserve"> </w:t>
      </w:r>
      <w:r w:rsidR="00E40EA2">
        <w:t xml:space="preserve">and </w:t>
      </w:r>
      <w:r w:rsidR="00D663CA">
        <w:t xml:space="preserve">require </w:t>
      </w:r>
      <w:r w:rsidR="00E40EA2">
        <w:t>separate reviews and assessments</w:t>
      </w:r>
      <w:r w:rsidR="00EF084B">
        <w:t>. It is</w:t>
      </w:r>
      <w:r w:rsidR="00D663CA">
        <w:t>,</w:t>
      </w:r>
      <w:r w:rsidR="00EF084B">
        <w:t xml:space="preserve"> </w:t>
      </w:r>
      <w:r w:rsidR="00323C69">
        <w:t xml:space="preserve">therefore, </w:t>
      </w:r>
      <w:r w:rsidR="00FF4913">
        <w:t xml:space="preserve">also </w:t>
      </w:r>
      <w:r w:rsidR="008308CC">
        <w:t xml:space="preserve">reasonable </w:t>
      </w:r>
      <w:r w:rsidR="00547C6A">
        <w:t>to consider storage and disposal at a proposed NRWMF</w:t>
      </w:r>
      <w:r w:rsidR="00FE2CF6">
        <w:t xml:space="preserve"> under </w:t>
      </w:r>
      <w:r w:rsidR="00547C6A">
        <w:t>separate</w:t>
      </w:r>
      <w:r w:rsidR="00FE2CF6">
        <w:t xml:space="preserve"> licensing</w:t>
      </w:r>
      <w:r w:rsidR="00547C6A">
        <w:t xml:space="preserve"> </w:t>
      </w:r>
      <w:r w:rsidR="00716B7A">
        <w:t>in</w:t>
      </w:r>
      <w:r w:rsidR="008308CC">
        <w:t xml:space="preserve"> the regulatory decision</w:t>
      </w:r>
      <w:r w:rsidR="00017957">
        <w:t>-making</w:t>
      </w:r>
      <w:r w:rsidR="003E6857">
        <w:t xml:space="preserve"> </w:t>
      </w:r>
      <w:r w:rsidR="00850CEA">
        <w:t>process</w:t>
      </w:r>
      <w:r w:rsidR="00845971">
        <w:t>, potentially reaching different c</w:t>
      </w:r>
      <w:r w:rsidR="00017957">
        <w:t>onclusions</w:t>
      </w:r>
      <w:r w:rsidR="003E6857">
        <w:t xml:space="preserve">. </w:t>
      </w:r>
      <w:r w:rsidR="008308CC">
        <w:t xml:space="preserve"> </w:t>
      </w:r>
    </w:p>
    <w:p w14:paraId="7A29F5B7" w14:textId="5E4C70CC" w:rsidR="006C24C5" w:rsidRPr="002D0B21" w:rsidRDefault="00BC7298" w:rsidP="001B2873">
      <w:pPr>
        <w:pStyle w:val="ListParagraph"/>
        <w:numPr>
          <w:ilvl w:val="0"/>
          <w:numId w:val="12"/>
        </w:numPr>
        <w:spacing w:line="264" w:lineRule="auto"/>
      </w:pPr>
      <w:r w:rsidRPr="002D0B21">
        <w:rPr>
          <w:i/>
          <w:iCs/>
        </w:rPr>
        <w:t>The</w:t>
      </w:r>
      <w:r w:rsidR="005B1E17" w:rsidRPr="002D0B21">
        <w:rPr>
          <w:i/>
          <w:iCs/>
        </w:rPr>
        <w:t xml:space="preserve"> process for</w:t>
      </w:r>
      <w:r w:rsidRPr="002D0B21">
        <w:rPr>
          <w:i/>
          <w:iCs/>
        </w:rPr>
        <w:t xml:space="preserve"> </w:t>
      </w:r>
      <w:r w:rsidR="005B1E17" w:rsidRPr="002D0B21">
        <w:rPr>
          <w:i/>
          <w:iCs/>
        </w:rPr>
        <w:t xml:space="preserve">siting of the NRWMF </w:t>
      </w:r>
      <w:r w:rsidR="00915561" w:rsidRPr="002D0B21">
        <w:rPr>
          <w:i/>
          <w:iCs/>
        </w:rPr>
        <w:t xml:space="preserve">does not </w:t>
      </w:r>
      <w:proofErr w:type="gramStart"/>
      <w:r w:rsidR="00915561" w:rsidRPr="002D0B21">
        <w:rPr>
          <w:i/>
          <w:iCs/>
        </w:rPr>
        <w:t>take into account</w:t>
      </w:r>
      <w:proofErr w:type="gramEnd"/>
      <w:r w:rsidR="00915561" w:rsidRPr="002D0B21">
        <w:rPr>
          <w:i/>
          <w:iCs/>
        </w:rPr>
        <w:t xml:space="preserve"> advice, </w:t>
      </w:r>
      <w:r w:rsidR="00010969" w:rsidRPr="002D0B21">
        <w:rPr>
          <w:i/>
          <w:iCs/>
        </w:rPr>
        <w:t>jurisdictional legislation and the views of the traditional owners</w:t>
      </w:r>
      <w:r w:rsidR="00BB1FF4" w:rsidRPr="002D0B21">
        <w:rPr>
          <w:i/>
          <w:iCs/>
        </w:rPr>
        <w:t xml:space="preserve"> of the land</w:t>
      </w:r>
      <w:r w:rsidR="00087424" w:rsidRPr="002D0B21">
        <w:rPr>
          <w:i/>
          <w:iCs/>
        </w:rPr>
        <w:t xml:space="preserve"> </w:t>
      </w:r>
    </w:p>
    <w:p w14:paraId="6B467F90" w14:textId="1CF4209E" w:rsidR="005C1AA7" w:rsidRDefault="00087424" w:rsidP="006C24C5">
      <w:pPr>
        <w:pStyle w:val="ListParagraph"/>
        <w:numPr>
          <w:ilvl w:val="0"/>
          <w:numId w:val="0"/>
        </w:numPr>
        <w:spacing w:line="264" w:lineRule="auto"/>
        <w:ind w:left="720"/>
      </w:pPr>
      <w:r>
        <w:lastRenderedPageBreak/>
        <w:t xml:space="preserve">ARPANSA has closely followed the </w:t>
      </w:r>
      <w:r w:rsidR="00B078F4">
        <w:t xml:space="preserve">successive steps in the process for </w:t>
      </w:r>
      <w:r w:rsidR="00AC2CAA">
        <w:t xml:space="preserve">selecting a site for the NRWMF. Since </w:t>
      </w:r>
      <w:r w:rsidR="00AC2CAA" w:rsidRPr="00CA5E6E">
        <w:t>2016</w:t>
      </w:r>
      <w:r w:rsidR="00AC2CAA">
        <w:t xml:space="preserve">, at a stage when the </w:t>
      </w:r>
      <w:r w:rsidR="00A30B51">
        <w:t xml:space="preserve">process had narrowed down to one </w:t>
      </w:r>
      <w:r w:rsidR="00716B7A">
        <w:t xml:space="preserve">site </w:t>
      </w:r>
      <w:r w:rsidR="00A30B51">
        <w:t xml:space="preserve">and subsequently </w:t>
      </w:r>
      <w:r w:rsidR="00530FED">
        <w:t xml:space="preserve">broadened to </w:t>
      </w:r>
      <w:r w:rsidR="00A30B51">
        <w:t xml:space="preserve">three specific sites in South Australia, ARPANSA has reached out to </w:t>
      </w:r>
      <w:r w:rsidR="00467F59">
        <w:t xml:space="preserve">local </w:t>
      </w:r>
      <w:r w:rsidR="00A30B51">
        <w:t>communities</w:t>
      </w:r>
      <w:r w:rsidR="00467F59">
        <w:t>,</w:t>
      </w:r>
      <w:r w:rsidR="00A30B51">
        <w:t xml:space="preserve"> </w:t>
      </w:r>
      <w:proofErr w:type="gramStart"/>
      <w:r w:rsidR="00094EB3">
        <w:t>organisations</w:t>
      </w:r>
      <w:proofErr w:type="gramEnd"/>
      <w:r w:rsidR="00094EB3">
        <w:t xml:space="preserve"> and individuals to provide information </w:t>
      </w:r>
      <w:r w:rsidR="00716B7A">
        <w:t>about</w:t>
      </w:r>
      <w:r w:rsidR="00094EB3">
        <w:t xml:space="preserve"> ARPANSA, the process for regulatory review and assessment</w:t>
      </w:r>
      <w:r w:rsidR="009F1DBF">
        <w:t>,</w:t>
      </w:r>
      <w:r w:rsidR="00094EB3">
        <w:t xml:space="preserve"> safety </w:t>
      </w:r>
      <w:r w:rsidR="007E6D0A">
        <w:t>requirements</w:t>
      </w:r>
      <w:r w:rsidR="00E50BBC">
        <w:t>,</w:t>
      </w:r>
      <w:r w:rsidR="00A900BB">
        <w:t xml:space="preserve"> requirements for protection of health and safety of people and the environment</w:t>
      </w:r>
      <w:r w:rsidR="00E50BBC">
        <w:t>, and provisions for engaging stakeholders</w:t>
      </w:r>
      <w:r w:rsidR="00094EB3">
        <w:t xml:space="preserve">. </w:t>
      </w:r>
    </w:p>
    <w:p w14:paraId="1D281801" w14:textId="0094D02B" w:rsidR="00BC7298" w:rsidRDefault="00F03B9E" w:rsidP="005C1AA7">
      <w:pPr>
        <w:pStyle w:val="ListParagraph"/>
        <w:numPr>
          <w:ilvl w:val="0"/>
          <w:numId w:val="0"/>
        </w:numPr>
        <w:spacing w:line="264" w:lineRule="auto"/>
        <w:ind w:left="720"/>
      </w:pPr>
      <w:r>
        <w:t xml:space="preserve">This </w:t>
      </w:r>
      <w:r w:rsidR="00823093">
        <w:t xml:space="preserve">outreach </w:t>
      </w:r>
      <w:r>
        <w:t xml:space="preserve">has not been part of formal consultation </w:t>
      </w:r>
      <w:r w:rsidR="009F1DBF">
        <w:t>under the Act</w:t>
      </w:r>
      <w:r>
        <w:t xml:space="preserve">, which will only commence </w:t>
      </w:r>
      <w:proofErr w:type="gramStart"/>
      <w:r w:rsidR="00012909">
        <w:t>if and when</w:t>
      </w:r>
      <w:proofErr w:type="gramEnd"/>
      <w:r>
        <w:t xml:space="preserve"> ARPANSA receives an application for a licence</w:t>
      </w:r>
      <w:r w:rsidR="00F3337C">
        <w:t>.</w:t>
      </w:r>
      <w:r w:rsidR="004C292B">
        <w:t xml:space="preserve"> </w:t>
      </w:r>
      <w:r w:rsidR="008C3559">
        <w:t xml:space="preserve">Among the issues ARPANSA will consider </w:t>
      </w:r>
      <w:r w:rsidR="00823093">
        <w:t>during</w:t>
      </w:r>
      <w:r w:rsidR="007F40EC">
        <w:t xml:space="preserve"> review and assessment </w:t>
      </w:r>
      <w:r w:rsidR="008C3559">
        <w:t xml:space="preserve">are: whether there are </w:t>
      </w:r>
      <w:r w:rsidR="00DD5A7F">
        <w:t>unresolved legal or technical matters</w:t>
      </w:r>
      <w:r w:rsidR="00A34479">
        <w:t xml:space="preserve">; </w:t>
      </w:r>
      <w:r w:rsidR="00DB036A">
        <w:t>the safety case put forward by the proponent</w:t>
      </w:r>
      <w:r w:rsidR="00221E9B">
        <w:t>; optimisation of protection</w:t>
      </w:r>
      <w:r w:rsidR="005E7242">
        <w:t xml:space="preserve"> while</w:t>
      </w:r>
      <w:r w:rsidR="002C181E">
        <w:t xml:space="preserve"> taking the system </w:t>
      </w:r>
      <w:r w:rsidR="00301F31">
        <w:t xml:space="preserve">for radioactive waste management </w:t>
      </w:r>
      <w:r w:rsidR="002C181E">
        <w:t>into account</w:t>
      </w:r>
      <w:r w:rsidR="00914CC8">
        <w:t xml:space="preserve"> and including economic and societal factors</w:t>
      </w:r>
      <w:r w:rsidR="00EF26EF">
        <w:t xml:space="preserve">; </w:t>
      </w:r>
      <w:r w:rsidR="00F27FEE">
        <w:t xml:space="preserve">any </w:t>
      </w:r>
      <w:r w:rsidR="005C1AA7">
        <w:t>environmental</w:t>
      </w:r>
      <w:r w:rsidR="00F27FEE">
        <w:t xml:space="preserve"> impact assessment requested by </w:t>
      </w:r>
      <w:r w:rsidR="005C0FB3">
        <w:t>any other agency (</w:t>
      </w:r>
      <w:r w:rsidR="00C501AE">
        <w:t>such as</w:t>
      </w:r>
      <w:r w:rsidR="005C0FB3">
        <w:t xml:space="preserve"> under the EPBC Act</w:t>
      </w:r>
      <w:r w:rsidR="005C1AA7">
        <w:t xml:space="preserve"> which among other things </w:t>
      </w:r>
      <w:r w:rsidR="00562DE5">
        <w:t>considers</w:t>
      </w:r>
      <w:r w:rsidR="005C1AA7">
        <w:t xml:space="preserve"> </w:t>
      </w:r>
      <w:r w:rsidR="00CB69EF">
        <w:t>matter</w:t>
      </w:r>
      <w:r w:rsidR="001C5A3F">
        <w:t>s</w:t>
      </w:r>
      <w:r w:rsidR="00CB69EF">
        <w:t xml:space="preserve"> relevant to </w:t>
      </w:r>
      <w:r w:rsidR="005C1AA7">
        <w:t>heritage),</w:t>
      </w:r>
      <w:r w:rsidR="00562DE5">
        <w:t xml:space="preserve"> </w:t>
      </w:r>
      <w:r w:rsidR="00EF26EF">
        <w:t xml:space="preserve">and the content of submissions </w:t>
      </w:r>
      <w:r w:rsidR="00946B0C">
        <w:t>made in relation to the application.</w:t>
      </w:r>
      <w:r w:rsidR="00DD5A7F">
        <w:t xml:space="preserve"> </w:t>
      </w:r>
    </w:p>
    <w:p w14:paraId="01333078" w14:textId="3AB9E3F9" w:rsidR="00D97A44" w:rsidRPr="002D0B21" w:rsidRDefault="00D97A44" w:rsidP="001B2873">
      <w:pPr>
        <w:pStyle w:val="ListParagraph"/>
        <w:numPr>
          <w:ilvl w:val="0"/>
          <w:numId w:val="12"/>
        </w:numPr>
        <w:spacing w:line="264" w:lineRule="auto"/>
        <w:rPr>
          <w:i/>
          <w:iCs/>
        </w:rPr>
      </w:pPr>
      <w:r w:rsidRPr="002D0B21">
        <w:rPr>
          <w:i/>
          <w:iCs/>
        </w:rPr>
        <w:t xml:space="preserve">Requests for explanation of </w:t>
      </w:r>
      <w:r w:rsidR="00A559FF" w:rsidRPr="002D0B21">
        <w:rPr>
          <w:i/>
          <w:iCs/>
        </w:rPr>
        <w:t xml:space="preserve">current federal policy </w:t>
      </w:r>
      <w:r w:rsidR="004A649A" w:rsidRPr="002D0B21">
        <w:rPr>
          <w:i/>
          <w:iCs/>
        </w:rPr>
        <w:t>and preparations for disposal of ILW</w:t>
      </w:r>
    </w:p>
    <w:p w14:paraId="086B95B0" w14:textId="1B8D6A63" w:rsidR="008D555C" w:rsidRPr="008D555C" w:rsidRDefault="00AA39B3" w:rsidP="008D555C">
      <w:pPr>
        <w:pStyle w:val="ListParagraph"/>
        <w:numPr>
          <w:ilvl w:val="0"/>
          <w:numId w:val="0"/>
        </w:numPr>
        <w:spacing w:line="264" w:lineRule="auto"/>
        <w:ind w:left="720"/>
      </w:pPr>
      <w:r>
        <w:t xml:space="preserve">It is not ARPANSA’s place to provide this explanation. The Australian Government has recently </w:t>
      </w:r>
      <w:r w:rsidR="00005BE9">
        <w:t>established the Australian Radioactive Waste Agency</w:t>
      </w:r>
      <w:r w:rsidR="00B16A6C">
        <w:rPr>
          <w:rStyle w:val="FootnoteReference"/>
        </w:rPr>
        <w:footnoteReference w:id="40"/>
      </w:r>
      <w:r w:rsidR="007C283F">
        <w:t xml:space="preserve"> for the purpose of providing policy advice to the appropriate policy department, the Department of Science</w:t>
      </w:r>
      <w:r w:rsidR="007C7A02">
        <w:t xml:space="preserve">, Innovation, Energy and Resources; and to </w:t>
      </w:r>
      <w:r w:rsidR="00302E51">
        <w:t>prepare for seeking authorisation to establish the necessary waste facilities.</w:t>
      </w:r>
      <w:r w:rsidR="00563ED9">
        <w:t xml:space="preserve"> </w:t>
      </w:r>
    </w:p>
    <w:p w14:paraId="254F6B53" w14:textId="4ACD4B75" w:rsidR="006C24C5" w:rsidRPr="002D0B21" w:rsidRDefault="00574434" w:rsidP="001B2873">
      <w:pPr>
        <w:pStyle w:val="ListParagraph"/>
        <w:numPr>
          <w:ilvl w:val="0"/>
          <w:numId w:val="12"/>
        </w:numPr>
        <w:spacing w:line="264" w:lineRule="auto"/>
        <w:rPr>
          <w:i/>
          <w:iCs/>
        </w:rPr>
      </w:pPr>
      <w:r w:rsidRPr="002D0B21">
        <w:rPr>
          <w:i/>
          <w:iCs/>
        </w:rPr>
        <w:t>Lucas Heights is not suitable for long-term storage of intermediate level waste</w:t>
      </w:r>
      <w:r w:rsidR="00085C70" w:rsidRPr="002D0B21">
        <w:rPr>
          <w:i/>
          <w:iCs/>
        </w:rPr>
        <w:t xml:space="preserve"> </w:t>
      </w:r>
    </w:p>
    <w:p w14:paraId="1F0E9FC6" w14:textId="588D8C32" w:rsidR="002716DA" w:rsidRDefault="00085C70" w:rsidP="005C1AA7">
      <w:pPr>
        <w:pStyle w:val="ListParagraph"/>
        <w:numPr>
          <w:ilvl w:val="0"/>
          <w:numId w:val="0"/>
        </w:numPr>
        <w:spacing w:line="264" w:lineRule="auto"/>
        <w:ind w:left="720"/>
      </w:pPr>
      <w:r w:rsidRPr="006C24C5">
        <w:t xml:space="preserve">The Sutherland Shire Council has for </w:t>
      </w:r>
      <w:r w:rsidR="00341513">
        <w:t xml:space="preserve">many years </w:t>
      </w:r>
      <w:r w:rsidR="001565A8">
        <w:t>voiced</w:t>
      </w:r>
      <w:r w:rsidR="00341513">
        <w:t xml:space="preserve"> their </w:t>
      </w:r>
      <w:r w:rsidR="001565A8">
        <w:t xml:space="preserve">reservations </w:t>
      </w:r>
      <w:proofErr w:type="gramStart"/>
      <w:r w:rsidR="001565A8">
        <w:t>in regard</w:t>
      </w:r>
      <w:r w:rsidRPr="006C24C5">
        <w:t xml:space="preserve"> to</w:t>
      </w:r>
      <w:proofErr w:type="gramEnd"/>
      <w:r w:rsidRPr="006C24C5">
        <w:t xml:space="preserve"> </w:t>
      </w:r>
      <w:r w:rsidR="00AF42A7" w:rsidRPr="006C24C5">
        <w:t>plans for storage of radioactive waste a</w:t>
      </w:r>
      <w:r w:rsidR="006C24C5">
        <w:t>t Lucas Heights</w:t>
      </w:r>
      <w:r w:rsidR="001565A8">
        <w:t>. In</w:t>
      </w:r>
      <w:r w:rsidR="00341513">
        <w:t xml:space="preserve"> its submission</w:t>
      </w:r>
      <w:r w:rsidR="00694C2F">
        <w:t>,</w:t>
      </w:r>
      <w:r w:rsidR="00341513">
        <w:t xml:space="preserve"> </w:t>
      </w:r>
      <w:r w:rsidR="001565A8">
        <w:t xml:space="preserve">the Council </w:t>
      </w:r>
      <w:r w:rsidR="002F4823">
        <w:t xml:space="preserve">argues strongly </w:t>
      </w:r>
      <w:r w:rsidR="00694C2F">
        <w:t>for an</w:t>
      </w:r>
      <w:r w:rsidR="002F4823">
        <w:t xml:space="preserve"> expedient establishment of </w:t>
      </w:r>
      <w:r w:rsidR="0098159E">
        <w:t xml:space="preserve">the NRWMF to, </w:t>
      </w:r>
      <w:r w:rsidR="0098159E" w:rsidRPr="00C8149B">
        <w:rPr>
          <w:i/>
          <w:iCs/>
        </w:rPr>
        <w:t>inter alia</w:t>
      </w:r>
      <w:r w:rsidR="0098159E">
        <w:t xml:space="preserve">, enable transport of ILW from Lucas Heights </w:t>
      </w:r>
      <w:r w:rsidR="00D45AF1">
        <w:t xml:space="preserve">for subsequent storage until a solution for </w:t>
      </w:r>
      <w:r w:rsidR="004B0898">
        <w:t>final disposal has been developed and implemented in practice.</w:t>
      </w:r>
      <w:r w:rsidR="00D32B4C">
        <w:t xml:space="preserve"> </w:t>
      </w:r>
      <w:r w:rsidR="000E6619">
        <w:t xml:space="preserve">The Council acknowledges the safety of </w:t>
      </w:r>
      <w:r w:rsidR="007C60AE">
        <w:t>radioactive waste</w:t>
      </w:r>
      <w:r w:rsidR="000E6619">
        <w:t xml:space="preserve"> storage </w:t>
      </w:r>
      <w:r w:rsidR="00D90972">
        <w:t>at the Lucas Heights site</w:t>
      </w:r>
      <w:r w:rsidR="00847C68">
        <w:t xml:space="preserve"> but expresses deep dissatisfaction with the time it has taken to </w:t>
      </w:r>
      <w:r w:rsidR="00900A64">
        <w:t xml:space="preserve">establish </w:t>
      </w:r>
      <w:r w:rsidR="00E462BF">
        <w:t xml:space="preserve">the NRWMF, which </w:t>
      </w:r>
      <w:r w:rsidR="00B62D23">
        <w:t xml:space="preserve">has led to continued accumulation of radioactive waste </w:t>
      </w:r>
      <w:r w:rsidR="004B4013">
        <w:t>at Lucas Heights.</w:t>
      </w:r>
    </w:p>
    <w:p w14:paraId="3B13E569" w14:textId="5E922D19" w:rsidR="00E23640" w:rsidRDefault="00C657CF" w:rsidP="005C1AA7">
      <w:pPr>
        <w:pStyle w:val="ListParagraph"/>
        <w:numPr>
          <w:ilvl w:val="0"/>
          <w:numId w:val="0"/>
        </w:numPr>
        <w:spacing w:line="264" w:lineRule="auto"/>
        <w:ind w:left="720"/>
      </w:pPr>
      <w:r>
        <w:t xml:space="preserve">Even under optimistic assumptions regarding the </w:t>
      </w:r>
      <w:r w:rsidR="00DE2D80">
        <w:t xml:space="preserve">timing for which </w:t>
      </w:r>
      <w:r w:rsidR="00F1358D">
        <w:t>the NRWMF</w:t>
      </w:r>
      <w:r w:rsidR="00DE2D80">
        <w:t xml:space="preserve"> facility can </w:t>
      </w:r>
      <w:r w:rsidR="00F1358D">
        <w:t>commence receiving waste</w:t>
      </w:r>
      <w:r w:rsidR="002C3233">
        <w:t xml:space="preserve">, </w:t>
      </w:r>
      <w:r w:rsidR="00C8149B">
        <w:t>i</w:t>
      </w:r>
      <w:r w:rsidR="00AC54BD">
        <w:t xml:space="preserve">ncreased storage capacity </w:t>
      </w:r>
      <w:r w:rsidR="00A55DDC">
        <w:t>at Lucas Heights will be required unless the waste is a)</w:t>
      </w:r>
      <w:r w:rsidR="00332DD3">
        <w:t xml:space="preserve"> </w:t>
      </w:r>
      <w:r w:rsidR="00A55DDC">
        <w:t xml:space="preserve">transported to another </w:t>
      </w:r>
      <w:r w:rsidR="00332DD3">
        <w:t>site</w:t>
      </w:r>
      <w:r w:rsidR="00A55DDC">
        <w:t xml:space="preserve"> (no </w:t>
      </w:r>
      <w:r w:rsidR="00332DD3">
        <w:t xml:space="preserve">such </w:t>
      </w:r>
      <w:r w:rsidR="00A55DDC">
        <w:t xml:space="preserve">contingency plans </w:t>
      </w:r>
      <w:r w:rsidR="00761D63">
        <w:t>are known to ARPANSA</w:t>
      </w:r>
      <w:r w:rsidR="00332DD3">
        <w:t>)</w:t>
      </w:r>
      <w:r w:rsidR="00761D63">
        <w:t xml:space="preserve">, or 2) production of ILW (and hence </w:t>
      </w:r>
      <w:r w:rsidR="00F45D73">
        <w:t>nuclear medicine</w:t>
      </w:r>
      <w:r w:rsidR="00F66DA3">
        <w:t xml:space="preserve"> production</w:t>
      </w:r>
      <w:r w:rsidR="00761D63">
        <w:t xml:space="preserve">) ceases at a time </w:t>
      </w:r>
      <w:r w:rsidR="00332DD3">
        <w:t>when</w:t>
      </w:r>
      <w:r w:rsidR="00761D63">
        <w:t xml:space="preserve"> </w:t>
      </w:r>
      <w:r w:rsidR="00635AE6">
        <w:t>the existing IL</w:t>
      </w:r>
      <w:r w:rsidR="00C90CF8">
        <w:t xml:space="preserve">SW Facility </w:t>
      </w:r>
      <w:r w:rsidR="00761D63">
        <w:t xml:space="preserve">has reached capacity. </w:t>
      </w:r>
    </w:p>
    <w:p w14:paraId="03323E3F" w14:textId="0861CCF7" w:rsidR="004B4013" w:rsidRDefault="000A307C" w:rsidP="005C1AA7">
      <w:pPr>
        <w:pStyle w:val="ListParagraph"/>
        <w:numPr>
          <w:ilvl w:val="0"/>
          <w:numId w:val="0"/>
        </w:numPr>
        <w:spacing w:line="264" w:lineRule="auto"/>
        <w:ind w:left="720"/>
      </w:pPr>
      <w:r>
        <w:t>ARPANSA</w:t>
      </w:r>
      <w:r w:rsidR="00761D63">
        <w:t xml:space="preserve"> is aware of this </w:t>
      </w:r>
      <w:r w:rsidR="00D52658">
        <w:t>dilemma</w:t>
      </w:r>
      <w:r w:rsidR="00815DAC">
        <w:t xml:space="preserve">. </w:t>
      </w:r>
      <w:r w:rsidR="003636A5">
        <w:t>T</w:t>
      </w:r>
      <w:r w:rsidR="00126DC4">
        <w:t>his decision seeks to deal with this dilemma in a pragmatic way,</w:t>
      </w:r>
      <w:r w:rsidR="003636A5">
        <w:t xml:space="preserve"> where</w:t>
      </w:r>
      <w:r w:rsidR="00126DC4">
        <w:t xml:space="preserve"> I consider the continued supply of </w:t>
      </w:r>
      <w:r w:rsidR="003636A5">
        <w:t xml:space="preserve">nuclear medicine </w:t>
      </w:r>
      <w:r w:rsidR="005216CE">
        <w:t xml:space="preserve">to be a priority and </w:t>
      </w:r>
      <w:r w:rsidR="00E84812">
        <w:t xml:space="preserve">that </w:t>
      </w:r>
      <w:r w:rsidR="000978BF">
        <w:t xml:space="preserve">the waste management issues it raises </w:t>
      </w:r>
      <w:r w:rsidR="00F66DA3">
        <w:t>to be</w:t>
      </w:r>
      <w:r w:rsidR="000978BF">
        <w:t xml:space="preserve"> manageable</w:t>
      </w:r>
      <w:r w:rsidR="00F66DA3">
        <w:t xml:space="preserve"> </w:t>
      </w:r>
      <w:r w:rsidR="001E3C4C">
        <w:t xml:space="preserve">over </w:t>
      </w:r>
      <w:r w:rsidR="00724721">
        <w:t xml:space="preserve">the next </w:t>
      </w:r>
      <w:r w:rsidR="001E3C4C">
        <w:t>decades</w:t>
      </w:r>
      <w:r w:rsidR="000978BF">
        <w:t xml:space="preserve">. This </w:t>
      </w:r>
      <w:r w:rsidR="006E100C">
        <w:t>view was</w:t>
      </w:r>
      <w:r w:rsidR="002B4EA3">
        <w:t xml:space="preserve"> previously</w:t>
      </w:r>
      <w:r w:rsidR="006E100C">
        <w:t xml:space="preserve"> expressed </w:t>
      </w:r>
      <w:r w:rsidR="002B4EA3">
        <w:t xml:space="preserve">in the </w:t>
      </w:r>
      <w:r w:rsidR="00E77A4F">
        <w:t xml:space="preserve">decision </w:t>
      </w:r>
      <w:r w:rsidR="009317AD">
        <w:t xml:space="preserve">to authorise the </w:t>
      </w:r>
      <w:r w:rsidR="003B688B">
        <w:t xml:space="preserve">operation </w:t>
      </w:r>
      <w:r w:rsidR="009317AD">
        <w:t>of the ANM Facility</w:t>
      </w:r>
      <w:r w:rsidR="002B4EA3">
        <w:t xml:space="preserve">, thus </w:t>
      </w:r>
      <w:r w:rsidR="00C33E3A">
        <w:t>secur</w:t>
      </w:r>
      <w:r w:rsidR="002B4EA3">
        <w:t>ing</w:t>
      </w:r>
      <w:r w:rsidR="00C33E3A">
        <w:t xml:space="preserve"> sustained production </w:t>
      </w:r>
      <w:r w:rsidR="006774CC">
        <w:t xml:space="preserve">after </w:t>
      </w:r>
      <w:r w:rsidR="00C33E3A">
        <w:t>the</w:t>
      </w:r>
      <w:r w:rsidR="00C33E3A" w:rsidDel="006774CC">
        <w:t xml:space="preserve"> </w:t>
      </w:r>
      <w:r w:rsidR="006774CC">
        <w:t xml:space="preserve">retirement of the </w:t>
      </w:r>
      <w:r w:rsidR="00C00258">
        <w:t>production facility in Building 54</w:t>
      </w:r>
      <w:r w:rsidR="00F66DA3">
        <w:rPr>
          <w:rStyle w:val="FootnoteReference"/>
        </w:rPr>
        <w:footnoteReference w:id="41"/>
      </w:r>
      <w:r w:rsidR="00372901">
        <w:t>;</w:t>
      </w:r>
      <w:r w:rsidR="00B651AE">
        <w:t xml:space="preserve"> this decision also refers to </w:t>
      </w:r>
      <w:r w:rsidR="008D451F">
        <w:t xml:space="preserve">a commitment </w:t>
      </w:r>
      <w:r w:rsidR="007C252E">
        <w:t xml:space="preserve">by the Australian Government </w:t>
      </w:r>
      <w:r w:rsidR="00907270">
        <w:t xml:space="preserve">to establish a </w:t>
      </w:r>
      <w:r w:rsidR="008D451F" w:rsidRPr="00C7270A">
        <w:rPr>
          <w:i/>
          <w:iCs/>
        </w:rPr>
        <w:t>disposal</w:t>
      </w:r>
      <w:r w:rsidR="008D451F">
        <w:t xml:space="preserve"> facility for ILW at a site different to that of the NRWMF</w:t>
      </w:r>
      <w:r w:rsidR="00FB3CAC">
        <w:t>.</w:t>
      </w:r>
      <w:r w:rsidR="00B651AE">
        <w:t xml:space="preserve"> </w:t>
      </w:r>
      <w:r w:rsidR="00D35F8A">
        <w:t xml:space="preserve"> </w:t>
      </w:r>
    </w:p>
    <w:p w14:paraId="49E03779" w14:textId="11FB5862" w:rsidR="00D35F8A" w:rsidRDefault="00D35F8A" w:rsidP="005C1AA7">
      <w:pPr>
        <w:pStyle w:val="ListParagraph"/>
        <w:numPr>
          <w:ilvl w:val="0"/>
          <w:numId w:val="0"/>
        </w:numPr>
        <w:spacing w:line="264" w:lineRule="auto"/>
        <w:ind w:left="720"/>
      </w:pPr>
      <w:r>
        <w:lastRenderedPageBreak/>
        <w:t xml:space="preserve">I also reiterate </w:t>
      </w:r>
      <w:r w:rsidR="003C7C19">
        <w:t xml:space="preserve">that </w:t>
      </w:r>
      <w:r w:rsidR="00744C34">
        <w:t>storage is not the ultimate solution but</w:t>
      </w:r>
      <w:r w:rsidR="00712639">
        <w:t>,</w:t>
      </w:r>
      <w:r w:rsidR="00C11A50">
        <w:t xml:space="preserve"> by definition</w:t>
      </w:r>
      <w:r w:rsidR="00712639">
        <w:t>,</w:t>
      </w:r>
      <w:r w:rsidR="00C11A50">
        <w:t xml:space="preserve"> </w:t>
      </w:r>
      <w:r w:rsidR="00F25313">
        <w:t xml:space="preserve">only </w:t>
      </w:r>
      <w:r w:rsidR="00744C34">
        <w:t xml:space="preserve">an </w:t>
      </w:r>
      <w:r w:rsidR="00744C34" w:rsidRPr="00712639">
        <w:rPr>
          <w:i/>
          <w:iCs/>
        </w:rPr>
        <w:t>interi</w:t>
      </w:r>
      <w:r w:rsidR="00185B75" w:rsidRPr="00712639">
        <w:rPr>
          <w:i/>
          <w:iCs/>
        </w:rPr>
        <w:t>m</w:t>
      </w:r>
      <w:r w:rsidR="00744C34">
        <w:t xml:space="preserve"> measure. </w:t>
      </w:r>
      <w:r w:rsidR="00041F2A">
        <w:t xml:space="preserve">In this regard, it is relevant to </w:t>
      </w:r>
      <w:r w:rsidR="0065795A">
        <w:t xml:space="preserve">reiterate what was stated in ARPANSA’s submission to the </w:t>
      </w:r>
      <w:r w:rsidR="00247CB3">
        <w:t xml:space="preserve">Senate Economics Legislation </w:t>
      </w:r>
      <w:r w:rsidR="004C4F39">
        <w:t>Enquiry into the National Radioactive Waste Management Bill 2020</w:t>
      </w:r>
      <w:r w:rsidR="00C840EE">
        <w:rPr>
          <w:rStyle w:val="FootnoteReference"/>
        </w:rPr>
        <w:footnoteReference w:id="42"/>
      </w:r>
      <w:r w:rsidR="00C840EE">
        <w:t>:</w:t>
      </w:r>
    </w:p>
    <w:p w14:paraId="44C76D0B" w14:textId="04F5EB6B" w:rsidR="00857197" w:rsidRDefault="00857197" w:rsidP="00857197">
      <w:pPr>
        <w:pStyle w:val="ListParagraph"/>
        <w:numPr>
          <w:ilvl w:val="0"/>
          <w:numId w:val="0"/>
        </w:numPr>
        <w:spacing w:line="264" w:lineRule="auto"/>
        <w:ind w:left="1440"/>
        <w:rPr>
          <w:i/>
          <w:iCs/>
        </w:rPr>
      </w:pPr>
      <w:r w:rsidRPr="00265CD7">
        <w:rPr>
          <w:i/>
          <w:iCs/>
        </w:rPr>
        <w:t xml:space="preserve">ARPANSA wants to emphasise that </w:t>
      </w:r>
      <w:r w:rsidR="005A4CEA" w:rsidRPr="00265CD7">
        <w:rPr>
          <w:i/>
          <w:iCs/>
        </w:rPr>
        <w:t xml:space="preserve">national solutions should be sought, plans </w:t>
      </w:r>
      <w:r w:rsidR="00265CD7" w:rsidRPr="00265CD7">
        <w:rPr>
          <w:i/>
          <w:iCs/>
        </w:rPr>
        <w:t>developed,</w:t>
      </w:r>
      <w:r w:rsidR="005A4CEA" w:rsidRPr="00265CD7">
        <w:rPr>
          <w:i/>
          <w:iCs/>
        </w:rPr>
        <w:t xml:space="preserve"> and facilities established for all radioactive </w:t>
      </w:r>
      <w:r w:rsidR="00EE66F5" w:rsidRPr="00265CD7">
        <w:rPr>
          <w:i/>
          <w:iCs/>
        </w:rPr>
        <w:t xml:space="preserve">waste stored, and over the coming years generated, in Australia; this will contribute to elimination </w:t>
      </w:r>
      <w:r w:rsidR="000B3B11" w:rsidRPr="00265CD7">
        <w:rPr>
          <w:i/>
          <w:iCs/>
        </w:rPr>
        <w:t xml:space="preserve">of the need for specific storage facilities where radioactive waste may accumulate </w:t>
      </w:r>
      <w:r w:rsidR="000D5CA4" w:rsidRPr="00265CD7">
        <w:rPr>
          <w:i/>
          <w:iCs/>
        </w:rPr>
        <w:t>over long periods of time</w:t>
      </w:r>
      <w:r w:rsidR="00265CD7" w:rsidRPr="00265CD7">
        <w:rPr>
          <w:i/>
          <w:iCs/>
        </w:rPr>
        <w:t xml:space="preserve"> without a defined disposal pathway – or any disposal facility in sight.</w:t>
      </w:r>
    </w:p>
    <w:p w14:paraId="4A4DD559" w14:textId="0C128DDD" w:rsidR="00C51E08" w:rsidRPr="00C34072" w:rsidRDefault="00E90797" w:rsidP="00C34072">
      <w:pPr>
        <w:pStyle w:val="ListParagraph"/>
        <w:numPr>
          <w:ilvl w:val="0"/>
          <w:numId w:val="0"/>
        </w:numPr>
        <w:spacing w:line="264" w:lineRule="auto"/>
        <w:ind w:left="720"/>
      </w:pPr>
      <w:r>
        <w:t xml:space="preserve">I am aware that development of conceptual models for ILW disposal </w:t>
      </w:r>
      <w:r w:rsidR="003E58EA">
        <w:t>is under way</w:t>
      </w:r>
      <w:r>
        <w:t>, and facilities exist in other countries</w:t>
      </w:r>
      <w:r w:rsidR="00B11A36">
        <w:t xml:space="preserve"> from which experience can be drawn when developing the Australian </w:t>
      </w:r>
      <w:r w:rsidR="00B609CF">
        <w:t xml:space="preserve">solution. I am convinced that this will </w:t>
      </w:r>
      <w:proofErr w:type="gramStart"/>
      <w:r w:rsidR="00B609CF">
        <w:t>occur</w:t>
      </w:r>
      <w:proofErr w:type="gramEnd"/>
      <w:r w:rsidR="00B609CF">
        <w:t xml:space="preserve"> and </w:t>
      </w:r>
      <w:r w:rsidR="002619BF">
        <w:t xml:space="preserve">it is desirable that this process commences as soon as practicable, but is given </w:t>
      </w:r>
      <w:r w:rsidR="00150CFE">
        <w:t xml:space="preserve">great care and the necessary </w:t>
      </w:r>
      <w:r w:rsidR="0088291D">
        <w:t xml:space="preserve">time required to receive the </w:t>
      </w:r>
      <w:r w:rsidR="000C6B4D">
        <w:t xml:space="preserve">requisite </w:t>
      </w:r>
      <w:r w:rsidR="0088291D">
        <w:t xml:space="preserve">technical </w:t>
      </w:r>
      <w:r w:rsidR="00521960">
        <w:t>approval and ‘</w:t>
      </w:r>
      <w:r w:rsidR="0088291D">
        <w:t>social licence</w:t>
      </w:r>
      <w:r w:rsidR="00521960">
        <w:t>’.</w:t>
      </w:r>
    </w:p>
    <w:p w14:paraId="30332450" w14:textId="34946920" w:rsidR="00CF4785" w:rsidRPr="00357650" w:rsidRDefault="00B10BEF" w:rsidP="000D7AA3">
      <w:pPr>
        <w:pStyle w:val="Heading4"/>
      </w:pPr>
      <w:r w:rsidRPr="00357650">
        <w:t>The e</w:t>
      </w:r>
      <w:r w:rsidR="005758BD" w:rsidRPr="00357650">
        <w:t xml:space="preserve">stablishment of </w:t>
      </w:r>
      <w:r w:rsidRPr="00357650">
        <w:t>Waste Acceptance Criteria should be expedited and should be the res</w:t>
      </w:r>
      <w:r w:rsidR="00B15328" w:rsidRPr="00357650">
        <w:t>ponsibility</w:t>
      </w:r>
      <w:r w:rsidR="009F7516" w:rsidRPr="00357650">
        <w:t xml:space="preserve"> </w:t>
      </w:r>
      <w:r w:rsidR="00B11EB8" w:rsidRPr="00357650">
        <w:t>of ARPANSA</w:t>
      </w:r>
    </w:p>
    <w:p w14:paraId="15F71126" w14:textId="541D11AB" w:rsidR="00CF4785" w:rsidRDefault="00AC3DFD" w:rsidP="00CC2F28">
      <w:pPr>
        <w:spacing w:before="120" w:line="264" w:lineRule="auto"/>
      </w:pPr>
      <w:r>
        <w:t xml:space="preserve">The </w:t>
      </w:r>
      <w:r w:rsidR="009E3AA5">
        <w:t>Waste Acceptance Criteria (</w:t>
      </w:r>
      <w:r>
        <w:t>WAC</w:t>
      </w:r>
      <w:r w:rsidR="009E3AA5">
        <w:t>)</w:t>
      </w:r>
      <w:r>
        <w:t xml:space="preserve"> </w:t>
      </w:r>
      <w:r w:rsidR="00AE23B8">
        <w:t xml:space="preserve">are required for the predisposal management of the waste, including </w:t>
      </w:r>
      <w:r w:rsidR="00A7578A">
        <w:t xml:space="preserve">for </w:t>
      </w:r>
      <w:r w:rsidR="00AE23B8">
        <w:t xml:space="preserve">transport and </w:t>
      </w:r>
      <w:r w:rsidR="00A7578A">
        <w:t xml:space="preserve">ultimate </w:t>
      </w:r>
      <w:r w:rsidR="00AE23B8">
        <w:t xml:space="preserve">disposal. </w:t>
      </w:r>
      <w:r w:rsidR="00762FF4">
        <w:t>Early establishment of WA</w:t>
      </w:r>
      <w:r w:rsidR="004201C9">
        <w:t>C support</w:t>
      </w:r>
      <w:r w:rsidR="003D6991">
        <w:t>s</w:t>
      </w:r>
      <w:r w:rsidR="004201C9">
        <w:t xml:space="preserve"> final management of the waste</w:t>
      </w:r>
      <w:r w:rsidR="003D6991">
        <w:t xml:space="preserve"> characterised by ‘no </w:t>
      </w:r>
      <w:proofErr w:type="gramStart"/>
      <w:r w:rsidR="00357650">
        <w:t>surprises’</w:t>
      </w:r>
      <w:proofErr w:type="gramEnd"/>
      <w:r w:rsidR="004201C9">
        <w:t xml:space="preserve">. </w:t>
      </w:r>
      <w:r w:rsidR="00EF3E77">
        <w:t xml:space="preserve">I consider </w:t>
      </w:r>
      <w:r w:rsidR="00741FA7">
        <w:t xml:space="preserve">the development of WAC the </w:t>
      </w:r>
      <w:r w:rsidR="00EF3E77">
        <w:t xml:space="preserve">responsibility of the </w:t>
      </w:r>
      <w:r w:rsidR="005B5EC9">
        <w:t xml:space="preserve">operator of </w:t>
      </w:r>
      <w:r w:rsidR="00F25003">
        <w:t xml:space="preserve">a </w:t>
      </w:r>
      <w:r w:rsidR="005B5EC9">
        <w:t xml:space="preserve">storage </w:t>
      </w:r>
      <w:r w:rsidR="00AC0FCC">
        <w:t>or</w:t>
      </w:r>
      <w:r w:rsidR="005B5EC9">
        <w:t xml:space="preserve"> disposal facilit</w:t>
      </w:r>
      <w:r w:rsidR="00F25003">
        <w:t>y</w:t>
      </w:r>
      <w:r w:rsidR="005B5EC9">
        <w:t xml:space="preserve">, </w:t>
      </w:r>
      <w:r w:rsidR="00741FA7">
        <w:t xml:space="preserve">which is in accordance with international </w:t>
      </w:r>
      <w:r w:rsidR="0070572B">
        <w:t>best practice</w:t>
      </w:r>
      <w:r w:rsidR="00AC0FCC">
        <w:t xml:space="preserve">. However, </w:t>
      </w:r>
      <w:r w:rsidR="005B5EC9">
        <w:t xml:space="preserve">I acknowledge </w:t>
      </w:r>
      <w:r w:rsidR="0070572B">
        <w:t xml:space="preserve">the role ARPANSA has in carefully </w:t>
      </w:r>
      <w:r w:rsidR="00630527">
        <w:t xml:space="preserve">reviewing the appropriateness of the </w:t>
      </w:r>
      <w:r w:rsidR="005B5EC9">
        <w:t>WAC</w:t>
      </w:r>
      <w:r w:rsidR="00630527">
        <w:t xml:space="preserve">. </w:t>
      </w:r>
      <w:r w:rsidR="00D87273">
        <w:t xml:space="preserve">If ARPANSA were to develop the WAC, the division of responsibilities </w:t>
      </w:r>
      <w:r w:rsidR="00676AF1">
        <w:t>between the operator and regulator would be blurred</w:t>
      </w:r>
      <w:r w:rsidR="00352893">
        <w:t xml:space="preserve">; the operator must develop the WAC with the view of </w:t>
      </w:r>
      <w:r w:rsidR="00357650">
        <w:t xml:space="preserve">the </w:t>
      </w:r>
      <w:r w:rsidR="00352893">
        <w:t>long-term safety of the operator’s own facility, with regulatory oversight and as necessary</w:t>
      </w:r>
      <w:r w:rsidR="00195AB1">
        <w:t>,</w:t>
      </w:r>
      <w:r w:rsidR="00352893">
        <w:t xml:space="preserve"> approval provided by ARPANSA.</w:t>
      </w:r>
      <w:r w:rsidR="001D2089">
        <w:t xml:space="preserve"> </w:t>
      </w:r>
      <w:r w:rsidR="00483347">
        <w:t xml:space="preserve">The WAC must </w:t>
      </w:r>
      <w:r w:rsidR="00351BDA">
        <w:t xml:space="preserve">be </w:t>
      </w:r>
      <w:r w:rsidR="003B2DE3">
        <w:t>informed by, and appropriate</w:t>
      </w:r>
      <w:r w:rsidR="00EC42BC">
        <w:t xml:space="preserve">ly </w:t>
      </w:r>
      <w:r w:rsidR="00A12E1F">
        <w:t xml:space="preserve">aligned </w:t>
      </w:r>
      <w:r w:rsidR="00351BDA">
        <w:t>with</w:t>
      </w:r>
      <w:r w:rsidR="00357650">
        <w:t>,</w:t>
      </w:r>
      <w:r w:rsidR="00351BDA">
        <w:t xml:space="preserve"> the safety features</w:t>
      </w:r>
      <w:r w:rsidR="005B5EC9">
        <w:t xml:space="preserve"> </w:t>
      </w:r>
      <w:r w:rsidR="00A12E1F">
        <w:t>of the disposal facility</w:t>
      </w:r>
      <w:r w:rsidR="0050051D">
        <w:t xml:space="preserve">. </w:t>
      </w:r>
    </w:p>
    <w:p w14:paraId="110C30A9" w14:textId="6A159E74" w:rsidR="006D0234" w:rsidRDefault="00C4126A" w:rsidP="00CC2F28">
      <w:pPr>
        <w:pStyle w:val="Heading4"/>
      </w:pPr>
      <w:r>
        <w:t>Progress in relation to recommendations by</w:t>
      </w:r>
      <w:r w:rsidR="00D908EB">
        <w:t xml:space="preserve"> t</w:t>
      </w:r>
      <w:r>
        <w:t>he independent review into</w:t>
      </w:r>
      <w:r w:rsidR="00D908EB">
        <w:t xml:space="preserve"> </w:t>
      </w:r>
      <w:r>
        <w:t>safety practices at ANSTO</w:t>
      </w:r>
    </w:p>
    <w:p w14:paraId="0272D8A4" w14:textId="0005C849" w:rsidR="00CF4785" w:rsidRDefault="00210512" w:rsidP="00CC2F28">
      <w:pPr>
        <w:spacing w:before="120" w:line="264" w:lineRule="auto"/>
      </w:pPr>
      <w:r>
        <w:t xml:space="preserve">Based on recurrent incidents, including contamination of workers, ARPANSA directed ANSTO </w:t>
      </w:r>
      <w:r w:rsidR="003E58EA">
        <w:t>in June</w:t>
      </w:r>
      <w:r>
        <w:t xml:space="preserve"> 20</w:t>
      </w:r>
      <w:r w:rsidR="0046109C">
        <w:t>1</w:t>
      </w:r>
      <w:r>
        <w:t xml:space="preserve">8 to </w:t>
      </w:r>
      <w:r w:rsidR="00E73E51">
        <w:t>initiate an independent review</w:t>
      </w:r>
      <w:r w:rsidR="00DD03CF">
        <w:t xml:space="preserve"> into the safety practices of nuclear medicine production at ANSTO. </w:t>
      </w:r>
      <w:r w:rsidR="001C7704">
        <w:t xml:space="preserve">The review resulted in 85 recommendations and ANSTO’s action plan was approved by ARPANSA </w:t>
      </w:r>
      <w:r w:rsidR="00E73E51">
        <w:t xml:space="preserve">in </w:t>
      </w:r>
      <w:r w:rsidR="00E73E51" w:rsidRPr="00AB65B5">
        <w:t>Dec</w:t>
      </w:r>
      <w:r w:rsidR="00AB65B5">
        <w:t>ember</w:t>
      </w:r>
      <w:r w:rsidR="00E73E51" w:rsidRPr="00AB65B5">
        <w:t xml:space="preserve"> 201</w:t>
      </w:r>
      <w:r w:rsidR="008F1DFC" w:rsidRPr="00AB65B5">
        <w:t>9</w:t>
      </w:r>
      <w:r w:rsidR="00AB65B5">
        <w:t>.</w:t>
      </w:r>
      <w:r w:rsidR="00E73E51">
        <w:t xml:space="preserve"> </w:t>
      </w:r>
      <w:r w:rsidR="00291840">
        <w:t>ARPANSA is generally satisfied with the</w:t>
      </w:r>
      <w:r w:rsidR="00A16DE2">
        <w:t xml:space="preserve"> implement</w:t>
      </w:r>
      <w:r w:rsidR="00DD7F1A">
        <w:t xml:space="preserve">ation of </w:t>
      </w:r>
      <w:r w:rsidR="00A16DE2">
        <w:t>changes based on the recommendations</w:t>
      </w:r>
      <w:r w:rsidR="00D32357">
        <w:rPr>
          <w:rStyle w:val="FootnoteReference"/>
        </w:rPr>
        <w:footnoteReference w:id="43"/>
      </w:r>
      <w:r w:rsidR="00051076">
        <w:t xml:space="preserve"> and </w:t>
      </w:r>
      <w:r w:rsidR="00D34ED3">
        <w:t>progress</w:t>
      </w:r>
      <w:r w:rsidR="00DE27C0">
        <w:t xml:space="preserve"> on outstanding recommendations continu</w:t>
      </w:r>
      <w:r w:rsidR="008062DE">
        <w:t>es</w:t>
      </w:r>
      <w:r w:rsidR="00445292">
        <w:t xml:space="preserve"> to be</w:t>
      </w:r>
      <w:r w:rsidR="00051076">
        <w:t xml:space="preserve"> </w:t>
      </w:r>
      <w:r w:rsidR="008F1DFC">
        <w:t>the subject of six-monthly report</w:t>
      </w:r>
      <w:r w:rsidR="00DE27C0">
        <w:t>s</w:t>
      </w:r>
      <w:r w:rsidR="008F1DFC">
        <w:t xml:space="preserve"> from ANSTO to ARPANSA.</w:t>
      </w:r>
      <w:r w:rsidR="008F1DFC" w:rsidDel="00C118DE">
        <w:t xml:space="preserve"> </w:t>
      </w:r>
      <w:r>
        <w:t xml:space="preserve"> </w:t>
      </w:r>
    </w:p>
    <w:p w14:paraId="627E7664" w14:textId="0D968BC6" w:rsidR="00FB0D12" w:rsidRDefault="00FB0D12" w:rsidP="00CC2F28">
      <w:pPr>
        <w:spacing w:before="120" w:line="264" w:lineRule="auto"/>
      </w:pPr>
      <w:r>
        <w:t xml:space="preserve">The submission queried </w:t>
      </w:r>
      <w:r w:rsidR="00983E8D">
        <w:t>whether there had been an improvement in safety culture. I</w:t>
      </w:r>
      <w:r w:rsidR="0010737E">
        <w:t xml:space="preserve">n response I would note that </w:t>
      </w:r>
      <w:r w:rsidR="00C460DD">
        <w:t xml:space="preserve">‘culture’ is a trait that is hard to quantify </w:t>
      </w:r>
      <w:r w:rsidR="005B013D">
        <w:t xml:space="preserve">but </w:t>
      </w:r>
      <w:r w:rsidR="00C460DD">
        <w:t>where implemented measures, staff awareness, incident</w:t>
      </w:r>
      <w:r w:rsidR="00CC597B">
        <w:t>s</w:t>
      </w:r>
      <w:r w:rsidR="006632E1">
        <w:t xml:space="preserve"> and attitudes </w:t>
      </w:r>
      <w:r w:rsidR="00151425">
        <w:t>observed</w:t>
      </w:r>
      <w:r w:rsidR="006632E1">
        <w:t xml:space="preserve"> </w:t>
      </w:r>
      <w:r w:rsidR="00C053B0">
        <w:t xml:space="preserve">through </w:t>
      </w:r>
      <w:r w:rsidR="00CC597B">
        <w:t>ARPANSA’s inspection program</w:t>
      </w:r>
      <w:r w:rsidR="00151425">
        <w:t xml:space="preserve"> </w:t>
      </w:r>
      <w:r w:rsidR="006231F8">
        <w:t>(with increased attention to human and organisational factors</w:t>
      </w:r>
      <w:r w:rsidR="004F1790">
        <w:t>)</w:t>
      </w:r>
      <w:r w:rsidR="00C053B0">
        <w:t>, site visits and meeting</w:t>
      </w:r>
      <w:r w:rsidR="006231F8">
        <w:t>s</w:t>
      </w:r>
      <w:r w:rsidR="00C053B0">
        <w:t xml:space="preserve"> with executive management</w:t>
      </w:r>
      <w:r w:rsidR="00E84AD6">
        <w:t>,</w:t>
      </w:r>
      <w:r w:rsidR="00233413">
        <w:t xml:space="preserve"> provide meaningful information. </w:t>
      </w:r>
      <w:r w:rsidR="006231F8">
        <w:t>The</w:t>
      </w:r>
      <w:r w:rsidR="00143E89">
        <w:t xml:space="preserve"> observations indicate ongoing and continuous improvement</w:t>
      </w:r>
      <w:r w:rsidR="00DF472E">
        <w:t xml:space="preserve">. </w:t>
      </w:r>
    </w:p>
    <w:p w14:paraId="7EBCD59E" w14:textId="7A3BB857" w:rsidR="00D90299" w:rsidRDefault="00D90299" w:rsidP="00CC2F28">
      <w:pPr>
        <w:pStyle w:val="Heading4"/>
      </w:pPr>
      <w:r>
        <w:t>Integrity of ARPANSA’s decision</w:t>
      </w:r>
      <w:r w:rsidR="003B500E">
        <w:t>-</w:t>
      </w:r>
      <w:r>
        <w:t xml:space="preserve">making </w:t>
      </w:r>
      <w:r w:rsidR="00DB3404">
        <w:t>and</w:t>
      </w:r>
      <w:r>
        <w:t xml:space="preserve"> </w:t>
      </w:r>
      <w:r w:rsidR="00682330">
        <w:t>recruitment of the Chief Executive Officer</w:t>
      </w:r>
    </w:p>
    <w:p w14:paraId="18850AF4" w14:textId="77777777" w:rsidR="00AC3E03" w:rsidRDefault="00845299" w:rsidP="00CC2F28">
      <w:pPr>
        <w:spacing w:before="120" w:line="264" w:lineRule="auto"/>
      </w:pPr>
      <w:r>
        <w:t>Concerns have been expressed about the integrity of ARPANSA’s regulatory decisions</w:t>
      </w:r>
      <w:r w:rsidR="00136D7E">
        <w:t>, which t</w:t>
      </w:r>
      <w:r w:rsidR="00090B86">
        <w:t>o</w:t>
      </w:r>
      <w:r w:rsidR="00136D7E">
        <w:t xml:space="preserve"> some extent seem to be</w:t>
      </w:r>
      <w:r w:rsidR="00F84F2E">
        <w:t xml:space="preserve"> </w:t>
      </w:r>
      <w:r w:rsidR="00E450C3">
        <w:t>based on perceptions around</w:t>
      </w:r>
      <w:r w:rsidR="0029262F">
        <w:t xml:space="preserve"> the</w:t>
      </w:r>
      <w:r w:rsidR="00F84F2E">
        <w:t xml:space="preserve"> process to appoint </w:t>
      </w:r>
      <w:r w:rsidR="00136D7E">
        <w:t>the</w:t>
      </w:r>
      <w:r w:rsidR="00F84F2E">
        <w:t xml:space="preserve"> </w:t>
      </w:r>
      <w:r w:rsidR="00090B86">
        <w:t xml:space="preserve">first </w:t>
      </w:r>
      <w:r w:rsidR="00F84F2E">
        <w:t>CEO</w:t>
      </w:r>
      <w:r w:rsidR="00136D7E">
        <w:t xml:space="preserve"> of ARPANSA</w:t>
      </w:r>
      <w:r w:rsidR="00F84F2E">
        <w:t xml:space="preserve">. </w:t>
      </w:r>
      <w:r w:rsidR="00E03BB0">
        <w:t>The</w:t>
      </w:r>
      <w:r w:rsidR="005C477A">
        <w:t xml:space="preserve"> inclusion of the major licence holder (ANSTO) in the selection panel </w:t>
      </w:r>
      <w:r w:rsidR="0050148C">
        <w:t xml:space="preserve">during the recruitment of ARPANSA’s </w:t>
      </w:r>
      <w:r w:rsidR="0050148C">
        <w:lastRenderedPageBreak/>
        <w:t xml:space="preserve">first CEO </w:t>
      </w:r>
      <w:r w:rsidR="00330925">
        <w:t>appears to</w:t>
      </w:r>
      <w:r w:rsidR="0029262F">
        <w:t xml:space="preserve"> </w:t>
      </w:r>
      <w:r w:rsidR="00E03BB0">
        <w:t>have raised perceptions around the integrity of the process</w:t>
      </w:r>
      <w:r w:rsidR="0029262F">
        <w:t xml:space="preserve"> that could have been avoided at the time</w:t>
      </w:r>
      <w:r w:rsidR="00E03BB0">
        <w:t xml:space="preserve">. </w:t>
      </w:r>
    </w:p>
    <w:p w14:paraId="5DF54BB0" w14:textId="5719EC24" w:rsidR="00CF4785" w:rsidRDefault="004E7963" w:rsidP="00CC2F28">
      <w:pPr>
        <w:spacing w:before="120" w:line="264" w:lineRule="auto"/>
      </w:pPr>
      <w:r>
        <w:t xml:space="preserve">The integrity of ARPANSA’s decision-making should be judged on facts and not </w:t>
      </w:r>
      <w:r w:rsidR="0021729C">
        <w:t xml:space="preserve">on </w:t>
      </w:r>
      <w:r>
        <w:t>conjecture</w:t>
      </w:r>
      <w:r w:rsidR="00DB55FA">
        <w:t>.</w:t>
      </w:r>
      <w:r w:rsidR="007617FF">
        <w:t xml:space="preserve"> </w:t>
      </w:r>
      <w:r w:rsidR="009A5823">
        <w:t xml:space="preserve">Specifically, </w:t>
      </w:r>
      <w:r w:rsidR="00BC7BFD">
        <w:t>to the extent</w:t>
      </w:r>
      <w:r w:rsidR="00682D8E">
        <w:t xml:space="preserve"> </w:t>
      </w:r>
      <w:r w:rsidR="00016714">
        <w:t xml:space="preserve">a critical and evidence-based regulatory </w:t>
      </w:r>
      <w:r w:rsidR="008E5B9B">
        <w:t xml:space="preserve">approach </w:t>
      </w:r>
      <w:r w:rsidR="00016714">
        <w:t xml:space="preserve">to a proposal to </w:t>
      </w:r>
      <w:r w:rsidR="009A5C9D">
        <w:t>establis</w:t>
      </w:r>
      <w:r w:rsidR="0058050D">
        <w:t>h</w:t>
      </w:r>
      <w:r w:rsidR="009A5C9D">
        <w:t xml:space="preserve"> a waste management facility is a relevant indicator of regulatory integrity, </w:t>
      </w:r>
      <w:r w:rsidR="00FF6B3B">
        <w:t xml:space="preserve">a reader may </w:t>
      </w:r>
      <w:r w:rsidR="00E63ECC">
        <w:t xml:space="preserve">take some </w:t>
      </w:r>
      <w:r w:rsidR="009769C1">
        <w:t>comfort</w:t>
      </w:r>
      <w:r w:rsidR="00E63ECC">
        <w:t xml:space="preserve"> from</w:t>
      </w:r>
      <w:r w:rsidR="00FF6B3B">
        <w:t xml:space="preserve"> a recent article</w:t>
      </w:r>
      <w:r w:rsidR="00E7221A">
        <w:rPr>
          <w:rStyle w:val="FootnoteReference"/>
        </w:rPr>
        <w:footnoteReference w:id="44"/>
      </w:r>
      <w:r w:rsidR="00FF6B3B">
        <w:t xml:space="preserve"> by </w:t>
      </w:r>
      <w:r w:rsidR="009A5C9D">
        <w:t>Professor Ian Lowe</w:t>
      </w:r>
      <w:r w:rsidR="00EA00B6">
        <w:rPr>
          <w:rStyle w:val="FootnoteReference"/>
        </w:rPr>
        <w:footnoteReference w:id="45"/>
      </w:r>
      <w:r w:rsidR="00E7221A">
        <w:t xml:space="preserve">. </w:t>
      </w:r>
    </w:p>
    <w:p w14:paraId="22D60668" w14:textId="601BDF09" w:rsidR="00CF4785" w:rsidRDefault="00E7221A" w:rsidP="00CC2F28">
      <w:pPr>
        <w:spacing w:before="120" w:line="264" w:lineRule="auto"/>
      </w:pPr>
      <w:r>
        <w:t>W</w:t>
      </w:r>
      <w:r w:rsidR="00695F3A">
        <w:t>hile accepting that regulatory decision</w:t>
      </w:r>
      <w:r w:rsidR="00B1422C">
        <w:t>-</w:t>
      </w:r>
      <w:r w:rsidR="00695F3A">
        <w:t>making</w:t>
      </w:r>
      <w:r w:rsidR="006A1FA9">
        <w:t xml:space="preserve">, just as any other human activity, </w:t>
      </w:r>
      <w:r w:rsidR="00596C7A">
        <w:t xml:space="preserve">is never </w:t>
      </w:r>
      <w:r w:rsidR="005C2AF0">
        <w:t>infallible, I</w:t>
      </w:r>
      <w:r w:rsidR="006A1FA9">
        <w:t xml:space="preserve"> believe </w:t>
      </w:r>
      <w:r w:rsidR="00596C7A">
        <w:t xml:space="preserve">ARPANSA’s decisions </w:t>
      </w:r>
      <w:r w:rsidR="000670B3">
        <w:t xml:space="preserve">as a rule </w:t>
      </w:r>
      <w:r w:rsidR="00596C7A">
        <w:t xml:space="preserve">are </w:t>
      </w:r>
      <w:r w:rsidR="005C2AF0">
        <w:t xml:space="preserve">well </w:t>
      </w:r>
      <w:r w:rsidR="006D1DA4">
        <w:t>informed</w:t>
      </w:r>
      <w:r w:rsidR="007F7BB4">
        <w:t>, characterised by integrity</w:t>
      </w:r>
      <w:r w:rsidR="006D1DA4">
        <w:t xml:space="preserve"> and underpinned by sound judgement</w:t>
      </w:r>
      <w:r w:rsidR="00E14A2F">
        <w:t xml:space="preserve"> and evidence</w:t>
      </w:r>
      <w:r w:rsidR="007F7BB4">
        <w:t>, in accordance with ARPANSA’s Regulatory Activities Policy</w:t>
      </w:r>
      <w:r w:rsidR="00973B0B">
        <w:rPr>
          <w:rStyle w:val="FootnoteReference"/>
        </w:rPr>
        <w:footnoteReference w:id="46"/>
      </w:r>
      <w:r w:rsidR="006D1DA4">
        <w:t xml:space="preserve">. </w:t>
      </w:r>
      <w:r w:rsidR="000968FF">
        <w:t xml:space="preserve">I am pleased to see that the </w:t>
      </w:r>
      <w:r w:rsidR="00F755BB">
        <w:t xml:space="preserve">submission expressed general confidence in the current state-of-affairs. </w:t>
      </w:r>
      <w:r w:rsidR="00110C03">
        <w:t xml:space="preserve">A recruitment process is underway </w:t>
      </w:r>
      <w:r w:rsidR="0062192A">
        <w:t xml:space="preserve">for </w:t>
      </w:r>
      <w:r w:rsidR="00B6432F">
        <w:t xml:space="preserve">the recruitment of </w:t>
      </w:r>
      <w:r w:rsidR="0062192A">
        <w:t xml:space="preserve">ARPANSA’s third CEO, </w:t>
      </w:r>
      <w:r w:rsidR="00B6432F">
        <w:t>managed by</w:t>
      </w:r>
      <w:r w:rsidR="0062192A">
        <w:t xml:space="preserve"> the </w:t>
      </w:r>
      <w:r w:rsidR="00B6432F">
        <w:t>Department</w:t>
      </w:r>
      <w:r w:rsidR="0062192A">
        <w:t xml:space="preserve"> of Health. </w:t>
      </w:r>
      <w:r w:rsidR="000968FF">
        <w:t xml:space="preserve">I have full confidence in the </w:t>
      </w:r>
      <w:r w:rsidR="00973B0B">
        <w:t xml:space="preserve">integrity of the </w:t>
      </w:r>
      <w:r w:rsidR="000968FF">
        <w:t xml:space="preserve">recruitment process. </w:t>
      </w:r>
      <w:r w:rsidR="006A1FA9">
        <w:t xml:space="preserve"> </w:t>
      </w:r>
    </w:p>
    <w:p w14:paraId="4258C8FC" w14:textId="77777777" w:rsidR="00D53915" w:rsidRDefault="00D53915" w:rsidP="008E0A4B">
      <w:pPr>
        <w:pStyle w:val="Heading3"/>
        <w:numPr>
          <w:ilvl w:val="2"/>
          <w:numId w:val="3"/>
        </w:numPr>
        <w:spacing w:before="240" w:after="120"/>
        <w:ind w:left="1077"/>
      </w:pPr>
      <w:bookmarkStart w:id="54" w:name="_Toc96958684"/>
      <w:r>
        <w:t>Conclusions</w:t>
      </w:r>
      <w:bookmarkEnd w:id="54"/>
    </w:p>
    <w:tbl>
      <w:tblPr>
        <w:tblStyle w:val="TableGrid"/>
        <w:tblW w:w="0" w:type="auto"/>
        <w:tblLook w:val="04A0" w:firstRow="1" w:lastRow="0" w:firstColumn="1" w:lastColumn="0" w:noHBand="0" w:noVBand="1"/>
      </w:tblPr>
      <w:tblGrid>
        <w:gridCol w:w="9628"/>
      </w:tblGrid>
      <w:tr w:rsidR="00D53915" w:rsidRPr="000373DF" w14:paraId="4E990FE9" w14:textId="77777777" w:rsidTr="00BF30D5">
        <w:tc>
          <w:tcPr>
            <w:tcW w:w="9628" w:type="dxa"/>
            <w:shd w:val="clear" w:color="auto" w:fill="3D145C" w:themeFill="accent1" w:themeFillShade="40"/>
          </w:tcPr>
          <w:p w14:paraId="08CA2924" w14:textId="26DA1D3A" w:rsidR="00D53915" w:rsidRPr="000373DF" w:rsidRDefault="00280CF2" w:rsidP="00BF30D5">
            <w:pPr>
              <w:spacing w:line="264" w:lineRule="auto"/>
              <w:rPr>
                <w:b/>
                <w:bCs/>
                <w:color w:val="FFFFFF" w:themeColor="background1"/>
              </w:rPr>
            </w:pPr>
            <w:r>
              <w:rPr>
                <w:b/>
                <w:bCs/>
                <w:color w:val="FFFFFF" w:themeColor="background1"/>
              </w:rPr>
              <w:t>Content of submissions about the application</w:t>
            </w:r>
          </w:p>
        </w:tc>
      </w:tr>
      <w:tr w:rsidR="00D53915" w14:paraId="7B7ACE93" w14:textId="77777777" w:rsidTr="00BF30D5">
        <w:tc>
          <w:tcPr>
            <w:tcW w:w="9628" w:type="dxa"/>
            <w:shd w:val="clear" w:color="auto" w:fill="E3CCF4" w:themeFill="accent1"/>
          </w:tcPr>
          <w:p w14:paraId="61044292" w14:textId="7F9EB982" w:rsidR="00D53915" w:rsidRDefault="00300C7D" w:rsidP="00BF30D5">
            <w:pPr>
              <w:spacing w:before="120" w:after="120"/>
            </w:pPr>
            <w:r>
              <w:t xml:space="preserve">ARPANSA invited and reviewed submissions </w:t>
            </w:r>
            <w:r w:rsidR="004F7BEE">
              <w:t xml:space="preserve">about the </w:t>
            </w:r>
            <w:r w:rsidR="1D228A15">
              <w:t>application</w:t>
            </w:r>
            <w:r w:rsidR="398668AB">
              <w:t>.</w:t>
            </w:r>
            <w:r w:rsidR="004F7BEE">
              <w:t xml:space="preserve"> </w:t>
            </w:r>
            <w:r w:rsidR="00DF75DA">
              <w:t xml:space="preserve">The submissions </w:t>
            </w:r>
            <w:r w:rsidR="00411486">
              <w:t>predominantly</w:t>
            </w:r>
            <w:r w:rsidR="00DF75DA">
              <w:t xml:space="preserve"> </w:t>
            </w:r>
            <w:r w:rsidR="00015085">
              <w:t>concerned the position of the ILWCI Facility in the national radioactive waste management system</w:t>
            </w:r>
            <w:r w:rsidR="0040398D">
              <w:t>.</w:t>
            </w:r>
            <w:r w:rsidR="00B17990">
              <w:t xml:space="preserve"> </w:t>
            </w:r>
            <w:r w:rsidR="00646C68">
              <w:t xml:space="preserve">The diversity of opinions regarding the NRWMF, </w:t>
            </w:r>
            <w:proofErr w:type="gramStart"/>
            <w:r w:rsidR="00646C68">
              <w:t>in particular storage</w:t>
            </w:r>
            <w:proofErr w:type="gramEnd"/>
            <w:r w:rsidR="00646C68">
              <w:t xml:space="preserve"> of ILW at the </w:t>
            </w:r>
            <w:r w:rsidR="00DF0D82">
              <w:t>NRWMF</w:t>
            </w:r>
            <w:r w:rsidR="00F8275E">
              <w:t xml:space="preserve">, are well known to ARPANSA. </w:t>
            </w:r>
            <w:r w:rsidR="00F15478">
              <w:t xml:space="preserve">No new information emerged that materially challenges </w:t>
            </w:r>
            <w:r w:rsidR="00021E03">
              <w:t xml:space="preserve">ARPANSA’s view that continued production of nuclear medicine </w:t>
            </w:r>
            <w:r w:rsidR="51958E1E">
              <w:t>provides</w:t>
            </w:r>
            <w:r w:rsidR="0079244F">
              <w:t xml:space="preserve"> </w:t>
            </w:r>
            <w:r w:rsidR="00F20DEE">
              <w:t>significant benefit to Australia’s health care system</w:t>
            </w:r>
            <w:r w:rsidR="00021E03">
              <w:t xml:space="preserve">; this </w:t>
            </w:r>
            <w:r w:rsidR="007D1E8A">
              <w:t xml:space="preserve">inevitably leads to continued </w:t>
            </w:r>
            <w:r w:rsidR="00030738">
              <w:t xml:space="preserve">production </w:t>
            </w:r>
            <w:r w:rsidR="007D1E8A">
              <w:t xml:space="preserve">and increased storage </w:t>
            </w:r>
            <w:r w:rsidR="00030738">
              <w:t xml:space="preserve">of ILW </w:t>
            </w:r>
            <w:r w:rsidR="00F65AB9">
              <w:t xml:space="preserve">at Lucas Heights. </w:t>
            </w:r>
            <w:r w:rsidR="00A0384B">
              <w:t>In my opinion</w:t>
            </w:r>
            <w:r w:rsidR="00251A93">
              <w:t xml:space="preserve"> and as </w:t>
            </w:r>
            <w:r w:rsidR="00DF38B3">
              <w:t>argued in this Statement of Reasons</w:t>
            </w:r>
            <w:r w:rsidR="00A0384B">
              <w:t xml:space="preserve">, this can safely continue </w:t>
            </w:r>
            <w:r w:rsidR="00E367BE">
              <w:t>over the next decades</w:t>
            </w:r>
            <w:r w:rsidR="00187228">
              <w:t xml:space="preserve"> pending the establishment of </w:t>
            </w:r>
            <w:r w:rsidR="00E367BE">
              <w:t>facilities for final management of radioactive waste</w:t>
            </w:r>
            <w:r w:rsidR="0074175A">
              <w:t>, including</w:t>
            </w:r>
            <w:r w:rsidR="00E367BE">
              <w:t xml:space="preserve"> </w:t>
            </w:r>
            <w:r w:rsidR="002A1B0B">
              <w:t xml:space="preserve">a </w:t>
            </w:r>
            <w:r w:rsidR="00A1354B">
              <w:t xml:space="preserve">disposal </w:t>
            </w:r>
            <w:r w:rsidR="00D55A19">
              <w:t>facility for ILW</w:t>
            </w:r>
            <w:r w:rsidR="003274DF">
              <w:t xml:space="preserve"> for which</w:t>
            </w:r>
            <w:r w:rsidR="00D55A19">
              <w:t xml:space="preserve"> no concrete plans are </w:t>
            </w:r>
            <w:r w:rsidR="0009563E">
              <w:t>currently</w:t>
            </w:r>
            <w:r w:rsidR="00C74651">
              <w:t xml:space="preserve"> available</w:t>
            </w:r>
            <w:r w:rsidR="00D55A19">
              <w:t xml:space="preserve">. </w:t>
            </w:r>
            <w:r w:rsidR="00A0384B">
              <w:t xml:space="preserve"> </w:t>
            </w:r>
            <w:r w:rsidR="00614164">
              <w:t xml:space="preserve"> </w:t>
            </w:r>
            <w:r w:rsidR="004F7BEE">
              <w:t xml:space="preserve"> </w:t>
            </w:r>
          </w:p>
        </w:tc>
      </w:tr>
    </w:tbl>
    <w:p w14:paraId="0BF3B44B" w14:textId="42C11C91" w:rsidR="009C039D" w:rsidRDefault="00EF7081" w:rsidP="001B2873">
      <w:pPr>
        <w:pStyle w:val="Heading1"/>
        <w:numPr>
          <w:ilvl w:val="0"/>
          <w:numId w:val="3"/>
        </w:numPr>
      </w:pPr>
      <w:bookmarkStart w:id="55" w:name="_Toc96958685"/>
      <w:bookmarkEnd w:id="50"/>
      <w:r>
        <w:t>Licence conditions</w:t>
      </w:r>
      <w:bookmarkEnd w:id="55"/>
    </w:p>
    <w:p w14:paraId="72F9C9BE" w14:textId="113BDC99" w:rsidR="00172FB8" w:rsidRDefault="006B53C1" w:rsidP="00172FB8">
      <w:pPr>
        <w:spacing w:before="120" w:line="264" w:lineRule="auto"/>
      </w:pPr>
      <w:r>
        <w:t>Under section 35 of the A</w:t>
      </w:r>
      <w:r w:rsidR="009E1D71">
        <w:t>c</w:t>
      </w:r>
      <w:r>
        <w:t>t, I i</w:t>
      </w:r>
      <w:r w:rsidR="00836E0D">
        <w:t>mpose</w:t>
      </w:r>
      <w:r>
        <w:t xml:space="preserve"> the following licence condition</w:t>
      </w:r>
      <w:r w:rsidR="00810B03">
        <w:t>s</w:t>
      </w:r>
      <w:r>
        <w:t xml:space="preserve"> regarding </w:t>
      </w:r>
      <w:r w:rsidR="00FA322E">
        <w:t xml:space="preserve">specific matters that must be addressed in </w:t>
      </w:r>
      <w:r w:rsidR="00E84F40">
        <w:t xml:space="preserve">sufficient </w:t>
      </w:r>
      <w:r w:rsidR="00FA322E">
        <w:t xml:space="preserve">detail and in a form that clarifies the safety aspects of the </w:t>
      </w:r>
      <w:r w:rsidR="00E776F9">
        <w:t>issue</w:t>
      </w:r>
      <w:r w:rsidR="009F1397">
        <w:t>.</w:t>
      </w:r>
      <w:r w:rsidR="00F41B22">
        <w:t xml:space="preserve"> </w:t>
      </w:r>
      <w:r w:rsidR="009F1397">
        <w:t xml:space="preserve">The information must be submitted with an application </w:t>
      </w:r>
      <w:r w:rsidR="00712A33">
        <w:t xml:space="preserve">for a licence to construct the </w:t>
      </w:r>
      <w:r w:rsidR="00BC3946">
        <w:t>I</w:t>
      </w:r>
      <w:r w:rsidR="00712A33">
        <w:t>LWCI Facility, or earlier</w:t>
      </w:r>
      <w:r w:rsidR="00DA04FE">
        <w:t xml:space="preserve"> where feasible</w:t>
      </w:r>
      <w:r w:rsidR="00712A33">
        <w:t xml:space="preserve">. </w:t>
      </w:r>
      <w:r w:rsidR="00F41B22" w:rsidRPr="00712A33">
        <w:t>Failure to comply may result in a licence application to be deemed incomplete and not reviewable.</w:t>
      </w:r>
    </w:p>
    <w:p w14:paraId="75813B7F" w14:textId="65F3A30E" w:rsidR="0051539F" w:rsidRDefault="00985FC8" w:rsidP="001B2873">
      <w:pPr>
        <w:pStyle w:val="Heading2"/>
        <w:numPr>
          <w:ilvl w:val="1"/>
          <w:numId w:val="3"/>
        </w:numPr>
        <w:tabs>
          <w:tab w:val="left" w:pos="993"/>
        </w:tabs>
        <w:spacing w:before="240"/>
        <w:ind w:left="981" w:hanging="624"/>
      </w:pPr>
      <w:bookmarkStart w:id="56" w:name="_Toc96958686"/>
      <w:r>
        <w:t xml:space="preserve">Time until reaching capacity of </w:t>
      </w:r>
      <w:r w:rsidR="00770D21">
        <w:t>the ILSW stores</w:t>
      </w:r>
      <w:bookmarkEnd w:id="56"/>
      <w:r w:rsidR="00770D21">
        <w:t xml:space="preserve"> </w:t>
      </w:r>
    </w:p>
    <w:p w14:paraId="2C33994B" w14:textId="2103B5EC" w:rsidR="005018D1" w:rsidRDefault="00866B29" w:rsidP="001771DE">
      <w:pPr>
        <w:spacing w:before="120" w:line="264" w:lineRule="auto"/>
      </w:pPr>
      <w:r>
        <w:t>Section</w:t>
      </w:r>
      <w:r w:rsidR="00E26DAC">
        <w:t>s</w:t>
      </w:r>
      <w:r>
        <w:t xml:space="preserve"> 3.1 </w:t>
      </w:r>
      <w:r w:rsidR="00E26DAC">
        <w:t>and 3.4 of this Statement of Reasons</w:t>
      </w:r>
      <w:r w:rsidR="009D4A40">
        <w:t xml:space="preserve"> discuss the projections provided by ANST</w:t>
      </w:r>
      <w:r w:rsidR="001771DE">
        <w:t>O</w:t>
      </w:r>
      <w:r w:rsidR="009D4A40">
        <w:t xml:space="preserve">, which indicate that the existing ILSW Facility will reach capacity in 2027 and the ILWCI Facility in </w:t>
      </w:r>
      <w:r w:rsidR="001771DE">
        <w:t xml:space="preserve">2037. </w:t>
      </w:r>
      <w:r w:rsidR="00586088">
        <w:t>There are associated uncertainties</w:t>
      </w:r>
      <w:r w:rsidR="005018D1">
        <w:t>,</w:t>
      </w:r>
      <w:r w:rsidR="00802546">
        <w:t xml:space="preserve"> and these </w:t>
      </w:r>
      <w:r w:rsidR="00E01489">
        <w:t xml:space="preserve">may have significant consequences for </w:t>
      </w:r>
      <w:r w:rsidR="003E6982">
        <w:t>long-term production and national availability of nuclear medicine</w:t>
      </w:r>
      <w:r w:rsidR="000201D2">
        <w:t>, as well as for</w:t>
      </w:r>
      <w:r w:rsidR="005018D1">
        <w:t xml:space="preserve"> the</w:t>
      </w:r>
      <w:r w:rsidR="000201D2">
        <w:t xml:space="preserve"> establishment of </w:t>
      </w:r>
      <w:r w:rsidR="003D65DE">
        <w:t xml:space="preserve">new </w:t>
      </w:r>
      <w:r w:rsidR="000201D2">
        <w:t>waste management facilities at ANSTO or elsewhere</w:t>
      </w:r>
      <w:r w:rsidR="003E6982">
        <w:t xml:space="preserve">. </w:t>
      </w:r>
      <w:r w:rsidR="008254EF">
        <w:t xml:space="preserve">An analysis of scenarios must be submitted </w:t>
      </w:r>
      <w:r w:rsidR="004161E6">
        <w:t>with an application to construct the ILWCI Facility</w:t>
      </w:r>
      <w:r w:rsidR="00D73122">
        <w:t xml:space="preserve"> or before</w:t>
      </w:r>
      <w:r w:rsidR="005018D1">
        <w:t>, as detailed below.</w:t>
      </w:r>
      <w:r w:rsidR="00611E7F">
        <w:t xml:space="preserve"> The information provided to ARPANSA must consider both waste volume and activity.</w:t>
      </w:r>
    </w:p>
    <w:p w14:paraId="7D647FE3" w14:textId="4CACC1A2" w:rsidR="00414C2A" w:rsidRPr="00CF540D" w:rsidRDefault="00414C2A" w:rsidP="00414C2A">
      <w:pPr>
        <w:spacing w:before="120" w:line="264" w:lineRule="auto"/>
        <w:rPr>
          <w:i/>
          <w:iCs/>
        </w:rPr>
      </w:pPr>
      <w:r w:rsidRPr="00CF540D">
        <w:rPr>
          <w:b/>
          <w:bCs/>
          <w:i/>
          <w:iCs/>
        </w:rPr>
        <w:lastRenderedPageBreak/>
        <w:t>Licence condition</w:t>
      </w:r>
      <w:r w:rsidRPr="00CF540D">
        <w:rPr>
          <w:i/>
          <w:iCs/>
        </w:rPr>
        <w:t>: ANSTO must, as part of the supporting documentation for an application to construct the ILWCI Facility</w:t>
      </w:r>
      <w:r w:rsidR="005D7DAA">
        <w:rPr>
          <w:i/>
          <w:iCs/>
        </w:rPr>
        <w:t xml:space="preserve"> or earlier</w:t>
      </w:r>
      <w:r>
        <w:rPr>
          <w:i/>
          <w:iCs/>
        </w:rPr>
        <w:t>, provide</w:t>
      </w:r>
      <w:r w:rsidRPr="00CF540D">
        <w:rPr>
          <w:i/>
          <w:iCs/>
        </w:rPr>
        <w:t xml:space="preserve"> </w:t>
      </w:r>
    </w:p>
    <w:p w14:paraId="138B34DC" w14:textId="408A8D48" w:rsidR="00414C2A" w:rsidRDefault="00E25487" w:rsidP="001B2873">
      <w:pPr>
        <w:pStyle w:val="ListParagraph"/>
        <w:numPr>
          <w:ilvl w:val="0"/>
          <w:numId w:val="10"/>
        </w:numPr>
        <w:spacing w:line="264" w:lineRule="auto"/>
        <w:rPr>
          <w:i/>
          <w:iCs/>
        </w:rPr>
      </w:pPr>
      <w:r>
        <w:rPr>
          <w:i/>
          <w:iCs/>
        </w:rPr>
        <w:t>U</w:t>
      </w:r>
      <w:r w:rsidR="00414C2A">
        <w:rPr>
          <w:i/>
          <w:iCs/>
        </w:rPr>
        <w:t xml:space="preserve">pdated information on </w:t>
      </w:r>
      <w:r w:rsidR="00423F57">
        <w:rPr>
          <w:i/>
          <w:iCs/>
        </w:rPr>
        <w:t xml:space="preserve">expected </w:t>
      </w:r>
      <w:r w:rsidR="002D047A">
        <w:rPr>
          <w:i/>
          <w:iCs/>
        </w:rPr>
        <w:t>progression of</w:t>
      </w:r>
      <w:r w:rsidR="00423F57">
        <w:rPr>
          <w:i/>
          <w:iCs/>
        </w:rPr>
        <w:t xml:space="preserve"> emplacement of ILW in the</w:t>
      </w:r>
      <w:r w:rsidR="00254455">
        <w:rPr>
          <w:i/>
          <w:iCs/>
        </w:rPr>
        <w:t xml:space="preserve"> existing storage facility for ILSW and in the</w:t>
      </w:r>
      <w:r w:rsidR="00423F57">
        <w:rPr>
          <w:i/>
          <w:iCs/>
        </w:rPr>
        <w:t xml:space="preserve"> ILWCI Facility, and </w:t>
      </w:r>
      <w:r w:rsidR="00414C2A">
        <w:rPr>
          <w:i/>
          <w:iCs/>
        </w:rPr>
        <w:t>expected timing for reaching capacity for storage of SUF cups</w:t>
      </w:r>
      <w:r w:rsidR="002C505B">
        <w:rPr>
          <w:i/>
          <w:iCs/>
        </w:rPr>
        <w:t>, ARBs,</w:t>
      </w:r>
      <w:r w:rsidR="00414C2A">
        <w:rPr>
          <w:i/>
          <w:iCs/>
        </w:rPr>
        <w:t xml:space="preserve"> and </w:t>
      </w:r>
      <w:proofErr w:type="spellStart"/>
      <w:r w:rsidR="002C505B">
        <w:rPr>
          <w:i/>
          <w:iCs/>
        </w:rPr>
        <w:t>SyMo</w:t>
      </w:r>
      <w:proofErr w:type="spellEnd"/>
      <w:r w:rsidR="002C505B">
        <w:rPr>
          <w:i/>
          <w:iCs/>
        </w:rPr>
        <w:t xml:space="preserve"> </w:t>
      </w:r>
      <w:r w:rsidR="00414C2A">
        <w:rPr>
          <w:i/>
          <w:iCs/>
        </w:rPr>
        <w:t>waste canisters</w:t>
      </w:r>
      <w:r w:rsidR="00177264">
        <w:rPr>
          <w:i/>
          <w:iCs/>
        </w:rPr>
        <w:t xml:space="preserve"> at </w:t>
      </w:r>
      <w:r w:rsidR="0075574C">
        <w:rPr>
          <w:i/>
          <w:iCs/>
        </w:rPr>
        <w:t xml:space="preserve">these </w:t>
      </w:r>
      <w:r w:rsidR="00177264">
        <w:rPr>
          <w:i/>
          <w:iCs/>
        </w:rPr>
        <w:t xml:space="preserve">facilities, </w:t>
      </w:r>
      <w:r w:rsidR="00414C2A">
        <w:rPr>
          <w:i/>
          <w:iCs/>
        </w:rPr>
        <w:t>building on</w:t>
      </w:r>
      <w:r>
        <w:rPr>
          <w:i/>
          <w:iCs/>
        </w:rPr>
        <w:t>:</w:t>
      </w:r>
    </w:p>
    <w:p w14:paraId="5E77861B" w14:textId="397722D4" w:rsidR="00414C2A" w:rsidRDefault="00414C2A" w:rsidP="001B2873">
      <w:pPr>
        <w:pStyle w:val="ListParagraph"/>
        <w:numPr>
          <w:ilvl w:val="1"/>
          <w:numId w:val="10"/>
        </w:numPr>
        <w:spacing w:line="264" w:lineRule="auto"/>
        <w:rPr>
          <w:i/>
          <w:iCs/>
        </w:rPr>
      </w:pPr>
      <w:r>
        <w:rPr>
          <w:i/>
          <w:iCs/>
        </w:rPr>
        <w:t xml:space="preserve">assumed continued production </w:t>
      </w:r>
      <w:r w:rsidR="004F2C92">
        <w:rPr>
          <w:i/>
          <w:iCs/>
        </w:rPr>
        <w:t>of ILW from nuclear medicine production</w:t>
      </w:r>
      <w:r>
        <w:rPr>
          <w:i/>
          <w:iCs/>
        </w:rPr>
        <w:t xml:space="preserve"> </w:t>
      </w:r>
      <w:r w:rsidR="00191807">
        <w:rPr>
          <w:i/>
          <w:iCs/>
        </w:rPr>
        <w:t xml:space="preserve">at the time the </w:t>
      </w:r>
      <w:r w:rsidR="00CD1CC6">
        <w:rPr>
          <w:i/>
          <w:iCs/>
        </w:rPr>
        <w:t>supporting documentation is submitted</w:t>
      </w:r>
    </w:p>
    <w:p w14:paraId="2A609DC4" w14:textId="20723038" w:rsidR="00414C2A" w:rsidRDefault="00414C2A" w:rsidP="001B2873">
      <w:pPr>
        <w:pStyle w:val="ListParagraph"/>
        <w:numPr>
          <w:ilvl w:val="1"/>
          <w:numId w:val="10"/>
        </w:numPr>
        <w:spacing w:line="264" w:lineRule="auto"/>
        <w:rPr>
          <w:i/>
          <w:iCs/>
        </w:rPr>
      </w:pPr>
      <w:r>
        <w:rPr>
          <w:i/>
          <w:iCs/>
        </w:rPr>
        <w:t xml:space="preserve">other </w:t>
      </w:r>
      <w:r w:rsidR="00A00F5D">
        <w:rPr>
          <w:i/>
          <w:iCs/>
        </w:rPr>
        <w:t xml:space="preserve">plausible </w:t>
      </w:r>
      <w:r>
        <w:rPr>
          <w:i/>
          <w:iCs/>
        </w:rPr>
        <w:t xml:space="preserve">scenarios </w:t>
      </w:r>
      <w:r w:rsidR="00A00F5D">
        <w:rPr>
          <w:i/>
          <w:iCs/>
        </w:rPr>
        <w:t>for</w:t>
      </w:r>
      <w:r>
        <w:rPr>
          <w:i/>
          <w:iCs/>
        </w:rPr>
        <w:t xml:space="preserve"> future demand</w:t>
      </w:r>
      <w:r w:rsidR="008652D9">
        <w:rPr>
          <w:i/>
          <w:iCs/>
        </w:rPr>
        <w:t xml:space="preserve"> and production capacity</w:t>
      </w:r>
      <w:r>
        <w:rPr>
          <w:i/>
          <w:iCs/>
        </w:rPr>
        <w:t xml:space="preserve"> for Mo-99/Tc-99m for nuclear medicine procedures, in Australia and globally</w:t>
      </w:r>
    </w:p>
    <w:p w14:paraId="57912784" w14:textId="39AE2C5A" w:rsidR="00414C2A" w:rsidRDefault="00414C2A" w:rsidP="001B2873">
      <w:pPr>
        <w:pStyle w:val="ListParagraph"/>
        <w:numPr>
          <w:ilvl w:val="1"/>
          <w:numId w:val="10"/>
        </w:numPr>
        <w:spacing w:line="264" w:lineRule="auto"/>
        <w:rPr>
          <w:i/>
          <w:iCs/>
        </w:rPr>
      </w:pPr>
      <w:r>
        <w:rPr>
          <w:i/>
          <w:iCs/>
        </w:rPr>
        <w:t xml:space="preserve">scenarios under </w:t>
      </w:r>
      <w:r w:rsidR="00BB1C51">
        <w:rPr>
          <w:i/>
          <w:iCs/>
        </w:rPr>
        <w:t>(</w:t>
      </w:r>
      <w:r>
        <w:rPr>
          <w:i/>
          <w:iCs/>
        </w:rPr>
        <w:t>a</w:t>
      </w:r>
      <w:r w:rsidR="00FF17A6">
        <w:rPr>
          <w:i/>
          <w:iCs/>
        </w:rPr>
        <w:t xml:space="preserve"> </w:t>
      </w:r>
      <w:r>
        <w:rPr>
          <w:i/>
          <w:iCs/>
        </w:rPr>
        <w:t>-</w:t>
      </w:r>
      <w:r w:rsidR="00FF17A6">
        <w:rPr>
          <w:i/>
          <w:iCs/>
        </w:rPr>
        <w:t xml:space="preserve"> </w:t>
      </w:r>
      <w:r>
        <w:rPr>
          <w:i/>
          <w:iCs/>
        </w:rPr>
        <w:t>b</w:t>
      </w:r>
      <w:r w:rsidR="00BB1C51">
        <w:rPr>
          <w:i/>
          <w:iCs/>
        </w:rPr>
        <w:t>)</w:t>
      </w:r>
      <w:r>
        <w:rPr>
          <w:i/>
          <w:iCs/>
        </w:rPr>
        <w:t xml:space="preserve"> </w:t>
      </w:r>
      <w:r w:rsidR="0034038F">
        <w:rPr>
          <w:i/>
          <w:iCs/>
        </w:rPr>
        <w:t xml:space="preserve">and assuming contribution by ANSTO to the Outage Reserve Capacity </w:t>
      </w:r>
      <w:r w:rsidR="00504120">
        <w:rPr>
          <w:i/>
          <w:iCs/>
        </w:rPr>
        <w:t xml:space="preserve">recommended by the </w:t>
      </w:r>
      <w:r>
        <w:rPr>
          <w:i/>
          <w:iCs/>
        </w:rPr>
        <w:t>OECD/NEA</w:t>
      </w:r>
      <w:r w:rsidR="00EE1079">
        <w:rPr>
          <w:i/>
          <w:iCs/>
        </w:rPr>
        <w:t xml:space="preserve"> High-Level Group on the Security of Supply of Medical Radioisotopes</w:t>
      </w:r>
      <w:r w:rsidR="00E26B0B">
        <w:rPr>
          <w:rStyle w:val="FootnoteReference"/>
          <w:i/>
          <w:iCs/>
        </w:rPr>
        <w:footnoteReference w:id="47"/>
      </w:r>
    </w:p>
    <w:p w14:paraId="76A5DF72" w14:textId="70A1696C" w:rsidR="00414C2A" w:rsidRDefault="00414C2A" w:rsidP="001B2873">
      <w:pPr>
        <w:pStyle w:val="ListParagraph"/>
        <w:numPr>
          <w:ilvl w:val="1"/>
          <w:numId w:val="10"/>
        </w:numPr>
        <w:spacing w:line="264" w:lineRule="auto"/>
        <w:rPr>
          <w:i/>
          <w:iCs/>
        </w:rPr>
      </w:pPr>
      <w:r>
        <w:rPr>
          <w:i/>
          <w:iCs/>
        </w:rPr>
        <w:t xml:space="preserve">activity of waste stored under the </w:t>
      </w:r>
      <w:r w:rsidR="00FF17A6">
        <w:rPr>
          <w:i/>
          <w:iCs/>
        </w:rPr>
        <w:t>scenarios</w:t>
      </w:r>
      <w:r>
        <w:rPr>
          <w:i/>
          <w:iCs/>
        </w:rPr>
        <w:t xml:space="preserve"> defined </w:t>
      </w:r>
      <w:r w:rsidR="00770F99">
        <w:rPr>
          <w:i/>
          <w:iCs/>
        </w:rPr>
        <w:t>in</w:t>
      </w:r>
      <w:r>
        <w:rPr>
          <w:i/>
          <w:iCs/>
        </w:rPr>
        <w:t xml:space="preserve"> (a</w:t>
      </w:r>
      <w:r w:rsidR="0075574C">
        <w:rPr>
          <w:i/>
          <w:iCs/>
        </w:rPr>
        <w:t>)</w:t>
      </w:r>
      <w:r>
        <w:rPr>
          <w:i/>
          <w:iCs/>
        </w:rPr>
        <w:t xml:space="preserve"> – </w:t>
      </w:r>
      <w:r w:rsidR="0075574C">
        <w:rPr>
          <w:i/>
          <w:iCs/>
        </w:rPr>
        <w:t>(</w:t>
      </w:r>
      <w:r>
        <w:rPr>
          <w:i/>
          <w:iCs/>
        </w:rPr>
        <w:t>c)</w:t>
      </w:r>
      <w:r w:rsidR="002F6CC1">
        <w:rPr>
          <w:i/>
          <w:iCs/>
        </w:rPr>
        <w:t>.</w:t>
      </w:r>
    </w:p>
    <w:p w14:paraId="3D7FAB58" w14:textId="118E9783" w:rsidR="00866B29" w:rsidRDefault="00BB6DC5" w:rsidP="001B2873">
      <w:pPr>
        <w:pStyle w:val="Heading2"/>
        <w:numPr>
          <w:ilvl w:val="1"/>
          <w:numId w:val="3"/>
        </w:numPr>
        <w:tabs>
          <w:tab w:val="left" w:pos="993"/>
        </w:tabs>
        <w:spacing w:before="240"/>
        <w:ind w:left="981" w:hanging="624"/>
      </w:pPr>
      <w:bookmarkStart w:id="57" w:name="_Toc96958687"/>
      <w:r>
        <w:t>Influence of s</w:t>
      </w:r>
      <w:r w:rsidR="008B2716">
        <w:t xml:space="preserve">ite characteristics </w:t>
      </w:r>
      <w:r w:rsidR="008C62DA">
        <w:t xml:space="preserve">and </w:t>
      </w:r>
      <w:r w:rsidR="003D3137">
        <w:t xml:space="preserve">optimisation </w:t>
      </w:r>
      <w:r>
        <w:t xml:space="preserve">of protection </w:t>
      </w:r>
      <w:r w:rsidR="008B2716">
        <w:t>in the design of the ILWCI Facility</w:t>
      </w:r>
      <w:bookmarkEnd w:id="57"/>
    </w:p>
    <w:p w14:paraId="646E4E4F" w14:textId="1E0A1C36" w:rsidR="00BA69B8" w:rsidRDefault="00BA69B8" w:rsidP="00F4089D">
      <w:pPr>
        <w:pStyle w:val="ListParagraph"/>
        <w:numPr>
          <w:ilvl w:val="0"/>
          <w:numId w:val="0"/>
        </w:numPr>
        <w:spacing w:line="264" w:lineRule="auto"/>
      </w:pPr>
      <w:r>
        <w:t xml:space="preserve">Section 3.2 refers to the site characteristics and site-related design basis for the ILWCI Facility. </w:t>
      </w:r>
      <w:proofErr w:type="gramStart"/>
      <w:r>
        <w:t>A number of</w:t>
      </w:r>
      <w:proofErr w:type="gramEnd"/>
      <w:r>
        <w:t xml:space="preserve"> areas were identified in by ANSTO as requiring consideration in further design works.  </w:t>
      </w:r>
    </w:p>
    <w:p w14:paraId="51E617D6" w14:textId="3F084052" w:rsidR="00ED1F23" w:rsidRPr="00CF540D" w:rsidRDefault="00ED1F23" w:rsidP="00ED1F23">
      <w:pPr>
        <w:spacing w:before="120" w:line="264" w:lineRule="auto"/>
        <w:rPr>
          <w:i/>
          <w:iCs/>
        </w:rPr>
      </w:pPr>
      <w:r w:rsidRPr="00CF540D">
        <w:rPr>
          <w:b/>
          <w:bCs/>
          <w:i/>
          <w:iCs/>
        </w:rPr>
        <w:t>Licence condition</w:t>
      </w:r>
      <w:r w:rsidRPr="00CF540D">
        <w:rPr>
          <w:i/>
          <w:iCs/>
        </w:rPr>
        <w:t>: ANSTO must, as part of the supporting documentation for an application to construct the ILWCI Facility</w:t>
      </w:r>
      <w:r>
        <w:rPr>
          <w:i/>
          <w:iCs/>
        </w:rPr>
        <w:t xml:space="preserve"> or earlier, provide</w:t>
      </w:r>
      <w:r w:rsidR="0027753F">
        <w:rPr>
          <w:i/>
          <w:iCs/>
        </w:rPr>
        <w:t>:</w:t>
      </w:r>
      <w:r w:rsidRPr="00CF540D">
        <w:rPr>
          <w:i/>
          <w:iCs/>
        </w:rPr>
        <w:t xml:space="preserve"> </w:t>
      </w:r>
    </w:p>
    <w:p w14:paraId="032D49CF" w14:textId="1E5AE9BC" w:rsidR="00ED1F23" w:rsidRDefault="00E63F06" w:rsidP="001B2873">
      <w:pPr>
        <w:pStyle w:val="ListParagraph"/>
        <w:numPr>
          <w:ilvl w:val="0"/>
          <w:numId w:val="18"/>
        </w:numPr>
        <w:spacing w:line="264" w:lineRule="auto"/>
        <w:rPr>
          <w:i/>
          <w:iCs/>
        </w:rPr>
      </w:pPr>
      <w:r>
        <w:rPr>
          <w:i/>
          <w:iCs/>
        </w:rPr>
        <w:t>U</w:t>
      </w:r>
      <w:r w:rsidR="00ED1F23">
        <w:rPr>
          <w:i/>
          <w:iCs/>
        </w:rPr>
        <w:t>pdated information on</w:t>
      </w:r>
      <w:r w:rsidR="00197DE4">
        <w:rPr>
          <w:i/>
          <w:iCs/>
        </w:rPr>
        <w:t xml:space="preserve"> design considerations and design decision</w:t>
      </w:r>
      <w:r w:rsidR="00B14031">
        <w:rPr>
          <w:i/>
          <w:iCs/>
        </w:rPr>
        <w:t>s</w:t>
      </w:r>
      <w:r w:rsidR="00197DE4">
        <w:rPr>
          <w:i/>
          <w:iCs/>
        </w:rPr>
        <w:t xml:space="preserve"> that have been made </w:t>
      </w:r>
      <w:r w:rsidR="00D4024E">
        <w:rPr>
          <w:i/>
          <w:iCs/>
        </w:rPr>
        <w:t>about</w:t>
      </w:r>
      <w:r w:rsidR="00197DE4">
        <w:rPr>
          <w:i/>
          <w:iCs/>
        </w:rPr>
        <w:t xml:space="preserve"> </w:t>
      </w:r>
    </w:p>
    <w:p w14:paraId="1FA7A5C6" w14:textId="77777777" w:rsidR="00141437" w:rsidRDefault="00141437" w:rsidP="001B2873">
      <w:pPr>
        <w:pStyle w:val="ListParagraph"/>
        <w:numPr>
          <w:ilvl w:val="1"/>
          <w:numId w:val="18"/>
        </w:numPr>
        <w:spacing w:line="264" w:lineRule="auto"/>
        <w:rPr>
          <w:i/>
          <w:iCs/>
        </w:rPr>
      </w:pPr>
      <w:r>
        <w:rPr>
          <w:i/>
          <w:iCs/>
        </w:rPr>
        <w:t>bushfire</w:t>
      </w:r>
    </w:p>
    <w:p w14:paraId="7B752E3D" w14:textId="211F6167" w:rsidR="00ED1F23" w:rsidRDefault="00141437" w:rsidP="001B2873">
      <w:pPr>
        <w:pStyle w:val="ListParagraph"/>
        <w:numPr>
          <w:ilvl w:val="1"/>
          <w:numId w:val="18"/>
        </w:numPr>
        <w:spacing w:line="264" w:lineRule="auto"/>
        <w:rPr>
          <w:i/>
          <w:iCs/>
        </w:rPr>
      </w:pPr>
      <w:r>
        <w:rPr>
          <w:i/>
          <w:iCs/>
        </w:rPr>
        <w:t>drought</w:t>
      </w:r>
    </w:p>
    <w:p w14:paraId="4BE869EF" w14:textId="21076942" w:rsidR="00473140" w:rsidRDefault="00473140" w:rsidP="001B2873">
      <w:pPr>
        <w:pStyle w:val="ListParagraph"/>
        <w:numPr>
          <w:ilvl w:val="1"/>
          <w:numId w:val="18"/>
        </w:numPr>
        <w:spacing w:line="264" w:lineRule="auto"/>
        <w:rPr>
          <w:i/>
          <w:iCs/>
        </w:rPr>
      </w:pPr>
      <w:r>
        <w:rPr>
          <w:i/>
          <w:iCs/>
        </w:rPr>
        <w:t>high summer temperature</w:t>
      </w:r>
    </w:p>
    <w:p w14:paraId="345DDEFF" w14:textId="27956423" w:rsidR="00473140" w:rsidRDefault="00473140" w:rsidP="001B2873">
      <w:pPr>
        <w:pStyle w:val="ListParagraph"/>
        <w:numPr>
          <w:ilvl w:val="1"/>
          <w:numId w:val="18"/>
        </w:numPr>
        <w:spacing w:line="264" w:lineRule="auto"/>
        <w:rPr>
          <w:i/>
          <w:iCs/>
        </w:rPr>
      </w:pPr>
      <w:r>
        <w:rPr>
          <w:i/>
          <w:iCs/>
        </w:rPr>
        <w:t>lightning</w:t>
      </w:r>
    </w:p>
    <w:p w14:paraId="292F6B95" w14:textId="3D239541" w:rsidR="00473140" w:rsidRDefault="00473140" w:rsidP="001B2873">
      <w:pPr>
        <w:pStyle w:val="ListParagraph"/>
        <w:numPr>
          <w:ilvl w:val="1"/>
          <w:numId w:val="18"/>
        </w:numPr>
        <w:spacing w:line="264" w:lineRule="auto"/>
        <w:rPr>
          <w:i/>
          <w:iCs/>
        </w:rPr>
      </w:pPr>
      <w:r>
        <w:rPr>
          <w:i/>
          <w:iCs/>
        </w:rPr>
        <w:t>low water supply</w:t>
      </w:r>
    </w:p>
    <w:p w14:paraId="1921AC51" w14:textId="3B677DAA" w:rsidR="00473140" w:rsidRDefault="00473140" w:rsidP="001B2873">
      <w:pPr>
        <w:pStyle w:val="ListParagraph"/>
        <w:numPr>
          <w:ilvl w:val="1"/>
          <w:numId w:val="18"/>
        </w:numPr>
        <w:spacing w:line="264" w:lineRule="auto"/>
        <w:rPr>
          <w:i/>
          <w:iCs/>
        </w:rPr>
      </w:pPr>
      <w:r>
        <w:rPr>
          <w:i/>
          <w:iCs/>
        </w:rPr>
        <w:t>seismic activity</w:t>
      </w:r>
    </w:p>
    <w:p w14:paraId="0C4CB735" w14:textId="276AE66A" w:rsidR="00B14031" w:rsidRDefault="00B14031" w:rsidP="001B2873">
      <w:pPr>
        <w:pStyle w:val="ListParagraph"/>
        <w:numPr>
          <w:ilvl w:val="1"/>
          <w:numId w:val="18"/>
        </w:numPr>
        <w:spacing w:line="264" w:lineRule="auto"/>
        <w:rPr>
          <w:i/>
          <w:iCs/>
        </w:rPr>
      </w:pPr>
      <w:r>
        <w:rPr>
          <w:i/>
          <w:iCs/>
        </w:rPr>
        <w:t>soil shrink and swell</w:t>
      </w:r>
    </w:p>
    <w:p w14:paraId="4B162A0E" w14:textId="19AAD913" w:rsidR="00D4024E" w:rsidRDefault="00D4024E" w:rsidP="001B2873">
      <w:pPr>
        <w:pStyle w:val="ListParagraph"/>
        <w:numPr>
          <w:ilvl w:val="1"/>
          <w:numId w:val="18"/>
        </w:numPr>
        <w:spacing w:line="264" w:lineRule="auto"/>
        <w:rPr>
          <w:i/>
          <w:iCs/>
        </w:rPr>
      </w:pPr>
      <w:r>
        <w:rPr>
          <w:i/>
          <w:iCs/>
        </w:rPr>
        <w:t>extreme wind</w:t>
      </w:r>
    </w:p>
    <w:p w14:paraId="4A567D7A" w14:textId="0B42260A" w:rsidR="00D4024E" w:rsidRDefault="00D4024E" w:rsidP="001B2873">
      <w:pPr>
        <w:pStyle w:val="ListParagraph"/>
        <w:numPr>
          <w:ilvl w:val="1"/>
          <w:numId w:val="18"/>
        </w:numPr>
        <w:spacing w:line="264" w:lineRule="auto"/>
        <w:rPr>
          <w:i/>
          <w:iCs/>
        </w:rPr>
      </w:pPr>
      <w:r>
        <w:rPr>
          <w:i/>
          <w:iCs/>
        </w:rPr>
        <w:t>ventilation air quality</w:t>
      </w:r>
    </w:p>
    <w:p w14:paraId="03B9F38D" w14:textId="566932AA" w:rsidR="00D4024E" w:rsidRDefault="00D4024E" w:rsidP="001B2873">
      <w:pPr>
        <w:pStyle w:val="ListParagraph"/>
        <w:numPr>
          <w:ilvl w:val="1"/>
          <w:numId w:val="18"/>
        </w:numPr>
        <w:spacing w:line="264" w:lineRule="auto"/>
        <w:rPr>
          <w:i/>
          <w:iCs/>
        </w:rPr>
      </w:pPr>
      <w:r>
        <w:rPr>
          <w:i/>
          <w:iCs/>
        </w:rPr>
        <w:t>water supply quality</w:t>
      </w:r>
    </w:p>
    <w:p w14:paraId="6CEF6E14" w14:textId="20C59E53" w:rsidR="00B1697E" w:rsidRDefault="00E63F06" w:rsidP="001B2873">
      <w:pPr>
        <w:pStyle w:val="ListParagraph"/>
        <w:numPr>
          <w:ilvl w:val="0"/>
          <w:numId w:val="18"/>
        </w:numPr>
        <w:spacing w:line="264" w:lineRule="auto"/>
        <w:rPr>
          <w:i/>
          <w:iCs/>
        </w:rPr>
      </w:pPr>
      <w:r>
        <w:rPr>
          <w:i/>
          <w:iCs/>
        </w:rPr>
        <w:t>U</w:t>
      </w:r>
      <w:r w:rsidR="00B1697E">
        <w:rPr>
          <w:i/>
          <w:iCs/>
        </w:rPr>
        <w:t xml:space="preserve">pdated information on considerations </w:t>
      </w:r>
      <w:r w:rsidR="00BA69B8">
        <w:rPr>
          <w:i/>
          <w:iCs/>
        </w:rPr>
        <w:t xml:space="preserve">of </w:t>
      </w:r>
      <w:r w:rsidR="00B1697E">
        <w:rPr>
          <w:i/>
          <w:iCs/>
        </w:rPr>
        <w:t xml:space="preserve">optimisation of protection in the design </w:t>
      </w:r>
      <w:r w:rsidR="00756B9A">
        <w:rPr>
          <w:i/>
          <w:iCs/>
        </w:rPr>
        <w:t xml:space="preserve">including </w:t>
      </w:r>
    </w:p>
    <w:p w14:paraId="385EF266" w14:textId="393B37B0" w:rsidR="00B1697E" w:rsidRDefault="00373361" w:rsidP="001B2873">
      <w:pPr>
        <w:pStyle w:val="ListParagraph"/>
        <w:numPr>
          <w:ilvl w:val="1"/>
          <w:numId w:val="18"/>
        </w:numPr>
        <w:spacing w:line="264" w:lineRule="auto"/>
        <w:rPr>
          <w:i/>
          <w:iCs/>
        </w:rPr>
      </w:pPr>
      <w:r>
        <w:rPr>
          <w:i/>
          <w:iCs/>
        </w:rPr>
        <w:t xml:space="preserve">design, </w:t>
      </w:r>
      <w:proofErr w:type="gramStart"/>
      <w:r>
        <w:rPr>
          <w:i/>
          <w:iCs/>
        </w:rPr>
        <w:t>workflow</w:t>
      </w:r>
      <w:proofErr w:type="gramEnd"/>
      <w:r>
        <w:rPr>
          <w:i/>
          <w:iCs/>
        </w:rPr>
        <w:t xml:space="preserve"> and processes</w:t>
      </w:r>
    </w:p>
    <w:p w14:paraId="04CDDD73" w14:textId="7EFEAA24" w:rsidR="00373361" w:rsidRDefault="0027752A" w:rsidP="001B2873">
      <w:pPr>
        <w:pStyle w:val="ListParagraph"/>
        <w:numPr>
          <w:ilvl w:val="1"/>
          <w:numId w:val="18"/>
        </w:numPr>
        <w:spacing w:line="264" w:lineRule="auto"/>
        <w:rPr>
          <w:i/>
          <w:iCs/>
        </w:rPr>
      </w:pPr>
      <w:r>
        <w:rPr>
          <w:i/>
          <w:iCs/>
        </w:rPr>
        <w:t xml:space="preserve">preliminary dose constraints </w:t>
      </w:r>
      <w:r w:rsidR="00C2464F">
        <w:rPr>
          <w:i/>
          <w:iCs/>
        </w:rPr>
        <w:t xml:space="preserve">and projected airborne discharges </w:t>
      </w:r>
      <w:r>
        <w:rPr>
          <w:i/>
          <w:iCs/>
        </w:rPr>
        <w:t>relevant to the facility and/or certain aspects of the facility.</w:t>
      </w:r>
    </w:p>
    <w:p w14:paraId="25C3550F" w14:textId="56FAE831" w:rsidR="0027752A" w:rsidRDefault="00F4089D" w:rsidP="001B2873">
      <w:pPr>
        <w:pStyle w:val="Heading2"/>
        <w:numPr>
          <w:ilvl w:val="1"/>
          <w:numId w:val="3"/>
        </w:numPr>
        <w:tabs>
          <w:tab w:val="left" w:pos="993"/>
        </w:tabs>
        <w:spacing w:before="240"/>
        <w:ind w:left="981" w:hanging="624"/>
      </w:pPr>
      <w:r>
        <w:lastRenderedPageBreak/>
        <w:t xml:space="preserve"> </w:t>
      </w:r>
      <w:bookmarkStart w:id="58" w:name="_Toc96958688"/>
      <w:r w:rsidR="0027752A">
        <w:t xml:space="preserve">Safety assessment and </w:t>
      </w:r>
      <w:r w:rsidR="00595797">
        <w:t>safety analysis report</w:t>
      </w:r>
      <w:bookmarkEnd w:id="58"/>
    </w:p>
    <w:p w14:paraId="1D0D4142" w14:textId="659C589C" w:rsidR="00595797" w:rsidRDefault="00EB0DD9" w:rsidP="00B6679C">
      <w:pPr>
        <w:spacing w:before="120" w:line="264" w:lineRule="auto"/>
      </w:pPr>
      <w:r>
        <w:t xml:space="preserve">Section 3.3 of this Statement of Reasons considers the SAR and underpinning risk assessment, including the recommendations </w:t>
      </w:r>
      <w:r w:rsidR="00B6679C">
        <w:t>for further actions</w:t>
      </w:r>
      <w:r w:rsidR="00E870CB">
        <w:t xml:space="preserve">. </w:t>
      </w:r>
      <w:r w:rsidR="000913AA">
        <w:t>In addition,</w:t>
      </w:r>
      <w:r w:rsidR="00E870CB">
        <w:t xml:space="preserve"> the </w:t>
      </w:r>
      <w:r w:rsidR="00B12EDE">
        <w:t>approach to risk assessment</w:t>
      </w:r>
      <w:r w:rsidR="00E870CB">
        <w:t xml:space="preserve"> was discussed</w:t>
      </w:r>
      <w:r w:rsidR="00B12EDE">
        <w:t xml:space="preserve">, </w:t>
      </w:r>
      <w:proofErr w:type="gramStart"/>
      <w:r w:rsidR="00B12EDE">
        <w:t xml:space="preserve">in particular </w:t>
      </w:r>
      <w:r w:rsidR="000913AA">
        <w:t>screening</w:t>
      </w:r>
      <w:proofErr w:type="gramEnd"/>
      <w:r w:rsidR="000913AA">
        <w:t xml:space="preserve"> out certain incidents as </w:t>
      </w:r>
      <w:r w:rsidR="0092581C">
        <w:t>not credible</w:t>
      </w:r>
      <w:r w:rsidR="000913AA">
        <w:t>, and the human factors.</w:t>
      </w:r>
    </w:p>
    <w:p w14:paraId="6EE3E7C4" w14:textId="051EA920" w:rsidR="00F558A6" w:rsidRPr="00CF540D" w:rsidRDefault="00F558A6" w:rsidP="00F558A6">
      <w:pPr>
        <w:spacing w:before="120" w:line="264" w:lineRule="auto"/>
        <w:rPr>
          <w:i/>
          <w:iCs/>
        </w:rPr>
      </w:pPr>
      <w:r w:rsidRPr="00CF540D">
        <w:rPr>
          <w:b/>
          <w:bCs/>
          <w:i/>
          <w:iCs/>
        </w:rPr>
        <w:t>Licence condition</w:t>
      </w:r>
      <w:r w:rsidRPr="00CF540D">
        <w:rPr>
          <w:i/>
          <w:iCs/>
        </w:rPr>
        <w:t>: ANSTO must, as part of the supporting documentation for an application to construct the ILWCI Facility</w:t>
      </w:r>
      <w:r>
        <w:rPr>
          <w:i/>
          <w:iCs/>
        </w:rPr>
        <w:t xml:space="preserve"> or earlier, provide</w:t>
      </w:r>
      <w:r w:rsidR="00053989">
        <w:rPr>
          <w:i/>
          <w:iCs/>
        </w:rPr>
        <w:t>:</w:t>
      </w:r>
      <w:r w:rsidRPr="00CF540D">
        <w:rPr>
          <w:i/>
          <w:iCs/>
        </w:rPr>
        <w:t xml:space="preserve"> </w:t>
      </w:r>
    </w:p>
    <w:p w14:paraId="24B27FF7" w14:textId="107FD441" w:rsidR="00F558A6" w:rsidRDefault="000F14C3" w:rsidP="001B2873">
      <w:pPr>
        <w:pStyle w:val="ListParagraph"/>
        <w:numPr>
          <w:ilvl w:val="0"/>
          <w:numId w:val="21"/>
        </w:numPr>
        <w:spacing w:line="264" w:lineRule="auto"/>
        <w:rPr>
          <w:i/>
          <w:iCs/>
        </w:rPr>
      </w:pPr>
      <w:r>
        <w:rPr>
          <w:i/>
          <w:iCs/>
        </w:rPr>
        <w:t xml:space="preserve">Responses to the recommendation in </w:t>
      </w:r>
      <w:r w:rsidR="004D2FA7">
        <w:rPr>
          <w:i/>
          <w:iCs/>
        </w:rPr>
        <w:t xml:space="preserve">Appendix B to the </w:t>
      </w:r>
      <w:r w:rsidR="00385167">
        <w:rPr>
          <w:i/>
          <w:iCs/>
        </w:rPr>
        <w:t xml:space="preserve">SAR </w:t>
      </w:r>
      <w:r w:rsidR="00053989">
        <w:rPr>
          <w:i/>
          <w:iCs/>
        </w:rPr>
        <w:t>‘</w:t>
      </w:r>
      <w:r w:rsidR="00385167">
        <w:rPr>
          <w:i/>
          <w:iCs/>
        </w:rPr>
        <w:t>Disposition of the Risk Assessment Recommendations</w:t>
      </w:r>
      <w:r w:rsidR="00053989">
        <w:rPr>
          <w:i/>
          <w:iCs/>
        </w:rPr>
        <w:t>’</w:t>
      </w:r>
      <w:r>
        <w:rPr>
          <w:i/>
          <w:iCs/>
        </w:rPr>
        <w:t xml:space="preserve"> </w:t>
      </w:r>
      <w:r w:rsidR="00385167" w:rsidRPr="00385167">
        <w:rPr>
          <w:i/>
          <w:iCs/>
        </w:rPr>
        <w:t xml:space="preserve">which </w:t>
      </w:r>
      <w:r w:rsidR="00385167">
        <w:rPr>
          <w:i/>
          <w:iCs/>
        </w:rPr>
        <w:t>considers</w:t>
      </w:r>
      <w:r w:rsidR="0027753F">
        <w:rPr>
          <w:i/>
          <w:iCs/>
        </w:rPr>
        <w:t>:</w:t>
      </w:r>
    </w:p>
    <w:p w14:paraId="5FE6B119" w14:textId="0A2DC615" w:rsidR="00272542" w:rsidRDefault="009D27B8" w:rsidP="001B2873">
      <w:pPr>
        <w:pStyle w:val="ListParagraph"/>
        <w:numPr>
          <w:ilvl w:val="1"/>
          <w:numId w:val="22"/>
        </w:numPr>
        <w:spacing w:line="264" w:lineRule="auto"/>
        <w:rPr>
          <w:i/>
          <w:iCs/>
        </w:rPr>
      </w:pPr>
      <w:r>
        <w:rPr>
          <w:i/>
          <w:iCs/>
        </w:rPr>
        <w:t>s</w:t>
      </w:r>
      <w:r w:rsidR="000F0E8B">
        <w:rPr>
          <w:i/>
          <w:iCs/>
        </w:rPr>
        <w:t>tructural integrity</w:t>
      </w:r>
      <w:r w:rsidR="00272542">
        <w:rPr>
          <w:i/>
          <w:iCs/>
        </w:rPr>
        <w:t xml:space="preserve"> of the shielding</w:t>
      </w:r>
      <w:r w:rsidR="000F0E8B">
        <w:rPr>
          <w:i/>
          <w:iCs/>
        </w:rPr>
        <w:t xml:space="preserve"> </w:t>
      </w:r>
      <w:r w:rsidR="00272542">
        <w:rPr>
          <w:i/>
          <w:iCs/>
        </w:rPr>
        <w:t>of the GP flask and retrievable waste flask following impact</w:t>
      </w:r>
    </w:p>
    <w:p w14:paraId="69698160" w14:textId="31747B26" w:rsidR="008669A1" w:rsidRDefault="009D27B8" w:rsidP="001B2873">
      <w:pPr>
        <w:pStyle w:val="ListParagraph"/>
        <w:numPr>
          <w:ilvl w:val="1"/>
          <w:numId w:val="22"/>
        </w:numPr>
        <w:spacing w:line="264" w:lineRule="auto"/>
        <w:rPr>
          <w:i/>
          <w:iCs/>
        </w:rPr>
      </w:pPr>
      <w:r>
        <w:rPr>
          <w:i/>
          <w:iCs/>
        </w:rPr>
        <w:t>c</w:t>
      </w:r>
      <w:r w:rsidR="00CC76B7">
        <w:rPr>
          <w:i/>
          <w:iCs/>
        </w:rPr>
        <w:t xml:space="preserve">rane failure while storage pit shielding is </w:t>
      </w:r>
      <w:r>
        <w:rPr>
          <w:i/>
          <w:iCs/>
        </w:rPr>
        <w:t>compromised</w:t>
      </w:r>
      <w:r w:rsidR="00272542">
        <w:rPr>
          <w:i/>
          <w:iCs/>
        </w:rPr>
        <w:t xml:space="preserve"> </w:t>
      </w:r>
    </w:p>
    <w:p w14:paraId="5CA5364C" w14:textId="5679B1E8" w:rsidR="009D27B8" w:rsidRDefault="009D27B8" w:rsidP="001B2873">
      <w:pPr>
        <w:pStyle w:val="ListParagraph"/>
        <w:numPr>
          <w:ilvl w:val="1"/>
          <w:numId w:val="22"/>
        </w:numPr>
        <w:spacing w:line="264" w:lineRule="auto"/>
        <w:rPr>
          <w:i/>
          <w:iCs/>
        </w:rPr>
      </w:pPr>
      <w:r>
        <w:rPr>
          <w:i/>
          <w:iCs/>
        </w:rPr>
        <w:t>rescue plan for person falling inside a pit</w:t>
      </w:r>
    </w:p>
    <w:p w14:paraId="15AB02F3" w14:textId="23A65088" w:rsidR="00F26696" w:rsidRPr="00F558A6" w:rsidRDefault="00F26696" w:rsidP="001B2873">
      <w:pPr>
        <w:pStyle w:val="ListParagraph"/>
        <w:numPr>
          <w:ilvl w:val="1"/>
          <w:numId w:val="22"/>
        </w:numPr>
        <w:spacing w:line="264" w:lineRule="auto"/>
        <w:rPr>
          <w:i/>
          <w:iCs/>
        </w:rPr>
      </w:pPr>
      <w:r>
        <w:rPr>
          <w:i/>
          <w:iCs/>
        </w:rPr>
        <w:t xml:space="preserve">safety measures for operators or maintenance staff </w:t>
      </w:r>
      <w:r w:rsidR="005D614D">
        <w:rPr>
          <w:i/>
          <w:iCs/>
        </w:rPr>
        <w:t>while in the vicinity of an open pit.</w:t>
      </w:r>
    </w:p>
    <w:p w14:paraId="1A05F2F2" w14:textId="77777777" w:rsidR="00EF7BEE" w:rsidRDefault="005A4EAF" w:rsidP="001B2873">
      <w:pPr>
        <w:pStyle w:val="ListParagraph"/>
        <w:numPr>
          <w:ilvl w:val="0"/>
          <w:numId w:val="21"/>
        </w:numPr>
        <w:spacing w:line="264" w:lineRule="auto"/>
        <w:rPr>
          <w:i/>
          <w:iCs/>
        </w:rPr>
      </w:pPr>
      <w:r w:rsidRPr="005A4EAF">
        <w:rPr>
          <w:i/>
          <w:iCs/>
        </w:rPr>
        <w:t>ANSTO must as part of the supporting safety assessment provide expanded written justification for initial screening of postulated events as not credible</w:t>
      </w:r>
      <w:r w:rsidR="00EF7BEE">
        <w:rPr>
          <w:i/>
          <w:iCs/>
        </w:rPr>
        <w:t xml:space="preserve">. </w:t>
      </w:r>
    </w:p>
    <w:p w14:paraId="207FEF87" w14:textId="1505DA07" w:rsidR="00EF7BEE" w:rsidRDefault="005E3F6A" w:rsidP="001B2873">
      <w:pPr>
        <w:pStyle w:val="ListParagraph"/>
        <w:numPr>
          <w:ilvl w:val="0"/>
          <w:numId w:val="21"/>
        </w:numPr>
        <w:spacing w:line="264" w:lineRule="auto"/>
        <w:rPr>
          <w:i/>
          <w:iCs/>
        </w:rPr>
      </w:pPr>
      <w:r w:rsidRPr="005E3F6A">
        <w:rPr>
          <w:i/>
          <w:iCs/>
        </w:rPr>
        <w:t>ANSTO must explain the reasoning behind engineering judgement applied where analyses of frequency of events involving human factors and probability of failure have been estimated instead of referenced data sources.</w:t>
      </w:r>
    </w:p>
    <w:p w14:paraId="639AEFDA" w14:textId="7E6EDF55" w:rsidR="00BF417B" w:rsidRPr="00F73A3E" w:rsidRDefault="00F73A3E" w:rsidP="001B2873">
      <w:pPr>
        <w:pStyle w:val="Heading2"/>
        <w:numPr>
          <w:ilvl w:val="1"/>
          <w:numId w:val="3"/>
        </w:numPr>
        <w:tabs>
          <w:tab w:val="left" w:pos="993"/>
        </w:tabs>
        <w:spacing w:before="240"/>
        <w:ind w:left="981" w:hanging="624"/>
      </w:pPr>
      <w:bookmarkStart w:id="59" w:name="_Toc96958689"/>
      <w:r w:rsidRPr="00F73A3E">
        <w:t>Waste Management Strategy</w:t>
      </w:r>
      <w:bookmarkEnd w:id="59"/>
    </w:p>
    <w:p w14:paraId="49F07302" w14:textId="14BC9225" w:rsidR="00BF417B" w:rsidRDefault="00BF417B" w:rsidP="00BF417B">
      <w:pPr>
        <w:spacing w:before="120" w:line="264" w:lineRule="auto"/>
      </w:pPr>
      <w:r>
        <w:t>ARPANSA acknowledges ANSTO’s ongoing development of a Waste Management Strategy</w:t>
      </w:r>
      <w:r w:rsidR="00F73A3E">
        <w:t xml:space="preserve">. </w:t>
      </w:r>
      <w:r>
        <w:t xml:space="preserve">Further clarity should be provided by ANSTO </w:t>
      </w:r>
      <w:proofErr w:type="gramStart"/>
      <w:r>
        <w:t>with regard to</w:t>
      </w:r>
      <w:proofErr w:type="gramEnd"/>
      <w:r>
        <w:t xml:space="preserve"> the different forms of ILW to be stored in the ILWCI Facility and timing, conditioning, and contingency plans for management of the different waste streams and waste forms until such time a disposal facility is able to receive such waste. </w:t>
      </w:r>
    </w:p>
    <w:p w14:paraId="2878F463" w14:textId="4418B53A" w:rsidR="00BF417B" w:rsidRPr="00CF540D" w:rsidRDefault="00BF417B" w:rsidP="00BF417B">
      <w:pPr>
        <w:spacing w:before="120" w:line="264" w:lineRule="auto"/>
        <w:rPr>
          <w:i/>
          <w:iCs/>
        </w:rPr>
      </w:pPr>
      <w:r w:rsidRPr="00CF540D">
        <w:rPr>
          <w:b/>
          <w:bCs/>
          <w:i/>
          <w:iCs/>
        </w:rPr>
        <w:t>Licence condition</w:t>
      </w:r>
      <w:r w:rsidRPr="00CF540D">
        <w:rPr>
          <w:i/>
          <w:iCs/>
        </w:rPr>
        <w:t>: ANSTO must, as part of the supporting documentation for an application to construct the ILWCI Facility</w:t>
      </w:r>
      <w:r>
        <w:rPr>
          <w:i/>
          <w:iCs/>
        </w:rPr>
        <w:t xml:space="preserve"> or earlier, provide</w:t>
      </w:r>
      <w:r w:rsidR="00593C0B">
        <w:rPr>
          <w:i/>
          <w:iCs/>
        </w:rPr>
        <w:t>:</w:t>
      </w:r>
      <w:r w:rsidRPr="00CF540D">
        <w:rPr>
          <w:i/>
          <w:iCs/>
        </w:rPr>
        <w:t xml:space="preserve"> </w:t>
      </w:r>
    </w:p>
    <w:p w14:paraId="43443994" w14:textId="12FE826E" w:rsidR="00BF417B" w:rsidRDefault="00593C0B" w:rsidP="001B2873">
      <w:pPr>
        <w:pStyle w:val="ListParagraph"/>
        <w:numPr>
          <w:ilvl w:val="0"/>
          <w:numId w:val="20"/>
        </w:numPr>
        <w:spacing w:line="264" w:lineRule="auto"/>
        <w:rPr>
          <w:i/>
          <w:iCs/>
        </w:rPr>
      </w:pPr>
      <w:r>
        <w:rPr>
          <w:i/>
          <w:iCs/>
        </w:rPr>
        <w:t>A</w:t>
      </w:r>
      <w:r w:rsidR="00BF417B">
        <w:rPr>
          <w:i/>
          <w:iCs/>
        </w:rPr>
        <w:t xml:space="preserve">n updated </w:t>
      </w:r>
      <w:proofErr w:type="gramStart"/>
      <w:r w:rsidR="00BF417B">
        <w:rPr>
          <w:i/>
          <w:iCs/>
        </w:rPr>
        <w:t>plan for the future</w:t>
      </w:r>
      <w:proofErr w:type="gramEnd"/>
      <w:r w:rsidR="00BF417B">
        <w:rPr>
          <w:i/>
          <w:iCs/>
        </w:rPr>
        <w:t xml:space="preserve"> management of the waste stored in the ILWCI Facility that considers</w:t>
      </w:r>
      <w:r>
        <w:rPr>
          <w:i/>
          <w:iCs/>
        </w:rPr>
        <w:t>:</w:t>
      </w:r>
      <w:r w:rsidR="00BF417B">
        <w:rPr>
          <w:i/>
          <w:iCs/>
        </w:rPr>
        <w:t xml:space="preserve"> </w:t>
      </w:r>
    </w:p>
    <w:p w14:paraId="2B61C4C6" w14:textId="1F8C57D8" w:rsidR="00BF417B" w:rsidRDefault="007135F3" w:rsidP="001B2873">
      <w:pPr>
        <w:pStyle w:val="ListParagraph"/>
        <w:numPr>
          <w:ilvl w:val="1"/>
          <w:numId w:val="20"/>
        </w:numPr>
        <w:spacing w:line="264" w:lineRule="auto"/>
        <w:rPr>
          <w:i/>
          <w:iCs/>
        </w:rPr>
      </w:pPr>
      <w:r>
        <w:rPr>
          <w:i/>
          <w:iCs/>
        </w:rPr>
        <w:t>t</w:t>
      </w:r>
      <w:r w:rsidR="00BF417B">
        <w:rPr>
          <w:i/>
          <w:iCs/>
        </w:rPr>
        <w:t>iming of different steps of the future management of the waste in the ILWCI, separately for the waste streams that have contributed to the inventory of the ILWCI</w:t>
      </w:r>
    </w:p>
    <w:p w14:paraId="60C6A9E2" w14:textId="3C80BD15" w:rsidR="00BF417B" w:rsidRDefault="00DF600D" w:rsidP="001B2873">
      <w:pPr>
        <w:pStyle w:val="ListParagraph"/>
        <w:numPr>
          <w:ilvl w:val="1"/>
          <w:numId w:val="20"/>
        </w:numPr>
        <w:spacing w:line="264" w:lineRule="auto"/>
        <w:rPr>
          <w:i/>
          <w:iCs/>
        </w:rPr>
      </w:pPr>
      <w:r>
        <w:rPr>
          <w:i/>
          <w:iCs/>
        </w:rPr>
        <w:t>c</w:t>
      </w:r>
      <w:r w:rsidR="00BF417B">
        <w:rPr>
          <w:i/>
          <w:iCs/>
        </w:rPr>
        <w:t xml:space="preserve">ontingency plans for </w:t>
      </w:r>
      <w:r w:rsidR="00F45725">
        <w:rPr>
          <w:i/>
          <w:iCs/>
        </w:rPr>
        <w:t>the ILW managed in the ILWCI Facility</w:t>
      </w:r>
      <w:r w:rsidR="00BF417B">
        <w:rPr>
          <w:i/>
          <w:iCs/>
        </w:rPr>
        <w:t>.</w:t>
      </w:r>
    </w:p>
    <w:p w14:paraId="68EB4425" w14:textId="6C5CE6B0" w:rsidR="00775294" w:rsidRDefault="00D766E5" w:rsidP="003274DF">
      <w:pPr>
        <w:pStyle w:val="Heading2"/>
        <w:numPr>
          <w:ilvl w:val="1"/>
          <w:numId w:val="3"/>
        </w:numPr>
        <w:tabs>
          <w:tab w:val="left" w:pos="993"/>
        </w:tabs>
        <w:spacing w:before="240"/>
        <w:ind w:left="981" w:hanging="624"/>
      </w:pPr>
      <w:bookmarkStart w:id="60" w:name="_Toc96958690"/>
      <w:r>
        <w:t>Decommissioning</w:t>
      </w:r>
      <w:bookmarkEnd w:id="60"/>
    </w:p>
    <w:p w14:paraId="430ADC4F" w14:textId="26668813" w:rsidR="00D766E5" w:rsidRDefault="00E44CDE" w:rsidP="00302817">
      <w:pPr>
        <w:spacing w:before="120" w:line="264" w:lineRule="auto"/>
      </w:pPr>
      <w:r>
        <w:t>As discussed in section 3.2, current plans for decommissioning lack detail</w:t>
      </w:r>
      <w:r w:rsidR="00D861F4">
        <w:t>,</w:t>
      </w:r>
      <w:r>
        <w:t xml:space="preserve"> but make </w:t>
      </w:r>
      <w:r w:rsidR="005E411B">
        <w:t>a commitment to timely decommissioning</w:t>
      </w:r>
      <w:r w:rsidR="00CC6C97">
        <w:t xml:space="preserve">. ANSTO must provide considerably updated information, </w:t>
      </w:r>
      <w:r w:rsidR="00B336A0">
        <w:t>albeit</w:t>
      </w:r>
      <w:r w:rsidR="00CC6C97">
        <w:t xml:space="preserve"> conceptual, on plans for decommissioning of the ILWCI and </w:t>
      </w:r>
      <w:r w:rsidR="005825F4">
        <w:t>how this, in br</w:t>
      </w:r>
      <w:r w:rsidR="00302817">
        <w:t>o</w:t>
      </w:r>
      <w:r w:rsidR="005825F4">
        <w:t>ad terms</w:t>
      </w:r>
      <w:r w:rsidR="00302817">
        <w:t>,</w:t>
      </w:r>
      <w:r w:rsidR="005825F4">
        <w:t xml:space="preserve"> fits with decommissioning of other facilities </w:t>
      </w:r>
      <w:r w:rsidR="00F95DD9">
        <w:t>at</w:t>
      </w:r>
      <w:r w:rsidR="005825F4">
        <w:t xml:space="preserve"> the L</w:t>
      </w:r>
      <w:r w:rsidR="00F95DD9">
        <w:t>u</w:t>
      </w:r>
      <w:r w:rsidR="005825F4">
        <w:t>cas Height site</w:t>
      </w:r>
      <w:r w:rsidR="000A23A7">
        <w:t xml:space="preserve">, which is part of </w:t>
      </w:r>
      <w:r w:rsidR="00DA09F2">
        <w:t xml:space="preserve">ANSTO’s Waste Management </w:t>
      </w:r>
      <w:r w:rsidR="00F95DD9">
        <w:t xml:space="preserve">Strategy </w:t>
      </w:r>
      <w:r w:rsidR="00DA09F2">
        <w:t xml:space="preserve">currently in </w:t>
      </w:r>
      <w:r w:rsidR="00F95DD9">
        <w:t>development</w:t>
      </w:r>
      <w:r w:rsidR="00DA09F2">
        <w:t>.</w:t>
      </w:r>
    </w:p>
    <w:p w14:paraId="68A3831E" w14:textId="099EA1BB" w:rsidR="00BA464E" w:rsidRPr="00CF540D" w:rsidRDefault="00BA464E" w:rsidP="00BA464E">
      <w:pPr>
        <w:spacing w:before="120" w:line="264" w:lineRule="auto"/>
        <w:rPr>
          <w:i/>
          <w:iCs/>
        </w:rPr>
      </w:pPr>
      <w:r w:rsidRPr="00CF540D">
        <w:rPr>
          <w:b/>
          <w:bCs/>
          <w:i/>
          <w:iCs/>
        </w:rPr>
        <w:t>Licence condition</w:t>
      </w:r>
      <w:r w:rsidRPr="00CF540D">
        <w:rPr>
          <w:i/>
          <w:iCs/>
        </w:rPr>
        <w:t>: ANSTO must, as part of the supporting documentation for an application to construct the ILWCI Facility</w:t>
      </w:r>
      <w:r>
        <w:rPr>
          <w:i/>
          <w:iCs/>
        </w:rPr>
        <w:t xml:space="preserve"> or earlier, provide</w:t>
      </w:r>
      <w:r w:rsidR="00A015F0">
        <w:rPr>
          <w:i/>
          <w:iCs/>
        </w:rPr>
        <w:t>:</w:t>
      </w:r>
      <w:r w:rsidRPr="00CF540D">
        <w:rPr>
          <w:i/>
          <w:iCs/>
        </w:rPr>
        <w:t xml:space="preserve"> </w:t>
      </w:r>
    </w:p>
    <w:p w14:paraId="63E9F6EE" w14:textId="48DE6E02" w:rsidR="00BA464E" w:rsidRDefault="00A015F0" w:rsidP="001B2873">
      <w:pPr>
        <w:pStyle w:val="ListParagraph"/>
        <w:numPr>
          <w:ilvl w:val="0"/>
          <w:numId w:val="19"/>
        </w:numPr>
        <w:spacing w:line="264" w:lineRule="auto"/>
        <w:rPr>
          <w:i/>
          <w:iCs/>
        </w:rPr>
      </w:pPr>
      <w:r>
        <w:rPr>
          <w:i/>
          <w:iCs/>
        </w:rPr>
        <w:t>A</w:t>
      </w:r>
      <w:r w:rsidR="00C6188C">
        <w:rPr>
          <w:i/>
          <w:iCs/>
        </w:rPr>
        <w:t>n updated decommissioning plan for the ILWCI Facility that considers</w:t>
      </w:r>
      <w:r w:rsidR="00A154C5">
        <w:rPr>
          <w:i/>
          <w:iCs/>
        </w:rPr>
        <w:t>:</w:t>
      </w:r>
      <w:r w:rsidR="00C6188C">
        <w:rPr>
          <w:i/>
          <w:iCs/>
        </w:rPr>
        <w:t xml:space="preserve"> </w:t>
      </w:r>
    </w:p>
    <w:p w14:paraId="21B2EAEB" w14:textId="070D4FA3" w:rsidR="00BA464E" w:rsidRDefault="00E32403" w:rsidP="001B2873">
      <w:pPr>
        <w:pStyle w:val="ListParagraph"/>
        <w:numPr>
          <w:ilvl w:val="1"/>
          <w:numId w:val="19"/>
        </w:numPr>
        <w:spacing w:line="264" w:lineRule="auto"/>
        <w:rPr>
          <w:i/>
          <w:iCs/>
        </w:rPr>
      </w:pPr>
      <w:r>
        <w:rPr>
          <w:i/>
          <w:iCs/>
        </w:rPr>
        <w:lastRenderedPageBreak/>
        <w:t>i</w:t>
      </w:r>
      <w:r w:rsidR="004D34AE">
        <w:rPr>
          <w:i/>
          <w:iCs/>
        </w:rPr>
        <w:t>ndicative timing for different phases of the ILWCI decommissio</w:t>
      </w:r>
      <w:r w:rsidR="001B24FE">
        <w:rPr>
          <w:i/>
          <w:iCs/>
        </w:rPr>
        <w:t>ning</w:t>
      </w:r>
    </w:p>
    <w:p w14:paraId="2B62A63D" w14:textId="4A0449A2" w:rsidR="001B24FE" w:rsidRDefault="00E32403" w:rsidP="001B2873">
      <w:pPr>
        <w:pStyle w:val="ListParagraph"/>
        <w:numPr>
          <w:ilvl w:val="1"/>
          <w:numId w:val="19"/>
        </w:numPr>
        <w:spacing w:line="264" w:lineRule="auto"/>
        <w:rPr>
          <w:i/>
          <w:iCs/>
        </w:rPr>
      </w:pPr>
      <w:r>
        <w:rPr>
          <w:i/>
          <w:iCs/>
        </w:rPr>
        <w:t>m</w:t>
      </w:r>
      <w:r w:rsidR="001B24FE">
        <w:rPr>
          <w:i/>
          <w:iCs/>
        </w:rPr>
        <w:t>anagement of decommissioning waste</w:t>
      </w:r>
      <w:r w:rsidR="005B4865">
        <w:rPr>
          <w:i/>
          <w:iCs/>
        </w:rPr>
        <w:t xml:space="preserve">; this could be </w:t>
      </w:r>
      <w:r w:rsidR="001B24FE">
        <w:rPr>
          <w:i/>
          <w:iCs/>
        </w:rPr>
        <w:t xml:space="preserve">part of ANSTO’s </w:t>
      </w:r>
      <w:r w:rsidR="00AA4165">
        <w:rPr>
          <w:i/>
          <w:iCs/>
        </w:rPr>
        <w:t xml:space="preserve">site-wide </w:t>
      </w:r>
      <w:r w:rsidR="001B24FE">
        <w:rPr>
          <w:i/>
          <w:iCs/>
        </w:rPr>
        <w:t>Waste Management Strategy</w:t>
      </w:r>
      <w:r w:rsidR="00BF417B">
        <w:rPr>
          <w:i/>
          <w:iCs/>
        </w:rPr>
        <w:t>.</w:t>
      </w:r>
    </w:p>
    <w:p w14:paraId="0330A66E" w14:textId="77777777" w:rsidR="00BE5C58" w:rsidRPr="00BD6501" w:rsidRDefault="00BE5C58" w:rsidP="001B2873">
      <w:pPr>
        <w:pStyle w:val="Heading1"/>
        <w:numPr>
          <w:ilvl w:val="0"/>
          <w:numId w:val="3"/>
        </w:numPr>
      </w:pPr>
      <w:bookmarkStart w:id="61" w:name="_Toc418680043"/>
      <w:r>
        <w:tab/>
      </w:r>
      <w:bookmarkStart w:id="62" w:name="_Toc96958691"/>
      <w:r w:rsidRPr="00BD6501">
        <w:t>Conclusions</w:t>
      </w:r>
      <w:bookmarkEnd w:id="61"/>
      <w:bookmarkEnd w:id="62"/>
    </w:p>
    <w:p w14:paraId="7C6D89DF" w14:textId="61A44124" w:rsidR="00BE5C58" w:rsidRDefault="00BE5C58" w:rsidP="00BE5C58">
      <w:pPr>
        <w:spacing w:before="120" w:line="264" w:lineRule="auto"/>
      </w:pPr>
      <w:r>
        <w:t>The information submitted with the application, while in some cases lacking in depth and specifics, addresses the requirements under the legislation and broadly meets the intent behind the regulatory guidance issued by ARPANSA</w:t>
      </w:r>
      <w:r w:rsidR="00B80322">
        <w:t xml:space="preserve"> for this stage of the licensing process</w:t>
      </w:r>
      <w:r>
        <w:t xml:space="preserve">. The documentation has been reviewed by ARPANSA’s regulatory officers and other subject matter experts at ARPANSA. The reviewers have concluded that the documentation provides reasonable assurance of the safety of the ILWCI Facility, commensurate with the requirements for preparing a site for the facility. </w:t>
      </w:r>
    </w:p>
    <w:p w14:paraId="114F2DE6" w14:textId="4BECB591" w:rsidR="00BE5C58" w:rsidRDefault="00BE5C58" w:rsidP="00BE5C58">
      <w:pPr>
        <w:spacing w:before="120" w:line="264" w:lineRule="auto"/>
      </w:pPr>
      <w:r>
        <w:t xml:space="preserve">Submissions were received </w:t>
      </w:r>
      <w:r w:rsidR="00E45BB3">
        <w:t>during the</w:t>
      </w:r>
      <w:r>
        <w:t xml:space="preserve"> consultation</w:t>
      </w:r>
      <w:r w:rsidR="00E45BB3">
        <w:t xml:space="preserve"> period</w:t>
      </w:r>
      <w:r>
        <w:t xml:space="preserve"> and a public forum was organised </w:t>
      </w:r>
      <w:r w:rsidR="000C3664">
        <w:t xml:space="preserve">in a virtual format </w:t>
      </w:r>
      <w:r>
        <w:t>for information exchange</w:t>
      </w:r>
      <w:r w:rsidR="000C3664">
        <w:t>.</w:t>
      </w:r>
      <w:r>
        <w:t xml:space="preserve"> The issues raised were mainly unrelated to the safety of the ILWCI Facility </w:t>
      </w:r>
      <w:r w:rsidRPr="0021288D">
        <w:rPr>
          <w:i/>
          <w:iCs/>
        </w:rPr>
        <w:t>per se</w:t>
      </w:r>
      <w:r>
        <w:t xml:space="preserve"> but still relevant as they considered the </w:t>
      </w:r>
      <w:r w:rsidRPr="0021288D">
        <w:rPr>
          <w:i/>
          <w:iCs/>
        </w:rPr>
        <w:t>system</w:t>
      </w:r>
      <w:r>
        <w:t xml:space="preserve"> for management of radioactive waste by ANSTO and in Australia</w:t>
      </w:r>
      <w:r w:rsidR="003F0CDC">
        <w:t>, in which the ILWCI Facility has an important role</w:t>
      </w:r>
      <w:r>
        <w:t xml:space="preserve">.  </w:t>
      </w:r>
    </w:p>
    <w:p w14:paraId="25A07ABE" w14:textId="7563E727" w:rsidR="00BE5C58" w:rsidRDefault="00BE5C58" w:rsidP="00BE5C58">
      <w:pPr>
        <w:spacing w:before="120" w:line="264" w:lineRule="auto"/>
      </w:pPr>
      <w:r>
        <w:t>I have assessed all information before me, and I conclude that there is a case for establishing the facility and that, on the basis of the submitted documentation and operational experience from a similar facility at the Lucas Heights site, the facility can be sited as proposed and that there is reasonable prospect that the facility can be constructed</w:t>
      </w:r>
      <w:r w:rsidR="001A5461">
        <w:t>,</w:t>
      </w:r>
      <w:r w:rsidDel="001A5461">
        <w:t xml:space="preserve"> </w:t>
      </w:r>
      <w:r>
        <w:t xml:space="preserve">operated </w:t>
      </w:r>
      <w:r w:rsidR="001A5461">
        <w:t>and decommissioned</w:t>
      </w:r>
      <w:r w:rsidR="00DE434C">
        <w:t xml:space="preserve"> </w:t>
      </w:r>
      <w:r>
        <w:t>in a way that provides assurance of safety of the workers, the public and the environment.</w:t>
      </w:r>
    </w:p>
    <w:p w14:paraId="38426C66" w14:textId="67455018" w:rsidR="00F77993" w:rsidRDefault="00F77993" w:rsidP="00F77993"/>
    <w:p w14:paraId="7CE6E914" w14:textId="2684312A" w:rsidR="00F77993" w:rsidRDefault="00F77993" w:rsidP="00F77993"/>
    <w:p w14:paraId="385EE07D" w14:textId="77777777" w:rsidR="00C8647C" w:rsidRDefault="00C8647C" w:rsidP="00F77993"/>
    <w:p w14:paraId="1D6422CB" w14:textId="407DDA1B" w:rsidR="003F0CDC" w:rsidRDefault="003F0CDC" w:rsidP="00F77993">
      <w:r>
        <w:t>Carl-Magnus Larsson</w:t>
      </w:r>
    </w:p>
    <w:p w14:paraId="372521B0" w14:textId="7CDF4E7F" w:rsidR="003F0CDC" w:rsidRDefault="003F0CDC" w:rsidP="00F77993">
      <w:pPr>
        <w:rPr>
          <w:b/>
          <w:bCs/>
        </w:rPr>
      </w:pPr>
      <w:r w:rsidRPr="00EC0F9C">
        <w:rPr>
          <w:b/>
          <w:bCs/>
        </w:rPr>
        <w:t>CEO of ARPANSA</w:t>
      </w:r>
    </w:p>
    <w:p w14:paraId="16A558D2" w14:textId="77777777" w:rsidR="00D8108E" w:rsidRDefault="00D8108E" w:rsidP="00F77993">
      <w:pPr>
        <w:rPr>
          <w:b/>
          <w:bCs/>
        </w:rPr>
      </w:pPr>
    </w:p>
    <w:sectPr w:rsidR="00D8108E" w:rsidSect="00BA3C58">
      <w:headerReference w:type="default" r:id="rId14"/>
      <w:footerReference w:type="default" r:id="rId15"/>
      <w:headerReference w:type="first" r:id="rId16"/>
      <w:footerReference w:type="first" r:id="rId17"/>
      <w:pgSz w:w="11906" w:h="16838" w:code="9"/>
      <w:pgMar w:top="1134" w:right="1134" w:bottom="1134"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51A23" w14:textId="77777777" w:rsidR="001A5BB8" w:rsidRDefault="001A5BB8" w:rsidP="00037687">
      <w:r>
        <w:separator/>
      </w:r>
    </w:p>
  </w:endnote>
  <w:endnote w:type="continuationSeparator" w:id="0">
    <w:p w14:paraId="22C3E02D" w14:textId="77777777" w:rsidR="001A5BB8" w:rsidRDefault="001A5BB8" w:rsidP="00037687">
      <w:r>
        <w:continuationSeparator/>
      </w:r>
    </w:p>
  </w:endnote>
  <w:endnote w:type="continuationNotice" w:id="1">
    <w:p w14:paraId="5FB3F4B7" w14:textId="77777777" w:rsidR="001A5BB8" w:rsidRDefault="001A5B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52F3" w14:textId="197FF7A9" w:rsidR="00DA0F63" w:rsidRPr="00FF6AB9" w:rsidRDefault="00DA0F63"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58241" behindDoc="0" locked="0" layoutInCell="1" allowOverlap="1" wp14:anchorId="78A17682" wp14:editId="654C4233">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Statement of Reasons</w:t>
    </w:r>
    <w:r w:rsidR="00E25A1C">
      <w:rPr>
        <w:sz w:val="18"/>
      </w:rPr>
      <w:t xml:space="preserve">, licence </w:t>
    </w:r>
    <w:r w:rsidR="0050683C">
      <w:rPr>
        <w:sz w:val="18"/>
      </w:rPr>
      <w:t xml:space="preserve">issued to ANSTO </w:t>
    </w:r>
    <w:r w:rsidR="00E25A1C">
      <w:rPr>
        <w:sz w:val="18"/>
      </w:rPr>
      <w:t>to prepare a sit</w:t>
    </w:r>
    <w:r w:rsidR="00417852">
      <w:rPr>
        <w:sz w:val="18"/>
      </w:rPr>
      <w:t>e for the I</w:t>
    </w:r>
    <w:r w:rsidR="00BC4BE8">
      <w:rPr>
        <w:sz w:val="18"/>
      </w:rPr>
      <w:t>LWCI</w:t>
    </w:r>
    <w:r w:rsidR="00417852">
      <w:rPr>
        <w:sz w:val="18"/>
      </w:rPr>
      <w:t xml:space="preserve"> Facility</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Pr>
        <w:noProof/>
        <w:sz w:val="18"/>
      </w:rPr>
      <w:t>13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BF0D" w14:textId="77777777" w:rsidR="00DA0F63" w:rsidRPr="0037120B" w:rsidRDefault="00DA0F63" w:rsidP="0037120B">
    <w:pPr>
      <w:tabs>
        <w:tab w:val="left" w:pos="3969"/>
        <w:tab w:val="right" w:pos="9639"/>
      </w:tabs>
      <w:spacing w:before="0"/>
      <w:rPr>
        <w:color w:val="808080" w:themeColor="background1" w:themeShade="80"/>
        <w:sz w:val="16"/>
      </w:rPr>
    </w:pPr>
    <w:r w:rsidRPr="002356D6">
      <w:rPr>
        <w:noProof/>
        <w:sz w:val="16"/>
        <w:lang w:eastAsia="en-AU"/>
      </w:rPr>
      <w:drawing>
        <wp:anchor distT="0" distB="0" distL="114300" distR="114300" simplePos="0" relativeHeight="251658240" behindDoc="0" locked="0" layoutInCell="1" allowOverlap="1" wp14:anchorId="441035C8" wp14:editId="3CEC1751">
          <wp:simplePos x="0" y="0"/>
          <wp:positionH relativeFrom="column">
            <wp:posOffset>0</wp:posOffset>
          </wp:positionH>
          <wp:positionV relativeFrom="paragraph">
            <wp:posOffset>128953</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sz w:val="16"/>
      </w:rPr>
      <w:t>ARPANSA-TMP-1812 v1.3</w:t>
    </w:r>
    <w:r>
      <w:rPr>
        <w:color w:val="808080" w:themeColor="background1" w:themeShade="80"/>
        <w:sz w:val="16"/>
      </w:rPr>
      <w:tab/>
    </w:r>
    <w:r>
      <w:rPr>
        <w:color w:val="808080" w:themeColor="background1" w:themeShade="80"/>
        <w:sz w:val="16"/>
      </w:rPr>
      <w:tab/>
    </w:r>
  </w:p>
  <w:p w14:paraId="02783FE6" w14:textId="77777777" w:rsidR="00DA0F63" w:rsidRPr="002356D6" w:rsidRDefault="00DA0F63" w:rsidP="0037120B">
    <w:pPr>
      <w:tabs>
        <w:tab w:val="left" w:pos="3969"/>
        <w:tab w:val="right" w:pos="9639"/>
      </w:tabs>
      <w:spacing w:before="120"/>
      <w:rPr>
        <w:sz w:val="16"/>
      </w:rPr>
    </w:pPr>
    <w:r w:rsidRPr="002356D6">
      <w:rPr>
        <w:sz w:val="16"/>
      </w:rPr>
      <w:t>619 Lower Plenty Road, Yallambie VIC 3085</w:t>
    </w:r>
    <w:r w:rsidRPr="002356D6">
      <w:rPr>
        <w:sz w:val="16"/>
      </w:rPr>
      <w:tab/>
    </w:r>
    <w:r>
      <w:rPr>
        <w:sz w:val="16"/>
      </w:rPr>
      <w:t>PO Box 655, Miranda NSW 1490</w:t>
    </w:r>
    <w:r w:rsidRPr="002356D6">
      <w:rPr>
        <w:sz w:val="16"/>
      </w:rPr>
      <w:tab/>
      <w:t>info@arpansa.gov.au</w:t>
    </w:r>
    <w:r w:rsidRPr="002356D6">
      <w:rPr>
        <w:sz w:val="16"/>
      </w:rPr>
      <w:br/>
      <w:t>+61 3 94</w:t>
    </w:r>
    <w:r>
      <w:rPr>
        <w:sz w:val="16"/>
      </w:rPr>
      <w:t>33 2211</w:t>
    </w:r>
    <w:r>
      <w:rPr>
        <w:sz w:val="16"/>
      </w:rPr>
      <w:tab/>
    </w:r>
    <w:r w:rsidRPr="002356D6">
      <w:rPr>
        <w:sz w:val="16"/>
      </w:rPr>
      <w:t>+61 2 9541 8333</w:t>
    </w:r>
    <w:r>
      <w:rPr>
        <w:sz w:val="16"/>
      </w:rPr>
      <w:tab/>
      <w:t>arpansa.gov.au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4AEF9" w14:textId="77777777" w:rsidR="001A5BB8" w:rsidRDefault="001A5BB8" w:rsidP="00037687">
      <w:r>
        <w:separator/>
      </w:r>
    </w:p>
  </w:footnote>
  <w:footnote w:type="continuationSeparator" w:id="0">
    <w:p w14:paraId="5D3D6F93" w14:textId="77777777" w:rsidR="001A5BB8" w:rsidRDefault="001A5BB8" w:rsidP="00037687">
      <w:r>
        <w:continuationSeparator/>
      </w:r>
    </w:p>
  </w:footnote>
  <w:footnote w:type="continuationNotice" w:id="1">
    <w:p w14:paraId="05DB3A40" w14:textId="77777777" w:rsidR="001A5BB8" w:rsidRDefault="001A5BB8">
      <w:pPr>
        <w:spacing w:before="0"/>
      </w:pPr>
    </w:p>
  </w:footnote>
  <w:footnote w:id="2">
    <w:p w14:paraId="7C167A3F" w14:textId="0452EFDE" w:rsidR="00B10D20" w:rsidRDefault="00B10D20">
      <w:pPr>
        <w:pStyle w:val="FootnoteText"/>
      </w:pPr>
      <w:r>
        <w:rPr>
          <w:rStyle w:val="FootnoteReference"/>
        </w:rPr>
        <w:footnoteRef/>
      </w:r>
      <w:r>
        <w:t xml:space="preserve"> </w:t>
      </w:r>
      <w:hyperlink r:id="rId1" w:history="1">
        <w:r w:rsidR="0083445D">
          <w:rPr>
            <w:rStyle w:val="Hyperlink"/>
          </w:rPr>
          <w:t>Australian Radiation Protection and Nuclear Safety Act 1998 (legislation.gov.au)</w:t>
        </w:r>
      </w:hyperlink>
    </w:p>
  </w:footnote>
  <w:footnote w:id="3">
    <w:p w14:paraId="0233DBFD" w14:textId="4D63DBAF" w:rsidR="00905EE0" w:rsidRDefault="00905EE0" w:rsidP="00DC3D01">
      <w:pPr>
        <w:pStyle w:val="FootnoteText"/>
        <w:ind w:left="0" w:firstLine="0"/>
      </w:pPr>
      <w:r>
        <w:rPr>
          <w:rStyle w:val="FootnoteReference"/>
        </w:rPr>
        <w:footnoteRef/>
      </w:r>
      <w:r>
        <w:t xml:space="preserve"> </w:t>
      </w:r>
      <w:r w:rsidR="002B0F8F">
        <w:t>Defined as “</w:t>
      </w:r>
      <w:r w:rsidR="00AF3F40" w:rsidRPr="00FA1F00">
        <w:rPr>
          <w:i/>
          <w:iCs/>
        </w:rPr>
        <w:t>t</w:t>
      </w:r>
      <w:r w:rsidR="002B0F8F" w:rsidRPr="00FA1F00">
        <w:rPr>
          <w:i/>
          <w:iCs/>
        </w:rPr>
        <w:t>he holding of radioactive sources, radioactive material, spent fuel and/or radioactive waste in a facility that provides for their/its containment, with an intention of retrieval</w:t>
      </w:r>
      <w:r w:rsidR="002B0F8F">
        <w:t>”, see</w:t>
      </w:r>
      <w:r w:rsidR="00815327">
        <w:t xml:space="preserve"> </w:t>
      </w:r>
      <w:hyperlink r:id="rId2" w:history="1">
        <w:r w:rsidR="00815327">
          <w:rPr>
            <w:rStyle w:val="Hyperlink"/>
          </w:rPr>
          <w:t>Code for Disposal Facilities for Solid Radioactive Waste (arpansa.gov.au)</w:t>
        </w:r>
      </w:hyperlink>
      <w:r w:rsidR="009034BB">
        <w:t xml:space="preserve">, </w:t>
      </w:r>
      <w:r w:rsidR="002A752D">
        <w:t>RPS C-3</w:t>
      </w:r>
      <w:r w:rsidR="009034BB">
        <w:t xml:space="preserve">, ARPANSA 2018. </w:t>
      </w:r>
    </w:p>
  </w:footnote>
  <w:footnote w:id="4">
    <w:p w14:paraId="0F7F697F" w14:textId="6C25838C" w:rsidR="00072584" w:rsidRDefault="00072584">
      <w:pPr>
        <w:pStyle w:val="FootnoteText"/>
      </w:pPr>
      <w:r>
        <w:rPr>
          <w:rStyle w:val="FootnoteReference"/>
        </w:rPr>
        <w:footnoteRef/>
      </w:r>
      <w:r>
        <w:t xml:space="preserve"> </w:t>
      </w:r>
      <w:hyperlink r:id="rId3" w:history="1">
        <w:r w:rsidR="007C1E36">
          <w:rPr>
            <w:rStyle w:val="Hyperlink"/>
          </w:rPr>
          <w:t>Australian Radiation Protection and Nuclear Safety Regulations 2018 (legislation.gov.au)</w:t>
        </w:r>
      </w:hyperlink>
    </w:p>
  </w:footnote>
  <w:footnote w:id="5">
    <w:p w14:paraId="2F926623" w14:textId="2F9F54FA" w:rsidR="00DA0F63" w:rsidRDefault="00DA0F63">
      <w:pPr>
        <w:pStyle w:val="FootnoteText"/>
      </w:pPr>
      <w:r>
        <w:rPr>
          <w:rStyle w:val="FootnoteReference"/>
        </w:rPr>
        <w:footnoteRef/>
      </w:r>
      <w:r>
        <w:t xml:space="preserve"> </w:t>
      </w:r>
      <w:hyperlink r:id="rId4" w:history="1">
        <w:r w:rsidR="00FD43CA">
          <w:rPr>
            <w:rStyle w:val="Hyperlink"/>
          </w:rPr>
          <w:t>Regulatory Guide - Applying for a licence for a nuclear installation (ARPANSA-GDE-1795WEB) | ARPANSA</w:t>
        </w:r>
      </w:hyperlink>
    </w:p>
  </w:footnote>
  <w:footnote w:id="6">
    <w:p w14:paraId="4411DBE0" w14:textId="066AF950" w:rsidR="00DA0F63" w:rsidRDefault="00DA0F63" w:rsidP="00447614">
      <w:pPr>
        <w:pStyle w:val="FootnoteText"/>
        <w:rPr>
          <w:szCs w:val="18"/>
        </w:rPr>
      </w:pPr>
      <w:r>
        <w:rPr>
          <w:rStyle w:val="FootnoteReference"/>
        </w:rPr>
        <w:footnoteRef/>
      </w:r>
      <w:r w:rsidR="14A90A99">
        <w:t xml:space="preserve"> </w:t>
      </w:r>
      <w:r w:rsidR="14A90A99" w:rsidRPr="00075522">
        <w:t xml:space="preserve">See </w:t>
      </w:r>
      <w:hyperlink r:id="rId5">
        <w:r w:rsidR="14A90A99" w:rsidRPr="00075522">
          <w:rPr>
            <w:rStyle w:val="Hyperlink"/>
            <w:rFonts w:ascii="Calibri" w:eastAsia="Calibri" w:hAnsi="Calibri" w:cs="Calibri"/>
            <w:szCs w:val="18"/>
          </w:rPr>
          <w:t>https://arpansa.gov.au/ANSTO-ILWCI</w:t>
        </w:r>
      </w:hyperlink>
    </w:p>
  </w:footnote>
  <w:footnote w:id="7">
    <w:p w14:paraId="23687E94" w14:textId="23889D8E" w:rsidR="00DA0F63" w:rsidRDefault="00DA0F63" w:rsidP="00B8652C">
      <w:pPr>
        <w:pStyle w:val="FootnoteText"/>
        <w:ind w:left="0" w:firstLine="0"/>
      </w:pPr>
      <w:r>
        <w:rPr>
          <w:rStyle w:val="FootnoteReference"/>
        </w:rPr>
        <w:footnoteRef/>
      </w:r>
      <w:r>
        <w:t xml:space="preserve"> Lead reviewer was Ms Francesca Wigney, Facility Safety Section, Regulatory Services Branch (RSB). </w:t>
      </w:r>
      <w:r w:rsidR="007A7E92">
        <w:t xml:space="preserve">Ms Julie Murray reviewed the Security aspects of the application. </w:t>
      </w:r>
      <w:r w:rsidR="001D2094">
        <w:t>Contributions were made by RSB regulatory officers and by staff</w:t>
      </w:r>
      <w:r w:rsidR="0049254B">
        <w:t xml:space="preserve"> of ARPANSA’s Radiation Health Services Branch</w:t>
      </w:r>
      <w:r w:rsidR="00CD61C2">
        <w:t xml:space="preserve"> and by the Office of the CEO</w:t>
      </w:r>
      <w:r>
        <w:t xml:space="preserve">. The RAR was peer reviewed by </w:t>
      </w:r>
      <w:r w:rsidR="00491E8A">
        <w:t xml:space="preserve">Mr Andrew Wulf and </w:t>
      </w:r>
      <w:r>
        <w:t>Dr Samir Sarkar</w:t>
      </w:r>
      <w:r w:rsidR="00491E8A">
        <w:t>,</w:t>
      </w:r>
      <w:r>
        <w:t xml:space="preserve"> and</w:t>
      </w:r>
      <w:r w:rsidR="00491E8A">
        <w:t xml:space="preserve"> was</w:t>
      </w:r>
      <w:r>
        <w:t xml:space="preserve"> approved by Mr Jim Scott, Chief Regulatory Officer. Mr Martin Reynolds, General Counsel, reviewed the </w:t>
      </w:r>
      <w:r w:rsidR="0049254B">
        <w:t>S</w:t>
      </w:r>
      <w:r>
        <w:t xml:space="preserve">tatement of </w:t>
      </w:r>
      <w:r w:rsidR="0049254B">
        <w:t>R</w:t>
      </w:r>
      <w:r>
        <w:t>easons and the licence. No interest was declared by anyone involved in the review and assessment</w:t>
      </w:r>
      <w:r w:rsidR="000460DC">
        <w:t>, or</w:t>
      </w:r>
      <w:r>
        <w:t xml:space="preserve"> in the decision</w:t>
      </w:r>
      <w:r w:rsidR="000460DC">
        <w:t>,</w:t>
      </w:r>
      <w:r>
        <w:t xml:space="preserve"> that materially conflicts</w:t>
      </w:r>
      <w:r w:rsidR="000460DC">
        <w:t xml:space="preserve"> with</w:t>
      </w:r>
      <w:r>
        <w:t xml:space="preserve">, or could be perceived to conflict with this decision.   </w:t>
      </w:r>
    </w:p>
  </w:footnote>
  <w:footnote w:id="8">
    <w:p w14:paraId="737DDD64" w14:textId="135A48A3" w:rsidR="00DA0F63" w:rsidRDefault="00DA0F63">
      <w:pPr>
        <w:pStyle w:val="FootnoteText"/>
      </w:pPr>
      <w:r>
        <w:rPr>
          <w:rStyle w:val="FootnoteReference"/>
        </w:rPr>
        <w:footnoteRef/>
      </w:r>
      <w:r>
        <w:t xml:space="preserve"> </w:t>
      </w:r>
      <w:hyperlink r:id="rId6" w:history="1">
        <w:r w:rsidR="00DA6694">
          <w:rPr>
            <w:rStyle w:val="Hyperlink"/>
          </w:rPr>
          <w:t>Radiation Protection Series | ARPANSA</w:t>
        </w:r>
      </w:hyperlink>
    </w:p>
  </w:footnote>
  <w:footnote w:id="9">
    <w:p w14:paraId="60B3F00E" w14:textId="593CDC6C" w:rsidR="00DA0F63" w:rsidRDefault="00DA0F63">
      <w:pPr>
        <w:pStyle w:val="FootnoteText"/>
      </w:pPr>
      <w:r>
        <w:rPr>
          <w:rStyle w:val="FootnoteReference"/>
        </w:rPr>
        <w:footnoteRef/>
      </w:r>
      <w:r>
        <w:t xml:space="preserve"> </w:t>
      </w:r>
      <w:hyperlink r:id="rId7" w:history="1">
        <w:r w:rsidR="006C7697">
          <w:rPr>
            <w:rStyle w:val="Hyperlink"/>
          </w:rPr>
          <w:t>Regulatory guides | ARPANSA</w:t>
        </w:r>
      </w:hyperlink>
    </w:p>
  </w:footnote>
  <w:footnote w:id="10">
    <w:p w14:paraId="3F5B5134" w14:textId="1B015B46" w:rsidR="008B4C04" w:rsidRDefault="008B4C04" w:rsidP="008B4C04">
      <w:pPr>
        <w:pStyle w:val="FootnoteText"/>
      </w:pPr>
      <w:r>
        <w:rPr>
          <w:rStyle w:val="FootnoteReference"/>
        </w:rPr>
        <w:footnoteRef/>
      </w:r>
      <w:r>
        <w:t xml:space="preserve"> For information on membership, advice</w:t>
      </w:r>
      <w:r w:rsidR="00C02693">
        <w:t>,</w:t>
      </w:r>
      <w:r>
        <w:t xml:space="preserve"> and meeting minutes, see </w:t>
      </w:r>
      <w:hyperlink r:id="rId8" w:history="1">
        <w:r>
          <w:rPr>
            <w:rStyle w:val="Hyperlink"/>
          </w:rPr>
          <w:t>Nuclear Safety Committee | ARPANSA</w:t>
        </w:r>
      </w:hyperlink>
    </w:p>
  </w:footnote>
  <w:footnote w:id="11">
    <w:p w14:paraId="601BE49E" w14:textId="4E374B95" w:rsidR="005D21F3" w:rsidRDefault="005D21F3">
      <w:pPr>
        <w:pStyle w:val="FootnoteText"/>
      </w:pPr>
      <w:r>
        <w:rPr>
          <w:rStyle w:val="FootnoteReference"/>
        </w:rPr>
        <w:footnoteRef/>
      </w:r>
      <w:r>
        <w:t xml:space="preserve"> </w:t>
      </w:r>
      <w:hyperlink r:id="rId9" w:history="1">
        <w:r w:rsidR="009F782B">
          <w:rPr>
            <w:rStyle w:val="Hyperlink"/>
          </w:rPr>
          <w:t>Notice of intention to make a decision on a facility licence application | ARPANSA</w:t>
        </w:r>
      </w:hyperlink>
    </w:p>
  </w:footnote>
  <w:footnote w:id="12">
    <w:p w14:paraId="666AFB50" w14:textId="4B336046" w:rsidR="00C405DE" w:rsidRDefault="00C405DE">
      <w:pPr>
        <w:pStyle w:val="FootnoteText"/>
      </w:pPr>
      <w:r>
        <w:rPr>
          <w:rStyle w:val="FootnoteReference"/>
        </w:rPr>
        <w:footnoteRef/>
      </w:r>
      <w:r>
        <w:t xml:space="preserve"> </w:t>
      </w:r>
      <w:hyperlink r:id="rId10" w:history="1">
        <w:r w:rsidR="00112DAB">
          <w:rPr>
            <w:rStyle w:val="Hyperlink"/>
          </w:rPr>
          <w:t>ARPANSA public forum on ANSTO licence application – Intermediate Level Waste Capacity Increase - YouTube</w:t>
        </w:r>
      </w:hyperlink>
    </w:p>
  </w:footnote>
  <w:footnote w:id="13">
    <w:p w14:paraId="134D2766" w14:textId="6B7FF0EC" w:rsidR="00E6059C" w:rsidRDefault="00E6059C">
      <w:pPr>
        <w:pStyle w:val="FootnoteText"/>
      </w:pPr>
      <w:r>
        <w:rPr>
          <w:rStyle w:val="FootnoteReference"/>
        </w:rPr>
        <w:footnoteRef/>
      </w:r>
      <w:r w:rsidR="14A90A99">
        <w:t xml:space="preserve"> See </w:t>
      </w:r>
      <w:hyperlink r:id="rId11" w:history="1">
        <w:r w:rsidR="14A90A99" w:rsidRPr="00404EC0">
          <w:rPr>
            <w:rStyle w:val="Hyperlink"/>
          </w:rPr>
          <w:t>https://www.arpansa.gov.au/notice-intention-make-decision-facility-licence-application</w:t>
        </w:r>
      </w:hyperlink>
    </w:p>
  </w:footnote>
  <w:footnote w:id="14">
    <w:p w14:paraId="4A3BD511" w14:textId="4C4DEBCE" w:rsidR="00DA0F63" w:rsidRDefault="00DA0F63" w:rsidP="00365C64">
      <w:pPr>
        <w:pStyle w:val="FootnoteText"/>
      </w:pPr>
      <w:r>
        <w:rPr>
          <w:rStyle w:val="FootnoteReference"/>
        </w:rPr>
        <w:footnoteRef/>
      </w:r>
      <w:r>
        <w:t xml:space="preserve"> </w:t>
      </w:r>
      <w:hyperlink r:id="rId12" w:history="1">
        <w:r w:rsidR="005D5A91">
          <w:rPr>
            <w:rStyle w:val="Hyperlink"/>
          </w:rPr>
          <w:t>International best practice | ARPANSA</w:t>
        </w:r>
      </w:hyperlink>
    </w:p>
  </w:footnote>
  <w:footnote w:id="15">
    <w:p w14:paraId="27D50B7C" w14:textId="77777777" w:rsidR="000649E6" w:rsidRDefault="000649E6" w:rsidP="000649E6">
      <w:pPr>
        <w:pStyle w:val="FootnoteText"/>
      </w:pPr>
      <w:r>
        <w:rPr>
          <w:rStyle w:val="FootnoteReference"/>
        </w:rPr>
        <w:footnoteRef/>
      </w:r>
      <w:r>
        <w:t xml:space="preserve"> </w:t>
      </w:r>
      <w:hyperlink r:id="rId13" w:history="1">
        <w:r>
          <w:rPr>
            <w:rStyle w:val="Hyperlink"/>
          </w:rPr>
          <w:t>Australian Radioactive Waste Management Framework | Department of Industry, Science, Energy and Resources</w:t>
        </w:r>
      </w:hyperlink>
    </w:p>
  </w:footnote>
  <w:footnote w:id="16">
    <w:p w14:paraId="6FC9B4A5" w14:textId="789F875F" w:rsidR="00E4154E" w:rsidRDefault="00E4154E">
      <w:pPr>
        <w:pStyle w:val="FootnoteText"/>
      </w:pPr>
      <w:r>
        <w:rPr>
          <w:rStyle w:val="FootnoteReference"/>
        </w:rPr>
        <w:footnoteRef/>
      </w:r>
      <w:r>
        <w:t xml:space="preserve"> </w:t>
      </w:r>
      <w:hyperlink r:id="rId14" w:anchor=":~:text=The%20Regulatory%20Activities%20Policy%20(the,the%20environment%2C%20from%20the%20harmful" w:history="1">
        <w:r w:rsidR="009F6260">
          <w:rPr>
            <w:rStyle w:val="Hyperlink"/>
          </w:rPr>
          <w:t>Regulatory Activities Policy | ARPANSA</w:t>
        </w:r>
      </w:hyperlink>
    </w:p>
  </w:footnote>
  <w:footnote w:id="17">
    <w:p w14:paraId="33266306" w14:textId="2BCC5A92" w:rsidR="000649E6" w:rsidRDefault="000649E6" w:rsidP="000649E6">
      <w:pPr>
        <w:pStyle w:val="FootnoteText"/>
      </w:pPr>
      <w:r>
        <w:rPr>
          <w:rStyle w:val="FootnoteReference"/>
        </w:rPr>
        <w:footnoteRef/>
      </w:r>
      <w:r>
        <w:t xml:space="preserve"> </w:t>
      </w:r>
      <w:r w:rsidR="00D17E51">
        <w:t xml:space="preserve">Section 3 of the Act specifies </w:t>
      </w:r>
      <w:r w:rsidR="00B21C63">
        <w:t>its</w:t>
      </w:r>
      <w:r w:rsidR="00D17E51">
        <w:t xml:space="preserve"> object</w:t>
      </w:r>
      <w:r w:rsidR="00B21C63">
        <w:t xml:space="preserve">; </w:t>
      </w:r>
      <w:r w:rsidR="00B21C63" w:rsidRPr="00CF49E5">
        <w:rPr>
          <w:i/>
          <w:iCs/>
        </w:rPr>
        <w:t xml:space="preserve">“… to protect the </w:t>
      </w:r>
      <w:r w:rsidR="00CF49E5" w:rsidRPr="00CF49E5">
        <w:rPr>
          <w:i/>
          <w:iCs/>
        </w:rPr>
        <w:t xml:space="preserve">health and safety of people, and to protect the environment, </w:t>
      </w:r>
      <w:r w:rsidR="00CF49E5">
        <w:rPr>
          <w:i/>
          <w:iCs/>
        </w:rPr>
        <w:t>from</w:t>
      </w:r>
      <w:r w:rsidR="00CF49E5" w:rsidRPr="00CF49E5">
        <w:rPr>
          <w:i/>
          <w:iCs/>
        </w:rPr>
        <w:t xml:space="preserve"> the harmful effects of radiation”.</w:t>
      </w:r>
    </w:p>
  </w:footnote>
  <w:footnote w:id="18">
    <w:p w14:paraId="247420C7" w14:textId="0F5089B8" w:rsidR="00030C03" w:rsidRDefault="00030C03" w:rsidP="0058192D">
      <w:pPr>
        <w:pStyle w:val="FootnoteText"/>
        <w:ind w:left="0" w:firstLine="0"/>
      </w:pPr>
      <w:r w:rsidRPr="00B60BB6">
        <w:rPr>
          <w:rStyle w:val="FootnoteReference"/>
        </w:rPr>
        <w:footnoteRef/>
      </w:r>
      <w:r w:rsidRPr="00B60BB6">
        <w:rPr>
          <w:rStyle w:val="FootnoteReference"/>
        </w:rPr>
        <w:t xml:space="preserve"> </w:t>
      </w:r>
      <w:r w:rsidRPr="00B60BB6">
        <w:t xml:space="preserve">See </w:t>
      </w:r>
      <w:r w:rsidR="00B60BB6" w:rsidRPr="0058192D">
        <w:rPr>
          <w:i/>
          <w:iCs/>
        </w:rPr>
        <w:t>Guide for Classification of Radioactive Waste</w:t>
      </w:r>
      <w:r w:rsidR="006E4B84">
        <w:t>, RPS G-4, ARPANSA 2020</w:t>
      </w:r>
      <w:r w:rsidR="00071190">
        <w:t xml:space="preserve"> </w:t>
      </w:r>
      <w:hyperlink r:id="rId15" w:history="1">
        <w:r w:rsidR="002E4253">
          <w:rPr>
            <w:rStyle w:val="Hyperlink"/>
          </w:rPr>
          <w:t>Radiation Protection Series G-4 | ARPANSA</w:t>
        </w:r>
      </w:hyperlink>
      <w:r w:rsidR="002A7F62" w:rsidRPr="002A7F62">
        <w:t xml:space="preserve"> </w:t>
      </w:r>
      <w:r w:rsidR="002A7F62">
        <w:t>for information on waste classification</w:t>
      </w:r>
    </w:p>
  </w:footnote>
  <w:footnote w:id="19">
    <w:p w14:paraId="5C4C2A52" w14:textId="4F2031BE" w:rsidR="00856DDD" w:rsidRDefault="00856DDD" w:rsidP="00A2116A">
      <w:pPr>
        <w:pStyle w:val="FootnoteText"/>
        <w:ind w:left="0" w:firstLine="0"/>
      </w:pPr>
      <w:r>
        <w:rPr>
          <w:rStyle w:val="FootnoteReference"/>
        </w:rPr>
        <w:footnoteRef/>
      </w:r>
      <w:r>
        <w:t xml:space="preserve"> </w:t>
      </w:r>
      <w:hyperlink r:id="rId16" w:history="1">
        <w:r w:rsidR="009235E4">
          <w:rPr>
            <w:rStyle w:val="Hyperlink"/>
          </w:rPr>
          <w:t>Minister declares Napandee as the site for the National Radioactive Waste Management Facility | Department of Industry, Science, Energy and Resources</w:t>
        </w:r>
      </w:hyperlink>
    </w:p>
  </w:footnote>
  <w:footnote w:id="20">
    <w:p w14:paraId="1BBCB288" w14:textId="77777777" w:rsidR="00992E7E" w:rsidRDefault="00992E7E" w:rsidP="00992E7E">
      <w:pPr>
        <w:pStyle w:val="FootnoteText"/>
      </w:pPr>
      <w:r>
        <w:rPr>
          <w:rStyle w:val="FootnoteReference"/>
        </w:rPr>
        <w:footnoteRef/>
      </w:r>
      <w:r>
        <w:t xml:space="preserve"> 1 petabecquerel (PBq) = 10</w:t>
      </w:r>
      <w:r w:rsidRPr="00081E56">
        <w:rPr>
          <w:vertAlign w:val="superscript"/>
        </w:rPr>
        <w:t>15</w:t>
      </w:r>
      <w:r>
        <w:t xml:space="preserve"> Bq or 10</w:t>
      </w:r>
      <w:r w:rsidRPr="00081E56">
        <w:rPr>
          <w:vertAlign w:val="superscript"/>
        </w:rPr>
        <w:t>15</w:t>
      </w:r>
      <w:r>
        <w:t xml:space="preserve"> atomic disintegrations per second.</w:t>
      </w:r>
    </w:p>
  </w:footnote>
  <w:footnote w:id="21">
    <w:p w14:paraId="35F1E91D" w14:textId="77777777" w:rsidR="00D867E0" w:rsidRPr="00D63627" w:rsidRDefault="00D867E0" w:rsidP="00D867E0">
      <w:pPr>
        <w:pStyle w:val="FootnoteText"/>
      </w:pPr>
      <w:r w:rsidRPr="00D63627">
        <w:rPr>
          <w:vertAlign w:val="superscript"/>
        </w:rPr>
        <w:footnoteRef/>
      </w:r>
      <w:r>
        <w:t xml:space="preserve"> </w:t>
      </w:r>
      <w:r w:rsidRPr="00D63627">
        <w:t>Referral decision</w:t>
      </w:r>
      <w:r>
        <w:t xml:space="preserve"> (EPBC</w:t>
      </w:r>
      <w:r w:rsidRPr="00D63627">
        <w:t xml:space="preserve"> 2021/9025)</w:t>
      </w:r>
      <w:r>
        <w:t xml:space="preserve"> conditions:</w:t>
      </w:r>
      <w:r w:rsidRPr="00D63627">
        <w:t xml:space="preserve">  </w:t>
      </w:r>
    </w:p>
    <w:p w14:paraId="1C88D80D" w14:textId="77777777" w:rsidR="00D867E0" w:rsidRPr="00D63627" w:rsidRDefault="00D867E0" w:rsidP="001B2873">
      <w:pPr>
        <w:pStyle w:val="FootnoteText"/>
        <w:numPr>
          <w:ilvl w:val="0"/>
          <w:numId w:val="8"/>
        </w:numPr>
        <w:ind w:left="360"/>
      </w:pPr>
      <w:r w:rsidRPr="00D63627">
        <w:t xml:space="preserve">Remote Handled Solid Wastes (RHSW), other than filter cups, must be stored within aluminium retrievable bins, and liquid waste must be immobilised. </w:t>
      </w:r>
    </w:p>
    <w:p w14:paraId="48D52E62" w14:textId="77777777" w:rsidR="00D867E0" w:rsidRPr="00D63627" w:rsidRDefault="00D867E0" w:rsidP="001B2873">
      <w:pPr>
        <w:pStyle w:val="FootnoteText"/>
        <w:numPr>
          <w:ilvl w:val="0"/>
          <w:numId w:val="8"/>
        </w:numPr>
        <w:ind w:left="360"/>
      </w:pPr>
      <w:r w:rsidRPr="00D63627">
        <w:t xml:space="preserve">Filter cups must be stored within vessels approved for this purpose by Australian Radiation Protection and Nuclear Safety Agency (ARPANSA). </w:t>
      </w:r>
    </w:p>
    <w:p w14:paraId="35614044" w14:textId="77777777" w:rsidR="00D867E0" w:rsidRPr="00D63627" w:rsidRDefault="00D867E0" w:rsidP="001B2873">
      <w:pPr>
        <w:pStyle w:val="FootnoteText"/>
        <w:numPr>
          <w:ilvl w:val="0"/>
          <w:numId w:val="8"/>
        </w:numPr>
        <w:ind w:left="360"/>
      </w:pPr>
      <w:r w:rsidRPr="00D63627">
        <w:t xml:space="preserve">RHSW must be stored in concrete storage areas approved in accordance with all Regulatory Approvals. </w:t>
      </w:r>
    </w:p>
    <w:p w14:paraId="6EEB424C" w14:textId="77777777" w:rsidR="00D867E0" w:rsidRPr="00D63627" w:rsidRDefault="00D867E0" w:rsidP="001B2873">
      <w:pPr>
        <w:pStyle w:val="FootnoteText"/>
        <w:numPr>
          <w:ilvl w:val="0"/>
          <w:numId w:val="8"/>
        </w:numPr>
        <w:ind w:left="360"/>
      </w:pPr>
      <w:r w:rsidRPr="00D63627">
        <w:t xml:space="preserve">RHSW within the Australian National Science Technology Organisation (ANSTO) site must be transported to the Intermediate Level Waste Capacity Increase (ILWCI) facility in a transport (shielded) flask. </w:t>
      </w:r>
    </w:p>
    <w:p w14:paraId="525B5665" w14:textId="77777777" w:rsidR="00D867E0" w:rsidRPr="00D63627" w:rsidRDefault="00D867E0" w:rsidP="001B2873">
      <w:pPr>
        <w:pStyle w:val="FootnoteText"/>
        <w:numPr>
          <w:ilvl w:val="0"/>
          <w:numId w:val="8"/>
        </w:numPr>
        <w:ind w:left="360"/>
      </w:pPr>
      <w:r w:rsidRPr="00D63627">
        <w:t xml:space="preserve">The person taking the action must not transport any RHSW within the ANSTO site to the ILWCI facility until it has obtained all the Regulatory Approvals. </w:t>
      </w:r>
    </w:p>
    <w:p w14:paraId="150E330A" w14:textId="5893130C" w:rsidR="00D867E0" w:rsidRPr="00D63627" w:rsidRDefault="00D867E0" w:rsidP="001B2873">
      <w:pPr>
        <w:pStyle w:val="FootnoteText"/>
        <w:numPr>
          <w:ilvl w:val="0"/>
          <w:numId w:val="8"/>
        </w:numPr>
        <w:ind w:left="360"/>
      </w:pPr>
      <w:r w:rsidRPr="00D63627">
        <w:t>The ILWCI facility must not be operated for RHSW storage outside the licen</w:t>
      </w:r>
      <w:r w:rsidR="007D0E28">
        <w:t>s</w:t>
      </w:r>
      <w:r w:rsidRPr="00D63627">
        <w:t xml:space="preserve">ed operating period specified by the Regulatory Approvals. </w:t>
      </w:r>
    </w:p>
    <w:p w14:paraId="5CC8D202" w14:textId="77777777" w:rsidR="00D867E0" w:rsidRDefault="00D867E0" w:rsidP="001B2873">
      <w:pPr>
        <w:pStyle w:val="FootnoteText"/>
        <w:numPr>
          <w:ilvl w:val="0"/>
          <w:numId w:val="8"/>
        </w:numPr>
        <w:ind w:left="360"/>
      </w:pPr>
      <w:r w:rsidRPr="00D63627">
        <w:t xml:space="preserve">The person taking the action must comply in all respects with all the Regulatory Approvals for the location, construction, maintenance, operation and decommissioning of the ILWCI facility. </w:t>
      </w:r>
    </w:p>
  </w:footnote>
  <w:footnote w:id="22">
    <w:p w14:paraId="19D058E1" w14:textId="4D2FC475" w:rsidR="00DA0F63" w:rsidRDefault="00DA0F63">
      <w:pPr>
        <w:pStyle w:val="FootnoteText"/>
      </w:pPr>
      <w:r>
        <w:rPr>
          <w:rStyle w:val="FootnoteReference"/>
        </w:rPr>
        <w:footnoteRef/>
      </w:r>
      <w:r>
        <w:t xml:space="preserve"> </w:t>
      </w:r>
      <w:hyperlink r:id="rId17" w:history="1">
        <w:r w:rsidR="00292336">
          <w:rPr>
            <w:rStyle w:val="Hyperlink"/>
          </w:rPr>
          <w:t>Regulatory Guide - Preparation of the safety analysis report for non-reactor facilities (ARPANSA-GDE-1924WEB) | ARPANSA</w:t>
        </w:r>
      </w:hyperlink>
    </w:p>
  </w:footnote>
  <w:footnote w:id="23">
    <w:p w14:paraId="26738655" w14:textId="523F5BEB" w:rsidR="00063B9B" w:rsidRDefault="00063B9B" w:rsidP="00317A9F">
      <w:pPr>
        <w:pStyle w:val="FootnoteText"/>
        <w:ind w:left="0" w:firstLine="0"/>
      </w:pPr>
      <w:r>
        <w:rPr>
          <w:rStyle w:val="FootnoteReference"/>
        </w:rPr>
        <w:footnoteRef/>
      </w:r>
      <w:r>
        <w:t xml:space="preserve"> The terms safety analysis report and safety assessment</w:t>
      </w:r>
      <w:r w:rsidR="000B0128">
        <w:t xml:space="preserve"> may</w:t>
      </w:r>
      <w:r>
        <w:t xml:space="preserve"> have similar meanings, see IAEA Glossary</w:t>
      </w:r>
      <w:r w:rsidR="00D11C36">
        <w:t xml:space="preserve"> 2018 edition </w:t>
      </w:r>
      <w:hyperlink r:id="rId18" w:history="1">
        <w:r w:rsidR="00D11C36">
          <w:rPr>
            <w:rStyle w:val="Hyperlink"/>
          </w:rPr>
          <w:t>PUB1830_web.pdf (iaea.org)</w:t>
        </w:r>
      </w:hyperlink>
      <w:r>
        <w:t xml:space="preserve">. </w:t>
      </w:r>
      <w:r w:rsidR="00DC4583">
        <w:t xml:space="preserve">ARPANSA’s regulatory guidance </w:t>
      </w:r>
      <w:r w:rsidR="00803863">
        <w:t xml:space="preserve">considers </w:t>
      </w:r>
      <w:r w:rsidR="009904D6">
        <w:t xml:space="preserve">the safety assessments a component of the broader SAR. </w:t>
      </w:r>
      <w:r>
        <w:t>This difference in terminology has no material consequence for the understanding of the safety of the ILWCI</w:t>
      </w:r>
      <w:r w:rsidR="000B0128">
        <w:t xml:space="preserve"> Facility</w:t>
      </w:r>
      <w:r>
        <w:t>.</w:t>
      </w:r>
    </w:p>
  </w:footnote>
  <w:footnote w:id="24">
    <w:p w14:paraId="7E21BF5A" w14:textId="5E7D81FF" w:rsidR="00EA0085" w:rsidRDefault="00EA0085">
      <w:pPr>
        <w:pStyle w:val="FootnoteText"/>
      </w:pPr>
      <w:r>
        <w:rPr>
          <w:rStyle w:val="FootnoteReference"/>
        </w:rPr>
        <w:footnoteRef/>
      </w:r>
      <w:r>
        <w:t xml:space="preserve"> </w:t>
      </w:r>
      <w:hyperlink r:id="rId19" w:history="1">
        <w:r>
          <w:rPr>
            <w:rStyle w:val="Hyperlink"/>
          </w:rPr>
          <w:t>Advisory Note:</w:t>
        </w:r>
        <w:r w:rsidR="3985DCE2">
          <w:rPr>
            <w:rStyle w:val="Hyperlink"/>
          </w:rPr>
          <w:t> Use</w:t>
        </w:r>
        <w:r>
          <w:rPr>
            <w:rStyle w:val="Hyperlink"/>
          </w:rPr>
          <w:t xml:space="preserve"> of the term ‘incident’ as defined in the Planned Exposure Code | ARPANSA</w:t>
        </w:r>
      </w:hyperlink>
    </w:p>
  </w:footnote>
  <w:footnote w:id="25">
    <w:p w14:paraId="7CB7DB13" w14:textId="5F5EC945" w:rsidR="00282B40" w:rsidRDefault="00B32789" w:rsidP="00317A9F">
      <w:pPr>
        <w:pStyle w:val="FootnoteText"/>
        <w:ind w:left="0" w:firstLine="0"/>
      </w:pPr>
      <w:r>
        <w:rPr>
          <w:rStyle w:val="FootnoteReference"/>
        </w:rPr>
        <w:footnoteRef/>
      </w:r>
      <w:r>
        <w:t xml:space="preserve"> </w:t>
      </w:r>
      <w:r w:rsidR="00EB2AA6">
        <w:t>The Planned Exposure Code (RPS C-1</w:t>
      </w:r>
      <w:r w:rsidR="00282B40">
        <w:t xml:space="preserve"> Rev 1), ARPANSA 2020, </w:t>
      </w:r>
      <w:hyperlink r:id="rId20" w:history="1">
        <w:r w:rsidR="00793378">
          <w:rPr>
            <w:rStyle w:val="Hyperlink"/>
          </w:rPr>
          <w:t>Code for Radiation Protection in Planned Exposure Situations (arpansa.gov.au)</w:t>
        </w:r>
      </w:hyperlink>
      <w:r w:rsidR="00282B40">
        <w:t xml:space="preserve"> provides the following definitions:</w:t>
      </w:r>
    </w:p>
    <w:p w14:paraId="20B66B52" w14:textId="704FD995" w:rsidR="00B32789" w:rsidRPr="00E65206" w:rsidRDefault="00317A9F" w:rsidP="00317A9F">
      <w:pPr>
        <w:pStyle w:val="FootnoteText"/>
        <w:ind w:left="0" w:firstLine="0"/>
        <w:rPr>
          <w:i/>
          <w:iCs/>
        </w:rPr>
      </w:pPr>
      <w:r w:rsidRPr="00E65206">
        <w:rPr>
          <w:b/>
          <w:bCs/>
          <w:i/>
          <w:iCs/>
        </w:rPr>
        <w:t>Potential exposure</w:t>
      </w:r>
      <w:r w:rsidRPr="00E65206">
        <w:rPr>
          <w:i/>
          <w:iCs/>
        </w:rPr>
        <w:t xml:space="preserve">: </w:t>
      </w:r>
      <w:r w:rsidR="00B32789" w:rsidRPr="00E65206">
        <w:rPr>
          <w:i/>
          <w:iCs/>
        </w:rPr>
        <w:t>Prospectively considered exposure that is not expected to be delivered with certainty but that may result from an anticipated operational occurrence or accident at a source or owing to an event or sequence of events of a probabilistic nature, including equipment failures and operating errors.</w:t>
      </w:r>
    </w:p>
    <w:p w14:paraId="2BEA547D" w14:textId="38763E75" w:rsidR="00E603C1" w:rsidRDefault="00317A9F" w:rsidP="00317A9F">
      <w:pPr>
        <w:pStyle w:val="FootnoteText"/>
        <w:ind w:left="0" w:firstLine="0"/>
      </w:pPr>
      <w:r w:rsidRPr="00E65206">
        <w:rPr>
          <w:b/>
          <w:bCs/>
          <w:i/>
          <w:iCs/>
        </w:rPr>
        <w:t>Dose (risk) constraint</w:t>
      </w:r>
      <w:r w:rsidRPr="00E65206">
        <w:rPr>
          <w:i/>
          <w:iCs/>
        </w:rPr>
        <w:t xml:space="preserve">: </w:t>
      </w:r>
      <w:r w:rsidR="00E603C1" w:rsidRPr="00E65206">
        <w:rPr>
          <w:i/>
          <w:iCs/>
        </w:rPr>
        <w:t>A prospective and source related value of individual dose (dose constraint) or of individual risk (risk constraint) that is used in planned exposure situations as a parameter for the optimisation of protection and safety for the source, and that serves as a boundary in defining the range of options in optimisation. For occupational exposures, a constraint on individual dose to workers used by Responsible Persons to set the range of options in optimising protection and safety for the source. For public exposure, the dose constraint is a source related value established or approved by the relevant regulatory authority, with account taken of the doses from planned operations of all sources under control.</w:t>
      </w:r>
    </w:p>
  </w:footnote>
  <w:footnote w:id="26">
    <w:p w14:paraId="534DF141" w14:textId="79F24121" w:rsidR="00CF6AD1" w:rsidRDefault="00CF6AD1" w:rsidP="00F85957">
      <w:pPr>
        <w:pStyle w:val="FootnoteText"/>
        <w:ind w:left="0" w:firstLine="0"/>
        <w:rPr>
          <w:rStyle w:val="Hyperlink"/>
          <w:highlight w:val="yellow"/>
        </w:rPr>
      </w:pPr>
      <w:r>
        <w:rPr>
          <w:rStyle w:val="FootnoteReference"/>
        </w:rPr>
        <w:footnoteRef/>
      </w:r>
      <w:r>
        <w:t xml:space="preserve"> </w:t>
      </w:r>
      <w:r w:rsidR="002310FE">
        <w:t>‘</w:t>
      </w:r>
      <w:r w:rsidR="00142EAB">
        <w:t>Catastrophic</w:t>
      </w:r>
      <w:r w:rsidR="002310FE">
        <w:t>’</w:t>
      </w:r>
      <w:r w:rsidR="00F6138C">
        <w:t xml:space="preserve"> refers to </w:t>
      </w:r>
      <w:r w:rsidR="00142EAB">
        <w:t>whole</w:t>
      </w:r>
      <w:r w:rsidR="00F6138C">
        <w:t xml:space="preserve">-body exposure </w:t>
      </w:r>
      <w:r w:rsidR="00142EAB">
        <w:t xml:space="preserve">&gt;1 sievert (Sv); </w:t>
      </w:r>
      <w:r w:rsidR="005D7530">
        <w:t>‘</w:t>
      </w:r>
      <w:r w:rsidR="00142EAB">
        <w:t>severe</w:t>
      </w:r>
      <w:r w:rsidR="005D7530">
        <w:t>’</w:t>
      </w:r>
      <w:r w:rsidR="00142EAB">
        <w:t xml:space="preserve"> to </w:t>
      </w:r>
      <w:r w:rsidR="0003744F">
        <w:t>whole-body doses of 0.1 to 1 Sv.</w:t>
      </w:r>
      <w:r w:rsidR="00142EAB">
        <w:t xml:space="preserve"> </w:t>
      </w:r>
      <w:r w:rsidR="004C4018">
        <w:t>Whole-body d</w:t>
      </w:r>
      <w:r w:rsidR="008148FF">
        <w:t xml:space="preserve">oses above 1 Sv lead to tissue reactions and potentially </w:t>
      </w:r>
      <w:r w:rsidR="00DE1805">
        <w:t xml:space="preserve">to </w:t>
      </w:r>
      <w:r w:rsidR="008148FF">
        <w:t>severe injury</w:t>
      </w:r>
      <w:r w:rsidR="00696134">
        <w:t xml:space="preserve"> or death</w:t>
      </w:r>
      <w:r w:rsidR="008148FF">
        <w:t xml:space="preserve">. </w:t>
      </w:r>
      <w:r w:rsidR="00647242">
        <w:t xml:space="preserve">In the range </w:t>
      </w:r>
      <w:r w:rsidR="008F690D">
        <w:t xml:space="preserve">0.1 to 1 Sv, transient </w:t>
      </w:r>
      <w:r w:rsidR="00E65206">
        <w:t>health</w:t>
      </w:r>
      <w:r w:rsidR="002D4FA2">
        <w:t xml:space="preserve"> </w:t>
      </w:r>
      <w:r w:rsidR="008F690D">
        <w:t>impact can be expected</w:t>
      </w:r>
      <w:r w:rsidR="002D4FA2">
        <w:t xml:space="preserve"> with severity </w:t>
      </w:r>
      <w:r w:rsidR="006A0AB7">
        <w:t>increasing in proportion to the dose</w:t>
      </w:r>
      <w:r w:rsidR="008F690D">
        <w:t xml:space="preserve">. </w:t>
      </w:r>
      <w:r w:rsidR="004C4018">
        <w:t xml:space="preserve">There would also be an </w:t>
      </w:r>
      <w:r w:rsidR="00E24EA2">
        <w:t xml:space="preserve">expectation of increased frequency of cancers </w:t>
      </w:r>
      <w:r w:rsidR="00C750F2">
        <w:t xml:space="preserve">attributable to radiation in a population exposed </w:t>
      </w:r>
      <w:r w:rsidR="00880B3B">
        <w:t>at such levels</w:t>
      </w:r>
      <w:r w:rsidR="007223AC">
        <w:t>.</w:t>
      </w:r>
      <w:r w:rsidR="004C4018">
        <w:t xml:space="preserve"> </w:t>
      </w:r>
      <w:r w:rsidR="004C1CB9">
        <w:t xml:space="preserve">See further </w:t>
      </w:r>
      <w:r w:rsidR="00CE252F">
        <w:t>Publication 103 of the ICRP, 200</w:t>
      </w:r>
      <w:r w:rsidR="0048582A">
        <w:t>7</w:t>
      </w:r>
      <w:r w:rsidR="00B204BA">
        <w:t xml:space="preserve"> </w:t>
      </w:r>
      <w:hyperlink r:id="rId21" w:history="1">
        <w:r w:rsidR="00B204BA">
          <w:rPr>
            <w:rStyle w:val="Hyperlink"/>
          </w:rPr>
          <w:t>P103 The 2007 Recommendations of the International Commission on Radiological Protection (sagepub.com)</w:t>
        </w:r>
      </w:hyperlink>
      <w:r w:rsidR="00C13FEA">
        <w:rPr>
          <w:rStyle w:val="Hyperlink"/>
        </w:rPr>
        <w:t xml:space="preserve"> </w:t>
      </w:r>
    </w:p>
  </w:footnote>
  <w:footnote w:id="27">
    <w:p w14:paraId="3DD37842" w14:textId="77777777" w:rsidR="005B6B54" w:rsidRDefault="005B6B54" w:rsidP="005B6B54">
      <w:pPr>
        <w:pStyle w:val="FootnoteText"/>
      </w:pPr>
      <w:r>
        <w:rPr>
          <w:rStyle w:val="FootnoteReference"/>
        </w:rPr>
        <w:footnoteRef/>
      </w:r>
      <w:hyperlink r:id="rId22" w:history="1">
        <w:r>
          <w:rPr>
            <w:rStyle w:val="Hyperlink"/>
          </w:rPr>
          <w:t>P103 The 2007 Recommendations of the International Commission on Radiological Protection (sagepub.com)</w:t>
        </w:r>
      </w:hyperlink>
      <w:r>
        <w:t xml:space="preserve"> </w:t>
      </w:r>
    </w:p>
  </w:footnote>
  <w:footnote w:id="28">
    <w:p w14:paraId="040421A0" w14:textId="21DC5A26" w:rsidR="00887ACC" w:rsidRDefault="00887ACC" w:rsidP="00887ACC">
      <w:pPr>
        <w:pStyle w:val="FootnoteText"/>
        <w:ind w:left="0" w:firstLine="0"/>
      </w:pPr>
      <w:r>
        <w:rPr>
          <w:rStyle w:val="FootnoteReference"/>
        </w:rPr>
        <w:footnoteRef/>
      </w:r>
      <w:r>
        <w:t xml:space="preserve"> The Emergency Preparedness Categories can be found in </w:t>
      </w:r>
      <w:r w:rsidRPr="00887ACC">
        <w:rPr>
          <w:i/>
          <w:iCs/>
        </w:rPr>
        <w:t>Guide for Radiation Protection in Emergency Exposure Situations – The Framework</w:t>
      </w:r>
      <w:r>
        <w:t xml:space="preserve">, RPS G-3 Part 1, ARPANSA 2019, </w:t>
      </w:r>
      <w:hyperlink r:id="rId23" w:history="1">
        <w:r>
          <w:rPr>
            <w:rStyle w:val="Hyperlink"/>
          </w:rPr>
          <w:t>RPS G-3 Emergency Exposure Guide - PART 1 (arpansa.gov.au)</w:t>
        </w:r>
      </w:hyperlink>
      <w:r>
        <w:t xml:space="preserve">. </w:t>
      </w:r>
      <w:r w:rsidRPr="00DB0CA1">
        <w:t>Category III: Facilities, such as industrial irradiation facilities or some hospitals, for which on-site events are postulated that could warrant protective actions and other response actions on-site to achieve the goals of emergency response in accordance with international standards, or for which such events have occurred in similar facilities. Category III (as opposed to category II) does not include facilities for which events are postulated that could warrant urgent protective actions or early protective actions off-site, or for which such events have occurred in similar facilities.</w:t>
      </w:r>
    </w:p>
  </w:footnote>
  <w:footnote w:id="29">
    <w:p w14:paraId="4B6E7264" w14:textId="272E77BF" w:rsidR="002B190F" w:rsidRDefault="002B190F">
      <w:pPr>
        <w:pStyle w:val="FootnoteText"/>
        <w:rPr>
          <w:highlight w:val="yellow"/>
        </w:rPr>
      </w:pPr>
      <w:r>
        <w:rPr>
          <w:rStyle w:val="FootnoteReference"/>
        </w:rPr>
        <w:footnoteRef/>
      </w:r>
      <w:r>
        <w:t xml:space="preserve"> </w:t>
      </w:r>
      <w:hyperlink r:id="rId24" w:history="1">
        <w:r w:rsidR="006E65D3">
          <w:rPr>
            <w:rStyle w:val="Hyperlink"/>
          </w:rPr>
          <w:t>Regulatory Guide - Plans and arrangements for managing safety (ARPANSA-GDE-1735WEB) | ARPANSA</w:t>
        </w:r>
      </w:hyperlink>
    </w:p>
  </w:footnote>
  <w:footnote w:id="30">
    <w:p w14:paraId="20DA2959" w14:textId="0C770D16" w:rsidR="00DA0F63" w:rsidRDefault="00DA0F63">
      <w:pPr>
        <w:pStyle w:val="FootnoteText"/>
        <w:rPr>
          <w:highlight w:val="yellow"/>
        </w:rPr>
      </w:pPr>
      <w:r>
        <w:rPr>
          <w:rStyle w:val="FootnoteReference"/>
        </w:rPr>
        <w:footnoteRef/>
      </w:r>
      <w:r>
        <w:t xml:space="preserve"> </w:t>
      </w:r>
      <w:hyperlink r:id="rId25" w:history="1">
        <w:r w:rsidR="005342A1">
          <w:rPr>
            <w:rStyle w:val="Hyperlink"/>
          </w:rPr>
          <w:t>statement_of_reasons_sor_-_anm_operations.pdf (arpansa.gov.au)</w:t>
        </w:r>
      </w:hyperlink>
    </w:p>
  </w:footnote>
  <w:footnote w:id="31">
    <w:p w14:paraId="734AC8C6" w14:textId="11E3CFBE" w:rsidR="00D27110" w:rsidRDefault="00D27110">
      <w:pPr>
        <w:pStyle w:val="FootnoteText"/>
      </w:pPr>
      <w:r>
        <w:rPr>
          <w:rStyle w:val="FootnoteReference"/>
        </w:rPr>
        <w:footnoteRef/>
      </w:r>
      <w:r>
        <w:t xml:space="preserve"> </w:t>
      </w:r>
      <w:hyperlink r:id="rId26" w:history="1">
        <w:r w:rsidR="00CE3EBB">
          <w:rPr>
            <w:rStyle w:val="Hyperlink"/>
          </w:rPr>
          <w:t>anm-sor-24052019.pdf (arpansa.gov.au)</w:t>
        </w:r>
      </w:hyperlink>
    </w:p>
  </w:footnote>
  <w:footnote w:id="32">
    <w:p w14:paraId="75F9C9EC" w14:textId="1920D789" w:rsidR="0021322B" w:rsidRPr="0021322B" w:rsidRDefault="007722BF" w:rsidP="0021322B">
      <w:pPr>
        <w:spacing w:before="120" w:line="264" w:lineRule="auto"/>
        <w:rPr>
          <w:sz w:val="18"/>
          <w:szCs w:val="18"/>
        </w:rPr>
      </w:pPr>
      <w:r>
        <w:rPr>
          <w:rStyle w:val="FootnoteReference"/>
        </w:rPr>
        <w:footnoteRef/>
      </w:r>
      <w:r w:rsidR="0021322B" w:rsidRPr="0021322B">
        <w:rPr>
          <w:sz w:val="18"/>
          <w:szCs w:val="18"/>
        </w:rPr>
        <w:t xml:space="preserve">A further </w:t>
      </w:r>
      <w:r w:rsidR="00140540">
        <w:rPr>
          <w:sz w:val="18"/>
          <w:szCs w:val="18"/>
        </w:rPr>
        <w:t>pre</w:t>
      </w:r>
      <w:r w:rsidR="0021322B" w:rsidRPr="0021322B">
        <w:rPr>
          <w:sz w:val="18"/>
          <w:szCs w:val="18"/>
        </w:rPr>
        <w:t>requisite for sustained operations of the ANM Facility</w:t>
      </w:r>
      <w:r w:rsidR="00742A0A">
        <w:rPr>
          <w:sz w:val="18"/>
          <w:szCs w:val="18"/>
        </w:rPr>
        <w:t xml:space="preserve"> in accordance with the </w:t>
      </w:r>
      <w:r w:rsidR="00B650B3">
        <w:rPr>
          <w:sz w:val="18"/>
          <w:szCs w:val="18"/>
        </w:rPr>
        <w:t xml:space="preserve">draft Waste Management Strategy </w:t>
      </w:r>
      <w:r w:rsidR="0021322B" w:rsidRPr="0021322B">
        <w:rPr>
          <w:sz w:val="18"/>
          <w:szCs w:val="18"/>
        </w:rPr>
        <w:t xml:space="preserve">is </w:t>
      </w:r>
      <w:r w:rsidR="00B650B3">
        <w:rPr>
          <w:sz w:val="18"/>
          <w:szCs w:val="18"/>
        </w:rPr>
        <w:t xml:space="preserve">the </w:t>
      </w:r>
      <w:r w:rsidR="0021322B" w:rsidRPr="0021322B">
        <w:rPr>
          <w:sz w:val="18"/>
          <w:szCs w:val="18"/>
        </w:rPr>
        <w:t xml:space="preserve">successful finalisation of the construction and </w:t>
      </w:r>
      <w:r w:rsidR="00B650B3">
        <w:rPr>
          <w:sz w:val="18"/>
          <w:szCs w:val="18"/>
        </w:rPr>
        <w:t xml:space="preserve">subsequent </w:t>
      </w:r>
      <w:r w:rsidR="0021322B" w:rsidRPr="0021322B">
        <w:rPr>
          <w:sz w:val="18"/>
          <w:szCs w:val="18"/>
        </w:rPr>
        <w:t xml:space="preserve">commissioning of the SyMo </w:t>
      </w:r>
      <w:r w:rsidR="00264B04">
        <w:rPr>
          <w:sz w:val="18"/>
          <w:szCs w:val="18"/>
        </w:rPr>
        <w:t>F</w:t>
      </w:r>
      <w:r w:rsidR="0021322B" w:rsidRPr="0021322B">
        <w:rPr>
          <w:sz w:val="18"/>
          <w:szCs w:val="18"/>
        </w:rPr>
        <w:t xml:space="preserve">acility for solidification of liquid </w:t>
      </w:r>
      <w:r w:rsidR="00EC3F1E">
        <w:rPr>
          <w:sz w:val="18"/>
          <w:szCs w:val="18"/>
        </w:rPr>
        <w:t>ILW</w:t>
      </w:r>
      <w:r w:rsidR="0021322B" w:rsidRPr="0021322B">
        <w:rPr>
          <w:sz w:val="18"/>
          <w:szCs w:val="18"/>
        </w:rPr>
        <w:t xml:space="preserve"> currently accumulating in the ANM waste tanks. Construction</w:t>
      </w:r>
      <w:r w:rsidR="00185B92">
        <w:rPr>
          <w:sz w:val="18"/>
          <w:szCs w:val="18"/>
        </w:rPr>
        <w:t xml:space="preserve"> work carried out</w:t>
      </w:r>
      <w:r w:rsidR="0021322B" w:rsidRPr="0021322B">
        <w:rPr>
          <w:sz w:val="18"/>
          <w:szCs w:val="18"/>
        </w:rPr>
        <w:t xml:space="preserve"> </w:t>
      </w:r>
      <w:r w:rsidR="00185B92">
        <w:rPr>
          <w:sz w:val="18"/>
          <w:szCs w:val="18"/>
        </w:rPr>
        <w:t xml:space="preserve">under ARPANSA licence </w:t>
      </w:r>
      <w:r w:rsidR="0072423F">
        <w:rPr>
          <w:sz w:val="18"/>
          <w:szCs w:val="18"/>
        </w:rPr>
        <w:t>F0266</w:t>
      </w:r>
      <w:r w:rsidR="00185B92" w:rsidRPr="0021322B">
        <w:rPr>
          <w:sz w:val="18"/>
          <w:szCs w:val="18"/>
        </w:rPr>
        <w:t xml:space="preserve"> </w:t>
      </w:r>
      <w:r w:rsidR="0021322B" w:rsidRPr="0021322B">
        <w:rPr>
          <w:sz w:val="18"/>
          <w:szCs w:val="18"/>
        </w:rPr>
        <w:t xml:space="preserve">is at </w:t>
      </w:r>
      <w:r w:rsidR="00EC3F1E">
        <w:rPr>
          <w:sz w:val="18"/>
          <w:szCs w:val="18"/>
        </w:rPr>
        <w:t>its</w:t>
      </w:r>
      <w:r w:rsidR="0021322B" w:rsidRPr="0021322B">
        <w:rPr>
          <w:sz w:val="18"/>
          <w:szCs w:val="18"/>
        </w:rPr>
        <w:t xml:space="preserve"> final stage.</w:t>
      </w:r>
      <w:r w:rsidR="004B043B">
        <w:rPr>
          <w:sz w:val="18"/>
          <w:szCs w:val="18"/>
        </w:rPr>
        <w:t xml:space="preserve"> </w:t>
      </w:r>
    </w:p>
    <w:p w14:paraId="6037A3C5" w14:textId="0AC4536E" w:rsidR="007722BF" w:rsidRDefault="007722BF">
      <w:pPr>
        <w:pStyle w:val="FootnoteText"/>
      </w:pPr>
    </w:p>
  </w:footnote>
  <w:footnote w:id="33">
    <w:p w14:paraId="2CAE9808" w14:textId="6D0930C7" w:rsidR="000D703D" w:rsidRDefault="000D703D">
      <w:pPr>
        <w:pStyle w:val="FootnoteText"/>
      </w:pPr>
      <w:r>
        <w:rPr>
          <w:rStyle w:val="FootnoteReference"/>
        </w:rPr>
        <w:footnoteRef/>
      </w:r>
      <w:r>
        <w:t xml:space="preserve"> </w:t>
      </w:r>
      <w:r w:rsidR="00D02096">
        <w:t xml:space="preserve">2007 </w:t>
      </w:r>
      <w:hyperlink r:id="rId27" w:history="1">
        <w:r w:rsidR="00D02096">
          <w:rPr>
            <w:rStyle w:val="Hyperlink"/>
          </w:rPr>
          <w:t>P103 The 2007 Recommendations of the International Commission on Radiological Protection (sagepub.com)</w:t>
        </w:r>
      </w:hyperlink>
    </w:p>
  </w:footnote>
  <w:footnote w:id="34">
    <w:p w14:paraId="55708912" w14:textId="1AFAD4B2" w:rsidR="00EC1293" w:rsidRDefault="00EC1293" w:rsidP="00FD0FD1">
      <w:pPr>
        <w:pStyle w:val="FootnoteText"/>
        <w:ind w:left="0" w:firstLine="0"/>
      </w:pPr>
      <w:r>
        <w:rPr>
          <w:rStyle w:val="FootnoteReference"/>
        </w:rPr>
        <w:footnoteRef/>
      </w:r>
      <w:r w:rsidR="00FD0FD1">
        <w:t xml:space="preserve"> </w:t>
      </w:r>
      <w:r w:rsidR="002A7754">
        <w:t>General Safety Requirements No. GSR Part 3, IAEA</w:t>
      </w:r>
      <w:r w:rsidR="00FD0FD1">
        <w:t xml:space="preserve">, 2014. </w:t>
      </w:r>
      <w:r>
        <w:t xml:space="preserve"> </w:t>
      </w:r>
      <w:hyperlink r:id="rId28" w:history="1">
        <w:r w:rsidR="0022731C">
          <w:rPr>
            <w:rStyle w:val="Hyperlink"/>
          </w:rPr>
          <w:t>Radiation Protection and Safety of Radiation Sources: International Basic Safety Standards | IAEA</w:t>
        </w:r>
      </w:hyperlink>
    </w:p>
  </w:footnote>
  <w:footnote w:id="35">
    <w:p w14:paraId="36013E6A" w14:textId="77777777" w:rsidR="00263896" w:rsidRDefault="00AA332F" w:rsidP="002F092D">
      <w:pPr>
        <w:pStyle w:val="FootnoteText"/>
        <w:spacing w:before="0"/>
        <w:ind w:left="0" w:firstLine="0"/>
        <w:rPr>
          <w:rFonts w:ascii="Calibri" w:hAnsi="Calibri" w:cs="Calibri"/>
          <w:i/>
          <w:iCs/>
          <w:color w:val="000000"/>
          <w:szCs w:val="18"/>
        </w:rPr>
      </w:pPr>
      <w:r>
        <w:rPr>
          <w:rStyle w:val="FootnoteReference"/>
        </w:rPr>
        <w:footnoteRef/>
      </w:r>
      <w:r>
        <w:t xml:space="preserve"> </w:t>
      </w:r>
      <w:r w:rsidRPr="00672703">
        <w:rPr>
          <w:rFonts w:ascii="Calibri" w:hAnsi="Calibri" w:cs="Calibri"/>
          <w:color w:val="000000"/>
          <w:szCs w:val="18"/>
        </w:rPr>
        <w:t xml:space="preserve">For the purposes of this licence, the licence holder is the ‘responsible person’ as defined in the </w:t>
      </w:r>
      <w:r w:rsidRPr="00AA332F">
        <w:rPr>
          <w:rFonts w:ascii="Calibri" w:hAnsi="Calibri" w:cs="Calibri"/>
          <w:i/>
          <w:iCs/>
          <w:color w:val="000000"/>
          <w:szCs w:val="18"/>
        </w:rPr>
        <w:t xml:space="preserve">Code for Radiation Protection in </w:t>
      </w:r>
    </w:p>
    <w:p w14:paraId="1157A67D" w14:textId="092A4762" w:rsidR="00AA332F" w:rsidRDefault="00AA332F" w:rsidP="002F092D">
      <w:pPr>
        <w:pStyle w:val="FootnoteText"/>
        <w:spacing w:before="0"/>
        <w:ind w:left="0" w:firstLine="0"/>
      </w:pPr>
      <w:r w:rsidRPr="00AA332F">
        <w:rPr>
          <w:rFonts w:ascii="Calibri" w:hAnsi="Calibri" w:cs="Calibri"/>
          <w:i/>
          <w:iCs/>
          <w:color w:val="000000"/>
          <w:szCs w:val="18"/>
        </w:rPr>
        <w:t>Planned Exposure Situations</w:t>
      </w:r>
      <w:r w:rsidRPr="00672703">
        <w:rPr>
          <w:rFonts w:ascii="Calibri" w:hAnsi="Calibri" w:cs="Calibri"/>
          <w:color w:val="000000"/>
          <w:szCs w:val="18"/>
        </w:rPr>
        <w:t xml:space="preserve"> (2020) RPS C-1 (Rev. 1)</w:t>
      </w:r>
      <w:r>
        <w:rPr>
          <w:rFonts w:ascii="Calibri" w:hAnsi="Calibri" w:cs="Calibri"/>
          <w:color w:val="000000"/>
          <w:szCs w:val="18"/>
        </w:rPr>
        <w:t xml:space="preserve"> </w:t>
      </w:r>
      <w:hyperlink r:id="rId29" w:history="1">
        <w:r w:rsidR="004B7191">
          <w:rPr>
            <w:rStyle w:val="Hyperlink"/>
          </w:rPr>
          <w:t>Radiation Protection Series C-1 (Rev. 1) | ARPANSA</w:t>
        </w:r>
      </w:hyperlink>
      <w:r w:rsidR="004B7191">
        <w:t>.</w:t>
      </w:r>
      <w:r w:rsidRPr="00672703">
        <w:rPr>
          <w:rFonts w:ascii="Calibri" w:hAnsi="Calibri" w:cs="Calibri"/>
          <w:color w:val="000000"/>
          <w:szCs w:val="18"/>
        </w:rPr>
        <w:t xml:space="preserve"> </w:t>
      </w:r>
      <w:r w:rsidR="00016242">
        <w:rPr>
          <w:rFonts w:ascii="Calibri" w:hAnsi="Calibri" w:cs="Calibri"/>
          <w:color w:val="000000"/>
          <w:szCs w:val="18"/>
        </w:rPr>
        <w:t>R</w:t>
      </w:r>
      <w:r w:rsidRPr="00672703">
        <w:rPr>
          <w:rFonts w:ascii="Calibri" w:hAnsi="Calibri" w:cs="Calibri"/>
          <w:color w:val="000000"/>
          <w:szCs w:val="18"/>
        </w:rPr>
        <w:t xml:space="preserve">esponsibility for ensuring the safety of the </w:t>
      </w:r>
      <w:r w:rsidR="00BC0483">
        <w:rPr>
          <w:rFonts w:ascii="Calibri" w:hAnsi="Calibri" w:cs="Calibri"/>
          <w:color w:val="000000"/>
          <w:szCs w:val="18"/>
        </w:rPr>
        <w:t>ILWCI F</w:t>
      </w:r>
      <w:r w:rsidRPr="00672703">
        <w:rPr>
          <w:rFonts w:ascii="Calibri" w:hAnsi="Calibri" w:cs="Calibri"/>
          <w:color w:val="000000"/>
          <w:szCs w:val="18"/>
        </w:rPr>
        <w:t>acility lies collectively with the CEO</w:t>
      </w:r>
      <w:r w:rsidR="00104A37">
        <w:rPr>
          <w:rFonts w:ascii="Calibri" w:hAnsi="Calibri" w:cs="Calibri"/>
          <w:color w:val="000000"/>
          <w:szCs w:val="18"/>
        </w:rPr>
        <w:t xml:space="preserve"> </w:t>
      </w:r>
      <w:r w:rsidRPr="00672703">
        <w:rPr>
          <w:rFonts w:ascii="Calibri" w:hAnsi="Calibri" w:cs="Calibri"/>
          <w:color w:val="000000"/>
          <w:szCs w:val="18"/>
        </w:rPr>
        <w:t>and senior management team</w:t>
      </w:r>
      <w:r w:rsidR="00104A37">
        <w:rPr>
          <w:rFonts w:ascii="Calibri" w:hAnsi="Calibri" w:cs="Calibri"/>
          <w:color w:val="000000"/>
          <w:szCs w:val="18"/>
        </w:rPr>
        <w:t xml:space="preserve"> of ANSTO. </w:t>
      </w:r>
    </w:p>
  </w:footnote>
  <w:footnote w:id="36">
    <w:p w14:paraId="30139E40" w14:textId="1F8D25C5" w:rsidR="00C922AA" w:rsidRPr="005E4CBE" w:rsidRDefault="00C922AA" w:rsidP="002F092D">
      <w:pPr>
        <w:pStyle w:val="FootnoteText"/>
        <w:ind w:left="0" w:firstLine="0"/>
      </w:pPr>
      <w:r>
        <w:rPr>
          <w:rStyle w:val="FootnoteReference"/>
        </w:rPr>
        <w:footnoteRef/>
      </w:r>
      <w:r w:rsidRPr="005E4CBE">
        <w:t xml:space="preserve"> </w:t>
      </w:r>
      <w:r w:rsidR="005E4CBE" w:rsidRPr="00461DE4">
        <w:rPr>
          <w:i/>
          <w:iCs/>
        </w:rPr>
        <w:t xml:space="preserve">Ensuring </w:t>
      </w:r>
      <w:r w:rsidR="003C087F" w:rsidRPr="00461DE4">
        <w:rPr>
          <w:i/>
          <w:iCs/>
        </w:rPr>
        <w:t>R</w:t>
      </w:r>
      <w:r w:rsidR="005E4CBE" w:rsidRPr="00461DE4">
        <w:rPr>
          <w:i/>
          <w:iCs/>
        </w:rPr>
        <w:t xml:space="preserve">obust </w:t>
      </w:r>
      <w:r w:rsidR="003C087F" w:rsidRPr="00461DE4">
        <w:rPr>
          <w:i/>
          <w:iCs/>
        </w:rPr>
        <w:t>N</w:t>
      </w:r>
      <w:r w:rsidR="005E4CBE" w:rsidRPr="00461DE4">
        <w:rPr>
          <w:i/>
          <w:iCs/>
        </w:rPr>
        <w:t xml:space="preserve">ational </w:t>
      </w:r>
      <w:r w:rsidR="003C087F" w:rsidRPr="00461DE4">
        <w:rPr>
          <w:i/>
          <w:iCs/>
        </w:rPr>
        <w:t>N</w:t>
      </w:r>
      <w:r w:rsidR="005E4CBE" w:rsidRPr="00461DE4">
        <w:rPr>
          <w:i/>
          <w:iCs/>
        </w:rPr>
        <w:t xml:space="preserve">uclear </w:t>
      </w:r>
      <w:r w:rsidR="003C087F" w:rsidRPr="00461DE4">
        <w:rPr>
          <w:i/>
          <w:iCs/>
        </w:rPr>
        <w:t>Sa</w:t>
      </w:r>
      <w:r w:rsidR="005E4CBE" w:rsidRPr="00461DE4">
        <w:rPr>
          <w:i/>
          <w:iCs/>
        </w:rPr>
        <w:t xml:space="preserve">fety </w:t>
      </w:r>
      <w:r w:rsidR="003C087F" w:rsidRPr="00461DE4">
        <w:rPr>
          <w:i/>
          <w:iCs/>
        </w:rPr>
        <w:t>S</w:t>
      </w:r>
      <w:r w:rsidR="005E4CBE" w:rsidRPr="00461DE4">
        <w:rPr>
          <w:i/>
          <w:iCs/>
        </w:rPr>
        <w:t>ystems</w:t>
      </w:r>
      <w:r w:rsidR="003C087F" w:rsidRPr="00461DE4">
        <w:rPr>
          <w:i/>
          <w:iCs/>
        </w:rPr>
        <w:t>, Institutional Strength-in-Depth</w:t>
      </w:r>
      <w:r w:rsidR="008E610B">
        <w:t xml:space="preserve">, INSAG (International Nuclear Safety Group) 27, </w:t>
      </w:r>
      <w:r w:rsidR="00461DE4">
        <w:t xml:space="preserve">IAEA </w:t>
      </w:r>
      <w:r w:rsidR="008E610B">
        <w:t>2017</w:t>
      </w:r>
      <w:r w:rsidR="00461DE4">
        <w:t>,</w:t>
      </w:r>
      <w:r w:rsidR="003C087F">
        <w:t xml:space="preserve"> </w:t>
      </w:r>
      <w:hyperlink r:id="rId30" w:history="1">
        <w:r w:rsidR="007B7067" w:rsidRPr="005E4CBE">
          <w:rPr>
            <w:rStyle w:val="Hyperlink"/>
          </w:rPr>
          <w:t>P1779_web.pdf (iaea.org)</w:t>
        </w:r>
      </w:hyperlink>
    </w:p>
  </w:footnote>
  <w:footnote w:id="37">
    <w:p w14:paraId="5DE40401" w14:textId="6A1AEB2E" w:rsidR="009551C1" w:rsidRDefault="009551C1">
      <w:pPr>
        <w:pStyle w:val="FootnoteText"/>
      </w:pPr>
      <w:r>
        <w:rPr>
          <w:rStyle w:val="FootnoteReference"/>
        </w:rPr>
        <w:footnoteRef/>
      </w:r>
      <w:r>
        <w:t xml:space="preserve"> </w:t>
      </w:r>
      <w:r w:rsidR="00942CB6">
        <w:t xml:space="preserve">See </w:t>
      </w:r>
      <w:hyperlink r:id="rId31" w:history="1">
        <w:r w:rsidR="00601AB8">
          <w:rPr>
            <w:rStyle w:val="Hyperlink"/>
          </w:rPr>
          <w:t>https://arpansa.gov.au/ANSTO-ILWCI</w:t>
        </w:r>
      </w:hyperlink>
    </w:p>
  </w:footnote>
  <w:footnote w:id="38">
    <w:p w14:paraId="2F3DF7AD" w14:textId="6321478E" w:rsidR="00B4024D" w:rsidRDefault="00B4024D">
      <w:pPr>
        <w:pStyle w:val="FootnoteText"/>
      </w:pPr>
      <w:r>
        <w:rPr>
          <w:rStyle w:val="FootnoteReference"/>
        </w:rPr>
        <w:footnoteRef/>
      </w:r>
      <w:r>
        <w:t xml:space="preserve"> </w:t>
      </w:r>
      <w:r w:rsidR="00A35BED">
        <w:t xml:space="preserve">see </w:t>
      </w:r>
      <w:r w:rsidR="00A35BED" w:rsidRPr="00A35BED">
        <w:t>https://www.aph.gov.au/Parliamentary_Business/Committees/Senate/Economics/RadioactiveWaste/Submissions</w:t>
      </w:r>
    </w:p>
  </w:footnote>
  <w:footnote w:id="39">
    <w:p w14:paraId="5B671D61" w14:textId="74B97312" w:rsidR="002A48E8" w:rsidRDefault="002A48E8">
      <w:pPr>
        <w:pStyle w:val="FootnoteText"/>
      </w:pPr>
      <w:r>
        <w:rPr>
          <w:rStyle w:val="FootnoteReference"/>
        </w:rPr>
        <w:footnoteRef/>
      </w:r>
      <w:r>
        <w:t xml:space="preserve"> </w:t>
      </w:r>
      <w:r w:rsidR="00907270">
        <w:t xml:space="preserve">See Appendix </w:t>
      </w:r>
      <w:r w:rsidR="000D4256">
        <w:t>3</w:t>
      </w:r>
      <w:r w:rsidR="00907270">
        <w:t xml:space="preserve"> of the RAR</w:t>
      </w:r>
    </w:p>
  </w:footnote>
  <w:footnote w:id="40">
    <w:p w14:paraId="15FBEFEC" w14:textId="3E98AC96" w:rsidR="00B16A6C" w:rsidRDefault="00B16A6C">
      <w:pPr>
        <w:pStyle w:val="FootnoteText"/>
      </w:pPr>
      <w:r>
        <w:rPr>
          <w:rStyle w:val="FootnoteReference"/>
        </w:rPr>
        <w:footnoteRef/>
      </w:r>
      <w:r>
        <w:t xml:space="preserve"> </w:t>
      </w:r>
      <w:hyperlink r:id="rId32" w:history="1">
        <w:r w:rsidR="00A66110">
          <w:rPr>
            <w:rStyle w:val="Hyperlink"/>
          </w:rPr>
          <w:t>Australian Radioactive Waste Agency | Department of Industry, Science, Energy and Resources</w:t>
        </w:r>
      </w:hyperlink>
    </w:p>
  </w:footnote>
  <w:footnote w:id="41">
    <w:p w14:paraId="5C5A8F85" w14:textId="48A30B03" w:rsidR="00F66DA3" w:rsidRDefault="00F66DA3">
      <w:pPr>
        <w:pStyle w:val="FootnoteText"/>
        <w:rPr>
          <w:highlight w:val="yellow"/>
        </w:rPr>
      </w:pPr>
      <w:r>
        <w:rPr>
          <w:rStyle w:val="FootnoteReference"/>
        </w:rPr>
        <w:footnoteRef/>
      </w:r>
      <w:r>
        <w:t xml:space="preserve"> </w:t>
      </w:r>
      <w:hyperlink r:id="rId33" w:history="1">
        <w:r w:rsidR="00437E7A">
          <w:rPr>
            <w:rStyle w:val="Hyperlink"/>
          </w:rPr>
          <w:t>statement_of_reasons_sor_-_anm_operations.pdf (arpansa.gov.au)</w:t>
        </w:r>
      </w:hyperlink>
    </w:p>
  </w:footnote>
  <w:footnote w:id="42">
    <w:p w14:paraId="029262E3" w14:textId="6430AA49" w:rsidR="00C840EE" w:rsidRDefault="00C840EE" w:rsidP="00D4076F">
      <w:pPr>
        <w:pStyle w:val="FootnoteText"/>
        <w:ind w:left="0" w:firstLine="0"/>
      </w:pPr>
      <w:r>
        <w:rPr>
          <w:rStyle w:val="FootnoteReference"/>
        </w:rPr>
        <w:footnoteRef/>
      </w:r>
      <w:r>
        <w:t xml:space="preserve"> </w:t>
      </w:r>
      <w:r w:rsidR="005E3985">
        <w:t xml:space="preserve">See </w:t>
      </w:r>
      <w:hyperlink r:id="rId34" w:history="1">
        <w:r w:rsidR="005E3985" w:rsidRPr="00B741FF">
          <w:rPr>
            <w:rStyle w:val="Hyperlink"/>
          </w:rPr>
          <w:t>https://www.aph.gov.au/Parliamentary_Business/Committees/Senate/Economics/RadioactiveWaste/Submissions</w:t>
        </w:r>
      </w:hyperlink>
    </w:p>
  </w:footnote>
  <w:footnote w:id="43">
    <w:p w14:paraId="51D4A3E5" w14:textId="2DE53D8C" w:rsidR="00D32357" w:rsidRDefault="00D32357" w:rsidP="00D32357">
      <w:pPr>
        <w:pStyle w:val="FootnoteText"/>
        <w:rPr>
          <w:highlight w:val="yellow"/>
        </w:rPr>
      </w:pPr>
      <w:r>
        <w:rPr>
          <w:rStyle w:val="FootnoteReference"/>
        </w:rPr>
        <w:footnoteRef/>
      </w:r>
      <w:r>
        <w:t xml:space="preserve"> </w:t>
      </w:r>
      <w:hyperlink r:id="rId35" w:history="1">
        <w:r w:rsidR="00C118DE">
          <w:rPr>
            <w:rStyle w:val="Hyperlink"/>
          </w:rPr>
          <w:t>Progress on actions from ANSTO safety review | ARPANSA</w:t>
        </w:r>
      </w:hyperlink>
    </w:p>
  </w:footnote>
  <w:footnote w:id="44">
    <w:p w14:paraId="57034C15" w14:textId="77777777" w:rsidR="00E7221A" w:rsidRPr="00116253" w:rsidRDefault="00E7221A" w:rsidP="00E7221A">
      <w:pPr>
        <w:pStyle w:val="FootnoteText"/>
        <w:rPr>
          <w:szCs w:val="18"/>
        </w:rPr>
      </w:pPr>
      <w:r>
        <w:rPr>
          <w:rStyle w:val="FootnoteReference"/>
        </w:rPr>
        <w:footnoteRef/>
      </w:r>
      <w:r>
        <w:t xml:space="preserve"> </w:t>
      </w:r>
      <w:hyperlink r:id="rId36" w:tgtFrame="_blank" w:tooltip="https://theconversation.com/3-reasons-the-announcement-to-dump-radioactive-waste-in-south-australia-is-extremely-premature-172766" w:history="1">
        <w:r w:rsidRPr="00B741FF">
          <w:rPr>
            <w:rStyle w:val="Hyperlink"/>
          </w:rPr>
          <w:t>3 reasons the announcement to dump radioactive waste in South Australia is extremely premature (theconversation.com)</w:t>
        </w:r>
      </w:hyperlink>
    </w:p>
  </w:footnote>
  <w:footnote w:id="45">
    <w:p w14:paraId="456EDE56" w14:textId="193AC830" w:rsidR="00EA00B6" w:rsidRDefault="00EA00B6" w:rsidP="00081E7B">
      <w:pPr>
        <w:pStyle w:val="FootnoteText"/>
        <w:ind w:left="0" w:firstLine="0"/>
      </w:pPr>
      <w:r>
        <w:rPr>
          <w:rStyle w:val="FootnoteReference"/>
        </w:rPr>
        <w:footnoteRef/>
      </w:r>
      <w:r>
        <w:t xml:space="preserve"> </w:t>
      </w:r>
      <w:r w:rsidR="00911AAA">
        <w:t>Professor Emeritus Ian Lowe of Griffith University was the Chair of the Australian Conservation Foundation 2004 – 2012</w:t>
      </w:r>
      <w:r w:rsidR="00FF0F58">
        <w:t xml:space="preserve">. </w:t>
      </w:r>
      <w:r w:rsidR="00E63ECC">
        <w:t>He</w:t>
      </w:r>
      <w:r w:rsidR="00A5075C">
        <w:t xml:space="preserve"> was a</w:t>
      </w:r>
      <w:r w:rsidR="00E63ECC">
        <w:t>lso a</w:t>
      </w:r>
      <w:r w:rsidR="00257FB0">
        <w:t xml:space="preserve"> member of the Radiation Health and Safety </w:t>
      </w:r>
      <w:r w:rsidR="00797911">
        <w:t xml:space="preserve">Advisory </w:t>
      </w:r>
      <w:r w:rsidR="00257FB0">
        <w:t>Council</w:t>
      </w:r>
      <w:r w:rsidR="006D6423">
        <w:t xml:space="preserve"> established </w:t>
      </w:r>
      <w:r w:rsidR="002A717D">
        <w:t>under the ARPANS Act</w:t>
      </w:r>
      <w:r w:rsidR="00FF0F58">
        <w:t xml:space="preserve"> 2002 -</w:t>
      </w:r>
      <w:r w:rsidR="008E5B9B">
        <w:t xml:space="preserve"> </w:t>
      </w:r>
      <w:r w:rsidR="00FF0F58">
        <w:t>2014</w:t>
      </w:r>
      <w:r w:rsidR="00EA34EC">
        <w:t xml:space="preserve">, </w:t>
      </w:r>
      <w:r w:rsidR="00277411">
        <w:t xml:space="preserve">to which he was </w:t>
      </w:r>
      <w:r w:rsidR="002A717D">
        <w:t xml:space="preserve">appointed by the Minister </w:t>
      </w:r>
      <w:r w:rsidR="00797911">
        <w:t xml:space="preserve">as </w:t>
      </w:r>
      <w:r w:rsidR="002A717D">
        <w:t>“</w:t>
      </w:r>
      <w:r w:rsidR="00E50450">
        <w:t xml:space="preserve">a person to </w:t>
      </w:r>
      <w:r w:rsidR="002A717D">
        <w:t>represent the interest of the general public”</w:t>
      </w:r>
      <w:r w:rsidR="00FF0F58">
        <w:t>.</w:t>
      </w:r>
      <w:r w:rsidR="00FF0F58" w:rsidDel="00E6443F">
        <w:t xml:space="preserve"> </w:t>
      </w:r>
      <w:r w:rsidR="3985DCE2">
        <w:t xml:space="preserve"> </w:t>
      </w:r>
    </w:p>
  </w:footnote>
  <w:footnote w:id="46">
    <w:p w14:paraId="066B9630" w14:textId="73A1FB5B" w:rsidR="00973B0B" w:rsidRDefault="00973B0B">
      <w:pPr>
        <w:pStyle w:val="FootnoteText"/>
      </w:pPr>
      <w:r>
        <w:rPr>
          <w:rStyle w:val="FootnoteReference"/>
        </w:rPr>
        <w:footnoteRef/>
      </w:r>
      <w:r>
        <w:t xml:space="preserve"> </w:t>
      </w:r>
      <w:hyperlink r:id="rId37" w:anchor=":~:text=The%20Regulatory%20Activities%20Policy%20(the,the%20environment%2C%20from%20the%20harmful" w:history="1">
        <w:r w:rsidR="004F572C">
          <w:rPr>
            <w:rStyle w:val="Hyperlink"/>
          </w:rPr>
          <w:t>Regulatory Activities Policy | ARPANSA</w:t>
        </w:r>
      </w:hyperlink>
    </w:p>
  </w:footnote>
  <w:footnote w:id="47">
    <w:p w14:paraId="01A747DF" w14:textId="237CE923" w:rsidR="00E26B0B" w:rsidRDefault="00E26B0B" w:rsidP="00C64601">
      <w:pPr>
        <w:pStyle w:val="FootnoteText"/>
        <w:ind w:left="0" w:firstLine="0"/>
        <w:rPr>
          <w:highlight w:val="yellow"/>
        </w:rPr>
      </w:pPr>
      <w:r>
        <w:rPr>
          <w:rStyle w:val="FootnoteReference"/>
        </w:rPr>
        <w:footnoteRef/>
      </w:r>
      <w:r>
        <w:t xml:space="preserve"> </w:t>
      </w:r>
      <w:hyperlink r:id="rId38" w:history="1">
        <w:r w:rsidR="00C64601">
          <w:rPr>
            <w:rStyle w:val="Hyperlink"/>
          </w:rPr>
          <w:t>Nuclear Energy Agency (NEA) - High-level Group on the Security of Supply of Medical Radioisotopes (HLG-MR) (oecd-nea.org)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2DEC" w14:textId="4337A48C" w:rsidR="00B61C8A" w:rsidRDefault="00B61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7626" w14:textId="66A08DFA" w:rsidR="00DA0F63" w:rsidRDefault="00DA0F63">
    <w:pPr>
      <w:pStyle w:val="Header"/>
    </w:pPr>
  </w:p>
  <w:p w14:paraId="5586508B" w14:textId="7DDB00CD" w:rsidR="00DA0F63" w:rsidRDefault="00DA0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11F"/>
    <w:multiLevelType w:val="hybridMultilevel"/>
    <w:tmpl w:val="2C480D12"/>
    <w:lvl w:ilvl="0" w:tplc="6B5AB9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D440D"/>
    <w:multiLevelType w:val="hybridMultilevel"/>
    <w:tmpl w:val="B10C865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5B77D0"/>
    <w:multiLevelType w:val="hybridMultilevel"/>
    <w:tmpl w:val="7478B546"/>
    <w:lvl w:ilvl="0" w:tplc="1D18894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C855131"/>
    <w:multiLevelType w:val="hybridMultilevel"/>
    <w:tmpl w:val="03D43460"/>
    <w:lvl w:ilvl="0" w:tplc="E6806D2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0D7370"/>
    <w:multiLevelType w:val="multilevel"/>
    <w:tmpl w:val="B0C64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4A3245"/>
    <w:multiLevelType w:val="hybridMultilevel"/>
    <w:tmpl w:val="03D43460"/>
    <w:lvl w:ilvl="0" w:tplc="E6806D2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4F0B00"/>
    <w:multiLevelType w:val="hybridMultilevel"/>
    <w:tmpl w:val="6B3EA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55B82"/>
    <w:multiLevelType w:val="multilevel"/>
    <w:tmpl w:val="8C4E0B80"/>
    <w:lvl w:ilvl="0">
      <w:start w:val="1"/>
      <w:numFmt w:val="lowerLetter"/>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635589"/>
    <w:multiLevelType w:val="hybridMultilevel"/>
    <w:tmpl w:val="47A4C810"/>
    <w:lvl w:ilvl="0" w:tplc="6D30317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F6F6B54"/>
    <w:multiLevelType w:val="hybridMultilevel"/>
    <w:tmpl w:val="A4A49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E30EC"/>
    <w:multiLevelType w:val="hybridMultilevel"/>
    <w:tmpl w:val="1B84F02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45621228">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F33451"/>
    <w:multiLevelType w:val="hybridMultilevel"/>
    <w:tmpl w:val="A720FA9C"/>
    <w:lvl w:ilvl="0" w:tplc="9880CFF4">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F3666D"/>
    <w:multiLevelType w:val="hybridMultilevel"/>
    <w:tmpl w:val="5AA8628C"/>
    <w:lvl w:ilvl="0" w:tplc="E6806D2E">
      <w:start w:val="1"/>
      <w:numFmt w:val="lowerRoman"/>
      <w:lvlText w:val="(%1)"/>
      <w:lvlJc w:val="left"/>
      <w:pPr>
        <w:ind w:left="1080" w:hanging="720"/>
      </w:pPr>
      <w:rPr>
        <w:rFonts w:hint="default"/>
      </w:rPr>
    </w:lvl>
    <w:lvl w:ilvl="1" w:tplc="B3345B9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414E53"/>
    <w:multiLevelType w:val="hybridMultilevel"/>
    <w:tmpl w:val="58B6B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6F5C36"/>
    <w:multiLevelType w:val="hybridMultilevel"/>
    <w:tmpl w:val="03D43460"/>
    <w:lvl w:ilvl="0" w:tplc="E6806D2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033EC"/>
    <w:multiLevelType w:val="hybridMultilevel"/>
    <w:tmpl w:val="4448CA8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D16119"/>
    <w:multiLevelType w:val="hybridMultilevel"/>
    <w:tmpl w:val="03D43460"/>
    <w:lvl w:ilvl="0" w:tplc="E6806D2E">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9" w15:restartNumberingAfterBreak="0">
    <w:nsid w:val="5B4B0469"/>
    <w:multiLevelType w:val="hybridMultilevel"/>
    <w:tmpl w:val="E5A8E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C27B3"/>
    <w:multiLevelType w:val="hybridMultilevel"/>
    <w:tmpl w:val="58C6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1C2EA9"/>
    <w:multiLevelType w:val="multilevel"/>
    <w:tmpl w:val="EABCA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00C3A00"/>
    <w:multiLevelType w:val="hybridMultilevel"/>
    <w:tmpl w:val="8A2AEC0E"/>
    <w:lvl w:ilvl="0" w:tplc="3842A396">
      <w:start w:val="1"/>
      <w:numFmt w:val="lowerRoman"/>
      <w:lvlText w:val="(%1)"/>
      <w:lvlJc w:val="left"/>
      <w:pPr>
        <w:ind w:left="1440" w:hanging="720"/>
      </w:pPr>
      <w:rPr>
        <w:rFonts w:hint="default"/>
      </w:rPr>
    </w:lvl>
    <w:lvl w:ilvl="1" w:tplc="70F631B4">
      <w:start w:val="1"/>
      <w:numFmt w:val="decimal"/>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num>
  <w:num w:numId="2">
    <w:abstractNumId w:val="18"/>
  </w:num>
  <w:num w:numId="3">
    <w:abstractNumId w:val="21"/>
  </w:num>
  <w:num w:numId="4">
    <w:abstractNumId w:val="13"/>
  </w:num>
  <w:num w:numId="5">
    <w:abstractNumId w:val="22"/>
  </w:num>
  <w:num w:numId="6">
    <w:abstractNumId w:val="2"/>
  </w:num>
  <w:num w:numId="7">
    <w:abstractNumId w:val="8"/>
  </w:num>
  <w:num w:numId="8">
    <w:abstractNumId w:val="9"/>
  </w:num>
  <w:num w:numId="9">
    <w:abstractNumId w:val="20"/>
  </w:num>
  <w:num w:numId="10">
    <w:abstractNumId w:val="17"/>
  </w:num>
  <w:num w:numId="11">
    <w:abstractNumId w:val="10"/>
  </w:num>
  <w:num w:numId="12">
    <w:abstractNumId w:val="19"/>
  </w:num>
  <w:num w:numId="13">
    <w:abstractNumId w:val="7"/>
  </w:num>
  <w:num w:numId="14">
    <w:abstractNumId w:val="6"/>
  </w:num>
  <w:num w:numId="15">
    <w:abstractNumId w:val="1"/>
  </w:num>
  <w:num w:numId="16">
    <w:abstractNumId w:val="16"/>
  </w:num>
  <w:num w:numId="17">
    <w:abstractNumId w:val="11"/>
  </w:num>
  <w:num w:numId="18">
    <w:abstractNumId w:val="5"/>
  </w:num>
  <w:num w:numId="19">
    <w:abstractNumId w:val="15"/>
  </w:num>
  <w:num w:numId="20">
    <w:abstractNumId w:val="3"/>
  </w:num>
  <w:num w:numId="21">
    <w:abstractNumId w:val="0"/>
  </w:num>
  <w:num w:numId="22">
    <w:abstractNumId w:val="12"/>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9D"/>
    <w:rsid w:val="000006FB"/>
    <w:rsid w:val="0000074D"/>
    <w:rsid w:val="000011C5"/>
    <w:rsid w:val="000012A8"/>
    <w:rsid w:val="00002209"/>
    <w:rsid w:val="000029FF"/>
    <w:rsid w:val="0000327D"/>
    <w:rsid w:val="00003B7C"/>
    <w:rsid w:val="00005860"/>
    <w:rsid w:val="00005BE9"/>
    <w:rsid w:val="000066E0"/>
    <w:rsid w:val="000069DB"/>
    <w:rsid w:val="00007133"/>
    <w:rsid w:val="000073FB"/>
    <w:rsid w:val="00007CF2"/>
    <w:rsid w:val="00007DA1"/>
    <w:rsid w:val="00010969"/>
    <w:rsid w:val="000119D4"/>
    <w:rsid w:val="000119D6"/>
    <w:rsid w:val="00011E95"/>
    <w:rsid w:val="000120D0"/>
    <w:rsid w:val="000125BA"/>
    <w:rsid w:val="00012909"/>
    <w:rsid w:val="00013D7E"/>
    <w:rsid w:val="00014B07"/>
    <w:rsid w:val="00015085"/>
    <w:rsid w:val="00015B48"/>
    <w:rsid w:val="00016242"/>
    <w:rsid w:val="00016714"/>
    <w:rsid w:val="000174AE"/>
    <w:rsid w:val="000176D2"/>
    <w:rsid w:val="00017957"/>
    <w:rsid w:val="00017D61"/>
    <w:rsid w:val="00017DC0"/>
    <w:rsid w:val="000201D2"/>
    <w:rsid w:val="00020FD0"/>
    <w:rsid w:val="000214BE"/>
    <w:rsid w:val="00021E03"/>
    <w:rsid w:val="0002323F"/>
    <w:rsid w:val="00023721"/>
    <w:rsid w:val="00024116"/>
    <w:rsid w:val="000249A9"/>
    <w:rsid w:val="000255F5"/>
    <w:rsid w:val="00025608"/>
    <w:rsid w:val="00025859"/>
    <w:rsid w:val="00025C09"/>
    <w:rsid w:val="00025DCC"/>
    <w:rsid w:val="000276C9"/>
    <w:rsid w:val="00027859"/>
    <w:rsid w:val="00027CEF"/>
    <w:rsid w:val="00027FA9"/>
    <w:rsid w:val="00030738"/>
    <w:rsid w:val="00030C03"/>
    <w:rsid w:val="000314F2"/>
    <w:rsid w:val="0003195F"/>
    <w:rsid w:val="00031B88"/>
    <w:rsid w:val="00031EA1"/>
    <w:rsid w:val="00032077"/>
    <w:rsid w:val="000324F4"/>
    <w:rsid w:val="00032BB4"/>
    <w:rsid w:val="00032D8D"/>
    <w:rsid w:val="000335B7"/>
    <w:rsid w:val="000349CD"/>
    <w:rsid w:val="00034A1B"/>
    <w:rsid w:val="00035AB4"/>
    <w:rsid w:val="000360DC"/>
    <w:rsid w:val="000363CF"/>
    <w:rsid w:val="0003658E"/>
    <w:rsid w:val="00036D1C"/>
    <w:rsid w:val="000373DF"/>
    <w:rsid w:val="0003744F"/>
    <w:rsid w:val="00037687"/>
    <w:rsid w:val="000376E8"/>
    <w:rsid w:val="0003786A"/>
    <w:rsid w:val="00040001"/>
    <w:rsid w:val="00040F53"/>
    <w:rsid w:val="000417E4"/>
    <w:rsid w:val="00041B82"/>
    <w:rsid w:val="00041D13"/>
    <w:rsid w:val="00041F2A"/>
    <w:rsid w:val="00042184"/>
    <w:rsid w:val="000423CA"/>
    <w:rsid w:val="00042C99"/>
    <w:rsid w:val="00042D16"/>
    <w:rsid w:val="0004303D"/>
    <w:rsid w:val="00044E38"/>
    <w:rsid w:val="000459E5"/>
    <w:rsid w:val="000460DC"/>
    <w:rsid w:val="00046256"/>
    <w:rsid w:val="000465F7"/>
    <w:rsid w:val="00046A17"/>
    <w:rsid w:val="00047079"/>
    <w:rsid w:val="00050473"/>
    <w:rsid w:val="00050A72"/>
    <w:rsid w:val="00051076"/>
    <w:rsid w:val="00051524"/>
    <w:rsid w:val="00051842"/>
    <w:rsid w:val="0005190F"/>
    <w:rsid w:val="00051AEF"/>
    <w:rsid w:val="00051FDE"/>
    <w:rsid w:val="00051FE4"/>
    <w:rsid w:val="0005254B"/>
    <w:rsid w:val="00053828"/>
    <w:rsid w:val="00053989"/>
    <w:rsid w:val="00053E60"/>
    <w:rsid w:val="00054AFC"/>
    <w:rsid w:val="00054D06"/>
    <w:rsid w:val="000552DB"/>
    <w:rsid w:val="00056223"/>
    <w:rsid w:val="00056887"/>
    <w:rsid w:val="00060A33"/>
    <w:rsid w:val="00060A6B"/>
    <w:rsid w:val="00062851"/>
    <w:rsid w:val="00063048"/>
    <w:rsid w:val="0006307C"/>
    <w:rsid w:val="00063B9B"/>
    <w:rsid w:val="00063DEC"/>
    <w:rsid w:val="000649E6"/>
    <w:rsid w:val="00064E7A"/>
    <w:rsid w:val="00064EFF"/>
    <w:rsid w:val="00065D1E"/>
    <w:rsid w:val="00066648"/>
    <w:rsid w:val="00066B27"/>
    <w:rsid w:val="00066BF7"/>
    <w:rsid w:val="000670B3"/>
    <w:rsid w:val="000673DD"/>
    <w:rsid w:val="00067AF9"/>
    <w:rsid w:val="00070256"/>
    <w:rsid w:val="000708F6"/>
    <w:rsid w:val="00071190"/>
    <w:rsid w:val="0007247A"/>
    <w:rsid w:val="00072584"/>
    <w:rsid w:val="000728BD"/>
    <w:rsid w:val="000730D1"/>
    <w:rsid w:val="000743C7"/>
    <w:rsid w:val="00074583"/>
    <w:rsid w:val="00074FEC"/>
    <w:rsid w:val="00075522"/>
    <w:rsid w:val="00076CF7"/>
    <w:rsid w:val="000774A3"/>
    <w:rsid w:val="000776D5"/>
    <w:rsid w:val="00077A4D"/>
    <w:rsid w:val="0008041F"/>
    <w:rsid w:val="0008190E"/>
    <w:rsid w:val="00081E56"/>
    <w:rsid w:val="00081E7B"/>
    <w:rsid w:val="00082E26"/>
    <w:rsid w:val="00082E2B"/>
    <w:rsid w:val="00083A96"/>
    <w:rsid w:val="0008442B"/>
    <w:rsid w:val="00084690"/>
    <w:rsid w:val="00084E35"/>
    <w:rsid w:val="00085B19"/>
    <w:rsid w:val="00085B5A"/>
    <w:rsid w:val="00085BA2"/>
    <w:rsid w:val="00085C70"/>
    <w:rsid w:val="00087181"/>
    <w:rsid w:val="00087424"/>
    <w:rsid w:val="000877F4"/>
    <w:rsid w:val="00087D30"/>
    <w:rsid w:val="0009041A"/>
    <w:rsid w:val="000906AB"/>
    <w:rsid w:val="00090A49"/>
    <w:rsid w:val="00090B86"/>
    <w:rsid w:val="00090DA6"/>
    <w:rsid w:val="000913AA"/>
    <w:rsid w:val="000917AA"/>
    <w:rsid w:val="000917C2"/>
    <w:rsid w:val="000922EC"/>
    <w:rsid w:val="0009284D"/>
    <w:rsid w:val="00092A90"/>
    <w:rsid w:val="00093EAC"/>
    <w:rsid w:val="00094966"/>
    <w:rsid w:val="00094D56"/>
    <w:rsid w:val="00094EB3"/>
    <w:rsid w:val="00095080"/>
    <w:rsid w:val="0009563E"/>
    <w:rsid w:val="000968FF"/>
    <w:rsid w:val="00096FC8"/>
    <w:rsid w:val="000978BF"/>
    <w:rsid w:val="000A0A8C"/>
    <w:rsid w:val="000A23A7"/>
    <w:rsid w:val="000A2975"/>
    <w:rsid w:val="000A307C"/>
    <w:rsid w:val="000A3097"/>
    <w:rsid w:val="000A30A1"/>
    <w:rsid w:val="000A34C0"/>
    <w:rsid w:val="000A381E"/>
    <w:rsid w:val="000A39C9"/>
    <w:rsid w:val="000A3C49"/>
    <w:rsid w:val="000A44EC"/>
    <w:rsid w:val="000A4FF4"/>
    <w:rsid w:val="000A6E8F"/>
    <w:rsid w:val="000A7129"/>
    <w:rsid w:val="000A766C"/>
    <w:rsid w:val="000A76DD"/>
    <w:rsid w:val="000A7A11"/>
    <w:rsid w:val="000A7B0A"/>
    <w:rsid w:val="000A7CB9"/>
    <w:rsid w:val="000B0128"/>
    <w:rsid w:val="000B1977"/>
    <w:rsid w:val="000B1DB0"/>
    <w:rsid w:val="000B25A0"/>
    <w:rsid w:val="000B2684"/>
    <w:rsid w:val="000B276C"/>
    <w:rsid w:val="000B31E8"/>
    <w:rsid w:val="000B3554"/>
    <w:rsid w:val="000B3B11"/>
    <w:rsid w:val="000B4769"/>
    <w:rsid w:val="000B5D1B"/>
    <w:rsid w:val="000B6DB3"/>
    <w:rsid w:val="000B6ED2"/>
    <w:rsid w:val="000B793C"/>
    <w:rsid w:val="000C10DB"/>
    <w:rsid w:val="000C1478"/>
    <w:rsid w:val="000C17AD"/>
    <w:rsid w:val="000C232F"/>
    <w:rsid w:val="000C2AAD"/>
    <w:rsid w:val="000C2B29"/>
    <w:rsid w:val="000C2C9B"/>
    <w:rsid w:val="000C3664"/>
    <w:rsid w:val="000C3AAE"/>
    <w:rsid w:val="000C3C25"/>
    <w:rsid w:val="000C4CBF"/>
    <w:rsid w:val="000C4E14"/>
    <w:rsid w:val="000C4E7F"/>
    <w:rsid w:val="000C5CA3"/>
    <w:rsid w:val="000C6852"/>
    <w:rsid w:val="000C69BD"/>
    <w:rsid w:val="000C6B4D"/>
    <w:rsid w:val="000C6FF5"/>
    <w:rsid w:val="000C7B4B"/>
    <w:rsid w:val="000D1A33"/>
    <w:rsid w:val="000D1CCD"/>
    <w:rsid w:val="000D26AB"/>
    <w:rsid w:val="000D27C8"/>
    <w:rsid w:val="000D30C1"/>
    <w:rsid w:val="000D3F23"/>
    <w:rsid w:val="000D4158"/>
    <w:rsid w:val="000D4256"/>
    <w:rsid w:val="000D54AC"/>
    <w:rsid w:val="000D5BA8"/>
    <w:rsid w:val="000D5CA4"/>
    <w:rsid w:val="000D5FAC"/>
    <w:rsid w:val="000D60E5"/>
    <w:rsid w:val="000D69E6"/>
    <w:rsid w:val="000D6C6F"/>
    <w:rsid w:val="000D703D"/>
    <w:rsid w:val="000D7AA3"/>
    <w:rsid w:val="000E0F43"/>
    <w:rsid w:val="000E1321"/>
    <w:rsid w:val="000E17FA"/>
    <w:rsid w:val="000E2027"/>
    <w:rsid w:val="000E405B"/>
    <w:rsid w:val="000E4AB8"/>
    <w:rsid w:val="000E50C1"/>
    <w:rsid w:val="000E6619"/>
    <w:rsid w:val="000E736E"/>
    <w:rsid w:val="000F0086"/>
    <w:rsid w:val="000F05AB"/>
    <w:rsid w:val="000F0E8B"/>
    <w:rsid w:val="000F14C3"/>
    <w:rsid w:val="000F1D9D"/>
    <w:rsid w:val="000F1DE2"/>
    <w:rsid w:val="000F2C66"/>
    <w:rsid w:val="000F2F4B"/>
    <w:rsid w:val="000F3964"/>
    <w:rsid w:val="000F3AB1"/>
    <w:rsid w:val="000F3ADD"/>
    <w:rsid w:val="000F3DED"/>
    <w:rsid w:val="000F6518"/>
    <w:rsid w:val="000F678C"/>
    <w:rsid w:val="000F6973"/>
    <w:rsid w:val="000F6AA5"/>
    <w:rsid w:val="000F6F01"/>
    <w:rsid w:val="000F73FB"/>
    <w:rsid w:val="00100A13"/>
    <w:rsid w:val="00101B2B"/>
    <w:rsid w:val="00102278"/>
    <w:rsid w:val="00102C79"/>
    <w:rsid w:val="0010348D"/>
    <w:rsid w:val="00103749"/>
    <w:rsid w:val="001037BF"/>
    <w:rsid w:val="00104A37"/>
    <w:rsid w:val="0010501D"/>
    <w:rsid w:val="00105354"/>
    <w:rsid w:val="00105936"/>
    <w:rsid w:val="00106435"/>
    <w:rsid w:val="001067A8"/>
    <w:rsid w:val="001068E9"/>
    <w:rsid w:val="0010737E"/>
    <w:rsid w:val="00107CFF"/>
    <w:rsid w:val="001102E2"/>
    <w:rsid w:val="00110C03"/>
    <w:rsid w:val="00110C86"/>
    <w:rsid w:val="0011193D"/>
    <w:rsid w:val="00111D45"/>
    <w:rsid w:val="00112CEB"/>
    <w:rsid w:val="00112DAB"/>
    <w:rsid w:val="00113121"/>
    <w:rsid w:val="0011592F"/>
    <w:rsid w:val="00115B58"/>
    <w:rsid w:val="00115C88"/>
    <w:rsid w:val="00116253"/>
    <w:rsid w:val="0011656F"/>
    <w:rsid w:val="001170C4"/>
    <w:rsid w:val="0011711C"/>
    <w:rsid w:val="00117D1D"/>
    <w:rsid w:val="0012165F"/>
    <w:rsid w:val="0012249D"/>
    <w:rsid w:val="00122962"/>
    <w:rsid w:val="00123054"/>
    <w:rsid w:val="0012347B"/>
    <w:rsid w:val="00123B2F"/>
    <w:rsid w:val="00124FFB"/>
    <w:rsid w:val="001257F0"/>
    <w:rsid w:val="00125DEB"/>
    <w:rsid w:val="00126B52"/>
    <w:rsid w:val="00126DC4"/>
    <w:rsid w:val="001273C8"/>
    <w:rsid w:val="00127AE2"/>
    <w:rsid w:val="001319FB"/>
    <w:rsid w:val="001322D2"/>
    <w:rsid w:val="00133803"/>
    <w:rsid w:val="001339EA"/>
    <w:rsid w:val="001354D5"/>
    <w:rsid w:val="001367EB"/>
    <w:rsid w:val="00136CDB"/>
    <w:rsid w:val="00136D7E"/>
    <w:rsid w:val="001378F2"/>
    <w:rsid w:val="0013799C"/>
    <w:rsid w:val="00137B01"/>
    <w:rsid w:val="001402B4"/>
    <w:rsid w:val="00140540"/>
    <w:rsid w:val="00140C49"/>
    <w:rsid w:val="001412A3"/>
    <w:rsid w:val="00141437"/>
    <w:rsid w:val="001424E6"/>
    <w:rsid w:val="00142854"/>
    <w:rsid w:val="00142EAB"/>
    <w:rsid w:val="00143D07"/>
    <w:rsid w:val="00143E89"/>
    <w:rsid w:val="00143F42"/>
    <w:rsid w:val="0014442A"/>
    <w:rsid w:val="0014580C"/>
    <w:rsid w:val="0014583B"/>
    <w:rsid w:val="0014669E"/>
    <w:rsid w:val="00146754"/>
    <w:rsid w:val="00146789"/>
    <w:rsid w:val="00147B02"/>
    <w:rsid w:val="00150293"/>
    <w:rsid w:val="00150AF2"/>
    <w:rsid w:val="00150CFE"/>
    <w:rsid w:val="00151425"/>
    <w:rsid w:val="0015201A"/>
    <w:rsid w:val="00152C55"/>
    <w:rsid w:val="00153984"/>
    <w:rsid w:val="001543D1"/>
    <w:rsid w:val="001543D3"/>
    <w:rsid w:val="001543D5"/>
    <w:rsid w:val="00154FEE"/>
    <w:rsid w:val="00155068"/>
    <w:rsid w:val="00155BBE"/>
    <w:rsid w:val="00155C9E"/>
    <w:rsid w:val="00155FA1"/>
    <w:rsid w:val="001565A8"/>
    <w:rsid w:val="00156B50"/>
    <w:rsid w:val="00157B2B"/>
    <w:rsid w:val="00157CA0"/>
    <w:rsid w:val="00157EFB"/>
    <w:rsid w:val="001603F6"/>
    <w:rsid w:val="0016055F"/>
    <w:rsid w:val="00160D84"/>
    <w:rsid w:val="00161DAF"/>
    <w:rsid w:val="00162D5D"/>
    <w:rsid w:val="00162E14"/>
    <w:rsid w:val="0016319A"/>
    <w:rsid w:val="00163547"/>
    <w:rsid w:val="001638B3"/>
    <w:rsid w:val="0016434E"/>
    <w:rsid w:val="00164443"/>
    <w:rsid w:val="001652F0"/>
    <w:rsid w:val="00165E31"/>
    <w:rsid w:val="00165EF8"/>
    <w:rsid w:val="0016614B"/>
    <w:rsid w:val="00166F88"/>
    <w:rsid w:val="00167108"/>
    <w:rsid w:val="001675BD"/>
    <w:rsid w:val="00167DD3"/>
    <w:rsid w:val="001702D5"/>
    <w:rsid w:val="00170832"/>
    <w:rsid w:val="001708F1"/>
    <w:rsid w:val="00170905"/>
    <w:rsid w:val="00170A7D"/>
    <w:rsid w:val="001713DA"/>
    <w:rsid w:val="001716FC"/>
    <w:rsid w:val="001726C3"/>
    <w:rsid w:val="00172FB8"/>
    <w:rsid w:val="001736E6"/>
    <w:rsid w:val="00173E6C"/>
    <w:rsid w:val="00175D0D"/>
    <w:rsid w:val="00175D86"/>
    <w:rsid w:val="0017602E"/>
    <w:rsid w:val="001765EE"/>
    <w:rsid w:val="001771DE"/>
    <w:rsid w:val="00177264"/>
    <w:rsid w:val="001773BF"/>
    <w:rsid w:val="00177A19"/>
    <w:rsid w:val="00177B10"/>
    <w:rsid w:val="0018124F"/>
    <w:rsid w:val="00181F7E"/>
    <w:rsid w:val="00182AA1"/>
    <w:rsid w:val="0018343E"/>
    <w:rsid w:val="0018348F"/>
    <w:rsid w:val="00184366"/>
    <w:rsid w:val="0018451F"/>
    <w:rsid w:val="001846E2"/>
    <w:rsid w:val="001851F3"/>
    <w:rsid w:val="0018570C"/>
    <w:rsid w:val="00185B75"/>
    <w:rsid w:val="00185B92"/>
    <w:rsid w:val="00186914"/>
    <w:rsid w:val="00187228"/>
    <w:rsid w:val="00187E79"/>
    <w:rsid w:val="001900CE"/>
    <w:rsid w:val="0019177C"/>
    <w:rsid w:val="00191807"/>
    <w:rsid w:val="00192A8D"/>
    <w:rsid w:val="00192B26"/>
    <w:rsid w:val="00194405"/>
    <w:rsid w:val="0019470C"/>
    <w:rsid w:val="0019493C"/>
    <w:rsid w:val="00194F34"/>
    <w:rsid w:val="001954C0"/>
    <w:rsid w:val="00195AA8"/>
    <w:rsid w:val="00195AB1"/>
    <w:rsid w:val="0019659E"/>
    <w:rsid w:val="00196CC1"/>
    <w:rsid w:val="00197CCA"/>
    <w:rsid w:val="00197DE4"/>
    <w:rsid w:val="001A04D0"/>
    <w:rsid w:val="001A0707"/>
    <w:rsid w:val="001A0A83"/>
    <w:rsid w:val="001A0AF8"/>
    <w:rsid w:val="001A11CB"/>
    <w:rsid w:val="001A17C3"/>
    <w:rsid w:val="001A1917"/>
    <w:rsid w:val="001A1DEC"/>
    <w:rsid w:val="001A20D2"/>
    <w:rsid w:val="001A306C"/>
    <w:rsid w:val="001A3194"/>
    <w:rsid w:val="001A3B54"/>
    <w:rsid w:val="001A43C6"/>
    <w:rsid w:val="001A4782"/>
    <w:rsid w:val="001A5461"/>
    <w:rsid w:val="001A5BB8"/>
    <w:rsid w:val="001A5D25"/>
    <w:rsid w:val="001A6C8E"/>
    <w:rsid w:val="001B1986"/>
    <w:rsid w:val="001B201E"/>
    <w:rsid w:val="001B2311"/>
    <w:rsid w:val="001B24FE"/>
    <w:rsid w:val="001B2873"/>
    <w:rsid w:val="001B2BD5"/>
    <w:rsid w:val="001B38AA"/>
    <w:rsid w:val="001B3F8D"/>
    <w:rsid w:val="001B52BF"/>
    <w:rsid w:val="001B5590"/>
    <w:rsid w:val="001B63E3"/>
    <w:rsid w:val="001B68E1"/>
    <w:rsid w:val="001B6BCC"/>
    <w:rsid w:val="001B6E7A"/>
    <w:rsid w:val="001B7637"/>
    <w:rsid w:val="001B781B"/>
    <w:rsid w:val="001C003E"/>
    <w:rsid w:val="001C051E"/>
    <w:rsid w:val="001C1C6E"/>
    <w:rsid w:val="001C24CE"/>
    <w:rsid w:val="001C2F1C"/>
    <w:rsid w:val="001C2F7F"/>
    <w:rsid w:val="001C347A"/>
    <w:rsid w:val="001C43F8"/>
    <w:rsid w:val="001C45E8"/>
    <w:rsid w:val="001C4A6F"/>
    <w:rsid w:val="001C5A3F"/>
    <w:rsid w:val="001C5DBE"/>
    <w:rsid w:val="001C61E2"/>
    <w:rsid w:val="001C6268"/>
    <w:rsid w:val="001C7704"/>
    <w:rsid w:val="001D0173"/>
    <w:rsid w:val="001D156B"/>
    <w:rsid w:val="001D1578"/>
    <w:rsid w:val="001D16EE"/>
    <w:rsid w:val="001D17F9"/>
    <w:rsid w:val="001D2056"/>
    <w:rsid w:val="001D2089"/>
    <w:rsid w:val="001D2094"/>
    <w:rsid w:val="001D2EA2"/>
    <w:rsid w:val="001D3332"/>
    <w:rsid w:val="001D33A2"/>
    <w:rsid w:val="001D3F64"/>
    <w:rsid w:val="001D3FE0"/>
    <w:rsid w:val="001D437F"/>
    <w:rsid w:val="001D5BA4"/>
    <w:rsid w:val="001D5FA3"/>
    <w:rsid w:val="001D6158"/>
    <w:rsid w:val="001D77D9"/>
    <w:rsid w:val="001D7E31"/>
    <w:rsid w:val="001E04D7"/>
    <w:rsid w:val="001E0DBC"/>
    <w:rsid w:val="001E245C"/>
    <w:rsid w:val="001E3259"/>
    <w:rsid w:val="001E36B0"/>
    <w:rsid w:val="001E3C4C"/>
    <w:rsid w:val="001E4A0C"/>
    <w:rsid w:val="001E4D74"/>
    <w:rsid w:val="001E5A7B"/>
    <w:rsid w:val="001E5F83"/>
    <w:rsid w:val="001E68CE"/>
    <w:rsid w:val="001E68D9"/>
    <w:rsid w:val="001E740B"/>
    <w:rsid w:val="001E75FB"/>
    <w:rsid w:val="001E790E"/>
    <w:rsid w:val="001E7FCB"/>
    <w:rsid w:val="001F02F8"/>
    <w:rsid w:val="001F086D"/>
    <w:rsid w:val="001F0D48"/>
    <w:rsid w:val="001F0D5E"/>
    <w:rsid w:val="001F0FB8"/>
    <w:rsid w:val="001F1162"/>
    <w:rsid w:val="001F1347"/>
    <w:rsid w:val="001F19F6"/>
    <w:rsid w:val="001F1C22"/>
    <w:rsid w:val="001F2C65"/>
    <w:rsid w:val="001F2D18"/>
    <w:rsid w:val="001F2F27"/>
    <w:rsid w:val="001F3315"/>
    <w:rsid w:val="001F4767"/>
    <w:rsid w:val="001F5915"/>
    <w:rsid w:val="001F59BB"/>
    <w:rsid w:val="001F59F1"/>
    <w:rsid w:val="001F5B95"/>
    <w:rsid w:val="001F5F2F"/>
    <w:rsid w:val="001F60BA"/>
    <w:rsid w:val="001F6150"/>
    <w:rsid w:val="001F641F"/>
    <w:rsid w:val="001F722F"/>
    <w:rsid w:val="001F73F2"/>
    <w:rsid w:val="0020147E"/>
    <w:rsid w:val="00203354"/>
    <w:rsid w:val="00203C4C"/>
    <w:rsid w:val="00204DFA"/>
    <w:rsid w:val="00206953"/>
    <w:rsid w:val="00206BE9"/>
    <w:rsid w:val="002077F4"/>
    <w:rsid w:val="00210512"/>
    <w:rsid w:val="00211B48"/>
    <w:rsid w:val="00212673"/>
    <w:rsid w:val="002127F7"/>
    <w:rsid w:val="0021288D"/>
    <w:rsid w:val="0021302B"/>
    <w:rsid w:val="0021322B"/>
    <w:rsid w:val="00213CD9"/>
    <w:rsid w:val="00213DB7"/>
    <w:rsid w:val="0021418F"/>
    <w:rsid w:val="00215AAF"/>
    <w:rsid w:val="00215D63"/>
    <w:rsid w:val="00215DB9"/>
    <w:rsid w:val="00215F24"/>
    <w:rsid w:val="00215F45"/>
    <w:rsid w:val="00216DBE"/>
    <w:rsid w:val="0021729C"/>
    <w:rsid w:val="002177E2"/>
    <w:rsid w:val="00217E2F"/>
    <w:rsid w:val="00220DF2"/>
    <w:rsid w:val="002212E5"/>
    <w:rsid w:val="0022162E"/>
    <w:rsid w:val="00221E9B"/>
    <w:rsid w:val="00223229"/>
    <w:rsid w:val="00223866"/>
    <w:rsid w:val="00225034"/>
    <w:rsid w:val="00225F73"/>
    <w:rsid w:val="002264D5"/>
    <w:rsid w:val="0022731C"/>
    <w:rsid w:val="002275EF"/>
    <w:rsid w:val="002307B7"/>
    <w:rsid w:val="002310FE"/>
    <w:rsid w:val="00231157"/>
    <w:rsid w:val="00231672"/>
    <w:rsid w:val="00232875"/>
    <w:rsid w:val="002332D4"/>
    <w:rsid w:val="00233413"/>
    <w:rsid w:val="00233C02"/>
    <w:rsid w:val="00233EE8"/>
    <w:rsid w:val="00235602"/>
    <w:rsid w:val="002356D6"/>
    <w:rsid w:val="00235FCA"/>
    <w:rsid w:val="002367AD"/>
    <w:rsid w:val="002372D0"/>
    <w:rsid w:val="002418F1"/>
    <w:rsid w:val="002421E6"/>
    <w:rsid w:val="002427E6"/>
    <w:rsid w:val="00242963"/>
    <w:rsid w:val="0024416C"/>
    <w:rsid w:val="002455B7"/>
    <w:rsid w:val="00245CDA"/>
    <w:rsid w:val="00247599"/>
    <w:rsid w:val="002476C7"/>
    <w:rsid w:val="00247717"/>
    <w:rsid w:val="00247CB3"/>
    <w:rsid w:val="002502CE"/>
    <w:rsid w:val="0025087A"/>
    <w:rsid w:val="002516C1"/>
    <w:rsid w:val="00251A93"/>
    <w:rsid w:val="00252478"/>
    <w:rsid w:val="00253D0F"/>
    <w:rsid w:val="00253F67"/>
    <w:rsid w:val="00254455"/>
    <w:rsid w:val="00254759"/>
    <w:rsid w:val="002547E2"/>
    <w:rsid w:val="00255CC2"/>
    <w:rsid w:val="00256152"/>
    <w:rsid w:val="00256E00"/>
    <w:rsid w:val="00257048"/>
    <w:rsid w:val="00257A06"/>
    <w:rsid w:val="00257D4D"/>
    <w:rsid w:val="00257FB0"/>
    <w:rsid w:val="002610BB"/>
    <w:rsid w:val="00261122"/>
    <w:rsid w:val="00261273"/>
    <w:rsid w:val="002619BF"/>
    <w:rsid w:val="0026220D"/>
    <w:rsid w:val="00263608"/>
    <w:rsid w:val="00263896"/>
    <w:rsid w:val="00263CA0"/>
    <w:rsid w:val="00263CD9"/>
    <w:rsid w:val="00264B04"/>
    <w:rsid w:val="002652FE"/>
    <w:rsid w:val="00265CD7"/>
    <w:rsid w:val="00265F0F"/>
    <w:rsid w:val="00265FB2"/>
    <w:rsid w:val="00266163"/>
    <w:rsid w:val="002673B6"/>
    <w:rsid w:val="0026782A"/>
    <w:rsid w:val="002678FE"/>
    <w:rsid w:val="002707E1"/>
    <w:rsid w:val="00270C60"/>
    <w:rsid w:val="002716DA"/>
    <w:rsid w:val="002718E4"/>
    <w:rsid w:val="00271CB1"/>
    <w:rsid w:val="00272191"/>
    <w:rsid w:val="00272542"/>
    <w:rsid w:val="002726F0"/>
    <w:rsid w:val="002729EB"/>
    <w:rsid w:val="002737CA"/>
    <w:rsid w:val="00275396"/>
    <w:rsid w:val="002759B9"/>
    <w:rsid w:val="002759E2"/>
    <w:rsid w:val="002767D8"/>
    <w:rsid w:val="00276BB0"/>
    <w:rsid w:val="00276CB0"/>
    <w:rsid w:val="00277370"/>
    <w:rsid w:val="00277411"/>
    <w:rsid w:val="0027752A"/>
    <w:rsid w:val="0027752C"/>
    <w:rsid w:val="0027753F"/>
    <w:rsid w:val="002777D3"/>
    <w:rsid w:val="00277B00"/>
    <w:rsid w:val="002808D5"/>
    <w:rsid w:val="00280CF2"/>
    <w:rsid w:val="00280F17"/>
    <w:rsid w:val="00282377"/>
    <w:rsid w:val="002829A6"/>
    <w:rsid w:val="00282B40"/>
    <w:rsid w:val="00282EA9"/>
    <w:rsid w:val="00283C0F"/>
    <w:rsid w:val="00284153"/>
    <w:rsid w:val="002846D1"/>
    <w:rsid w:val="00284BDC"/>
    <w:rsid w:val="00284CC0"/>
    <w:rsid w:val="002851D4"/>
    <w:rsid w:val="00286459"/>
    <w:rsid w:val="002868C1"/>
    <w:rsid w:val="00286AF2"/>
    <w:rsid w:val="002874F6"/>
    <w:rsid w:val="00287FDB"/>
    <w:rsid w:val="00290334"/>
    <w:rsid w:val="002907A2"/>
    <w:rsid w:val="00290D09"/>
    <w:rsid w:val="00291840"/>
    <w:rsid w:val="00291B4A"/>
    <w:rsid w:val="00292336"/>
    <w:rsid w:val="0029262F"/>
    <w:rsid w:val="00294281"/>
    <w:rsid w:val="002943BB"/>
    <w:rsid w:val="002946FD"/>
    <w:rsid w:val="00295342"/>
    <w:rsid w:val="00295614"/>
    <w:rsid w:val="002970B4"/>
    <w:rsid w:val="00297BE8"/>
    <w:rsid w:val="00297C8D"/>
    <w:rsid w:val="00297EB4"/>
    <w:rsid w:val="002A1B0B"/>
    <w:rsid w:val="002A2932"/>
    <w:rsid w:val="002A4408"/>
    <w:rsid w:val="002A46FA"/>
    <w:rsid w:val="002A4817"/>
    <w:rsid w:val="002A48E8"/>
    <w:rsid w:val="002A5B2A"/>
    <w:rsid w:val="002A5E85"/>
    <w:rsid w:val="002A6DEB"/>
    <w:rsid w:val="002A717D"/>
    <w:rsid w:val="002A7527"/>
    <w:rsid w:val="002A752D"/>
    <w:rsid w:val="002A7754"/>
    <w:rsid w:val="002A7F62"/>
    <w:rsid w:val="002B0F33"/>
    <w:rsid w:val="002B0F8F"/>
    <w:rsid w:val="002B15CB"/>
    <w:rsid w:val="002B190F"/>
    <w:rsid w:val="002B1B84"/>
    <w:rsid w:val="002B2368"/>
    <w:rsid w:val="002B2503"/>
    <w:rsid w:val="002B2DB2"/>
    <w:rsid w:val="002B3F8A"/>
    <w:rsid w:val="002B4EA3"/>
    <w:rsid w:val="002B54D8"/>
    <w:rsid w:val="002B5788"/>
    <w:rsid w:val="002B6741"/>
    <w:rsid w:val="002B69BC"/>
    <w:rsid w:val="002B6ADC"/>
    <w:rsid w:val="002B729B"/>
    <w:rsid w:val="002B7469"/>
    <w:rsid w:val="002B7CB6"/>
    <w:rsid w:val="002B7F25"/>
    <w:rsid w:val="002C090B"/>
    <w:rsid w:val="002C0A01"/>
    <w:rsid w:val="002C181E"/>
    <w:rsid w:val="002C19B9"/>
    <w:rsid w:val="002C1AC8"/>
    <w:rsid w:val="002C3233"/>
    <w:rsid w:val="002C37E8"/>
    <w:rsid w:val="002C48E0"/>
    <w:rsid w:val="002C4AAA"/>
    <w:rsid w:val="002C4CDC"/>
    <w:rsid w:val="002C505B"/>
    <w:rsid w:val="002C584E"/>
    <w:rsid w:val="002C73EA"/>
    <w:rsid w:val="002C78BE"/>
    <w:rsid w:val="002C7A66"/>
    <w:rsid w:val="002D02CA"/>
    <w:rsid w:val="002D0391"/>
    <w:rsid w:val="002D047A"/>
    <w:rsid w:val="002D0B21"/>
    <w:rsid w:val="002D0B2E"/>
    <w:rsid w:val="002D2AD0"/>
    <w:rsid w:val="002D30B4"/>
    <w:rsid w:val="002D36A9"/>
    <w:rsid w:val="002D44DF"/>
    <w:rsid w:val="002D4B91"/>
    <w:rsid w:val="002D4F62"/>
    <w:rsid w:val="002D4FA2"/>
    <w:rsid w:val="002D51F4"/>
    <w:rsid w:val="002D52E6"/>
    <w:rsid w:val="002D5A8E"/>
    <w:rsid w:val="002D6128"/>
    <w:rsid w:val="002D6F2D"/>
    <w:rsid w:val="002E0A10"/>
    <w:rsid w:val="002E0DA5"/>
    <w:rsid w:val="002E18E4"/>
    <w:rsid w:val="002E2D90"/>
    <w:rsid w:val="002E4253"/>
    <w:rsid w:val="002E486D"/>
    <w:rsid w:val="002E52FD"/>
    <w:rsid w:val="002E599E"/>
    <w:rsid w:val="002E59C4"/>
    <w:rsid w:val="002E6225"/>
    <w:rsid w:val="002F092D"/>
    <w:rsid w:val="002F0C70"/>
    <w:rsid w:val="002F10EE"/>
    <w:rsid w:val="002F1942"/>
    <w:rsid w:val="002F23CB"/>
    <w:rsid w:val="002F28DB"/>
    <w:rsid w:val="002F34CF"/>
    <w:rsid w:val="002F3A31"/>
    <w:rsid w:val="002F44CE"/>
    <w:rsid w:val="002F4823"/>
    <w:rsid w:val="002F4D0D"/>
    <w:rsid w:val="002F56C8"/>
    <w:rsid w:val="002F61F2"/>
    <w:rsid w:val="002F6728"/>
    <w:rsid w:val="002F6CC1"/>
    <w:rsid w:val="002F6F6F"/>
    <w:rsid w:val="002F7402"/>
    <w:rsid w:val="002F7C99"/>
    <w:rsid w:val="002F7CA2"/>
    <w:rsid w:val="002F7FFE"/>
    <w:rsid w:val="00300C7D"/>
    <w:rsid w:val="003014B1"/>
    <w:rsid w:val="003014F6"/>
    <w:rsid w:val="00301C0B"/>
    <w:rsid w:val="00301F31"/>
    <w:rsid w:val="00302817"/>
    <w:rsid w:val="00302E2F"/>
    <w:rsid w:val="00302E51"/>
    <w:rsid w:val="003032F4"/>
    <w:rsid w:val="0030385D"/>
    <w:rsid w:val="00303A1B"/>
    <w:rsid w:val="00304047"/>
    <w:rsid w:val="00304326"/>
    <w:rsid w:val="00304E83"/>
    <w:rsid w:val="00305457"/>
    <w:rsid w:val="003057F4"/>
    <w:rsid w:val="00306B7A"/>
    <w:rsid w:val="00311BAB"/>
    <w:rsid w:val="00314497"/>
    <w:rsid w:val="00316986"/>
    <w:rsid w:val="00317658"/>
    <w:rsid w:val="00317A9F"/>
    <w:rsid w:val="00317ADD"/>
    <w:rsid w:val="00317B62"/>
    <w:rsid w:val="00317D44"/>
    <w:rsid w:val="00317F47"/>
    <w:rsid w:val="00320063"/>
    <w:rsid w:val="003201B5"/>
    <w:rsid w:val="00320FC7"/>
    <w:rsid w:val="0032111F"/>
    <w:rsid w:val="003214DE"/>
    <w:rsid w:val="003219C5"/>
    <w:rsid w:val="00321B68"/>
    <w:rsid w:val="00322377"/>
    <w:rsid w:val="003224B1"/>
    <w:rsid w:val="003225F0"/>
    <w:rsid w:val="003228F5"/>
    <w:rsid w:val="00323C69"/>
    <w:rsid w:val="00323EAA"/>
    <w:rsid w:val="00324B6D"/>
    <w:rsid w:val="0032545C"/>
    <w:rsid w:val="0032649F"/>
    <w:rsid w:val="003266D3"/>
    <w:rsid w:val="00326746"/>
    <w:rsid w:val="00326824"/>
    <w:rsid w:val="00326A9A"/>
    <w:rsid w:val="00327077"/>
    <w:rsid w:val="003274C0"/>
    <w:rsid w:val="003274DF"/>
    <w:rsid w:val="0032755D"/>
    <w:rsid w:val="00330925"/>
    <w:rsid w:val="00330DF4"/>
    <w:rsid w:val="00331638"/>
    <w:rsid w:val="00331F1E"/>
    <w:rsid w:val="00331FF5"/>
    <w:rsid w:val="00332DD3"/>
    <w:rsid w:val="0033478E"/>
    <w:rsid w:val="00334EA0"/>
    <w:rsid w:val="003356DD"/>
    <w:rsid w:val="0033576B"/>
    <w:rsid w:val="00335C48"/>
    <w:rsid w:val="003367ED"/>
    <w:rsid w:val="00336D4A"/>
    <w:rsid w:val="003370B4"/>
    <w:rsid w:val="0033746B"/>
    <w:rsid w:val="00337A79"/>
    <w:rsid w:val="00337ECE"/>
    <w:rsid w:val="0034038F"/>
    <w:rsid w:val="0034064F"/>
    <w:rsid w:val="00341513"/>
    <w:rsid w:val="00342213"/>
    <w:rsid w:val="00342352"/>
    <w:rsid w:val="00342386"/>
    <w:rsid w:val="0034338B"/>
    <w:rsid w:val="00343BBD"/>
    <w:rsid w:val="00343C6E"/>
    <w:rsid w:val="003441DF"/>
    <w:rsid w:val="00346E60"/>
    <w:rsid w:val="0034746B"/>
    <w:rsid w:val="00350CEA"/>
    <w:rsid w:val="00351BDA"/>
    <w:rsid w:val="0035212C"/>
    <w:rsid w:val="00352893"/>
    <w:rsid w:val="00352B26"/>
    <w:rsid w:val="003532E9"/>
    <w:rsid w:val="00353877"/>
    <w:rsid w:val="003543F1"/>
    <w:rsid w:val="00354530"/>
    <w:rsid w:val="00354D3D"/>
    <w:rsid w:val="00354EE8"/>
    <w:rsid w:val="00355FAE"/>
    <w:rsid w:val="00357650"/>
    <w:rsid w:val="003602E3"/>
    <w:rsid w:val="00361350"/>
    <w:rsid w:val="00361850"/>
    <w:rsid w:val="00361A92"/>
    <w:rsid w:val="003636A5"/>
    <w:rsid w:val="00363BC6"/>
    <w:rsid w:val="00363FE0"/>
    <w:rsid w:val="00364CEB"/>
    <w:rsid w:val="00365694"/>
    <w:rsid w:val="00365C64"/>
    <w:rsid w:val="00365D04"/>
    <w:rsid w:val="00365ECC"/>
    <w:rsid w:val="0036696D"/>
    <w:rsid w:val="00366BAB"/>
    <w:rsid w:val="003673A4"/>
    <w:rsid w:val="00367814"/>
    <w:rsid w:val="00370113"/>
    <w:rsid w:val="00370656"/>
    <w:rsid w:val="0037120B"/>
    <w:rsid w:val="00371B0A"/>
    <w:rsid w:val="00371B1C"/>
    <w:rsid w:val="00371C55"/>
    <w:rsid w:val="00371DDF"/>
    <w:rsid w:val="00371E83"/>
    <w:rsid w:val="00371F6E"/>
    <w:rsid w:val="00372901"/>
    <w:rsid w:val="0037307B"/>
    <w:rsid w:val="0037325D"/>
    <w:rsid w:val="00373361"/>
    <w:rsid w:val="00373495"/>
    <w:rsid w:val="00373FAF"/>
    <w:rsid w:val="003741D3"/>
    <w:rsid w:val="003747DB"/>
    <w:rsid w:val="00375576"/>
    <w:rsid w:val="00376155"/>
    <w:rsid w:val="00380912"/>
    <w:rsid w:val="003809C4"/>
    <w:rsid w:val="00382611"/>
    <w:rsid w:val="003839F3"/>
    <w:rsid w:val="00383B6D"/>
    <w:rsid w:val="00384868"/>
    <w:rsid w:val="00384DD8"/>
    <w:rsid w:val="00385167"/>
    <w:rsid w:val="00385419"/>
    <w:rsid w:val="00385D11"/>
    <w:rsid w:val="003865B6"/>
    <w:rsid w:val="00386D7F"/>
    <w:rsid w:val="00386FA0"/>
    <w:rsid w:val="00390D6C"/>
    <w:rsid w:val="00392144"/>
    <w:rsid w:val="0039243E"/>
    <w:rsid w:val="0039320D"/>
    <w:rsid w:val="003939E0"/>
    <w:rsid w:val="003940DD"/>
    <w:rsid w:val="00395413"/>
    <w:rsid w:val="00395D22"/>
    <w:rsid w:val="003960D8"/>
    <w:rsid w:val="003968FC"/>
    <w:rsid w:val="003974F7"/>
    <w:rsid w:val="00397A59"/>
    <w:rsid w:val="003A0AE2"/>
    <w:rsid w:val="003A12D7"/>
    <w:rsid w:val="003A1C76"/>
    <w:rsid w:val="003A20B8"/>
    <w:rsid w:val="003A2C59"/>
    <w:rsid w:val="003A39FC"/>
    <w:rsid w:val="003A3A11"/>
    <w:rsid w:val="003A5469"/>
    <w:rsid w:val="003A668C"/>
    <w:rsid w:val="003A6D3A"/>
    <w:rsid w:val="003A7755"/>
    <w:rsid w:val="003B0414"/>
    <w:rsid w:val="003B0623"/>
    <w:rsid w:val="003B261C"/>
    <w:rsid w:val="003B2DE3"/>
    <w:rsid w:val="003B32B2"/>
    <w:rsid w:val="003B332E"/>
    <w:rsid w:val="003B3A2C"/>
    <w:rsid w:val="003B3A99"/>
    <w:rsid w:val="003B3B1C"/>
    <w:rsid w:val="003B4141"/>
    <w:rsid w:val="003B500E"/>
    <w:rsid w:val="003B578E"/>
    <w:rsid w:val="003B679E"/>
    <w:rsid w:val="003B688B"/>
    <w:rsid w:val="003B6D27"/>
    <w:rsid w:val="003C087F"/>
    <w:rsid w:val="003C156A"/>
    <w:rsid w:val="003C2AEF"/>
    <w:rsid w:val="003C2BF0"/>
    <w:rsid w:val="003C2E44"/>
    <w:rsid w:val="003C334E"/>
    <w:rsid w:val="003C34CD"/>
    <w:rsid w:val="003C3AD9"/>
    <w:rsid w:val="003C4427"/>
    <w:rsid w:val="003C53C2"/>
    <w:rsid w:val="003C55D7"/>
    <w:rsid w:val="003C5B03"/>
    <w:rsid w:val="003C608E"/>
    <w:rsid w:val="003C6FA1"/>
    <w:rsid w:val="003C7005"/>
    <w:rsid w:val="003C7C19"/>
    <w:rsid w:val="003D2486"/>
    <w:rsid w:val="003D2646"/>
    <w:rsid w:val="003D265D"/>
    <w:rsid w:val="003D2E8B"/>
    <w:rsid w:val="003D3137"/>
    <w:rsid w:val="003D31E0"/>
    <w:rsid w:val="003D43F4"/>
    <w:rsid w:val="003D49D3"/>
    <w:rsid w:val="003D4C65"/>
    <w:rsid w:val="003D50C7"/>
    <w:rsid w:val="003D65DE"/>
    <w:rsid w:val="003D6991"/>
    <w:rsid w:val="003D6B03"/>
    <w:rsid w:val="003E243F"/>
    <w:rsid w:val="003E322D"/>
    <w:rsid w:val="003E3777"/>
    <w:rsid w:val="003E3EB2"/>
    <w:rsid w:val="003E436B"/>
    <w:rsid w:val="003E48CD"/>
    <w:rsid w:val="003E58EA"/>
    <w:rsid w:val="003E6857"/>
    <w:rsid w:val="003E6982"/>
    <w:rsid w:val="003E7909"/>
    <w:rsid w:val="003E7A87"/>
    <w:rsid w:val="003E7E52"/>
    <w:rsid w:val="003F0A2B"/>
    <w:rsid w:val="003F0CDC"/>
    <w:rsid w:val="003F2B41"/>
    <w:rsid w:val="003F2CD7"/>
    <w:rsid w:val="003F3056"/>
    <w:rsid w:val="003F3179"/>
    <w:rsid w:val="003F3B5C"/>
    <w:rsid w:val="003F4C82"/>
    <w:rsid w:val="003F5190"/>
    <w:rsid w:val="003F56AD"/>
    <w:rsid w:val="003F6B3B"/>
    <w:rsid w:val="003F6E0A"/>
    <w:rsid w:val="003F7897"/>
    <w:rsid w:val="0040072B"/>
    <w:rsid w:val="00400769"/>
    <w:rsid w:val="00400B3C"/>
    <w:rsid w:val="00401B4C"/>
    <w:rsid w:val="0040398D"/>
    <w:rsid w:val="00404172"/>
    <w:rsid w:val="00404EC0"/>
    <w:rsid w:val="00405260"/>
    <w:rsid w:val="00406330"/>
    <w:rsid w:val="0040716D"/>
    <w:rsid w:val="00407E44"/>
    <w:rsid w:val="00410317"/>
    <w:rsid w:val="0041046F"/>
    <w:rsid w:val="0041074E"/>
    <w:rsid w:val="00410FF5"/>
    <w:rsid w:val="004110BD"/>
    <w:rsid w:val="00411486"/>
    <w:rsid w:val="004119F6"/>
    <w:rsid w:val="00412766"/>
    <w:rsid w:val="00412CF8"/>
    <w:rsid w:val="0041335D"/>
    <w:rsid w:val="00413C0E"/>
    <w:rsid w:val="0041449D"/>
    <w:rsid w:val="004146BB"/>
    <w:rsid w:val="004149D9"/>
    <w:rsid w:val="00414C2A"/>
    <w:rsid w:val="00415125"/>
    <w:rsid w:val="00415A89"/>
    <w:rsid w:val="004161C1"/>
    <w:rsid w:val="004161E6"/>
    <w:rsid w:val="00416FCB"/>
    <w:rsid w:val="00417852"/>
    <w:rsid w:val="00417A68"/>
    <w:rsid w:val="004201C9"/>
    <w:rsid w:val="004205AC"/>
    <w:rsid w:val="004207FE"/>
    <w:rsid w:val="00420DA0"/>
    <w:rsid w:val="00421061"/>
    <w:rsid w:val="0042320D"/>
    <w:rsid w:val="0042346B"/>
    <w:rsid w:val="004236AC"/>
    <w:rsid w:val="00423B73"/>
    <w:rsid w:val="00423C71"/>
    <w:rsid w:val="00423F57"/>
    <w:rsid w:val="00425178"/>
    <w:rsid w:val="00426703"/>
    <w:rsid w:val="0042687F"/>
    <w:rsid w:val="00426EB0"/>
    <w:rsid w:val="00427C19"/>
    <w:rsid w:val="00427D7B"/>
    <w:rsid w:val="0043022F"/>
    <w:rsid w:val="00430B84"/>
    <w:rsid w:val="00430CE2"/>
    <w:rsid w:val="00430E4F"/>
    <w:rsid w:val="004312CA"/>
    <w:rsid w:val="00431ADC"/>
    <w:rsid w:val="00431AE5"/>
    <w:rsid w:val="00433FDC"/>
    <w:rsid w:val="00434381"/>
    <w:rsid w:val="00434832"/>
    <w:rsid w:val="00434955"/>
    <w:rsid w:val="00434A33"/>
    <w:rsid w:val="00436560"/>
    <w:rsid w:val="00436CAF"/>
    <w:rsid w:val="00436E40"/>
    <w:rsid w:val="00437A5A"/>
    <w:rsid w:val="00437C6C"/>
    <w:rsid w:val="00437E7A"/>
    <w:rsid w:val="004408F7"/>
    <w:rsid w:val="00441295"/>
    <w:rsid w:val="00441B77"/>
    <w:rsid w:val="00441C73"/>
    <w:rsid w:val="00443AAA"/>
    <w:rsid w:val="00444EC3"/>
    <w:rsid w:val="00445292"/>
    <w:rsid w:val="00445E8C"/>
    <w:rsid w:val="00447614"/>
    <w:rsid w:val="004478C6"/>
    <w:rsid w:val="0045012B"/>
    <w:rsid w:val="004525B6"/>
    <w:rsid w:val="00452BD2"/>
    <w:rsid w:val="00453833"/>
    <w:rsid w:val="00453B6C"/>
    <w:rsid w:val="00453FF7"/>
    <w:rsid w:val="00454264"/>
    <w:rsid w:val="0045438B"/>
    <w:rsid w:val="004571E9"/>
    <w:rsid w:val="00457376"/>
    <w:rsid w:val="0045767D"/>
    <w:rsid w:val="004577AE"/>
    <w:rsid w:val="0046109C"/>
    <w:rsid w:val="00461DE4"/>
    <w:rsid w:val="00463A8F"/>
    <w:rsid w:val="0046412A"/>
    <w:rsid w:val="00464334"/>
    <w:rsid w:val="00464599"/>
    <w:rsid w:val="00464791"/>
    <w:rsid w:val="004649A8"/>
    <w:rsid w:val="0046564E"/>
    <w:rsid w:val="004656CF"/>
    <w:rsid w:val="00465B92"/>
    <w:rsid w:val="00467210"/>
    <w:rsid w:val="0046763A"/>
    <w:rsid w:val="00467CC9"/>
    <w:rsid w:val="00467F59"/>
    <w:rsid w:val="004707DA"/>
    <w:rsid w:val="004710A1"/>
    <w:rsid w:val="00471B6E"/>
    <w:rsid w:val="00471CD2"/>
    <w:rsid w:val="0047213D"/>
    <w:rsid w:val="00472791"/>
    <w:rsid w:val="00472E35"/>
    <w:rsid w:val="00473140"/>
    <w:rsid w:val="004738CE"/>
    <w:rsid w:val="00473AD0"/>
    <w:rsid w:val="00474FB3"/>
    <w:rsid w:val="00474FE7"/>
    <w:rsid w:val="00475049"/>
    <w:rsid w:val="00476B4B"/>
    <w:rsid w:val="004775A5"/>
    <w:rsid w:val="00477CA4"/>
    <w:rsid w:val="004810F0"/>
    <w:rsid w:val="0048184C"/>
    <w:rsid w:val="00482B1D"/>
    <w:rsid w:val="00482D3E"/>
    <w:rsid w:val="00483347"/>
    <w:rsid w:val="00483B0A"/>
    <w:rsid w:val="00483D45"/>
    <w:rsid w:val="004840BC"/>
    <w:rsid w:val="0048582A"/>
    <w:rsid w:val="00486142"/>
    <w:rsid w:val="00486F8A"/>
    <w:rsid w:val="00490510"/>
    <w:rsid w:val="0049092A"/>
    <w:rsid w:val="00490DF1"/>
    <w:rsid w:val="00490FE5"/>
    <w:rsid w:val="00491878"/>
    <w:rsid w:val="00491E8A"/>
    <w:rsid w:val="0049254B"/>
    <w:rsid w:val="00492E54"/>
    <w:rsid w:val="00494924"/>
    <w:rsid w:val="00495CE8"/>
    <w:rsid w:val="00495D2B"/>
    <w:rsid w:val="00497600"/>
    <w:rsid w:val="00497BCB"/>
    <w:rsid w:val="004A05CF"/>
    <w:rsid w:val="004A15E4"/>
    <w:rsid w:val="004A1953"/>
    <w:rsid w:val="004A26A7"/>
    <w:rsid w:val="004A3DF7"/>
    <w:rsid w:val="004A4482"/>
    <w:rsid w:val="004A4F04"/>
    <w:rsid w:val="004A51F4"/>
    <w:rsid w:val="004A649A"/>
    <w:rsid w:val="004A669D"/>
    <w:rsid w:val="004A6999"/>
    <w:rsid w:val="004A6AB2"/>
    <w:rsid w:val="004A7D6E"/>
    <w:rsid w:val="004B03B0"/>
    <w:rsid w:val="004B043B"/>
    <w:rsid w:val="004B058E"/>
    <w:rsid w:val="004B0898"/>
    <w:rsid w:val="004B0D14"/>
    <w:rsid w:val="004B0F85"/>
    <w:rsid w:val="004B11A2"/>
    <w:rsid w:val="004B17F2"/>
    <w:rsid w:val="004B19AD"/>
    <w:rsid w:val="004B279C"/>
    <w:rsid w:val="004B309B"/>
    <w:rsid w:val="004B3577"/>
    <w:rsid w:val="004B4013"/>
    <w:rsid w:val="004B4D76"/>
    <w:rsid w:val="004B558A"/>
    <w:rsid w:val="004B56D3"/>
    <w:rsid w:val="004B65E2"/>
    <w:rsid w:val="004B7191"/>
    <w:rsid w:val="004B77C1"/>
    <w:rsid w:val="004C179D"/>
    <w:rsid w:val="004C1CB9"/>
    <w:rsid w:val="004C1E48"/>
    <w:rsid w:val="004C2112"/>
    <w:rsid w:val="004C292B"/>
    <w:rsid w:val="004C4018"/>
    <w:rsid w:val="004C4306"/>
    <w:rsid w:val="004C47B7"/>
    <w:rsid w:val="004C4F39"/>
    <w:rsid w:val="004C5ED4"/>
    <w:rsid w:val="004C621C"/>
    <w:rsid w:val="004C67A4"/>
    <w:rsid w:val="004C6F63"/>
    <w:rsid w:val="004C7FFC"/>
    <w:rsid w:val="004D2725"/>
    <w:rsid w:val="004D273A"/>
    <w:rsid w:val="004D2953"/>
    <w:rsid w:val="004D2FA7"/>
    <w:rsid w:val="004D34AE"/>
    <w:rsid w:val="004D3815"/>
    <w:rsid w:val="004D4092"/>
    <w:rsid w:val="004D40BC"/>
    <w:rsid w:val="004D456C"/>
    <w:rsid w:val="004D48C9"/>
    <w:rsid w:val="004D4E37"/>
    <w:rsid w:val="004D5425"/>
    <w:rsid w:val="004D5D26"/>
    <w:rsid w:val="004D64D6"/>
    <w:rsid w:val="004D6890"/>
    <w:rsid w:val="004D7955"/>
    <w:rsid w:val="004E0D24"/>
    <w:rsid w:val="004E250C"/>
    <w:rsid w:val="004E3496"/>
    <w:rsid w:val="004E3AA0"/>
    <w:rsid w:val="004E4746"/>
    <w:rsid w:val="004E4D12"/>
    <w:rsid w:val="004E50F4"/>
    <w:rsid w:val="004E547E"/>
    <w:rsid w:val="004E55EA"/>
    <w:rsid w:val="004E63F3"/>
    <w:rsid w:val="004E6423"/>
    <w:rsid w:val="004E7963"/>
    <w:rsid w:val="004E7F12"/>
    <w:rsid w:val="004E7F88"/>
    <w:rsid w:val="004F0655"/>
    <w:rsid w:val="004F0F44"/>
    <w:rsid w:val="004F126B"/>
    <w:rsid w:val="004F13A6"/>
    <w:rsid w:val="004F15B4"/>
    <w:rsid w:val="004F1790"/>
    <w:rsid w:val="004F1E64"/>
    <w:rsid w:val="004F2C92"/>
    <w:rsid w:val="004F2EAE"/>
    <w:rsid w:val="004F328F"/>
    <w:rsid w:val="004F39E5"/>
    <w:rsid w:val="004F436B"/>
    <w:rsid w:val="004F44BC"/>
    <w:rsid w:val="004F4872"/>
    <w:rsid w:val="004F5036"/>
    <w:rsid w:val="004F572C"/>
    <w:rsid w:val="004F5B9C"/>
    <w:rsid w:val="004F7BEE"/>
    <w:rsid w:val="0050051D"/>
    <w:rsid w:val="0050103F"/>
    <w:rsid w:val="00501174"/>
    <w:rsid w:val="0050148C"/>
    <w:rsid w:val="005018AD"/>
    <w:rsid w:val="005018D1"/>
    <w:rsid w:val="00501AAE"/>
    <w:rsid w:val="00501EDE"/>
    <w:rsid w:val="0050238D"/>
    <w:rsid w:val="00502437"/>
    <w:rsid w:val="00503A59"/>
    <w:rsid w:val="00504120"/>
    <w:rsid w:val="005043BF"/>
    <w:rsid w:val="00504CE0"/>
    <w:rsid w:val="005052F7"/>
    <w:rsid w:val="005055C9"/>
    <w:rsid w:val="0050635E"/>
    <w:rsid w:val="0050683C"/>
    <w:rsid w:val="00507072"/>
    <w:rsid w:val="00507D8B"/>
    <w:rsid w:val="005104EE"/>
    <w:rsid w:val="005117ED"/>
    <w:rsid w:val="0051188D"/>
    <w:rsid w:val="00511AFB"/>
    <w:rsid w:val="00512388"/>
    <w:rsid w:val="0051255B"/>
    <w:rsid w:val="00512FE8"/>
    <w:rsid w:val="00513C5E"/>
    <w:rsid w:val="00513F1A"/>
    <w:rsid w:val="0051411F"/>
    <w:rsid w:val="0051539F"/>
    <w:rsid w:val="00515C46"/>
    <w:rsid w:val="00516650"/>
    <w:rsid w:val="00516789"/>
    <w:rsid w:val="00516F29"/>
    <w:rsid w:val="00517084"/>
    <w:rsid w:val="00517CCA"/>
    <w:rsid w:val="0052011A"/>
    <w:rsid w:val="00520271"/>
    <w:rsid w:val="00521173"/>
    <w:rsid w:val="00521304"/>
    <w:rsid w:val="00521565"/>
    <w:rsid w:val="005216CE"/>
    <w:rsid w:val="00521960"/>
    <w:rsid w:val="00521B89"/>
    <w:rsid w:val="005228E8"/>
    <w:rsid w:val="00524CF3"/>
    <w:rsid w:val="00525B87"/>
    <w:rsid w:val="0052621A"/>
    <w:rsid w:val="005262B6"/>
    <w:rsid w:val="005268D0"/>
    <w:rsid w:val="00526AC7"/>
    <w:rsid w:val="00527CF5"/>
    <w:rsid w:val="00530FED"/>
    <w:rsid w:val="00530FF2"/>
    <w:rsid w:val="0053143B"/>
    <w:rsid w:val="00531950"/>
    <w:rsid w:val="00531FD1"/>
    <w:rsid w:val="005320EB"/>
    <w:rsid w:val="0053273C"/>
    <w:rsid w:val="00532FFF"/>
    <w:rsid w:val="005330B7"/>
    <w:rsid w:val="005342A1"/>
    <w:rsid w:val="00534747"/>
    <w:rsid w:val="005348DD"/>
    <w:rsid w:val="00535AF7"/>
    <w:rsid w:val="0053615C"/>
    <w:rsid w:val="005375C5"/>
    <w:rsid w:val="00537FBD"/>
    <w:rsid w:val="00540095"/>
    <w:rsid w:val="005403C5"/>
    <w:rsid w:val="005406E0"/>
    <w:rsid w:val="005408FD"/>
    <w:rsid w:val="00541B8D"/>
    <w:rsid w:val="00541C05"/>
    <w:rsid w:val="00542121"/>
    <w:rsid w:val="00543582"/>
    <w:rsid w:val="00543783"/>
    <w:rsid w:val="00543889"/>
    <w:rsid w:val="00543EAC"/>
    <w:rsid w:val="00544411"/>
    <w:rsid w:val="0054454D"/>
    <w:rsid w:val="0054455D"/>
    <w:rsid w:val="005445C9"/>
    <w:rsid w:val="0054484D"/>
    <w:rsid w:val="00545DC5"/>
    <w:rsid w:val="005461E1"/>
    <w:rsid w:val="005473EB"/>
    <w:rsid w:val="00547C6A"/>
    <w:rsid w:val="00547EAD"/>
    <w:rsid w:val="005505C4"/>
    <w:rsid w:val="00550FD7"/>
    <w:rsid w:val="00551376"/>
    <w:rsid w:val="0055146A"/>
    <w:rsid w:val="0055177F"/>
    <w:rsid w:val="00551B4B"/>
    <w:rsid w:val="00552716"/>
    <w:rsid w:val="005530E8"/>
    <w:rsid w:val="0055323A"/>
    <w:rsid w:val="005534C4"/>
    <w:rsid w:val="00553865"/>
    <w:rsid w:val="00553EAD"/>
    <w:rsid w:val="00553FA9"/>
    <w:rsid w:val="00554592"/>
    <w:rsid w:val="005547B3"/>
    <w:rsid w:val="00556A69"/>
    <w:rsid w:val="005579E6"/>
    <w:rsid w:val="005601B2"/>
    <w:rsid w:val="00560CF5"/>
    <w:rsid w:val="00561136"/>
    <w:rsid w:val="005624C8"/>
    <w:rsid w:val="00562B0D"/>
    <w:rsid w:val="00562D5E"/>
    <w:rsid w:val="00562DE5"/>
    <w:rsid w:val="00562ECA"/>
    <w:rsid w:val="0056310B"/>
    <w:rsid w:val="00563A2A"/>
    <w:rsid w:val="00563ED9"/>
    <w:rsid w:val="005642F4"/>
    <w:rsid w:val="005659FD"/>
    <w:rsid w:val="00566B20"/>
    <w:rsid w:val="00566CBF"/>
    <w:rsid w:val="005670F7"/>
    <w:rsid w:val="005678CB"/>
    <w:rsid w:val="00567DA8"/>
    <w:rsid w:val="005705A3"/>
    <w:rsid w:val="005708A1"/>
    <w:rsid w:val="00570B3E"/>
    <w:rsid w:val="00570ECF"/>
    <w:rsid w:val="005713A6"/>
    <w:rsid w:val="0057256D"/>
    <w:rsid w:val="00572888"/>
    <w:rsid w:val="00573EB6"/>
    <w:rsid w:val="00574434"/>
    <w:rsid w:val="005758BD"/>
    <w:rsid w:val="00576C57"/>
    <w:rsid w:val="00576DA9"/>
    <w:rsid w:val="005771DD"/>
    <w:rsid w:val="005801BF"/>
    <w:rsid w:val="0058050D"/>
    <w:rsid w:val="005808E3"/>
    <w:rsid w:val="0058192D"/>
    <w:rsid w:val="00581C33"/>
    <w:rsid w:val="00582274"/>
    <w:rsid w:val="005825F4"/>
    <w:rsid w:val="005829F6"/>
    <w:rsid w:val="00582B3F"/>
    <w:rsid w:val="00583863"/>
    <w:rsid w:val="00583BA1"/>
    <w:rsid w:val="00583F44"/>
    <w:rsid w:val="00584882"/>
    <w:rsid w:val="005848BB"/>
    <w:rsid w:val="00585A25"/>
    <w:rsid w:val="00585A4F"/>
    <w:rsid w:val="00586088"/>
    <w:rsid w:val="00586AC3"/>
    <w:rsid w:val="00586DAE"/>
    <w:rsid w:val="00587D71"/>
    <w:rsid w:val="00591856"/>
    <w:rsid w:val="005922B2"/>
    <w:rsid w:val="005932B6"/>
    <w:rsid w:val="00593459"/>
    <w:rsid w:val="00593C0B"/>
    <w:rsid w:val="00594106"/>
    <w:rsid w:val="00594337"/>
    <w:rsid w:val="00594419"/>
    <w:rsid w:val="00595797"/>
    <w:rsid w:val="00596170"/>
    <w:rsid w:val="00596C7A"/>
    <w:rsid w:val="00596D26"/>
    <w:rsid w:val="00596EDD"/>
    <w:rsid w:val="00596EF4"/>
    <w:rsid w:val="005970F3"/>
    <w:rsid w:val="005A0721"/>
    <w:rsid w:val="005A18FD"/>
    <w:rsid w:val="005A2134"/>
    <w:rsid w:val="005A2256"/>
    <w:rsid w:val="005A2F40"/>
    <w:rsid w:val="005A3A85"/>
    <w:rsid w:val="005A4558"/>
    <w:rsid w:val="005A4CEA"/>
    <w:rsid w:val="005A4D3B"/>
    <w:rsid w:val="005A4EAF"/>
    <w:rsid w:val="005A5336"/>
    <w:rsid w:val="005A5559"/>
    <w:rsid w:val="005A5C10"/>
    <w:rsid w:val="005A5D68"/>
    <w:rsid w:val="005A64B1"/>
    <w:rsid w:val="005A710E"/>
    <w:rsid w:val="005A7A9A"/>
    <w:rsid w:val="005A7C97"/>
    <w:rsid w:val="005B0119"/>
    <w:rsid w:val="005B013D"/>
    <w:rsid w:val="005B09DD"/>
    <w:rsid w:val="005B1700"/>
    <w:rsid w:val="005B1E17"/>
    <w:rsid w:val="005B1F6E"/>
    <w:rsid w:val="005B1FA0"/>
    <w:rsid w:val="005B28E2"/>
    <w:rsid w:val="005B2C44"/>
    <w:rsid w:val="005B2CF0"/>
    <w:rsid w:val="005B34E2"/>
    <w:rsid w:val="005B35F1"/>
    <w:rsid w:val="005B3A72"/>
    <w:rsid w:val="005B3BE5"/>
    <w:rsid w:val="005B4865"/>
    <w:rsid w:val="005B5753"/>
    <w:rsid w:val="005B5982"/>
    <w:rsid w:val="005B5EC9"/>
    <w:rsid w:val="005B62F3"/>
    <w:rsid w:val="005B6389"/>
    <w:rsid w:val="005B67B0"/>
    <w:rsid w:val="005B67CA"/>
    <w:rsid w:val="005B6B54"/>
    <w:rsid w:val="005B7B9F"/>
    <w:rsid w:val="005C0529"/>
    <w:rsid w:val="005C0FB3"/>
    <w:rsid w:val="005C13DE"/>
    <w:rsid w:val="005C1421"/>
    <w:rsid w:val="005C16EC"/>
    <w:rsid w:val="005C1AA7"/>
    <w:rsid w:val="005C270A"/>
    <w:rsid w:val="005C29AC"/>
    <w:rsid w:val="005C2AE4"/>
    <w:rsid w:val="005C2AF0"/>
    <w:rsid w:val="005C2FBA"/>
    <w:rsid w:val="005C32A9"/>
    <w:rsid w:val="005C3E74"/>
    <w:rsid w:val="005C4119"/>
    <w:rsid w:val="005C477A"/>
    <w:rsid w:val="005C48A6"/>
    <w:rsid w:val="005C5562"/>
    <w:rsid w:val="005C5708"/>
    <w:rsid w:val="005C6EA3"/>
    <w:rsid w:val="005C7DF9"/>
    <w:rsid w:val="005D0320"/>
    <w:rsid w:val="005D119E"/>
    <w:rsid w:val="005D1396"/>
    <w:rsid w:val="005D1A95"/>
    <w:rsid w:val="005D21F3"/>
    <w:rsid w:val="005D26D3"/>
    <w:rsid w:val="005D29A1"/>
    <w:rsid w:val="005D2A6A"/>
    <w:rsid w:val="005D2AFD"/>
    <w:rsid w:val="005D2C1F"/>
    <w:rsid w:val="005D2EC3"/>
    <w:rsid w:val="005D31B9"/>
    <w:rsid w:val="005D3264"/>
    <w:rsid w:val="005D429D"/>
    <w:rsid w:val="005D4C37"/>
    <w:rsid w:val="005D5191"/>
    <w:rsid w:val="005D549D"/>
    <w:rsid w:val="005D5A91"/>
    <w:rsid w:val="005D613C"/>
    <w:rsid w:val="005D614D"/>
    <w:rsid w:val="005D61F6"/>
    <w:rsid w:val="005D6311"/>
    <w:rsid w:val="005D7530"/>
    <w:rsid w:val="005D7DAA"/>
    <w:rsid w:val="005E0F2B"/>
    <w:rsid w:val="005E18CF"/>
    <w:rsid w:val="005E1A0A"/>
    <w:rsid w:val="005E26DD"/>
    <w:rsid w:val="005E2F7B"/>
    <w:rsid w:val="005E38BA"/>
    <w:rsid w:val="005E3985"/>
    <w:rsid w:val="005E3F6A"/>
    <w:rsid w:val="005E411B"/>
    <w:rsid w:val="005E4185"/>
    <w:rsid w:val="005E4CBE"/>
    <w:rsid w:val="005E5058"/>
    <w:rsid w:val="005E5EF6"/>
    <w:rsid w:val="005E6500"/>
    <w:rsid w:val="005E6ED8"/>
    <w:rsid w:val="005E7242"/>
    <w:rsid w:val="005E7A82"/>
    <w:rsid w:val="005E7AF5"/>
    <w:rsid w:val="005E7C82"/>
    <w:rsid w:val="005E7F77"/>
    <w:rsid w:val="005F0025"/>
    <w:rsid w:val="005F0638"/>
    <w:rsid w:val="005F0729"/>
    <w:rsid w:val="005F07FC"/>
    <w:rsid w:val="005F2181"/>
    <w:rsid w:val="005F25AF"/>
    <w:rsid w:val="005F3111"/>
    <w:rsid w:val="005F388E"/>
    <w:rsid w:val="005F4819"/>
    <w:rsid w:val="005F56F2"/>
    <w:rsid w:val="005F64FE"/>
    <w:rsid w:val="005F6E25"/>
    <w:rsid w:val="005F78A7"/>
    <w:rsid w:val="005F7D06"/>
    <w:rsid w:val="005F7ECE"/>
    <w:rsid w:val="0060061C"/>
    <w:rsid w:val="00600B9D"/>
    <w:rsid w:val="0060190B"/>
    <w:rsid w:val="006019E1"/>
    <w:rsid w:val="00601AB8"/>
    <w:rsid w:val="00601EDC"/>
    <w:rsid w:val="00602707"/>
    <w:rsid w:val="00602F14"/>
    <w:rsid w:val="0060310C"/>
    <w:rsid w:val="006033E9"/>
    <w:rsid w:val="00603B0A"/>
    <w:rsid w:val="0060475E"/>
    <w:rsid w:val="00604918"/>
    <w:rsid w:val="00604DDD"/>
    <w:rsid w:val="00604F48"/>
    <w:rsid w:val="00605166"/>
    <w:rsid w:val="00605C61"/>
    <w:rsid w:val="00606059"/>
    <w:rsid w:val="00607110"/>
    <w:rsid w:val="00607298"/>
    <w:rsid w:val="006103E2"/>
    <w:rsid w:val="00611809"/>
    <w:rsid w:val="00611E7F"/>
    <w:rsid w:val="0061208D"/>
    <w:rsid w:val="00612FCB"/>
    <w:rsid w:val="00613176"/>
    <w:rsid w:val="00613900"/>
    <w:rsid w:val="00614164"/>
    <w:rsid w:val="006149D1"/>
    <w:rsid w:val="00614DB9"/>
    <w:rsid w:val="00615175"/>
    <w:rsid w:val="006153B1"/>
    <w:rsid w:val="00616917"/>
    <w:rsid w:val="006171D9"/>
    <w:rsid w:val="00617B5D"/>
    <w:rsid w:val="00620390"/>
    <w:rsid w:val="006209C6"/>
    <w:rsid w:val="00620FDE"/>
    <w:rsid w:val="0062124E"/>
    <w:rsid w:val="0062192A"/>
    <w:rsid w:val="00621EAA"/>
    <w:rsid w:val="00621F3A"/>
    <w:rsid w:val="0062224E"/>
    <w:rsid w:val="006231F8"/>
    <w:rsid w:val="006243D0"/>
    <w:rsid w:val="006245E9"/>
    <w:rsid w:val="00624F9D"/>
    <w:rsid w:val="006256FA"/>
    <w:rsid w:val="00625988"/>
    <w:rsid w:val="0062608C"/>
    <w:rsid w:val="00626093"/>
    <w:rsid w:val="006274F8"/>
    <w:rsid w:val="00627CF9"/>
    <w:rsid w:val="00630049"/>
    <w:rsid w:val="00630527"/>
    <w:rsid w:val="00630B4D"/>
    <w:rsid w:val="00631245"/>
    <w:rsid w:val="006313A0"/>
    <w:rsid w:val="00631E9D"/>
    <w:rsid w:val="00631EB3"/>
    <w:rsid w:val="0063278C"/>
    <w:rsid w:val="00632E4B"/>
    <w:rsid w:val="00633C09"/>
    <w:rsid w:val="00634FD5"/>
    <w:rsid w:val="00635AE6"/>
    <w:rsid w:val="006379C8"/>
    <w:rsid w:val="00637AA9"/>
    <w:rsid w:val="006408EB"/>
    <w:rsid w:val="00641272"/>
    <w:rsid w:val="00641AD3"/>
    <w:rsid w:val="0064215C"/>
    <w:rsid w:val="00643BEB"/>
    <w:rsid w:val="00643E86"/>
    <w:rsid w:val="0064482D"/>
    <w:rsid w:val="00644DA5"/>
    <w:rsid w:val="006461BE"/>
    <w:rsid w:val="006466FC"/>
    <w:rsid w:val="00646C68"/>
    <w:rsid w:val="00646E46"/>
    <w:rsid w:val="00647242"/>
    <w:rsid w:val="006475D7"/>
    <w:rsid w:val="00647847"/>
    <w:rsid w:val="006502F8"/>
    <w:rsid w:val="00650388"/>
    <w:rsid w:val="00650988"/>
    <w:rsid w:val="006511D4"/>
    <w:rsid w:val="0065163A"/>
    <w:rsid w:val="00651ED2"/>
    <w:rsid w:val="00652E18"/>
    <w:rsid w:val="00653C9F"/>
    <w:rsid w:val="0065504B"/>
    <w:rsid w:val="006553C5"/>
    <w:rsid w:val="006554D1"/>
    <w:rsid w:val="00655807"/>
    <w:rsid w:val="00655BE1"/>
    <w:rsid w:val="00656851"/>
    <w:rsid w:val="006570C4"/>
    <w:rsid w:val="0065795A"/>
    <w:rsid w:val="00657CF2"/>
    <w:rsid w:val="0066003F"/>
    <w:rsid w:val="00660BF1"/>
    <w:rsid w:val="00661D2B"/>
    <w:rsid w:val="00661E5C"/>
    <w:rsid w:val="00662361"/>
    <w:rsid w:val="006625BC"/>
    <w:rsid w:val="00662E18"/>
    <w:rsid w:val="006632E1"/>
    <w:rsid w:val="0066422E"/>
    <w:rsid w:val="00664A1B"/>
    <w:rsid w:val="00664B4F"/>
    <w:rsid w:val="00665F07"/>
    <w:rsid w:val="0066665A"/>
    <w:rsid w:val="00666832"/>
    <w:rsid w:val="00666881"/>
    <w:rsid w:val="00667287"/>
    <w:rsid w:val="00670495"/>
    <w:rsid w:val="00670552"/>
    <w:rsid w:val="00670FEE"/>
    <w:rsid w:val="00671E6A"/>
    <w:rsid w:val="00672703"/>
    <w:rsid w:val="00672CFF"/>
    <w:rsid w:val="006732CA"/>
    <w:rsid w:val="0067332F"/>
    <w:rsid w:val="006745E4"/>
    <w:rsid w:val="00674D14"/>
    <w:rsid w:val="006754FB"/>
    <w:rsid w:val="006758A6"/>
    <w:rsid w:val="00675E49"/>
    <w:rsid w:val="00675EEE"/>
    <w:rsid w:val="00676AF1"/>
    <w:rsid w:val="00676DB8"/>
    <w:rsid w:val="006774CC"/>
    <w:rsid w:val="00677601"/>
    <w:rsid w:val="00677721"/>
    <w:rsid w:val="00680F83"/>
    <w:rsid w:val="00681AB3"/>
    <w:rsid w:val="00682330"/>
    <w:rsid w:val="0068242E"/>
    <w:rsid w:val="00682B5D"/>
    <w:rsid w:val="00682B5F"/>
    <w:rsid w:val="00682D8E"/>
    <w:rsid w:val="0068342B"/>
    <w:rsid w:val="00683B60"/>
    <w:rsid w:val="00684512"/>
    <w:rsid w:val="00685EC2"/>
    <w:rsid w:val="006875F5"/>
    <w:rsid w:val="006900B5"/>
    <w:rsid w:val="006904DB"/>
    <w:rsid w:val="00690768"/>
    <w:rsid w:val="00690C14"/>
    <w:rsid w:val="0069138E"/>
    <w:rsid w:val="00691476"/>
    <w:rsid w:val="006915C8"/>
    <w:rsid w:val="00692AF7"/>
    <w:rsid w:val="00692BDD"/>
    <w:rsid w:val="0069424D"/>
    <w:rsid w:val="00694C2F"/>
    <w:rsid w:val="00695DB7"/>
    <w:rsid w:val="00695F3A"/>
    <w:rsid w:val="00696134"/>
    <w:rsid w:val="0069614D"/>
    <w:rsid w:val="00696365"/>
    <w:rsid w:val="00697E19"/>
    <w:rsid w:val="006A0AB7"/>
    <w:rsid w:val="006A1730"/>
    <w:rsid w:val="006A1773"/>
    <w:rsid w:val="006A1CE8"/>
    <w:rsid w:val="006A1E03"/>
    <w:rsid w:val="006A1E43"/>
    <w:rsid w:val="006A1FA9"/>
    <w:rsid w:val="006A2291"/>
    <w:rsid w:val="006A2354"/>
    <w:rsid w:val="006A24C6"/>
    <w:rsid w:val="006A26C6"/>
    <w:rsid w:val="006A2976"/>
    <w:rsid w:val="006A4158"/>
    <w:rsid w:val="006A487A"/>
    <w:rsid w:val="006A490F"/>
    <w:rsid w:val="006A4AB9"/>
    <w:rsid w:val="006A53CB"/>
    <w:rsid w:val="006A5E26"/>
    <w:rsid w:val="006A6B2C"/>
    <w:rsid w:val="006A6B9B"/>
    <w:rsid w:val="006A70A3"/>
    <w:rsid w:val="006B01DE"/>
    <w:rsid w:val="006B092A"/>
    <w:rsid w:val="006B13DB"/>
    <w:rsid w:val="006B1418"/>
    <w:rsid w:val="006B1C03"/>
    <w:rsid w:val="006B27EA"/>
    <w:rsid w:val="006B294F"/>
    <w:rsid w:val="006B2F84"/>
    <w:rsid w:val="006B30FA"/>
    <w:rsid w:val="006B3350"/>
    <w:rsid w:val="006B39C7"/>
    <w:rsid w:val="006B3B8D"/>
    <w:rsid w:val="006B41C7"/>
    <w:rsid w:val="006B4794"/>
    <w:rsid w:val="006B4864"/>
    <w:rsid w:val="006B53C1"/>
    <w:rsid w:val="006B53FC"/>
    <w:rsid w:val="006B5B1B"/>
    <w:rsid w:val="006B759F"/>
    <w:rsid w:val="006C04D6"/>
    <w:rsid w:val="006C0A85"/>
    <w:rsid w:val="006C0ADC"/>
    <w:rsid w:val="006C1739"/>
    <w:rsid w:val="006C185B"/>
    <w:rsid w:val="006C1A8A"/>
    <w:rsid w:val="006C21EB"/>
    <w:rsid w:val="006C24C5"/>
    <w:rsid w:val="006C2B0B"/>
    <w:rsid w:val="006C2C2E"/>
    <w:rsid w:val="006C4205"/>
    <w:rsid w:val="006C52F6"/>
    <w:rsid w:val="006C5BF6"/>
    <w:rsid w:val="006C638A"/>
    <w:rsid w:val="006C71A4"/>
    <w:rsid w:val="006C75FD"/>
    <w:rsid w:val="006C7697"/>
    <w:rsid w:val="006D0234"/>
    <w:rsid w:val="006D05CE"/>
    <w:rsid w:val="006D1CB2"/>
    <w:rsid w:val="006D1DA4"/>
    <w:rsid w:val="006D2D32"/>
    <w:rsid w:val="006D36EB"/>
    <w:rsid w:val="006D3DDA"/>
    <w:rsid w:val="006D44C2"/>
    <w:rsid w:val="006D5707"/>
    <w:rsid w:val="006D6423"/>
    <w:rsid w:val="006D6FAA"/>
    <w:rsid w:val="006D715F"/>
    <w:rsid w:val="006D72F8"/>
    <w:rsid w:val="006E100C"/>
    <w:rsid w:val="006E149F"/>
    <w:rsid w:val="006E15DA"/>
    <w:rsid w:val="006E18A6"/>
    <w:rsid w:val="006E1A1C"/>
    <w:rsid w:val="006E232D"/>
    <w:rsid w:val="006E29BD"/>
    <w:rsid w:val="006E37C0"/>
    <w:rsid w:val="006E384C"/>
    <w:rsid w:val="006E3A5F"/>
    <w:rsid w:val="006E3B5A"/>
    <w:rsid w:val="006E43C7"/>
    <w:rsid w:val="006E4B84"/>
    <w:rsid w:val="006E4DD0"/>
    <w:rsid w:val="006E5237"/>
    <w:rsid w:val="006E59E8"/>
    <w:rsid w:val="006E5BD6"/>
    <w:rsid w:val="006E65D3"/>
    <w:rsid w:val="006E6C70"/>
    <w:rsid w:val="006E7D22"/>
    <w:rsid w:val="006F00AC"/>
    <w:rsid w:val="006F092D"/>
    <w:rsid w:val="006F0BDD"/>
    <w:rsid w:val="006F0BE7"/>
    <w:rsid w:val="006F0EB6"/>
    <w:rsid w:val="006F1002"/>
    <w:rsid w:val="006F1612"/>
    <w:rsid w:val="006F31A7"/>
    <w:rsid w:val="006F3A40"/>
    <w:rsid w:val="006F45E3"/>
    <w:rsid w:val="006F489F"/>
    <w:rsid w:val="006F5B25"/>
    <w:rsid w:val="006F6580"/>
    <w:rsid w:val="006F6A4F"/>
    <w:rsid w:val="006F6BBA"/>
    <w:rsid w:val="006F7124"/>
    <w:rsid w:val="006F7959"/>
    <w:rsid w:val="006F7B36"/>
    <w:rsid w:val="007002BE"/>
    <w:rsid w:val="0070055C"/>
    <w:rsid w:val="007006F2"/>
    <w:rsid w:val="007015C2"/>
    <w:rsid w:val="00701A69"/>
    <w:rsid w:val="00701CAA"/>
    <w:rsid w:val="007028C8"/>
    <w:rsid w:val="00702E46"/>
    <w:rsid w:val="0070436B"/>
    <w:rsid w:val="00705682"/>
    <w:rsid w:val="0070572B"/>
    <w:rsid w:val="00705B9F"/>
    <w:rsid w:val="00705F3B"/>
    <w:rsid w:val="00706132"/>
    <w:rsid w:val="0070614E"/>
    <w:rsid w:val="00706195"/>
    <w:rsid w:val="0070642D"/>
    <w:rsid w:val="007069A4"/>
    <w:rsid w:val="00706D0B"/>
    <w:rsid w:val="00707113"/>
    <w:rsid w:val="007072EA"/>
    <w:rsid w:val="00707532"/>
    <w:rsid w:val="0071014C"/>
    <w:rsid w:val="007102D8"/>
    <w:rsid w:val="007109E3"/>
    <w:rsid w:val="00711198"/>
    <w:rsid w:val="0071130E"/>
    <w:rsid w:val="007114F8"/>
    <w:rsid w:val="00712639"/>
    <w:rsid w:val="00712A33"/>
    <w:rsid w:val="00712E5E"/>
    <w:rsid w:val="00713271"/>
    <w:rsid w:val="00713598"/>
    <w:rsid w:val="007135F3"/>
    <w:rsid w:val="00715C23"/>
    <w:rsid w:val="00716601"/>
    <w:rsid w:val="00716B7A"/>
    <w:rsid w:val="00716EB2"/>
    <w:rsid w:val="00716EBB"/>
    <w:rsid w:val="00721158"/>
    <w:rsid w:val="00721E96"/>
    <w:rsid w:val="007223AC"/>
    <w:rsid w:val="00722BA3"/>
    <w:rsid w:val="007234F4"/>
    <w:rsid w:val="0072423F"/>
    <w:rsid w:val="007242CC"/>
    <w:rsid w:val="00724485"/>
    <w:rsid w:val="00724721"/>
    <w:rsid w:val="00724DF9"/>
    <w:rsid w:val="00725034"/>
    <w:rsid w:val="007254BE"/>
    <w:rsid w:val="0072567D"/>
    <w:rsid w:val="00725D31"/>
    <w:rsid w:val="00726206"/>
    <w:rsid w:val="0072637D"/>
    <w:rsid w:val="00726C61"/>
    <w:rsid w:val="00727253"/>
    <w:rsid w:val="00727A95"/>
    <w:rsid w:val="00730572"/>
    <w:rsid w:val="007308F0"/>
    <w:rsid w:val="0073217B"/>
    <w:rsid w:val="00732321"/>
    <w:rsid w:val="007326B1"/>
    <w:rsid w:val="00732D04"/>
    <w:rsid w:val="007335CB"/>
    <w:rsid w:val="0073383F"/>
    <w:rsid w:val="00733E20"/>
    <w:rsid w:val="007347CC"/>
    <w:rsid w:val="00734FD6"/>
    <w:rsid w:val="00735C34"/>
    <w:rsid w:val="007376BE"/>
    <w:rsid w:val="00737FC7"/>
    <w:rsid w:val="0074175A"/>
    <w:rsid w:val="00741FA7"/>
    <w:rsid w:val="00742101"/>
    <w:rsid w:val="00742A0A"/>
    <w:rsid w:val="00742C8A"/>
    <w:rsid w:val="00742CAF"/>
    <w:rsid w:val="0074357A"/>
    <w:rsid w:val="00743C23"/>
    <w:rsid w:val="00743D9C"/>
    <w:rsid w:val="00744C34"/>
    <w:rsid w:val="00744EB9"/>
    <w:rsid w:val="007450AA"/>
    <w:rsid w:val="007454D0"/>
    <w:rsid w:val="00746606"/>
    <w:rsid w:val="0074670C"/>
    <w:rsid w:val="0074673B"/>
    <w:rsid w:val="00746EEC"/>
    <w:rsid w:val="00750082"/>
    <w:rsid w:val="00750A76"/>
    <w:rsid w:val="00751131"/>
    <w:rsid w:val="00751335"/>
    <w:rsid w:val="00751D41"/>
    <w:rsid w:val="0075280E"/>
    <w:rsid w:val="0075417B"/>
    <w:rsid w:val="007556A7"/>
    <w:rsid w:val="0075574C"/>
    <w:rsid w:val="00756801"/>
    <w:rsid w:val="00756B9A"/>
    <w:rsid w:val="00756C69"/>
    <w:rsid w:val="00757387"/>
    <w:rsid w:val="00757A98"/>
    <w:rsid w:val="0076004D"/>
    <w:rsid w:val="00760C1A"/>
    <w:rsid w:val="00760D57"/>
    <w:rsid w:val="00760EF4"/>
    <w:rsid w:val="0076156E"/>
    <w:rsid w:val="007617FF"/>
    <w:rsid w:val="00761D63"/>
    <w:rsid w:val="00762017"/>
    <w:rsid w:val="007621C3"/>
    <w:rsid w:val="0076227D"/>
    <w:rsid w:val="00762AAB"/>
    <w:rsid w:val="00762FF4"/>
    <w:rsid w:val="00763828"/>
    <w:rsid w:val="007640ED"/>
    <w:rsid w:val="00764781"/>
    <w:rsid w:val="00764A64"/>
    <w:rsid w:val="00764C80"/>
    <w:rsid w:val="00764FE9"/>
    <w:rsid w:val="007650B7"/>
    <w:rsid w:val="007661BD"/>
    <w:rsid w:val="00767A0F"/>
    <w:rsid w:val="007703C7"/>
    <w:rsid w:val="00770A61"/>
    <w:rsid w:val="00770CFB"/>
    <w:rsid w:val="00770D15"/>
    <w:rsid w:val="00770D21"/>
    <w:rsid w:val="00770F99"/>
    <w:rsid w:val="0077127D"/>
    <w:rsid w:val="00771C03"/>
    <w:rsid w:val="00771C1E"/>
    <w:rsid w:val="0077223C"/>
    <w:rsid w:val="007722BF"/>
    <w:rsid w:val="00772482"/>
    <w:rsid w:val="00772C01"/>
    <w:rsid w:val="007737B3"/>
    <w:rsid w:val="00773905"/>
    <w:rsid w:val="00773C13"/>
    <w:rsid w:val="00773E55"/>
    <w:rsid w:val="0077452F"/>
    <w:rsid w:val="00774D48"/>
    <w:rsid w:val="00775294"/>
    <w:rsid w:val="0077626D"/>
    <w:rsid w:val="0077767F"/>
    <w:rsid w:val="0077787F"/>
    <w:rsid w:val="00780854"/>
    <w:rsid w:val="00781AEF"/>
    <w:rsid w:val="00782036"/>
    <w:rsid w:val="0078272C"/>
    <w:rsid w:val="00783187"/>
    <w:rsid w:val="00783859"/>
    <w:rsid w:val="00783C03"/>
    <w:rsid w:val="00784534"/>
    <w:rsid w:val="00785287"/>
    <w:rsid w:val="007857B0"/>
    <w:rsid w:val="0078790C"/>
    <w:rsid w:val="00787C08"/>
    <w:rsid w:val="00790862"/>
    <w:rsid w:val="00790BE0"/>
    <w:rsid w:val="0079244F"/>
    <w:rsid w:val="00793378"/>
    <w:rsid w:val="0079363B"/>
    <w:rsid w:val="0079392D"/>
    <w:rsid w:val="007945D6"/>
    <w:rsid w:val="00795C5E"/>
    <w:rsid w:val="0079767C"/>
    <w:rsid w:val="00797911"/>
    <w:rsid w:val="00797C4E"/>
    <w:rsid w:val="007A0471"/>
    <w:rsid w:val="007A0993"/>
    <w:rsid w:val="007A0F30"/>
    <w:rsid w:val="007A1195"/>
    <w:rsid w:val="007A11C9"/>
    <w:rsid w:val="007A2DE6"/>
    <w:rsid w:val="007A44FD"/>
    <w:rsid w:val="007A4ADA"/>
    <w:rsid w:val="007A53AC"/>
    <w:rsid w:val="007A5699"/>
    <w:rsid w:val="007A5A10"/>
    <w:rsid w:val="007A6133"/>
    <w:rsid w:val="007A7E21"/>
    <w:rsid w:val="007A7E92"/>
    <w:rsid w:val="007B1805"/>
    <w:rsid w:val="007B1E97"/>
    <w:rsid w:val="007B2406"/>
    <w:rsid w:val="007B3349"/>
    <w:rsid w:val="007B3944"/>
    <w:rsid w:val="007B491D"/>
    <w:rsid w:val="007B51C3"/>
    <w:rsid w:val="007B5C73"/>
    <w:rsid w:val="007B6355"/>
    <w:rsid w:val="007B6710"/>
    <w:rsid w:val="007B7067"/>
    <w:rsid w:val="007B7323"/>
    <w:rsid w:val="007B7619"/>
    <w:rsid w:val="007B7ABC"/>
    <w:rsid w:val="007C02A3"/>
    <w:rsid w:val="007C1B6D"/>
    <w:rsid w:val="007C1E36"/>
    <w:rsid w:val="007C252E"/>
    <w:rsid w:val="007C283F"/>
    <w:rsid w:val="007C33EA"/>
    <w:rsid w:val="007C35E8"/>
    <w:rsid w:val="007C40D6"/>
    <w:rsid w:val="007C413A"/>
    <w:rsid w:val="007C41A8"/>
    <w:rsid w:val="007C5082"/>
    <w:rsid w:val="007C60AE"/>
    <w:rsid w:val="007C6A9F"/>
    <w:rsid w:val="007C77C6"/>
    <w:rsid w:val="007C7A02"/>
    <w:rsid w:val="007D016F"/>
    <w:rsid w:val="007D0472"/>
    <w:rsid w:val="007D0E28"/>
    <w:rsid w:val="007D102D"/>
    <w:rsid w:val="007D153D"/>
    <w:rsid w:val="007D1575"/>
    <w:rsid w:val="007D1C31"/>
    <w:rsid w:val="007D1CD7"/>
    <w:rsid w:val="007D1E8A"/>
    <w:rsid w:val="007D25C7"/>
    <w:rsid w:val="007D26B6"/>
    <w:rsid w:val="007D2961"/>
    <w:rsid w:val="007D3206"/>
    <w:rsid w:val="007D4281"/>
    <w:rsid w:val="007D595C"/>
    <w:rsid w:val="007D5EB3"/>
    <w:rsid w:val="007E11D6"/>
    <w:rsid w:val="007E12BC"/>
    <w:rsid w:val="007E130F"/>
    <w:rsid w:val="007E184B"/>
    <w:rsid w:val="007E2A9F"/>
    <w:rsid w:val="007E3FA0"/>
    <w:rsid w:val="007E4836"/>
    <w:rsid w:val="007E5548"/>
    <w:rsid w:val="007E6D0A"/>
    <w:rsid w:val="007E7054"/>
    <w:rsid w:val="007F04F6"/>
    <w:rsid w:val="007F0AB4"/>
    <w:rsid w:val="007F1C28"/>
    <w:rsid w:val="007F1D9C"/>
    <w:rsid w:val="007F2450"/>
    <w:rsid w:val="007F26C3"/>
    <w:rsid w:val="007F2A99"/>
    <w:rsid w:val="007F3EBF"/>
    <w:rsid w:val="007F406B"/>
    <w:rsid w:val="007F40EC"/>
    <w:rsid w:val="007F475D"/>
    <w:rsid w:val="007F48BE"/>
    <w:rsid w:val="007F4A09"/>
    <w:rsid w:val="007F4BC3"/>
    <w:rsid w:val="007F4F23"/>
    <w:rsid w:val="007F56E3"/>
    <w:rsid w:val="007F598E"/>
    <w:rsid w:val="007F5E27"/>
    <w:rsid w:val="007F5E9B"/>
    <w:rsid w:val="007F6245"/>
    <w:rsid w:val="007F6F18"/>
    <w:rsid w:val="007F75EA"/>
    <w:rsid w:val="007F7BB4"/>
    <w:rsid w:val="0080060D"/>
    <w:rsid w:val="00800E44"/>
    <w:rsid w:val="00801214"/>
    <w:rsid w:val="00801A7F"/>
    <w:rsid w:val="00802546"/>
    <w:rsid w:val="00802A05"/>
    <w:rsid w:val="00803863"/>
    <w:rsid w:val="00803AA7"/>
    <w:rsid w:val="00803D55"/>
    <w:rsid w:val="00803DC7"/>
    <w:rsid w:val="008062DE"/>
    <w:rsid w:val="00806ADD"/>
    <w:rsid w:val="00807109"/>
    <w:rsid w:val="008073E7"/>
    <w:rsid w:val="00807800"/>
    <w:rsid w:val="00807B95"/>
    <w:rsid w:val="00810275"/>
    <w:rsid w:val="00810B03"/>
    <w:rsid w:val="00811533"/>
    <w:rsid w:val="00812157"/>
    <w:rsid w:val="00813017"/>
    <w:rsid w:val="00813893"/>
    <w:rsid w:val="00813C73"/>
    <w:rsid w:val="00814420"/>
    <w:rsid w:val="008148FF"/>
    <w:rsid w:val="00814F11"/>
    <w:rsid w:val="00815327"/>
    <w:rsid w:val="00815DAC"/>
    <w:rsid w:val="008168A3"/>
    <w:rsid w:val="00816D28"/>
    <w:rsid w:val="00817093"/>
    <w:rsid w:val="0081799C"/>
    <w:rsid w:val="00817C88"/>
    <w:rsid w:val="008209CC"/>
    <w:rsid w:val="00820BFA"/>
    <w:rsid w:val="00822282"/>
    <w:rsid w:val="00822848"/>
    <w:rsid w:val="00823077"/>
    <w:rsid w:val="00823093"/>
    <w:rsid w:val="00823BB5"/>
    <w:rsid w:val="008242BA"/>
    <w:rsid w:val="00824301"/>
    <w:rsid w:val="00824BF3"/>
    <w:rsid w:val="00825289"/>
    <w:rsid w:val="008254EF"/>
    <w:rsid w:val="008257F3"/>
    <w:rsid w:val="00827450"/>
    <w:rsid w:val="008278EB"/>
    <w:rsid w:val="00827A66"/>
    <w:rsid w:val="0083026A"/>
    <w:rsid w:val="0083062F"/>
    <w:rsid w:val="008308CC"/>
    <w:rsid w:val="008309AC"/>
    <w:rsid w:val="00830AAA"/>
    <w:rsid w:val="008310F8"/>
    <w:rsid w:val="008320C2"/>
    <w:rsid w:val="00833607"/>
    <w:rsid w:val="008341FE"/>
    <w:rsid w:val="0083445D"/>
    <w:rsid w:val="00834E42"/>
    <w:rsid w:val="0083552F"/>
    <w:rsid w:val="00835583"/>
    <w:rsid w:val="008357FC"/>
    <w:rsid w:val="00835807"/>
    <w:rsid w:val="00836E0D"/>
    <w:rsid w:val="008377F5"/>
    <w:rsid w:val="00840831"/>
    <w:rsid w:val="00841065"/>
    <w:rsid w:val="00842961"/>
    <w:rsid w:val="00843B08"/>
    <w:rsid w:val="008447BB"/>
    <w:rsid w:val="00845074"/>
    <w:rsid w:val="00845299"/>
    <w:rsid w:val="00845302"/>
    <w:rsid w:val="00845701"/>
    <w:rsid w:val="00845948"/>
    <w:rsid w:val="00845971"/>
    <w:rsid w:val="008459B3"/>
    <w:rsid w:val="00845C17"/>
    <w:rsid w:val="0084665B"/>
    <w:rsid w:val="008470CF"/>
    <w:rsid w:val="008473BA"/>
    <w:rsid w:val="00847C68"/>
    <w:rsid w:val="0085005B"/>
    <w:rsid w:val="0085030B"/>
    <w:rsid w:val="0085064C"/>
    <w:rsid w:val="00850CEA"/>
    <w:rsid w:val="00850DFA"/>
    <w:rsid w:val="008525FA"/>
    <w:rsid w:val="00852D63"/>
    <w:rsid w:val="008549AD"/>
    <w:rsid w:val="00854F18"/>
    <w:rsid w:val="00855177"/>
    <w:rsid w:val="008551B4"/>
    <w:rsid w:val="0085538A"/>
    <w:rsid w:val="00855601"/>
    <w:rsid w:val="00856DDD"/>
    <w:rsid w:val="00857197"/>
    <w:rsid w:val="008571FC"/>
    <w:rsid w:val="00857911"/>
    <w:rsid w:val="008616B5"/>
    <w:rsid w:val="00861844"/>
    <w:rsid w:val="00861C7A"/>
    <w:rsid w:val="0086291C"/>
    <w:rsid w:val="00862A03"/>
    <w:rsid w:val="00862C0D"/>
    <w:rsid w:val="00863664"/>
    <w:rsid w:val="008638D6"/>
    <w:rsid w:val="00864AFE"/>
    <w:rsid w:val="008652D9"/>
    <w:rsid w:val="00865BE7"/>
    <w:rsid w:val="008669A1"/>
    <w:rsid w:val="00866B29"/>
    <w:rsid w:val="00867D33"/>
    <w:rsid w:val="008700A0"/>
    <w:rsid w:val="008711EB"/>
    <w:rsid w:val="00871CB9"/>
    <w:rsid w:val="00871E71"/>
    <w:rsid w:val="00872967"/>
    <w:rsid w:val="00874485"/>
    <w:rsid w:val="00874C8C"/>
    <w:rsid w:val="00874F03"/>
    <w:rsid w:val="00875E4F"/>
    <w:rsid w:val="008766FC"/>
    <w:rsid w:val="008772D2"/>
    <w:rsid w:val="00880A46"/>
    <w:rsid w:val="00880B3B"/>
    <w:rsid w:val="008810A5"/>
    <w:rsid w:val="00881864"/>
    <w:rsid w:val="00881EDC"/>
    <w:rsid w:val="00882648"/>
    <w:rsid w:val="0088291D"/>
    <w:rsid w:val="00882D0F"/>
    <w:rsid w:val="00882D7C"/>
    <w:rsid w:val="00882F35"/>
    <w:rsid w:val="008835AC"/>
    <w:rsid w:val="00884971"/>
    <w:rsid w:val="00885716"/>
    <w:rsid w:val="00886245"/>
    <w:rsid w:val="00886486"/>
    <w:rsid w:val="008875B1"/>
    <w:rsid w:val="00887ACC"/>
    <w:rsid w:val="00890F02"/>
    <w:rsid w:val="00891162"/>
    <w:rsid w:val="00891E78"/>
    <w:rsid w:val="0089265F"/>
    <w:rsid w:val="00892AF9"/>
    <w:rsid w:val="00893B95"/>
    <w:rsid w:val="0089408C"/>
    <w:rsid w:val="00895EA8"/>
    <w:rsid w:val="00897196"/>
    <w:rsid w:val="00897CF5"/>
    <w:rsid w:val="00897F42"/>
    <w:rsid w:val="008A023B"/>
    <w:rsid w:val="008A04E4"/>
    <w:rsid w:val="008A0CCF"/>
    <w:rsid w:val="008A0EFF"/>
    <w:rsid w:val="008A2933"/>
    <w:rsid w:val="008A2952"/>
    <w:rsid w:val="008A4C69"/>
    <w:rsid w:val="008A796F"/>
    <w:rsid w:val="008B006A"/>
    <w:rsid w:val="008B0630"/>
    <w:rsid w:val="008B0954"/>
    <w:rsid w:val="008B09D6"/>
    <w:rsid w:val="008B1D8C"/>
    <w:rsid w:val="008B21AA"/>
    <w:rsid w:val="008B21E3"/>
    <w:rsid w:val="008B22F7"/>
    <w:rsid w:val="008B2716"/>
    <w:rsid w:val="008B2E6B"/>
    <w:rsid w:val="008B3EFA"/>
    <w:rsid w:val="008B4C04"/>
    <w:rsid w:val="008B5600"/>
    <w:rsid w:val="008B5944"/>
    <w:rsid w:val="008B6005"/>
    <w:rsid w:val="008B6D82"/>
    <w:rsid w:val="008C01D8"/>
    <w:rsid w:val="008C07AB"/>
    <w:rsid w:val="008C095C"/>
    <w:rsid w:val="008C0AF9"/>
    <w:rsid w:val="008C0BF1"/>
    <w:rsid w:val="008C1BDD"/>
    <w:rsid w:val="008C1D2D"/>
    <w:rsid w:val="008C25E7"/>
    <w:rsid w:val="008C264D"/>
    <w:rsid w:val="008C26F6"/>
    <w:rsid w:val="008C3559"/>
    <w:rsid w:val="008C3ACF"/>
    <w:rsid w:val="008C3AEE"/>
    <w:rsid w:val="008C3BFC"/>
    <w:rsid w:val="008C3CBB"/>
    <w:rsid w:val="008C4280"/>
    <w:rsid w:val="008C4516"/>
    <w:rsid w:val="008C5237"/>
    <w:rsid w:val="008C62DA"/>
    <w:rsid w:val="008C64E2"/>
    <w:rsid w:val="008C6B92"/>
    <w:rsid w:val="008C7007"/>
    <w:rsid w:val="008C76ED"/>
    <w:rsid w:val="008D2428"/>
    <w:rsid w:val="008D3264"/>
    <w:rsid w:val="008D451F"/>
    <w:rsid w:val="008D4AA7"/>
    <w:rsid w:val="008D4D3A"/>
    <w:rsid w:val="008D555C"/>
    <w:rsid w:val="008D69BB"/>
    <w:rsid w:val="008D6DAB"/>
    <w:rsid w:val="008D6DB6"/>
    <w:rsid w:val="008D6F82"/>
    <w:rsid w:val="008D6F9C"/>
    <w:rsid w:val="008D760E"/>
    <w:rsid w:val="008D7C9D"/>
    <w:rsid w:val="008E0192"/>
    <w:rsid w:val="008E0A4B"/>
    <w:rsid w:val="008E105B"/>
    <w:rsid w:val="008E107A"/>
    <w:rsid w:val="008E1931"/>
    <w:rsid w:val="008E273C"/>
    <w:rsid w:val="008E3A02"/>
    <w:rsid w:val="008E3B36"/>
    <w:rsid w:val="008E41F7"/>
    <w:rsid w:val="008E4D7C"/>
    <w:rsid w:val="008E4DB9"/>
    <w:rsid w:val="008E5B9B"/>
    <w:rsid w:val="008E6064"/>
    <w:rsid w:val="008E610B"/>
    <w:rsid w:val="008E64BB"/>
    <w:rsid w:val="008E6784"/>
    <w:rsid w:val="008E7007"/>
    <w:rsid w:val="008E7CA3"/>
    <w:rsid w:val="008E7E8C"/>
    <w:rsid w:val="008F0548"/>
    <w:rsid w:val="008F0999"/>
    <w:rsid w:val="008F19AA"/>
    <w:rsid w:val="008F1D7C"/>
    <w:rsid w:val="008F1DFC"/>
    <w:rsid w:val="008F2593"/>
    <w:rsid w:val="008F2F0E"/>
    <w:rsid w:val="008F32B9"/>
    <w:rsid w:val="008F3526"/>
    <w:rsid w:val="008F3813"/>
    <w:rsid w:val="008F3BD8"/>
    <w:rsid w:val="008F5E82"/>
    <w:rsid w:val="008F690D"/>
    <w:rsid w:val="008F6984"/>
    <w:rsid w:val="008F745F"/>
    <w:rsid w:val="009000C3"/>
    <w:rsid w:val="00900A64"/>
    <w:rsid w:val="00900D1A"/>
    <w:rsid w:val="00901419"/>
    <w:rsid w:val="009014B3"/>
    <w:rsid w:val="00902144"/>
    <w:rsid w:val="009023EC"/>
    <w:rsid w:val="00902693"/>
    <w:rsid w:val="009027AB"/>
    <w:rsid w:val="00903133"/>
    <w:rsid w:val="00903383"/>
    <w:rsid w:val="009034BB"/>
    <w:rsid w:val="009048D1"/>
    <w:rsid w:val="0090584B"/>
    <w:rsid w:val="00905BB1"/>
    <w:rsid w:val="00905EE0"/>
    <w:rsid w:val="00906A18"/>
    <w:rsid w:val="00907270"/>
    <w:rsid w:val="00910A68"/>
    <w:rsid w:val="00910F7F"/>
    <w:rsid w:val="00911AAA"/>
    <w:rsid w:val="009123BF"/>
    <w:rsid w:val="009129E6"/>
    <w:rsid w:val="00912C49"/>
    <w:rsid w:val="00912DDD"/>
    <w:rsid w:val="009137DD"/>
    <w:rsid w:val="00913AE4"/>
    <w:rsid w:val="00914CC8"/>
    <w:rsid w:val="00914DE1"/>
    <w:rsid w:val="00914E1C"/>
    <w:rsid w:val="009154F6"/>
    <w:rsid w:val="00915561"/>
    <w:rsid w:val="00916733"/>
    <w:rsid w:val="00920004"/>
    <w:rsid w:val="009206F1"/>
    <w:rsid w:val="00920B5A"/>
    <w:rsid w:val="0092182F"/>
    <w:rsid w:val="00921F87"/>
    <w:rsid w:val="009235E4"/>
    <w:rsid w:val="009239DF"/>
    <w:rsid w:val="0092581C"/>
    <w:rsid w:val="0092660D"/>
    <w:rsid w:val="00926D88"/>
    <w:rsid w:val="0093028D"/>
    <w:rsid w:val="0093147F"/>
    <w:rsid w:val="009315B8"/>
    <w:rsid w:val="009317AD"/>
    <w:rsid w:val="009328D5"/>
    <w:rsid w:val="00932F67"/>
    <w:rsid w:val="009343AC"/>
    <w:rsid w:val="00934C4E"/>
    <w:rsid w:val="00934CF8"/>
    <w:rsid w:val="00934DDD"/>
    <w:rsid w:val="00935583"/>
    <w:rsid w:val="00935C8B"/>
    <w:rsid w:val="00936840"/>
    <w:rsid w:val="009368CC"/>
    <w:rsid w:val="009403FD"/>
    <w:rsid w:val="00940BFF"/>
    <w:rsid w:val="00942285"/>
    <w:rsid w:val="00942519"/>
    <w:rsid w:val="00942CB6"/>
    <w:rsid w:val="009432A0"/>
    <w:rsid w:val="00943D0C"/>
    <w:rsid w:val="00943EEF"/>
    <w:rsid w:val="0094434E"/>
    <w:rsid w:val="00944998"/>
    <w:rsid w:val="009452BF"/>
    <w:rsid w:val="00945389"/>
    <w:rsid w:val="00945449"/>
    <w:rsid w:val="00946B0C"/>
    <w:rsid w:val="00946E1D"/>
    <w:rsid w:val="0095087C"/>
    <w:rsid w:val="009518DF"/>
    <w:rsid w:val="00951999"/>
    <w:rsid w:val="009525D9"/>
    <w:rsid w:val="00952F33"/>
    <w:rsid w:val="009531AA"/>
    <w:rsid w:val="00953628"/>
    <w:rsid w:val="00953E2D"/>
    <w:rsid w:val="009550AA"/>
    <w:rsid w:val="009551C1"/>
    <w:rsid w:val="009551D1"/>
    <w:rsid w:val="00955FA2"/>
    <w:rsid w:val="00956875"/>
    <w:rsid w:val="00956AA5"/>
    <w:rsid w:val="00956CE1"/>
    <w:rsid w:val="009570B0"/>
    <w:rsid w:val="00957EB3"/>
    <w:rsid w:val="009607E5"/>
    <w:rsid w:val="00960876"/>
    <w:rsid w:val="00961453"/>
    <w:rsid w:val="00962DA4"/>
    <w:rsid w:val="009637A3"/>
    <w:rsid w:val="00963C78"/>
    <w:rsid w:val="00963CCA"/>
    <w:rsid w:val="00964F26"/>
    <w:rsid w:val="009657EB"/>
    <w:rsid w:val="009665A3"/>
    <w:rsid w:val="009665A6"/>
    <w:rsid w:val="0096765C"/>
    <w:rsid w:val="00967D7E"/>
    <w:rsid w:val="009708CB"/>
    <w:rsid w:val="00970997"/>
    <w:rsid w:val="00971025"/>
    <w:rsid w:val="00972351"/>
    <w:rsid w:val="009726A3"/>
    <w:rsid w:val="009736B1"/>
    <w:rsid w:val="0097379B"/>
    <w:rsid w:val="00973B0B"/>
    <w:rsid w:val="00974534"/>
    <w:rsid w:val="00974EA5"/>
    <w:rsid w:val="009761D7"/>
    <w:rsid w:val="00976511"/>
    <w:rsid w:val="009769C1"/>
    <w:rsid w:val="00976CD8"/>
    <w:rsid w:val="009773D4"/>
    <w:rsid w:val="0097793F"/>
    <w:rsid w:val="00977B27"/>
    <w:rsid w:val="00980867"/>
    <w:rsid w:val="009810C4"/>
    <w:rsid w:val="0098159E"/>
    <w:rsid w:val="00981E76"/>
    <w:rsid w:val="00982A79"/>
    <w:rsid w:val="00983123"/>
    <w:rsid w:val="009831E0"/>
    <w:rsid w:val="0098367B"/>
    <w:rsid w:val="00983E5E"/>
    <w:rsid w:val="00983E8D"/>
    <w:rsid w:val="009848C7"/>
    <w:rsid w:val="00985101"/>
    <w:rsid w:val="009859DB"/>
    <w:rsid w:val="00985FC8"/>
    <w:rsid w:val="0098665B"/>
    <w:rsid w:val="009868DE"/>
    <w:rsid w:val="00986F4C"/>
    <w:rsid w:val="00987730"/>
    <w:rsid w:val="0098792D"/>
    <w:rsid w:val="009904D6"/>
    <w:rsid w:val="00991409"/>
    <w:rsid w:val="00991559"/>
    <w:rsid w:val="009919C6"/>
    <w:rsid w:val="00992E7E"/>
    <w:rsid w:val="009939A7"/>
    <w:rsid w:val="00993D09"/>
    <w:rsid w:val="009945C1"/>
    <w:rsid w:val="009962DC"/>
    <w:rsid w:val="00996929"/>
    <w:rsid w:val="00996DF6"/>
    <w:rsid w:val="00997778"/>
    <w:rsid w:val="00997D12"/>
    <w:rsid w:val="009A10B8"/>
    <w:rsid w:val="009A1CC1"/>
    <w:rsid w:val="009A3760"/>
    <w:rsid w:val="009A50B3"/>
    <w:rsid w:val="009A5823"/>
    <w:rsid w:val="009A5C9D"/>
    <w:rsid w:val="009A62AE"/>
    <w:rsid w:val="009A6330"/>
    <w:rsid w:val="009A6E57"/>
    <w:rsid w:val="009A7340"/>
    <w:rsid w:val="009A7F99"/>
    <w:rsid w:val="009B0B14"/>
    <w:rsid w:val="009B184F"/>
    <w:rsid w:val="009B1C23"/>
    <w:rsid w:val="009B2706"/>
    <w:rsid w:val="009B2B33"/>
    <w:rsid w:val="009B32ED"/>
    <w:rsid w:val="009B3844"/>
    <w:rsid w:val="009B4B0A"/>
    <w:rsid w:val="009B5AA0"/>
    <w:rsid w:val="009B602B"/>
    <w:rsid w:val="009B6F42"/>
    <w:rsid w:val="009B7196"/>
    <w:rsid w:val="009C039D"/>
    <w:rsid w:val="009C0EB8"/>
    <w:rsid w:val="009C11BD"/>
    <w:rsid w:val="009C1257"/>
    <w:rsid w:val="009C1600"/>
    <w:rsid w:val="009C1967"/>
    <w:rsid w:val="009C3762"/>
    <w:rsid w:val="009C3BD6"/>
    <w:rsid w:val="009C468E"/>
    <w:rsid w:val="009C46E4"/>
    <w:rsid w:val="009C4D5D"/>
    <w:rsid w:val="009C5B42"/>
    <w:rsid w:val="009C5E46"/>
    <w:rsid w:val="009C700B"/>
    <w:rsid w:val="009C751D"/>
    <w:rsid w:val="009C77B1"/>
    <w:rsid w:val="009C7B73"/>
    <w:rsid w:val="009C7B74"/>
    <w:rsid w:val="009C7F58"/>
    <w:rsid w:val="009D0992"/>
    <w:rsid w:val="009D0BF0"/>
    <w:rsid w:val="009D1A29"/>
    <w:rsid w:val="009D27B8"/>
    <w:rsid w:val="009D282E"/>
    <w:rsid w:val="009D305F"/>
    <w:rsid w:val="009D306D"/>
    <w:rsid w:val="009D308D"/>
    <w:rsid w:val="009D3D55"/>
    <w:rsid w:val="009D40D5"/>
    <w:rsid w:val="009D42B3"/>
    <w:rsid w:val="009D4A40"/>
    <w:rsid w:val="009D4D2A"/>
    <w:rsid w:val="009D52A4"/>
    <w:rsid w:val="009D695E"/>
    <w:rsid w:val="009D6F08"/>
    <w:rsid w:val="009E0ECD"/>
    <w:rsid w:val="009E14C4"/>
    <w:rsid w:val="009E1A69"/>
    <w:rsid w:val="009E1C42"/>
    <w:rsid w:val="009E1D71"/>
    <w:rsid w:val="009E2BCD"/>
    <w:rsid w:val="009E3AA5"/>
    <w:rsid w:val="009E3C03"/>
    <w:rsid w:val="009E3E8A"/>
    <w:rsid w:val="009E4D58"/>
    <w:rsid w:val="009E4F09"/>
    <w:rsid w:val="009E5065"/>
    <w:rsid w:val="009E6608"/>
    <w:rsid w:val="009E7821"/>
    <w:rsid w:val="009E7A2E"/>
    <w:rsid w:val="009F00D9"/>
    <w:rsid w:val="009F04EA"/>
    <w:rsid w:val="009F0686"/>
    <w:rsid w:val="009F1397"/>
    <w:rsid w:val="009F1D0F"/>
    <w:rsid w:val="009F1DBF"/>
    <w:rsid w:val="009F2313"/>
    <w:rsid w:val="009F3810"/>
    <w:rsid w:val="009F3A87"/>
    <w:rsid w:val="009F3F6D"/>
    <w:rsid w:val="009F57BB"/>
    <w:rsid w:val="009F59A8"/>
    <w:rsid w:val="009F6260"/>
    <w:rsid w:val="009F7516"/>
    <w:rsid w:val="009F782B"/>
    <w:rsid w:val="00A0099C"/>
    <w:rsid w:val="00A00F5D"/>
    <w:rsid w:val="00A0142F"/>
    <w:rsid w:val="00A015F0"/>
    <w:rsid w:val="00A02551"/>
    <w:rsid w:val="00A02D11"/>
    <w:rsid w:val="00A0384B"/>
    <w:rsid w:val="00A03EE2"/>
    <w:rsid w:val="00A0453E"/>
    <w:rsid w:val="00A048B6"/>
    <w:rsid w:val="00A04EB6"/>
    <w:rsid w:val="00A06F77"/>
    <w:rsid w:val="00A07342"/>
    <w:rsid w:val="00A07446"/>
    <w:rsid w:val="00A07C63"/>
    <w:rsid w:val="00A11D12"/>
    <w:rsid w:val="00A12169"/>
    <w:rsid w:val="00A125A2"/>
    <w:rsid w:val="00A12E1F"/>
    <w:rsid w:val="00A1354B"/>
    <w:rsid w:val="00A13914"/>
    <w:rsid w:val="00A13BBE"/>
    <w:rsid w:val="00A142CB"/>
    <w:rsid w:val="00A1434A"/>
    <w:rsid w:val="00A14BF1"/>
    <w:rsid w:val="00A14ED0"/>
    <w:rsid w:val="00A14EE8"/>
    <w:rsid w:val="00A154C5"/>
    <w:rsid w:val="00A15C26"/>
    <w:rsid w:val="00A15C73"/>
    <w:rsid w:val="00A1631A"/>
    <w:rsid w:val="00A1667D"/>
    <w:rsid w:val="00A16DE2"/>
    <w:rsid w:val="00A1751A"/>
    <w:rsid w:val="00A203CE"/>
    <w:rsid w:val="00A20DE4"/>
    <w:rsid w:val="00A2116A"/>
    <w:rsid w:val="00A219BE"/>
    <w:rsid w:val="00A21B57"/>
    <w:rsid w:val="00A22689"/>
    <w:rsid w:val="00A227B8"/>
    <w:rsid w:val="00A23C93"/>
    <w:rsid w:val="00A2439A"/>
    <w:rsid w:val="00A245B6"/>
    <w:rsid w:val="00A26884"/>
    <w:rsid w:val="00A26BEC"/>
    <w:rsid w:val="00A26CD3"/>
    <w:rsid w:val="00A270F0"/>
    <w:rsid w:val="00A27E6D"/>
    <w:rsid w:val="00A27FF1"/>
    <w:rsid w:val="00A30B51"/>
    <w:rsid w:val="00A314B7"/>
    <w:rsid w:val="00A331F8"/>
    <w:rsid w:val="00A3391E"/>
    <w:rsid w:val="00A342D3"/>
    <w:rsid w:val="00A34479"/>
    <w:rsid w:val="00A34C76"/>
    <w:rsid w:val="00A35BED"/>
    <w:rsid w:val="00A35C95"/>
    <w:rsid w:val="00A36AE5"/>
    <w:rsid w:val="00A372B0"/>
    <w:rsid w:val="00A40442"/>
    <w:rsid w:val="00A40559"/>
    <w:rsid w:val="00A408A6"/>
    <w:rsid w:val="00A40B42"/>
    <w:rsid w:val="00A421B8"/>
    <w:rsid w:val="00A43A5E"/>
    <w:rsid w:val="00A454BF"/>
    <w:rsid w:val="00A4582D"/>
    <w:rsid w:val="00A45F06"/>
    <w:rsid w:val="00A45F40"/>
    <w:rsid w:val="00A45FB7"/>
    <w:rsid w:val="00A477D8"/>
    <w:rsid w:val="00A5075C"/>
    <w:rsid w:val="00A50B09"/>
    <w:rsid w:val="00A50C2D"/>
    <w:rsid w:val="00A51709"/>
    <w:rsid w:val="00A518BD"/>
    <w:rsid w:val="00A51C53"/>
    <w:rsid w:val="00A521E9"/>
    <w:rsid w:val="00A52291"/>
    <w:rsid w:val="00A52680"/>
    <w:rsid w:val="00A52BEE"/>
    <w:rsid w:val="00A532DA"/>
    <w:rsid w:val="00A53511"/>
    <w:rsid w:val="00A53687"/>
    <w:rsid w:val="00A553C2"/>
    <w:rsid w:val="00A55694"/>
    <w:rsid w:val="00A559FF"/>
    <w:rsid w:val="00A55D3C"/>
    <w:rsid w:val="00A55DDC"/>
    <w:rsid w:val="00A57755"/>
    <w:rsid w:val="00A579BB"/>
    <w:rsid w:val="00A60C81"/>
    <w:rsid w:val="00A6162B"/>
    <w:rsid w:val="00A61B78"/>
    <w:rsid w:val="00A625DD"/>
    <w:rsid w:val="00A636C1"/>
    <w:rsid w:val="00A6407E"/>
    <w:rsid w:val="00A64A12"/>
    <w:rsid w:val="00A652D2"/>
    <w:rsid w:val="00A66110"/>
    <w:rsid w:val="00A669FB"/>
    <w:rsid w:val="00A6719F"/>
    <w:rsid w:val="00A67DA5"/>
    <w:rsid w:val="00A70268"/>
    <w:rsid w:val="00A705C2"/>
    <w:rsid w:val="00A70FD4"/>
    <w:rsid w:val="00A718E4"/>
    <w:rsid w:val="00A72922"/>
    <w:rsid w:val="00A72C39"/>
    <w:rsid w:val="00A74091"/>
    <w:rsid w:val="00A746B3"/>
    <w:rsid w:val="00A7515C"/>
    <w:rsid w:val="00A7570E"/>
    <w:rsid w:val="00A7578A"/>
    <w:rsid w:val="00A76167"/>
    <w:rsid w:val="00A76553"/>
    <w:rsid w:val="00A7688F"/>
    <w:rsid w:val="00A7689A"/>
    <w:rsid w:val="00A76F13"/>
    <w:rsid w:val="00A80C68"/>
    <w:rsid w:val="00A81000"/>
    <w:rsid w:val="00A8119E"/>
    <w:rsid w:val="00A813ED"/>
    <w:rsid w:val="00A819D7"/>
    <w:rsid w:val="00A8230A"/>
    <w:rsid w:val="00A8348C"/>
    <w:rsid w:val="00A847BC"/>
    <w:rsid w:val="00A84820"/>
    <w:rsid w:val="00A8520D"/>
    <w:rsid w:val="00A861C2"/>
    <w:rsid w:val="00A865C6"/>
    <w:rsid w:val="00A87891"/>
    <w:rsid w:val="00A87905"/>
    <w:rsid w:val="00A900BB"/>
    <w:rsid w:val="00A91609"/>
    <w:rsid w:val="00A929E5"/>
    <w:rsid w:val="00A93076"/>
    <w:rsid w:val="00A945C5"/>
    <w:rsid w:val="00A94AF4"/>
    <w:rsid w:val="00A952FA"/>
    <w:rsid w:val="00A96AAA"/>
    <w:rsid w:val="00A96BE5"/>
    <w:rsid w:val="00AA06E6"/>
    <w:rsid w:val="00AA22CF"/>
    <w:rsid w:val="00AA332F"/>
    <w:rsid w:val="00AA39B3"/>
    <w:rsid w:val="00AA39FD"/>
    <w:rsid w:val="00AA4165"/>
    <w:rsid w:val="00AA6BC5"/>
    <w:rsid w:val="00AA6CF4"/>
    <w:rsid w:val="00AA6FBC"/>
    <w:rsid w:val="00AB1E73"/>
    <w:rsid w:val="00AB223F"/>
    <w:rsid w:val="00AB2774"/>
    <w:rsid w:val="00AB2AA3"/>
    <w:rsid w:val="00AB3167"/>
    <w:rsid w:val="00AB3266"/>
    <w:rsid w:val="00AB32B4"/>
    <w:rsid w:val="00AB3BF9"/>
    <w:rsid w:val="00AB43C7"/>
    <w:rsid w:val="00AB4D97"/>
    <w:rsid w:val="00AB5EFB"/>
    <w:rsid w:val="00AB65B5"/>
    <w:rsid w:val="00AB6A6C"/>
    <w:rsid w:val="00AB6DA9"/>
    <w:rsid w:val="00AB6F6F"/>
    <w:rsid w:val="00AB7838"/>
    <w:rsid w:val="00AB7A1E"/>
    <w:rsid w:val="00AC0FCC"/>
    <w:rsid w:val="00AC2CAA"/>
    <w:rsid w:val="00AC35AB"/>
    <w:rsid w:val="00AC3DE9"/>
    <w:rsid w:val="00AC3DFD"/>
    <w:rsid w:val="00AC3E03"/>
    <w:rsid w:val="00AC3FAF"/>
    <w:rsid w:val="00AC475F"/>
    <w:rsid w:val="00AC4AA3"/>
    <w:rsid w:val="00AC54BD"/>
    <w:rsid w:val="00AC64C1"/>
    <w:rsid w:val="00AC704A"/>
    <w:rsid w:val="00AD0F3A"/>
    <w:rsid w:val="00AD0FC0"/>
    <w:rsid w:val="00AD12F2"/>
    <w:rsid w:val="00AD2275"/>
    <w:rsid w:val="00AD2D61"/>
    <w:rsid w:val="00AD3063"/>
    <w:rsid w:val="00AD3378"/>
    <w:rsid w:val="00AD377E"/>
    <w:rsid w:val="00AD39A0"/>
    <w:rsid w:val="00AD51AC"/>
    <w:rsid w:val="00AD5875"/>
    <w:rsid w:val="00AD59B4"/>
    <w:rsid w:val="00AD59DE"/>
    <w:rsid w:val="00AD60A0"/>
    <w:rsid w:val="00AD73D2"/>
    <w:rsid w:val="00AD7668"/>
    <w:rsid w:val="00AD77B8"/>
    <w:rsid w:val="00AE103A"/>
    <w:rsid w:val="00AE23B8"/>
    <w:rsid w:val="00AE272B"/>
    <w:rsid w:val="00AE2E7E"/>
    <w:rsid w:val="00AE3C12"/>
    <w:rsid w:val="00AE3DCE"/>
    <w:rsid w:val="00AE45F8"/>
    <w:rsid w:val="00AE4A32"/>
    <w:rsid w:val="00AE4C75"/>
    <w:rsid w:val="00AE51BD"/>
    <w:rsid w:val="00AE533B"/>
    <w:rsid w:val="00AE539B"/>
    <w:rsid w:val="00AE5FCA"/>
    <w:rsid w:val="00AE7538"/>
    <w:rsid w:val="00AE7AC1"/>
    <w:rsid w:val="00AE7DEF"/>
    <w:rsid w:val="00AF13AA"/>
    <w:rsid w:val="00AF1605"/>
    <w:rsid w:val="00AF33F5"/>
    <w:rsid w:val="00AF380F"/>
    <w:rsid w:val="00AF3F40"/>
    <w:rsid w:val="00AF42A7"/>
    <w:rsid w:val="00AF4568"/>
    <w:rsid w:val="00AF47CC"/>
    <w:rsid w:val="00AF4820"/>
    <w:rsid w:val="00AF5F39"/>
    <w:rsid w:val="00AF63BF"/>
    <w:rsid w:val="00AF6A1C"/>
    <w:rsid w:val="00AF6C08"/>
    <w:rsid w:val="00AF7048"/>
    <w:rsid w:val="00AF763C"/>
    <w:rsid w:val="00AF7C32"/>
    <w:rsid w:val="00B00644"/>
    <w:rsid w:val="00B007CA"/>
    <w:rsid w:val="00B00B3F"/>
    <w:rsid w:val="00B01354"/>
    <w:rsid w:val="00B017F0"/>
    <w:rsid w:val="00B01939"/>
    <w:rsid w:val="00B01C8A"/>
    <w:rsid w:val="00B03249"/>
    <w:rsid w:val="00B042CE"/>
    <w:rsid w:val="00B053B6"/>
    <w:rsid w:val="00B0705B"/>
    <w:rsid w:val="00B073A7"/>
    <w:rsid w:val="00B07802"/>
    <w:rsid w:val="00B078F4"/>
    <w:rsid w:val="00B1017C"/>
    <w:rsid w:val="00B10301"/>
    <w:rsid w:val="00B10BBD"/>
    <w:rsid w:val="00B10BEF"/>
    <w:rsid w:val="00B10D20"/>
    <w:rsid w:val="00B11A36"/>
    <w:rsid w:val="00B11EB8"/>
    <w:rsid w:val="00B12EDE"/>
    <w:rsid w:val="00B13229"/>
    <w:rsid w:val="00B13D88"/>
    <w:rsid w:val="00B14031"/>
    <w:rsid w:val="00B1422C"/>
    <w:rsid w:val="00B14C7C"/>
    <w:rsid w:val="00B15328"/>
    <w:rsid w:val="00B15643"/>
    <w:rsid w:val="00B161CF"/>
    <w:rsid w:val="00B1697E"/>
    <w:rsid w:val="00B16A6C"/>
    <w:rsid w:val="00B16FBC"/>
    <w:rsid w:val="00B17335"/>
    <w:rsid w:val="00B17571"/>
    <w:rsid w:val="00B17990"/>
    <w:rsid w:val="00B2047A"/>
    <w:rsid w:val="00B204BA"/>
    <w:rsid w:val="00B21B5B"/>
    <w:rsid w:val="00B21BAF"/>
    <w:rsid w:val="00B21C63"/>
    <w:rsid w:val="00B22372"/>
    <w:rsid w:val="00B2346F"/>
    <w:rsid w:val="00B236A2"/>
    <w:rsid w:val="00B24460"/>
    <w:rsid w:val="00B24633"/>
    <w:rsid w:val="00B24B67"/>
    <w:rsid w:val="00B25C82"/>
    <w:rsid w:val="00B30180"/>
    <w:rsid w:val="00B30339"/>
    <w:rsid w:val="00B304A3"/>
    <w:rsid w:val="00B3065F"/>
    <w:rsid w:val="00B30845"/>
    <w:rsid w:val="00B30FDE"/>
    <w:rsid w:val="00B312B8"/>
    <w:rsid w:val="00B312E5"/>
    <w:rsid w:val="00B31840"/>
    <w:rsid w:val="00B31961"/>
    <w:rsid w:val="00B31C81"/>
    <w:rsid w:val="00B31DAC"/>
    <w:rsid w:val="00B32125"/>
    <w:rsid w:val="00B32789"/>
    <w:rsid w:val="00B336A0"/>
    <w:rsid w:val="00B34485"/>
    <w:rsid w:val="00B36BA5"/>
    <w:rsid w:val="00B37150"/>
    <w:rsid w:val="00B37659"/>
    <w:rsid w:val="00B37B97"/>
    <w:rsid w:val="00B4024D"/>
    <w:rsid w:val="00B40287"/>
    <w:rsid w:val="00B40C14"/>
    <w:rsid w:val="00B40E1F"/>
    <w:rsid w:val="00B40E37"/>
    <w:rsid w:val="00B4200D"/>
    <w:rsid w:val="00B42338"/>
    <w:rsid w:val="00B4274A"/>
    <w:rsid w:val="00B42A71"/>
    <w:rsid w:val="00B43522"/>
    <w:rsid w:val="00B43C1F"/>
    <w:rsid w:val="00B4512F"/>
    <w:rsid w:val="00B454AC"/>
    <w:rsid w:val="00B46937"/>
    <w:rsid w:val="00B471EB"/>
    <w:rsid w:val="00B472E6"/>
    <w:rsid w:val="00B4739D"/>
    <w:rsid w:val="00B500FA"/>
    <w:rsid w:val="00B505CA"/>
    <w:rsid w:val="00B51798"/>
    <w:rsid w:val="00B51D61"/>
    <w:rsid w:val="00B520DB"/>
    <w:rsid w:val="00B5216F"/>
    <w:rsid w:val="00B53A2F"/>
    <w:rsid w:val="00B53C80"/>
    <w:rsid w:val="00B540C0"/>
    <w:rsid w:val="00B54750"/>
    <w:rsid w:val="00B54FA6"/>
    <w:rsid w:val="00B5592C"/>
    <w:rsid w:val="00B55EBD"/>
    <w:rsid w:val="00B5651E"/>
    <w:rsid w:val="00B6082E"/>
    <w:rsid w:val="00B609CF"/>
    <w:rsid w:val="00B60BB6"/>
    <w:rsid w:val="00B60FE9"/>
    <w:rsid w:val="00B6119B"/>
    <w:rsid w:val="00B61B3C"/>
    <w:rsid w:val="00B61C3E"/>
    <w:rsid w:val="00B61C8A"/>
    <w:rsid w:val="00B62A32"/>
    <w:rsid w:val="00B62D23"/>
    <w:rsid w:val="00B636B4"/>
    <w:rsid w:val="00B63D23"/>
    <w:rsid w:val="00B63F83"/>
    <w:rsid w:val="00B6432F"/>
    <w:rsid w:val="00B64A79"/>
    <w:rsid w:val="00B64B63"/>
    <w:rsid w:val="00B64C6F"/>
    <w:rsid w:val="00B64FDC"/>
    <w:rsid w:val="00B650B3"/>
    <w:rsid w:val="00B650F4"/>
    <w:rsid w:val="00B651AE"/>
    <w:rsid w:val="00B6537F"/>
    <w:rsid w:val="00B65458"/>
    <w:rsid w:val="00B6570F"/>
    <w:rsid w:val="00B65C0F"/>
    <w:rsid w:val="00B6679C"/>
    <w:rsid w:val="00B6722D"/>
    <w:rsid w:val="00B67C99"/>
    <w:rsid w:val="00B70564"/>
    <w:rsid w:val="00B705E7"/>
    <w:rsid w:val="00B70BB8"/>
    <w:rsid w:val="00B72A71"/>
    <w:rsid w:val="00B741FF"/>
    <w:rsid w:val="00B7431D"/>
    <w:rsid w:val="00B7433F"/>
    <w:rsid w:val="00B74B18"/>
    <w:rsid w:val="00B74C79"/>
    <w:rsid w:val="00B74C86"/>
    <w:rsid w:val="00B751C5"/>
    <w:rsid w:val="00B75996"/>
    <w:rsid w:val="00B75AC0"/>
    <w:rsid w:val="00B76BD2"/>
    <w:rsid w:val="00B772B3"/>
    <w:rsid w:val="00B77A2D"/>
    <w:rsid w:val="00B80322"/>
    <w:rsid w:val="00B80497"/>
    <w:rsid w:val="00B8193E"/>
    <w:rsid w:val="00B81F8C"/>
    <w:rsid w:val="00B82229"/>
    <w:rsid w:val="00B83405"/>
    <w:rsid w:val="00B8375A"/>
    <w:rsid w:val="00B83E1E"/>
    <w:rsid w:val="00B84025"/>
    <w:rsid w:val="00B84141"/>
    <w:rsid w:val="00B84590"/>
    <w:rsid w:val="00B8652C"/>
    <w:rsid w:val="00B86912"/>
    <w:rsid w:val="00B87164"/>
    <w:rsid w:val="00B87A1C"/>
    <w:rsid w:val="00B87AC7"/>
    <w:rsid w:val="00B87BD8"/>
    <w:rsid w:val="00B87F64"/>
    <w:rsid w:val="00B9193B"/>
    <w:rsid w:val="00B921BA"/>
    <w:rsid w:val="00B927AD"/>
    <w:rsid w:val="00B92AB5"/>
    <w:rsid w:val="00B92B5F"/>
    <w:rsid w:val="00B9359B"/>
    <w:rsid w:val="00B9368C"/>
    <w:rsid w:val="00B94264"/>
    <w:rsid w:val="00B9460B"/>
    <w:rsid w:val="00B94656"/>
    <w:rsid w:val="00B94DDF"/>
    <w:rsid w:val="00B96A57"/>
    <w:rsid w:val="00BA0734"/>
    <w:rsid w:val="00BA18A5"/>
    <w:rsid w:val="00BA1EFF"/>
    <w:rsid w:val="00BA2041"/>
    <w:rsid w:val="00BA24CB"/>
    <w:rsid w:val="00BA39D7"/>
    <w:rsid w:val="00BA3C58"/>
    <w:rsid w:val="00BA4560"/>
    <w:rsid w:val="00BA464E"/>
    <w:rsid w:val="00BA5651"/>
    <w:rsid w:val="00BA5FA0"/>
    <w:rsid w:val="00BA69B8"/>
    <w:rsid w:val="00BA6E16"/>
    <w:rsid w:val="00BA6F6C"/>
    <w:rsid w:val="00BA79A6"/>
    <w:rsid w:val="00BA7A0C"/>
    <w:rsid w:val="00BA7CA0"/>
    <w:rsid w:val="00BA7CB0"/>
    <w:rsid w:val="00BB03CF"/>
    <w:rsid w:val="00BB0407"/>
    <w:rsid w:val="00BB0482"/>
    <w:rsid w:val="00BB080B"/>
    <w:rsid w:val="00BB11D9"/>
    <w:rsid w:val="00BB1687"/>
    <w:rsid w:val="00BB1C51"/>
    <w:rsid w:val="00BB1FF4"/>
    <w:rsid w:val="00BB233C"/>
    <w:rsid w:val="00BB2AB0"/>
    <w:rsid w:val="00BB2F16"/>
    <w:rsid w:val="00BB2F9A"/>
    <w:rsid w:val="00BB39A5"/>
    <w:rsid w:val="00BB3B53"/>
    <w:rsid w:val="00BB5FF8"/>
    <w:rsid w:val="00BB6DC5"/>
    <w:rsid w:val="00BB7495"/>
    <w:rsid w:val="00BC0483"/>
    <w:rsid w:val="00BC0F3E"/>
    <w:rsid w:val="00BC129A"/>
    <w:rsid w:val="00BC1730"/>
    <w:rsid w:val="00BC2570"/>
    <w:rsid w:val="00BC25E9"/>
    <w:rsid w:val="00BC31AD"/>
    <w:rsid w:val="00BC3946"/>
    <w:rsid w:val="00BC3AC9"/>
    <w:rsid w:val="00BC3E24"/>
    <w:rsid w:val="00BC4BE8"/>
    <w:rsid w:val="00BC517D"/>
    <w:rsid w:val="00BC5530"/>
    <w:rsid w:val="00BC5A70"/>
    <w:rsid w:val="00BC5DD0"/>
    <w:rsid w:val="00BC713B"/>
    <w:rsid w:val="00BC7298"/>
    <w:rsid w:val="00BC7BFD"/>
    <w:rsid w:val="00BC7F43"/>
    <w:rsid w:val="00BD0031"/>
    <w:rsid w:val="00BD0544"/>
    <w:rsid w:val="00BD06D0"/>
    <w:rsid w:val="00BD0948"/>
    <w:rsid w:val="00BD13C8"/>
    <w:rsid w:val="00BD1C15"/>
    <w:rsid w:val="00BD24F4"/>
    <w:rsid w:val="00BD3C1F"/>
    <w:rsid w:val="00BD5585"/>
    <w:rsid w:val="00BD5DF7"/>
    <w:rsid w:val="00BD648D"/>
    <w:rsid w:val="00BD7134"/>
    <w:rsid w:val="00BD7523"/>
    <w:rsid w:val="00BD76FE"/>
    <w:rsid w:val="00BD7EDF"/>
    <w:rsid w:val="00BE078F"/>
    <w:rsid w:val="00BE0FB4"/>
    <w:rsid w:val="00BE23B2"/>
    <w:rsid w:val="00BE385C"/>
    <w:rsid w:val="00BE3AB4"/>
    <w:rsid w:val="00BE5C58"/>
    <w:rsid w:val="00BE6683"/>
    <w:rsid w:val="00BE67EF"/>
    <w:rsid w:val="00BE6F88"/>
    <w:rsid w:val="00BF04CE"/>
    <w:rsid w:val="00BF1934"/>
    <w:rsid w:val="00BF19B3"/>
    <w:rsid w:val="00BF1DC6"/>
    <w:rsid w:val="00BF2DA4"/>
    <w:rsid w:val="00BF2E85"/>
    <w:rsid w:val="00BF30DE"/>
    <w:rsid w:val="00BF322A"/>
    <w:rsid w:val="00BF3DC6"/>
    <w:rsid w:val="00BF3FC7"/>
    <w:rsid w:val="00BF403C"/>
    <w:rsid w:val="00BF40ED"/>
    <w:rsid w:val="00BF417B"/>
    <w:rsid w:val="00BF4356"/>
    <w:rsid w:val="00BF4366"/>
    <w:rsid w:val="00BF4CEF"/>
    <w:rsid w:val="00BF5173"/>
    <w:rsid w:val="00BF7976"/>
    <w:rsid w:val="00C00258"/>
    <w:rsid w:val="00C01731"/>
    <w:rsid w:val="00C02693"/>
    <w:rsid w:val="00C03B25"/>
    <w:rsid w:val="00C03CE7"/>
    <w:rsid w:val="00C04026"/>
    <w:rsid w:val="00C04520"/>
    <w:rsid w:val="00C04A8D"/>
    <w:rsid w:val="00C04AF2"/>
    <w:rsid w:val="00C04CF3"/>
    <w:rsid w:val="00C04E9A"/>
    <w:rsid w:val="00C04FDE"/>
    <w:rsid w:val="00C05202"/>
    <w:rsid w:val="00C053B0"/>
    <w:rsid w:val="00C05747"/>
    <w:rsid w:val="00C05FB0"/>
    <w:rsid w:val="00C061ED"/>
    <w:rsid w:val="00C0634A"/>
    <w:rsid w:val="00C06C3A"/>
    <w:rsid w:val="00C06DEA"/>
    <w:rsid w:val="00C0795D"/>
    <w:rsid w:val="00C07EDE"/>
    <w:rsid w:val="00C10339"/>
    <w:rsid w:val="00C10B2C"/>
    <w:rsid w:val="00C10BD2"/>
    <w:rsid w:val="00C113B0"/>
    <w:rsid w:val="00C118DE"/>
    <w:rsid w:val="00C11A50"/>
    <w:rsid w:val="00C11ABC"/>
    <w:rsid w:val="00C12FD7"/>
    <w:rsid w:val="00C13C4E"/>
    <w:rsid w:val="00C13D30"/>
    <w:rsid w:val="00C13FEA"/>
    <w:rsid w:val="00C148A1"/>
    <w:rsid w:val="00C1595E"/>
    <w:rsid w:val="00C167EC"/>
    <w:rsid w:val="00C16E60"/>
    <w:rsid w:val="00C17A04"/>
    <w:rsid w:val="00C2079E"/>
    <w:rsid w:val="00C20F60"/>
    <w:rsid w:val="00C2225E"/>
    <w:rsid w:val="00C22C6E"/>
    <w:rsid w:val="00C23962"/>
    <w:rsid w:val="00C2464F"/>
    <w:rsid w:val="00C24839"/>
    <w:rsid w:val="00C25644"/>
    <w:rsid w:val="00C25724"/>
    <w:rsid w:val="00C27B24"/>
    <w:rsid w:val="00C30EBF"/>
    <w:rsid w:val="00C30EF3"/>
    <w:rsid w:val="00C31608"/>
    <w:rsid w:val="00C31E1F"/>
    <w:rsid w:val="00C32714"/>
    <w:rsid w:val="00C32F1D"/>
    <w:rsid w:val="00C3354E"/>
    <w:rsid w:val="00C339F0"/>
    <w:rsid w:val="00C33E3A"/>
    <w:rsid w:val="00C33F95"/>
    <w:rsid w:val="00C34072"/>
    <w:rsid w:val="00C349A7"/>
    <w:rsid w:val="00C34E83"/>
    <w:rsid w:val="00C352CB"/>
    <w:rsid w:val="00C3662D"/>
    <w:rsid w:val="00C36630"/>
    <w:rsid w:val="00C36EF1"/>
    <w:rsid w:val="00C405DE"/>
    <w:rsid w:val="00C407B0"/>
    <w:rsid w:val="00C40A37"/>
    <w:rsid w:val="00C4126A"/>
    <w:rsid w:val="00C414C3"/>
    <w:rsid w:val="00C418C8"/>
    <w:rsid w:val="00C42282"/>
    <w:rsid w:val="00C441DD"/>
    <w:rsid w:val="00C460DD"/>
    <w:rsid w:val="00C474FE"/>
    <w:rsid w:val="00C5011B"/>
    <w:rsid w:val="00C501AE"/>
    <w:rsid w:val="00C515AB"/>
    <w:rsid w:val="00C51864"/>
    <w:rsid w:val="00C51E08"/>
    <w:rsid w:val="00C520CA"/>
    <w:rsid w:val="00C52B34"/>
    <w:rsid w:val="00C52E6C"/>
    <w:rsid w:val="00C53D90"/>
    <w:rsid w:val="00C544D8"/>
    <w:rsid w:val="00C54665"/>
    <w:rsid w:val="00C54EBE"/>
    <w:rsid w:val="00C55467"/>
    <w:rsid w:val="00C5618D"/>
    <w:rsid w:val="00C56D3F"/>
    <w:rsid w:val="00C57517"/>
    <w:rsid w:val="00C57557"/>
    <w:rsid w:val="00C57FF7"/>
    <w:rsid w:val="00C6071C"/>
    <w:rsid w:val="00C6188C"/>
    <w:rsid w:val="00C6207C"/>
    <w:rsid w:val="00C6246B"/>
    <w:rsid w:val="00C6268E"/>
    <w:rsid w:val="00C62A6E"/>
    <w:rsid w:val="00C62DEB"/>
    <w:rsid w:val="00C6309D"/>
    <w:rsid w:val="00C639B0"/>
    <w:rsid w:val="00C64601"/>
    <w:rsid w:val="00C64667"/>
    <w:rsid w:val="00C65081"/>
    <w:rsid w:val="00C655E4"/>
    <w:rsid w:val="00C657CF"/>
    <w:rsid w:val="00C658FA"/>
    <w:rsid w:val="00C665F9"/>
    <w:rsid w:val="00C6784A"/>
    <w:rsid w:val="00C679D6"/>
    <w:rsid w:val="00C707F1"/>
    <w:rsid w:val="00C7151A"/>
    <w:rsid w:val="00C71B62"/>
    <w:rsid w:val="00C7270A"/>
    <w:rsid w:val="00C744DA"/>
    <w:rsid w:val="00C74651"/>
    <w:rsid w:val="00C7482E"/>
    <w:rsid w:val="00C74BD3"/>
    <w:rsid w:val="00C74D16"/>
    <w:rsid w:val="00C74D53"/>
    <w:rsid w:val="00C750F2"/>
    <w:rsid w:val="00C75B26"/>
    <w:rsid w:val="00C7634E"/>
    <w:rsid w:val="00C76AB7"/>
    <w:rsid w:val="00C77814"/>
    <w:rsid w:val="00C803CC"/>
    <w:rsid w:val="00C80F1D"/>
    <w:rsid w:val="00C8149B"/>
    <w:rsid w:val="00C8258F"/>
    <w:rsid w:val="00C829F5"/>
    <w:rsid w:val="00C839A0"/>
    <w:rsid w:val="00C840EE"/>
    <w:rsid w:val="00C84CF8"/>
    <w:rsid w:val="00C8647C"/>
    <w:rsid w:val="00C864E6"/>
    <w:rsid w:val="00C867A8"/>
    <w:rsid w:val="00C86A70"/>
    <w:rsid w:val="00C873D3"/>
    <w:rsid w:val="00C90747"/>
    <w:rsid w:val="00C90CF8"/>
    <w:rsid w:val="00C922AA"/>
    <w:rsid w:val="00C9266F"/>
    <w:rsid w:val="00C93D13"/>
    <w:rsid w:val="00C95260"/>
    <w:rsid w:val="00C95468"/>
    <w:rsid w:val="00C96883"/>
    <w:rsid w:val="00C97AC4"/>
    <w:rsid w:val="00CA0B68"/>
    <w:rsid w:val="00CA36BF"/>
    <w:rsid w:val="00CA38E4"/>
    <w:rsid w:val="00CA439F"/>
    <w:rsid w:val="00CA47BA"/>
    <w:rsid w:val="00CA5E6E"/>
    <w:rsid w:val="00CA667B"/>
    <w:rsid w:val="00CA66A9"/>
    <w:rsid w:val="00CA7562"/>
    <w:rsid w:val="00CA77AD"/>
    <w:rsid w:val="00CA7C18"/>
    <w:rsid w:val="00CB0146"/>
    <w:rsid w:val="00CB01A0"/>
    <w:rsid w:val="00CB0265"/>
    <w:rsid w:val="00CB17AE"/>
    <w:rsid w:val="00CB1AE8"/>
    <w:rsid w:val="00CB291A"/>
    <w:rsid w:val="00CB2A30"/>
    <w:rsid w:val="00CB3200"/>
    <w:rsid w:val="00CB3243"/>
    <w:rsid w:val="00CB3285"/>
    <w:rsid w:val="00CB3F8F"/>
    <w:rsid w:val="00CB4077"/>
    <w:rsid w:val="00CB5196"/>
    <w:rsid w:val="00CB69EF"/>
    <w:rsid w:val="00CB6A7F"/>
    <w:rsid w:val="00CB6BB9"/>
    <w:rsid w:val="00CB6E08"/>
    <w:rsid w:val="00CB7142"/>
    <w:rsid w:val="00CC05F9"/>
    <w:rsid w:val="00CC0A2F"/>
    <w:rsid w:val="00CC1541"/>
    <w:rsid w:val="00CC1958"/>
    <w:rsid w:val="00CC1F05"/>
    <w:rsid w:val="00CC24D5"/>
    <w:rsid w:val="00CC2516"/>
    <w:rsid w:val="00CC2D0E"/>
    <w:rsid w:val="00CC2F28"/>
    <w:rsid w:val="00CC597B"/>
    <w:rsid w:val="00CC5BA6"/>
    <w:rsid w:val="00CC5D3D"/>
    <w:rsid w:val="00CC60AE"/>
    <w:rsid w:val="00CC62CB"/>
    <w:rsid w:val="00CC670C"/>
    <w:rsid w:val="00CC6C97"/>
    <w:rsid w:val="00CC7037"/>
    <w:rsid w:val="00CC7487"/>
    <w:rsid w:val="00CC76B7"/>
    <w:rsid w:val="00CC7997"/>
    <w:rsid w:val="00CD0BF8"/>
    <w:rsid w:val="00CD0DF2"/>
    <w:rsid w:val="00CD12A3"/>
    <w:rsid w:val="00CD1CC6"/>
    <w:rsid w:val="00CD243C"/>
    <w:rsid w:val="00CD3E56"/>
    <w:rsid w:val="00CD61C2"/>
    <w:rsid w:val="00CD69DA"/>
    <w:rsid w:val="00CD6F2A"/>
    <w:rsid w:val="00CD7BE4"/>
    <w:rsid w:val="00CE0813"/>
    <w:rsid w:val="00CE1A51"/>
    <w:rsid w:val="00CE252F"/>
    <w:rsid w:val="00CE3953"/>
    <w:rsid w:val="00CE3EBB"/>
    <w:rsid w:val="00CE4792"/>
    <w:rsid w:val="00CE5435"/>
    <w:rsid w:val="00CE5730"/>
    <w:rsid w:val="00CE5B85"/>
    <w:rsid w:val="00CE5CE4"/>
    <w:rsid w:val="00CE7213"/>
    <w:rsid w:val="00CE76AF"/>
    <w:rsid w:val="00CE7BD0"/>
    <w:rsid w:val="00CF0FE1"/>
    <w:rsid w:val="00CF1D57"/>
    <w:rsid w:val="00CF3018"/>
    <w:rsid w:val="00CF4458"/>
    <w:rsid w:val="00CF4785"/>
    <w:rsid w:val="00CF4794"/>
    <w:rsid w:val="00CF49E5"/>
    <w:rsid w:val="00CF4A5F"/>
    <w:rsid w:val="00CF4C8D"/>
    <w:rsid w:val="00CF4F85"/>
    <w:rsid w:val="00CF540D"/>
    <w:rsid w:val="00CF5E67"/>
    <w:rsid w:val="00CF6A3E"/>
    <w:rsid w:val="00CF6AD1"/>
    <w:rsid w:val="00CF7031"/>
    <w:rsid w:val="00CF767D"/>
    <w:rsid w:val="00D009BF"/>
    <w:rsid w:val="00D00FC7"/>
    <w:rsid w:val="00D01325"/>
    <w:rsid w:val="00D0189C"/>
    <w:rsid w:val="00D02096"/>
    <w:rsid w:val="00D025A4"/>
    <w:rsid w:val="00D02B86"/>
    <w:rsid w:val="00D03EFF"/>
    <w:rsid w:val="00D04098"/>
    <w:rsid w:val="00D0444D"/>
    <w:rsid w:val="00D045A5"/>
    <w:rsid w:val="00D04A3A"/>
    <w:rsid w:val="00D0607E"/>
    <w:rsid w:val="00D0618C"/>
    <w:rsid w:val="00D0757F"/>
    <w:rsid w:val="00D07DCE"/>
    <w:rsid w:val="00D114E6"/>
    <w:rsid w:val="00D118F8"/>
    <w:rsid w:val="00D11C36"/>
    <w:rsid w:val="00D11C91"/>
    <w:rsid w:val="00D123FF"/>
    <w:rsid w:val="00D13091"/>
    <w:rsid w:val="00D13779"/>
    <w:rsid w:val="00D137B2"/>
    <w:rsid w:val="00D13D4A"/>
    <w:rsid w:val="00D141C8"/>
    <w:rsid w:val="00D143E7"/>
    <w:rsid w:val="00D150C8"/>
    <w:rsid w:val="00D15103"/>
    <w:rsid w:val="00D17E51"/>
    <w:rsid w:val="00D20DA2"/>
    <w:rsid w:val="00D21B40"/>
    <w:rsid w:val="00D21E47"/>
    <w:rsid w:val="00D22F8B"/>
    <w:rsid w:val="00D23764"/>
    <w:rsid w:val="00D242E3"/>
    <w:rsid w:val="00D24A37"/>
    <w:rsid w:val="00D24FE5"/>
    <w:rsid w:val="00D25AAD"/>
    <w:rsid w:val="00D25D2D"/>
    <w:rsid w:val="00D26562"/>
    <w:rsid w:val="00D26C54"/>
    <w:rsid w:val="00D27110"/>
    <w:rsid w:val="00D27A3E"/>
    <w:rsid w:val="00D30951"/>
    <w:rsid w:val="00D30975"/>
    <w:rsid w:val="00D31399"/>
    <w:rsid w:val="00D31C95"/>
    <w:rsid w:val="00D32010"/>
    <w:rsid w:val="00D32357"/>
    <w:rsid w:val="00D3257A"/>
    <w:rsid w:val="00D329EA"/>
    <w:rsid w:val="00D32AB0"/>
    <w:rsid w:val="00D32B4C"/>
    <w:rsid w:val="00D3443A"/>
    <w:rsid w:val="00D34ADC"/>
    <w:rsid w:val="00D34ED3"/>
    <w:rsid w:val="00D35279"/>
    <w:rsid w:val="00D35614"/>
    <w:rsid w:val="00D35F8A"/>
    <w:rsid w:val="00D36F31"/>
    <w:rsid w:val="00D3795B"/>
    <w:rsid w:val="00D4024E"/>
    <w:rsid w:val="00D4076F"/>
    <w:rsid w:val="00D41237"/>
    <w:rsid w:val="00D41292"/>
    <w:rsid w:val="00D41B92"/>
    <w:rsid w:val="00D42265"/>
    <w:rsid w:val="00D42534"/>
    <w:rsid w:val="00D431A8"/>
    <w:rsid w:val="00D4352D"/>
    <w:rsid w:val="00D44EF4"/>
    <w:rsid w:val="00D4504E"/>
    <w:rsid w:val="00D450E0"/>
    <w:rsid w:val="00D45547"/>
    <w:rsid w:val="00D45824"/>
    <w:rsid w:val="00D45966"/>
    <w:rsid w:val="00D45AF1"/>
    <w:rsid w:val="00D472F5"/>
    <w:rsid w:val="00D47489"/>
    <w:rsid w:val="00D5078C"/>
    <w:rsid w:val="00D51681"/>
    <w:rsid w:val="00D51CC4"/>
    <w:rsid w:val="00D525AD"/>
    <w:rsid w:val="00D52658"/>
    <w:rsid w:val="00D5295B"/>
    <w:rsid w:val="00D53915"/>
    <w:rsid w:val="00D53979"/>
    <w:rsid w:val="00D5423E"/>
    <w:rsid w:val="00D557C2"/>
    <w:rsid w:val="00D55A19"/>
    <w:rsid w:val="00D5601C"/>
    <w:rsid w:val="00D56309"/>
    <w:rsid w:val="00D5680F"/>
    <w:rsid w:val="00D56A65"/>
    <w:rsid w:val="00D56C28"/>
    <w:rsid w:val="00D56DBA"/>
    <w:rsid w:val="00D57ED6"/>
    <w:rsid w:val="00D60617"/>
    <w:rsid w:val="00D62521"/>
    <w:rsid w:val="00D63627"/>
    <w:rsid w:val="00D663CA"/>
    <w:rsid w:val="00D66E04"/>
    <w:rsid w:val="00D66E23"/>
    <w:rsid w:val="00D70D97"/>
    <w:rsid w:val="00D70DB1"/>
    <w:rsid w:val="00D71188"/>
    <w:rsid w:val="00D7248C"/>
    <w:rsid w:val="00D724FF"/>
    <w:rsid w:val="00D73122"/>
    <w:rsid w:val="00D73AB6"/>
    <w:rsid w:val="00D73C73"/>
    <w:rsid w:val="00D74265"/>
    <w:rsid w:val="00D74339"/>
    <w:rsid w:val="00D74352"/>
    <w:rsid w:val="00D7506B"/>
    <w:rsid w:val="00D75114"/>
    <w:rsid w:val="00D75D9A"/>
    <w:rsid w:val="00D766E5"/>
    <w:rsid w:val="00D76CC0"/>
    <w:rsid w:val="00D770E7"/>
    <w:rsid w:val="00D77336"/>
    <w:rsid w:val="00D773AB"/>
    <w:rsid w:val="00D7778A"/>
    <w:rsid w:val="00D77981"/>
    <w:rsid w:val="00D77D77"/>
    <w:rsid w:val="00D80A86"/>
    <w:rsid w:val="00D80DA0"/>
    <w:rsid w:val="00D80F97"/>
    <w:rsid w:val="00D8108E"/>
    <w:rsid w:val="00D81682"/>
    <w:rsid w:val="00D8293A"/>
    <w:rsid w:val="00D82F8A"/>
    <w:rsid w:val="00D83103"/>
    <w:rsid w:val="00D839F2"/>
    <w:rsid w:val="00D83A30"/>
    <w:rsid w:val="00D83FAA"/>
    <w:rsid w:val="00D84443"/>
    <w:rsid w:val="00D84995"/>
    <w:rsid w:val="00D84D8B"/>
    <w:rsid w:val="00D84ECA"/>
    <w:rsid w:val="00D8503F"/>
    <w:rsid w:val="00D85E2F"/>
    <w:rsid w:val="00D85ED0"/>
    <w:rsid w:val="00D861F4"/>
    <w:rsid w:val="00D86629"/>
    <w:rsid w:val="00D867E0"/>
    <w:rsid w:val="00D86A51"/>
    <w:rsid w:val="00D87273"/>
    <w:rsid w:val="00D87798"/>
    <w:rsid w:val="00D90299"/>
    <w:rsid w:val="00D903D8"/>
    <w:rsid w:val="00D904B6"/>
    <w:rsid w:val="00D9058C"/>
    <w:rsid w:val="00D906AE"/>
    <w:rsid w:val="00D908EB"/>
    <w:rsid w:val="00D90972"/>
    <w:rsid w:val="00D90D7C"/>
    <w:rsid w:val="00D9298D"/>
    <w:rsid w:val="00D93ED3"/>
    <w:rsid w:val="00D95246"/>
    <w:rsid w:val="00D9707A"/>
    <w:rsid w:val="00D97A44"/>
    <w:rsid w:val="00D97BAE"/>
    <w:rsid w:val="00DA04FE"/>
    <w:rsid w:val="00DA0749"/>
    <w:rsid w:val="00DA09F2"/>
    <w:rsid w:val="00DA0F63"/>
    <w:rsid w:val="00DA103C"/>
    <w:rsid w:val="00DA128C"/>
    <w:rsid w:val="00DA16D5"/>
    <w:rsid w:val="00DA192E"/>
    <w:rsid w:val="00DA213B"/>
    <w:rsid w:val="00DA2240"/>
    <w:rsid w:val="00DA25D7"/>
    <w:rsid w:val="00DA3D2B"/>
    <w:rsid w:val="00DA416D"/>
    <w:rsid w:val="00DA4F68"/>
    <w:rsid w:val="00DA5E5E"/>
    <w:rsid w:val="00DA6694"/>
    <w:rsid w:val="00DA70BB"/>
    <w:rsid w:val="00DA7457"/>
    <w:rsid w:val="00DA7CB9"/>
    <w:rsid w:val="00DB036A"/>
    <w:rsid w:val="00DB0CA1"/>
    <w:rsid w:val="00DB1E74"/>
    <w:rsid w:val="00DB3404"/>
    <w:rsid w:val="00DB36CB"/>
    <w:rsid w:val="00DB4905"/>
    <w:rsid w:val="00DB4941"/>
    <w:rsid w:val="00DB55FA"/>
    <w:rsid w:val="00DB5B6B"/>
    <w:rsid w:val="00DB6317"/>
    <w:rsid w:val="00DB6DF7"/>
    <w:rsid w:val="00DB79A3"/>
    <w:rsid w:val="00DB7A33"/>
    <w:rsid w:val="00DB7F1A"/>
    <w:rsid w:val="00DC05E1"/>
    <w:rsid w:val="00DC3954"/>
    <w:rsid w:val="00DC395F"/>
    <w:rsid w:val="00DC3D01"/>
    <w:rsid w:val="00DC4583"/>
    <w:rsid w:val="00DC501F"/>
    <w:rsid w:val="00DC6B9A"/>
    <w:rsid w:val="00DC7CE7"/>
    <w:rsid w:val="00DD03CF"/>
    <w:rsid w:val="00DD0D3B"/>
    <w:rsid w:val="00DD0DAB"/>
    <w:rsid w:val="00DD0DC4"/>
    <w:rsid w:val="00DD1E0A"/>
    <w:rsid w:val="00DD32BD"/>
    <w:rsid w:val="00DD3400"/>
    <w:rsid w:val="00DD50A2"/>
    <w:rsid w:val="00DD5A7F"/>
    <w:rsid w:val="00DD6DC1"/>
    <w:rsid w:val="00DD6E6B"/>
    <w:rsid w:val="00DD75B1"/>
    <w:rsid w:val="00DD7F1A"/>
    <w:rsid w:val="00DD7FE7"/>
    <w:rsid w:val="00DE0995"/>
    <w:rsid w:val="00DE1805"/>
    <w:rsid w:val="00DE27C0"/>
    <w:rsid w:val="00DE2CD7"/>
    <w:rsid w:val="00DE2D80"/>
    <w:rsid w:val="00DE34C6"/>
    <w:rsid w:val="00DE39AC"/>
    <w:rsid w:val="00DE434C"/>
    <w:rsid w:val="00DE467A"/>
    <w:rsid w:val="00DE4C99"/>
    <w:rsid w:val="00DE67B9"/>
    <w:rsid w:val="00DE7CBE"/>
    <w:rsid w:val="00DF074E"/>
    <w:rsid w:val="00DF0D82"/>
    <w:rsid w:val="00DF155D"/>
    <w:rsid w:val="00DF1F35"/>
    <w:rsid w:val="00DF21F6"/>
    <w:rsid w:val="00DF28B8"/>
    <w:rsid w:val="00DF2BD1"/>
    <w:rsid w:val="00DF3024"/>
    <w:rsid w:val="00DF32D2"/>
    <w:rsid w:val="00DF38B3"/>
    <w:rsid w:val="00DF3E06"/>
    <w:rsid w:val="00DF4380"/>
    <w:rsid w:val="00DF472E"/>
    <w:rsid w:val="00DF47F2"/>
    <w:rsid w:val="00DF5272"/>
    <w:rsid w:val="00DF5C92"/>
    <w:rsid w:val="00DF600D"/>
    <w:rsid w:val="00DF6013"/>
    <w:rsid w:val="00DF6C73"/>
    <w:rsid w:val="00DF75DA"/>
    <w:rsid w:val="00DF7651"/>
    <w:rsid w:val="00DF7D87"/>
    <w:rsid w:val="00E01130"/>
    <w:rsid w:val="00E01262"/>
    <w:rsid w:val="00E01489"/>
    <w:rsid w:val="00E016E0"/>
    <w:rsid w:val="00E01A34"/>
    <w:rsid w:val="00E01E2B"/>
    <w:rsid w:val="00E020C7"/>
    <w:rsid w:val="00E03BB0"/>
    <w:rsid w:val="00E04F38"/>
    <w:rsid w:val="00E05DF0"/>
    <w:rsid w:val="00E05FF9"/>
    <w:rsid w:val="00E0740D"/>
    <w:rsid w:val="00E07B4D"/>
    <w:rsid w:val="00E1014E"/>
    <w:rsid w:val="00E10AB5"/>
    <w:rsid w:val="00E113C1"/>
    <w:rsid w:val="00E12B2A"/>
    <w:rsid w:val="00E1436E"/>
    <w:rsid w:val="00E14A2F"/>
    <w:rsid w:val="00E1525E"/>
    <w:rsid w:val="00E16000"/>
    <w:rsid w:val="00E16039"/>
    <w:rsid w:val="00E163FC"/>
    <w:rsid w:val="00E16E89"/>
    <w:rsid w:val="00E178D2"/>
    <w:rsid w:val="00E17AC7"/>
    <w:rsid w:val="00E17F90"/>
    <w:rsid w:val="00E213CE"/>
    <w:rsid w:val="00E21788"/>
    <w:rsid w:val="00E22405"/>
    <w:rsid w:val="00E22AD8"/>
    <w:rsid w:val="00E22D5D"/>
    <w:rsid w:val="00E22F55"/>
    <w:rsid w:val="00E23640"/>
    <w:rsid w:val="00E23E80"/>
    <w:rsid w:val="00E24754"/>
    <w:rsid w:val="00E2492E"/>
    <w:rsid w:val="00E24EA2"/>
    <w:rsid w:val="00E252D8"/>
    <w:rsid w:val="00E2543B"/>
    <w:rsid w:val="00E25487"/>
    <w:rsid w:val="00E25A1C"/>
    <w:rsid w:val="00E25BD4"/>
    <w:rsid w:val="00E265B8"/>
    <w:rsid w:val="00E26B0B"/>
    <w:rsid w:val="00E26DAC"/>
    <w:rsid w:val="00E278AB"/>
    <w:rsid w:val="00E30E8E"/>
    <w:rsid w:val="00E31C0C"/>
    <w:rsid w:val="00E32403"/>
    <w:rsid w:val="00E32A56"/>
    <w:rsid w:val="00E32D31"/>
    <w:rsid w:val="00E33B94"/>
    <w:rsid w:val="00E344BA"/>
    <w:rsid w:val="00E34B04"/>
    <w:rsid w:val="00E367BE"/>
    <w:rsid w:val="00E367C9"/>
    <w:rsid w:val="00E36D72"/>
    <w:rsid w:val="00E40EA2"/>
    <w:rsid w:val="00E40EBB"/>
    <w:rsid w:val="00E413B2"/>
    <w:rsid w:val="00E4154E"/>
    <w:rsid w:val="00E41FD0"/>
    <w:rsid w:val="00E4226B"/>
    <w:rsid w:val="00E43146"/>
    <w:rsid w:val="00E4428A"/>
    <w:rsid w:val="00E444CA"/>
    <w:rsid w:val="00E44CDE"/>
    <w:rsid w:val="00E450C3"/>
    <w:rsid w:val="00E459DD"/>
    <w:rsid w:val="00E45BB3"/>
    <w:rsid w:val="00E46153"/>
    <w:rsid w:val="00E462BF"/>
    <w:rsid w:val="00E46664"/>
    <w:rsid w:val="00E5030D"/>
    <w:rsid w:val="00E50450"/>
    <w:rsid w:val="00E5083A"/>
    <w:rsid w:val="00E50B9F"/>
    <w:rsid w:val="00E50BBC"/>
    <w:rsid w:val="00E520D4"/>
    <w:rsid w:val="00E52A77"/>
    <w:rsid w:val="00E52EF2"/>
    <w:rsid w:val="00E534D5"/>
    <w:rsid w:val="00E53598"/>
    <w:rsid w:val="00E53A23"/>
    <w:rsid w:val="00E54889"/>
    <w:rsid w:val="00E548D3"/>
    <w:rsid w:val="00E54AAA"/>
    <w:rsid w:val="00E54D3A"/>
    <w:rsid w:val="00E60308"/>
    <w:rsid w:val="00E603C1"/>
    <w:rsid w:val="00E6059C"/>
    <w:rsid w:val="00E6120B"/>
    <w:rsid w:val="00E617A4"/>
    <w:rsid w:val="00E631CE"/>
    <w:rsid w:val="00E634E8"/>
    <w:rsid w:val="00E63ECC"/>
    <w:rsid w:val="00E63F06"/>
    <w:rsid w:val="00E6443F"/>
    <w:rsid w:val="00E65206"/>
    <w:rsid w:val="00E65C64"/>
    <w:rsid w:val="00E6674A"/>
    <w:rsid w:val="00E6712D"/>
    <w:rsid w:val="00E6746D"/>
    <w:rsid w:val="00E6788E"/>
    <w:rsid w:val="00E67900"/>
    <w:rsid w:val="00E679AD"/>
    <w:rsid w:val="00E70B1E"/>
    <w:rsid w:val="00E71395"/>
    <w:rsid w:val="00E72059"/>
    <w:rsid w:val="00E721C3"/>
    <w:rsid w:val="00E7221A"/>
    <w:rsid w:val="00E7230A"/>
    <w:rsid w:val="00E72CB5"/>
    <w:rsid w:val="00E73152"/>
    <w:rsid w:val="00E73229"/>
    <w:rsid w:val="00E73658"/>
    <w:rsid w:val="00E739AA"/>
    <w:rsid w:val="00E73BD3"/>
    <w:rsid w:val="00E73E51"/>
    <w:rsid w:val="00E74B36"/>
    <w:rsid w:val="00E74C0D"/>
    <w:rsid w:val="00E755EA"/>
    <w:rsid w:val="00E76DBC"/>
    <w:rsid w:val="00E76EA5"/>
    <w:rsid w:val="00E771DF"/>
    <w:rsid w:val="00E776F9"/>
    <w:rsid w:val="00E77A4F"/>
    <w:rsid w:val="00E81C01"/>
    <w:rsid w:val="00E81E68"/>
    <w:rsid w:val="00E82451"/>
    <w:rsid w:val="00E84812"/>
    <w:rsid w:val="00E84AD6"/>
    <w:rsid w:val="00E84F40"/>
    <w:rsid w:val="00E85864"/>
    <w:rsid w:val="00E8640D"/>
    <w:rsid w:val="00E870CB"/>
    <w:rsid w:val="00E877AB"/>
    <w:rsid w:val="00E87AC7"/>
    <w:rsid w:val="00E90797"/>
    <w:rsid w:val="00E907AE"/>
    <w:rsid w:val="00E91604"/>
    <w:rsid w:val="00E91D96"/>
    <w:rsid w:val="00E921D8"/>
    <w:rsid w:val="00E92367"/>
    <w:rsid w:val="00E92736"/>
    <w:rsid w:val="00E92EC5"/>
    <w:rsid w:val="00E95469"/>
    <w:rsid w:val="00E95D99"/>
    <w:rsid w:val="00E96167"/>
    <w:rsid w:val="00E968ED"/>
    <w:rsid w:val="00E96CB9"/>
    <w:rsid w:val="00E97724"/>
    <w:rsid w:val="00E97830"/>
    <w:rsid w:val="00EA0085"/>
    <w:rsid w:val="00EA00B6"/>
    <w:rsid w:val="00EA0824"/>
    <w:rsid w:val="00EA1357"/>
    <w:rsid w:val="00EA17F7"/>
    <w:rsid w:val="00EA34EC"/>
    <w:rsid w:val="00EA3975"/>
    <w:rsid w:val="00EA3B3F"/>
    <w:rsid w:val="00EA42A3"/>
    <w:rsid w:val="00EA42D3"/>
    <w:rsid w:val="00EA46EA"/>
    <w:rsid w:val="00EA566C"/>
    <w:rsid w:val="00EA59F3"/>
    <w:rsid w:val="00EA5C09"/>
    <w:rsid w:val="00EA5E7B"/>
    <w:rsid w:val="00EA65D7"/>
    <w:rsid w:val="00EA71B9"/>
    <w:rsid w:val="00EA73D9"/>
    <w:rsid w:val="00EB0022"/>
    <w:rsid w:val="00EB0090"/>
    <w:rsid w:val="00EB02D9"/>
    <w:rsid w:val="00EB096B"/>
    <w:rsid w:val="00EB0DD9"/>
    <w:rsid w:val="00EB2370"/>
    <w:rsid w:val="00EB2AA6"/>
    <w:rsid w:val="00EB2F9C"/>
    <w:rsid w:val="00EB45CE"/>
    <w:rsid w:val="00EB4C36"/>
    <w:rsid w:val="00EB4DAA"/>
    <w:rsid w:val="00EB5022"/>
    <w:rsid w:val="00EB6B19"/>
    <w:rsid w:val="00EB6E2D"/>
    <w:rsid w:val="00EB7962"/>
    <w:rsid w:val="00EC0ACC"/>
    <w:rsid w:val="00EC0F9C"/>
    <w:rsid w:val="00EC1087"/>
    <w:rsid w:val="00EC1293"/>
    <w:rsid w:val="00EC1406"/>
    <w:rsid w:val="00EC18A5"/>
    <w:rsid w:val="00EC1D8F"/>
    <w:rsid w:val="00EC2A9F"/>
    <w:rsid w:val="00EC3DF7"/>
    <w:rsid w:val="00EC3F1E"/>
    <w:rsid w:val="00EC41FB"/>
    <w:rsid w:val="00EC42BC"/>
    <w:rsid w:val="00EC5811"/>
    <w:rsid w:val="00EC6778"/>
    <w:rsid w:val="00EC6DC5"/>
    <w:rsid w:val="00EC76DD"/>
    <w:rsid w:val="00ED0BC8"/>
    <w:rsid w:val="00ED0E28"/>
    <w:rsid w:val="00ED118A"/>
    <w:rsid w:val="00ED1F23"/>
    <w:rsid w:val="00ED1F26"/>
    <w:rsid w:val="00ED40C8"/>
    <w:rsid w:val="00ED417A"/>
    <w:rsid w:val="00ED7499"/>
    <w:rsid w:val="00ED7991"/>
    <w:rsid w:val="00EE0CA2"/>
    <w:rsid w:val="00EE0E16"/>
    <w:rsid w:val="00EE1079"/>
    <w:rsid w:val="00EE1841"/>
    <w:rsid w:val="00EE1E79"/>
    <w:rsid w:val="00EE2CF2"/>
    <w:rsid w:val="00EE34D9"/>
    <w:rsid w:val="00EE427A"/>
    <w:rsid w:val="00EE4B96"/>
    <w:rsid w:val="00EE5012"/>
    <w:rsid w:val="00EE5C46"/>
    <w:rsid w:val="00EE66F5"/>
    <w:rsid w:val="00EF084B"/>
    <w:rsid w:val="00EF13C5"/>
    <w:rsid w:val="00EF1973"/>
    <w:rsid w:val="00EF26EF"/>
    <w:rsid w:val="00EF290B"/>
    <w:rsid w:val="00EF2F67"/>
    <w:rsid w:val="00EF3A39"/>
    <w:rsid w:val="00EF3E77"/>
    <w:rsid w:val="00EF5012"/>
    <w:rsid w:val="00EF5B8E"/>
    <w:rsid w:val="00EF630B"/>
    <w:rsid w:val="00EF6967"/>
    <w:rsid w:val="00EF69EC"/>
    <w:rsid w:val="00EF7081"/>
    <w:rsid w:val="00EF74B0"/>
    <w:rsid w:val="00EF794C"/>
    <w:rsid w:val="00EF7BEE"/>
    <w:rsid w:val="00F0088F"/>
    <w:rsid w:val="00F00B48"/>
    <w:rsid w:val="00F01ADD"/>
    <w:rsid w:val="00F01BBD"/>
    <w:rsid w:val="00F022F8"/>
    <w:rsid w:val="00F02A58"/>
    <w:rsid w:val="00F03A2E"/>
    <w:rsid w:val="00F03B9E"/>
    <w:rsid w:val="00F042A4"/>
    <w:rsid w:val="00F04414"/>
    <w:rsid w:val="00F047C6"/>
    <w:rsid w:val="00F04B3A"/>
    <w:rsid w:val="00F04D06"/>
    <w:rsid w:val="00F04FEF"/>
    <w:rsid w:val="00F0588E"/>
    <w:rsid w:val="00F059AB"/>
    <w:rsid w:val="00F05E48"/>
    <w:rsid w:val="00F0615E"/>
    <w:rsid w:val="00F0680F"/>
    <w:rsid w:val="00F06B08"/>
    <w:rsid w:val="00F06C5B"/>
    <w:rsid w:val="00F0726B"/>
    <w:rsid w:val="00F104E1"/>
    <w:rsid w:val="00F1074C"/>
    <w:rsid w:val="00F10B59"/>
    <w:rsid w:val="00F10E4D"/>
    <w:rsid w:val="00F111FB"/>
    <w:rsid w:val="00F1133F"/>
    <w:rsid w:val="00F12D39"/>
    <w:rsid w:val="00F12DE1"/>
    <w:rsid w:val="00F1343E"/>
    <w:rsid w:val="00F134F1"/>
    <w:rsid w:val="00F1358D"/>
    <w:rsid w:val="00F13608"/>
    <w:rsid w:val="00F13AAA"/>
    <w:rsid w:val="00F1440B"/>
    <w:rsid w:val="00F146E8"/>
    <w:rsid w:val="00F15478"/>
    <w:rsid w:val="00F15B64"/>
    <w:rsid w:val="00F163F7"/>
    <w:rsid w:val="00F166C4"/>
    <w:rsid w:val="00F16890"/>
    <w:rsid w:val="00F20918"/>
    <w:rsid w:val="00F20DEE"/>
    <w:rsid w:val="00F22602"/>
    <w:rsid w:val="00F2288B"/>
    <w:rsid w:val="00F22CD1"/>
    <w:rsid w:val="00F25003"/>
    <w:rsid w:val="00F25313"/>
    <w:rsid w:val="00F25967"/>
    <w:rsid w:val="00F25AF6"/>
    <w:rsid w:val="00F26696"/>
    <w:rsid w:val="00F27FEE"/>
    <w:rsid w:val="00F301D1"/>
    <w:rsid w:val="00F30270"/>
    <w:rsid w:val="00F302E3"/>
    <w:rsid w:val="00F30B42"/>
    <w:rsid w:val="00F31581"/>
    <w:rsid w:val="00F31E48"/>
    <w:rsid w:val="00F31E5D"/>
    <w:rsid w:val="00F3337C"/>
    <w:rsid w:val="00F3385F"/>
    <w:rsid w:val="00F33ECF"/>
    <w:rsid w:val="00F33FF4"/>
    <w:rsid w:val="00F34517"/>
    <w:rsid w:val="00F34AF2"/>
    <w:rsid w:val="00F35307"/>
    <w:rsid w:val="00F35720"/>
    <w:rsid w:val="00F3679A"/>
    <w:rsid w:val="00F369E5"/>
    <w:rsid w:val="00F36C37"/>
    <w:rsid w:val="00F374D7"/>
    <w:rsid w:val="00F4089D"/>
    <w:rsid w:val="00F40F3D"/>
    <w:rsid w:val="00F41337"/>
    <w:rsid w:val="00F415C6"/>
    <w:rsid w:val="00F41B22"/>
    <w:rsid w:val="00F41E62"/>
    <w:rsid w:val="00F42061"/>
    <w:rsid w:val="00F4267A"/>
    <w:rsid w:val="00F42857"/>
    <w:rsid w:val="00F42A42"/>
    <w:rsid w:val="00F43556"/>
    <w:rsid w:val="00F43696"/>
    <w:rsid w:val="00F43C60"/>
    <w:rsid w:val="00F43F2C"/>
    <w:rsid w:val="00F449D1"/>
    <w:rsid w:val="00F44C97"/>
    <w:rsid w:val="00F45725"/>
    <w:rsid w:val="00F4583D"/>
    <w:rsid w:val="00F45D73"/>
    <w:rsid w:val="00F470F1"/>
    <w:rsid w:val="00F476EE"/>
    <w:rsid w:val="00F479B4"/>
    <w:rsid w:val="00F47E79"/>
    <w:rsid w:val="00F50EF0"/>
    <w:rsid w:val="00F5127B"/>
    <w:rsid w:val="00F51429"/>
    <w:rsid w:val="00F51FFE"/>
    <w:rsid w:val="00F52A44"/>
    <w:rsid w:val="00F53112"/>
    <w:rsid w:val="00F534BB"/>
    <w:rsid w:val="00F53AF8"/>
    <w:rsid w:val="00F53C48"/>
    <w:rsid w:val="00F55767"/>
    <w:rsid w:val="00F558A6"/>
    <w:rsid w:val="00F55CFE"/>
    <w:rsid w:val="00F55E54"/>
    <w:rsid w:val="00F5650E"/>
    <w:rsid w:val="00F601B0"/>
    <w:rsid w:val="00F60834"/>
    <w:rsid w:val="00F609C0"/>
    <w:rsid w:val="00F60FD0"/>
    <w:rsid w:val="00F60FDA"/>
    <w:rsid w:val="00F6138C"/>
    <w:rsid w:val="00F62531"/>
    <w:rsid w:val="00F62661"/>
    <w:rsid w:val="00F62AC6"/>
    <w:rsid w:val="00F63206"/>
    <w:rsid w:val="00F636EC"/>
    <w:rsid w:val="00F6419E"/>
    <w:rsid w:val="00F648B1"/>
    <w:rsid w:val="00F649C1"/>
    <w:rsid w:val="00F658E4"/>
    <w:rsid w:val="00F65AB9"/>
    <w:rsid w:val="00F66B88"/>
    <w:rsid w:val="00F66DA3"/>
    <w:rsid w:val="00F676DD"/>
    <w:rsid w:val="00F70563"/>
    <w:rsid w:val="00F70B1E"/>
    <w:rsid w:val="00F71B5C"/>
    <w:rsid w:val="00F72B37"/>
    <w:rsid w:val="00F73069"/>
    <w:rsid w:val="00F73940"/>
    <w:rsid w:val="00F73A3E"/>
    <w:rsid w:val="00F74ABE"/>
    <w:rsid w:val="00F755BB"/>
    <w:rsid w:val="00F7655E"/>
    <w:rsid w:val="00F77993"/>
    <w:rsid w:val="00F80D17"/>
    <w:rsid w:val="00F8275E"/>
    <w:rsid w:val="00F8279C"/>
    <w:rsid w:val="00F82A2A"/>
    <w:rsid w:val="00F82C5A"/>
    <w:rsid w:val="00F82FB6"/>
    <w:rsid w:val="00F84F2E"/>
    <w:rsid w:val="00F85957"/>
    <w:rsid w:val="00F86100"/>
    <w:rsid w:val="00F865D0"/>
    <w:rsid w:val="00F873AE"/>
    <w:rsid w:val="00F874BE"/>
    <w:rsid w:val="00F87ACA"/>
    <w:rsid w:val="00F87D95"/>
    <w:rsid w:val="00F87E70"/>
    <w:rsid w:val="00F87EA5"/>
    <w:rsid w:val="00F90669"/>
    <w:rsid w:val="00F907F8"/>
    <w:rsid w:val="00F9153D"/>
    <w:rsid w:val="00F91665"/>
    <w:rsid w:val="00F93E06"/>
    <w:rsid w:val="00F94244"/>
    <w:rsid w:val="00F9473D"/>
    <w:rsid w:val="00F94C87"/>
    <w:rsid w:val="00F95430"/>
    <w:rsid w:val="00F95B23"/>
    <w:rsid w:val="00F95DD9"/>
    <w:rsid w:val="00F95FB5"/>
    <w:rsid w:val="00F969DC"/>
    <w:rsid w:val="00F97108"/>
    <w:rsid w:val="00F97827"/>
    <w:rsid w:val="00F97D49"/>
    <w:rsid w:val="00FA0586"/>
    <w:rsid w:val="00FA0AD5"/>
    <w:rsid w:val="00FA113B"/>
    <w:rsid w:val="00FA1B9B"/>
    <w:rsid w:val="00FA1F00"/>
    <w:rsid w:val="00FA1F04"/>
    <w:rsid w:val="00FA1F25"/>
    <w:rsid w:val="00FA2409"/>
    <w:rsid w:val="00FA2980"/>
    <w:rsid w:val="00FA304C"/>
    <w:rsid w:val="00FA322E"/>
    <w:rsid w:val="00FA4453"/>
    <w:rsid w:val="00FA455B"/>
    <w:rsid w:val="00FA47E1"/>
    <w:rsid w:val="00FA4E64"/>
    <w:rsid w:val="00FA5825"/>
    <w:rsid w:val="00FA6581"/>
    <w:rsid w:val="00FA6947"/>
    <w:rsid w:val="00FA69A4"/>
    <w:rsid w:val="00FA6D83"/>
    <w:rsid w:val="00FA6F13"/>
    <w:rsid w:val="00FA7BE7"/>
    <w:rsid w:val="00FB017D"/>
    <w:rsid w:val="00FB0BAD"/>
    <w:rsid w:val="00FB0BC6"/>
    <w:rsid w:val="00FB0CA4"/>
    <w:rsid w:val="00FB0D12"/>
    <w:rsid w:val="00FB1158"/>
    <w:rsid w:val="00FB12E9"/>
    <w:rsid w:val="00FB1E76"/>
    <w:rsid w:val="00FB1F6E"/>
    <w:rsid w:val="00FB2449"/>
    <w:rsid w:val="00FB2564"/>
    <w:rsid w:val="00FB2947"/>
    <w:rsid w:val="00FB29B0"/>
    <w:rsid w:val="00FB2E2E"/>
    <w:rsid w:val="00FB3635"/>
    <w:rsid w:val="00FB386E"/>
    <w:rsid w:val="00FB3A3B"/>
    <w:rsid w:val="00FB3CAC"/>
    <w:rsid w:val="00FB469C"/>
    <w:rsid w:val="00FB4D8F"/>
    <w:rsid w:val="00FB52C4"/>
    <w:rsid w:val="00FB56ED"/>
    <w:rsid w:val="00FB5C6B"/>
    <w:rsid w:val="00FB6892"/>
    <w:rsid w:val="00FB76F3"/>
    <w:rsid w:val="00FB78BA"/>
    <w:rsid w:val="00FC1225"/>
    <w:rsid w:val="00FC2D71"/>
    <w:rsid w:val="00FC5913"/>
    <w:rsid w:val="00FC62F6"/>
    <w:rsid w:val="00FC6469"/>
    <w:rsid w:val="00FC69B7"/>
    <w:rsid w:val="00FC7402"/>
    <w:rsid w:val="00FC7DC2"/>
    <w:rsid w:val="00FD048E"/>
    <w:rsid w:val="00FD0FD1"/>
    <w:rsid w:val="00FD30C2"/>
    <w:rsid w:val="00FD32C0"/>
    <w:rsid w:val="00FD436A"/>
    <w:rsid w:val="00FD43CA"/>
    <w:rsid w:val="00FD463E"/>
    <w:rsid w:val="00FD4677"/>
    <w:rsid w:val="00FD4D1A"/>
    <w:rsid w:val="00FD5A84"/>
    <w:rsid w:val="00FD5BAC"/>
    <w:rsid w:val="00FD6848"/>
    <w:rsid w:val="00FD68F8"/>
    <w:rsid w:val="00FD6B5D"/>
    <w:rsid w:val="00FD7888"/>
    <w:rsid w:val="00FD7F56"/>
    <w:rsid w:val="00FE0689"/>
    <w:rsid w:val="00FE07B9"/>
    <w:rsid w:val="00FE0826"/>
    <w:rsid w:val="00FE09D0"/>
    <w:rsid w:val="00FE0FE9"/>
    <w:rsid w:val="00FE134B"/>
    <w:rsid w:val="00FE2363"/>
    <w:rsid w:val="00FE2CF6"/>
    <w:rsid w:val="00FE2FB9"/>
    <w:rsid w:val="00FE3377"/>
    <w:rsid w:val="00FE3886"/>
    <w:rsid w:val="00FE583B"/>
    <w:rsid w:val="00FE6C75"/>
    <w:rsid w:val="00FE78CB"/>
    <w:rsid w:val="00FE7F47"/>
    <w:rsid w:val="00FF0F58"/>
    <w:rsid w:val="00FF1748"/>
    <w:rsid w:val="00FF17A6"/>
    <w:rsid w:val="00FF2414"/>
    <w:rsid w:val="00FF2992"/>
    <w:rsid w:val="00FF29FD"/>
    <w:rsid w:val="00FF2A39"/>
    <w:rsid w:val="00FF2EF2"/>
    <w:rsid w:val="00FF37FA"/>
    <w:rsid w:val="00FF3962"/>
    <w:rsid w:val="00FF3FC7"/>
    <w:rsid w:val="00FF4913"/>
    <w:rsid w:val="00FF5472"/>
    <w:rsid w:val="00FF5E35"/>
    <w:rsid w:val="00FF6AB9"/>
    <w:rsid w:val="00FF6B3B"/>
    <w:rsid w:val="00FF6C8C"/>
    <w:rsid w:val="00FF7FBA"/>
    <w:rsid w:val="02B193AD"/>
    <w:rsid w:val="0307C83F"/>
    <w:rsid w:val="03DB2F77"/>
    <w:rsid w:val="059340C2"/>
    <w:rsid w:val="05D424B4"/>
    <w:rsid w:val="069E5CCD"/>
    <w:rsid w:val="07F7AD69"/>
    <w:rsid w:val="09EBB95A"/>
    <w:rsid w:val="0B425BAC"/>
    <w:rsid w:val="0BBFF901"/>
    <w:rsid w:val="0D8061D6"/>
    <w:rsid w:val="0E554DDE"/>
    <w:rsid w:val="0F0D4169"/>
    <w:rsid w:val="108918D8"/>
    <w:rsid w:val="1091E61D"/>
    <w:rsid w:val="118D0EA8"/>
    <w:rsid w:val="13C4B1F2"/>
    <w:rsid w:val="147664C5"/>
    <w:rsid w:val="1489E28E"/>
    <w:rsid w:val="14A90A99"/>
    <w:rsid w:val="14CB72CB"/>
    <w:rsid w:val="17AF2D61"/>
    <w:rsid w:val="1CEC4130"/>
    <w:rsid w:val="1D228A15"/>
    <w:rsid w:val="1EB132D3"/>
    <w:rsid w:val="1FA397CC"/>
    <w:rsid w:val="2384A3F6"/>
    <w:rsid w:val="23961745"/>
    <w:rsid w:val="23FFBEB0"/>
    <w:rsid w:val="243FD824"/>
    <w:rsid w:val="26B48A03"/>
    <w:rsid w:val="27794680"/>
    <w:rsid w:val="298867AC"/>
    <w:rsid w:val="2B993481"/>
    <w:rsid w:val="2C62148E"/>
    <w:rsid w:val="2C9D1646"/>
    <w:rsid w:val="2F973494"/>
    <w:rsid w:val="3224D364"/>
    <w:rsid w:val="332D48F2"/>
    <w:rsid w:val="333BCF78"/>
    <w:rsid w:val="37718D22"/>
    <w:rsid w:val="3985DCE2"/>
    <w:rsid w:val="398668AB"/>
    <w:rsid w:val="3A81CE23"/>
    <w:rsid w:val="3A92D03F"/>
    <w:rsid w:val="3EA879C9"/>
    <w:rsid w:val="3FC88279"/>
    <w:rsid w:val="41FDDFF2"/>
    <w:rsid w:val="428B0AAE"/>
    <w:rsid w:val="43695C40"/>
    <w:rsid w:val="4672A664"/>
    <w:rsid w:val="4707C645"/>
    <w:rsid w:val="47C51A6B"/>
    <w:rsid w:val="483337B6"/>
    <w:rsid w:val="48AC3D37"/>
    <w:rsid w:val="4B70369E"/>
    <w:rsid w:val="4CC137A7"/>
    <w:rsid w:val="4D446206"/>
    <w:rsid w:val="50239196"/>
    <w:rsid w:val="51958E1E"/>
    <w:rsid w:val="51CDC87C"/>
    <w:rsid w:val="5209A5EB"/>
    <w:rsid w:val="53529E8D"/>
    <w:rsid w:val="53A94823"/>
    <w:rsid w:val="54F4E089"/>
    <w:rsid w:val="552B70D2"/>
    <w:rsid w:val="56223A3D"/>
    <w:rsid w:val="57C97245"/>
    <w:rsid w:val="5AA324FA"/>
    <w:rsid w:val="5B4D4043"/>
    <w:rsid w:val="5BFDC913"/>
    <w:rsid w:val="5CEA5648"/>
    <w:rsid w:val="5D999974"/>
    <w:rsid w:val="5DEA11FC"/>
    <w:rsid w:val="5DF054DA"/>
    <w:rsid w:val="5E2AACC7"/>
    <w:rsid w:val="601A2B0C"/>
    <w:rsid w:val="610A470A"/>
    <w:rsid w:val="621FDF37"/>
    <w:rsid w:val="63C1CE6F"/>
    <w:rsid w:val="654EA67E"/>
    <w:rsid w:val="65538193"/>
    <w:rsid w:val="65B94065"/>
    <w:rsid w:val="6901EDCD"/>
    <w:rsid w:val="6AA66FD1"/>
    <w:rsid w:val="6B407403"/>
    <w:rsid w:val="6E05EEFF"/>
    <w:rsid w:val="7013E526"/>
    <w:rsid w:val="703C6AE4"/>
    <w:rsid w:val="71484733"/>
    <w:rsid w:val="71C455C9"/>
    <w:rsid w:val="752288EF"/>
    <w:rsid w:val="766F706E"/>
    <w:rsid w:val="768E6F0B"/>
    <w:rsid w:val="76BA2D67"/>
    <w:rsid w:val="7834794E"/>
    <w:rsid w:val="783E9686"/>
    <w:rsid w:val="79925C6E"/>
    <w:rsid w:val="79C51BAE"/>
    <w:rsid w:val="7A44A800"/>
    <w:rsid w:val="7A9ED8B6"/>
    <w:rsid w:val="7C6A62E5"/>
    <w:rsid w:val="7CBE4844"/>
    <w:rsid w:val="7E398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B818E"/>
  <w15:docId w15:val="{CD407B19-598D-4AAF-BF6A-6B1B8883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A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9C039D"/>
    <w:pPr>
      <w:keepNext/>
      <w:keepLines/>
      <w:spacing w:before="40"/>
      <w:outlineLvl w:val="4"/>
    </w:pPr>
    <w:rPr>
      <w:rFonts w:asciiTheme="majorHAnsi" w:eastAsiaTheme="majorEastAsia" w:hAnsiTheme="majorHAnsi" w:cstheme="majorBidi"/>
      <w:color w:val="AF6FE0" w:themeColor="accent1" w:themeShade="BF"/>
    </w:rPr>
  </w:style>
  <w:style w:type="paragraph" w:styleId="Heading6">
    <w:name w:val="heading 6"/>
    <w:basedOn w:val="Normal"/>
    <w:next w:val="Normal"/>
    <w:link w:val="Heading6Char"/>
    <w:uiPriority w:val="9"/>
    <w:unhideWhenUsed/>
    <w:qFormat/>
    <w:rsid w:val="009C039D"/>
    <w:pPr>
      <w:keepNext/>
      <w:keepLines/>
      <w:spacing w:before="40"/>
      <w:outlineLvl w:val="5"/>
    </w:pPr>
    <w:rPr>
      <w:rFonts w:asciiTheme="majorHAnsi" w:eastAsiaTheme="majorEastAsia" w:hAnsiTheme="majorHAnsi" w:cstheme="majorBidi"/>
      <w:color w:val="7927B7" w:themeColor="accent1" w:themeShade="7F"/>
    </w:rPr>
  </w:style>
  <w:style w:type="paragraph" w:styleId="Heading7">
    <w:name w:val="heading 7"/>
    <w:basedOn w:val="Normal"/>
    <w:next w:val="Normal"/>
    <w:link w:val="Heading7Char"/>
    <w:uiPriority w:val="9"/>
    <w:unhideWhenUsed/>
    <w:qFormat/>
    <w:rsid w:val="009C039D"/>
    <w:pPr>
      <w:keepNext/>
      <w:keepLines/>
      <w:spacing w:before="40"/>
      <w:outlineLvl w:val="6"/>
    </w:pPr>
    <w:rPr>
      <w:rFonts w:asciiTheme="majorHAnsi" w:eastAsiaTheme="majorEastAsia" w:hAnsiTheme="majorHAnsi" w:cstheme="majorBidi"/>
      <w:i/>
      <w:iCs/>
      <w:color w:val="7927B7" w:themeColor="accent1" w:themeShade="7F"/>
    </w:rPr>
  </w:style>
  <w:style w:type="paragraph" w:styleId="Heading8">
    <w:name w:val="heading 8"/>
    <w:basedOn w:val="Normal"/>
    <w:next w:val="Normal"/>
    <w:link w:val="Heading8Char"/>
    <w:uiPriority w:val="9"/>
    <w:semiHidden/>
    <w:unhideWhenUsed/>
    <w:qFormat/>
    <w:rsid w:val="009C039D"/>
    <w:pPr>
      <w:spacing w:before="300" w:line="276" w:lineRule="auto"/>
      <w:outlineLvl w:val="7"/>
    </w:pPr>
    <w:rPr>
      <w:rFonts w:eastAsiaTheme="minorEastAsia"/>
      <w:caps/>
      <w:color w:val="auto"/>
      <w:spacing w:val="10"/>
      <w:sz w:val="18"/>
      <w:szCs w:val="18"/>
      <w:lang w:eastAsia="en-AU"/>
    </w:rPr>
  </w:style>
  <w:style w:type="paragraph" w:styleId="Heading9">
    <w:name w:val="heading 9"/>
    <w:basedOn w:val="Normal"/>
    <w:next w:val="Normal"/>
    <w:link w:val="Heading9Char"/>
    <w:uiPriority w:val="9"/>
    <w:unhideWhenUsed/>
    <w:qFormat/>
    <w:rsid w:val="009C039D"/>
    <w:pPr>
      <w:keepNext/>
      <w:keepLines/>
      <w:spacing w:before="40"/>
      <w:outlineLvl w:val="8"/>
    </w:pPr>
    <w:rPr>
      <w:rFonts w:asciiTheme="majorHAnsi" w:eastAsiaTheme="majorEastAsia" w:hAnsiTheme="majorHAnsi" w:cstheme="majorBidi"/>
      <w:i/>
      <w:iCs/>
      <w:color w:val="23518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A6162B"/>
    <w:pPr>
      <w:tabs>
        <w:tab w:val="left" w:pos="567"/>
        <w:tab w:val="right" w:leader="dot" w:pos="9628"/>
      </w:tabs>
      <w:spacing w:after="100"/>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FB56ED"/>
    <w:pPr>
      <w:tabs>
        <w:tab w:val="right" w:leader="dot" w:pos="9628"/>
      </w:tabs>
      <w:spacing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after="60"/>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after="60"/>
      <w:jc w:val="center"/>
    </w:pPr>
  </w:style>
  <w:style w:type="table" w:styleId="LightShading-Accent3">
    <w:name w:val="Light Shading Accent 3"/>
    <w:basedOn w:val="TableNormal"/>
    <w:uiPriority w:val="60"/>
    <w:rsid w:val="00211B48"/>
    <w:pPr>
      <w:spacing w:before="0"/>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customStyle="1" w:styleId="Heading5Char">
    <w:name w:val="Heading 5 Char"/>
    <w:basedOn w:val="DefaultParagraphFont"/>
    <w:link w:val="Heading5"/>
    <w:uiPriority w:val="9"/>
    <w:rsid w:val="009C039D"/>
    <w:rPr>
      <w:rFonts w:asciiTheme="majorHAnsi" w:eastAsiaTheme="majorEastAsia" w:hAnsiTheme="majorHAnsi" w:cstheme="majorBidi"/>
      <w:color w:val="AF6FE0" w:themeColor="accent1" w:themeShade="BF"/>
    </w:rPr>
  </w:style>
  <w:style w:type="character" w:customStyle="1" w:styleId="Heading6Char">
    <w:name w:val="Heading 6 Char"/>
    <w:basedOn w:val="DefaultParagraphFont"/>
    <w:link w:val="Heading6"/>
    <w:uiPriority w:val="9"/>
    <w:rsid w:val="009C039D"/>
    <w:rPr>
      <w:rFonts w:asciiTheme="majorHAnsi" w:eastAsiaTheme="majorEastAsia" w:hAnsiTheme="majorHAnsi" w:cstheme="majorBidi"/>
      <w:color w:val="7927B7" w:themeColor="accent1" w:themeShade="7F"/>
    </w:rPr>
  </w:style>
  <w:style w:type="character" w:customStyle="1" w:styleId="Heading7Char">
    <w:name w:val="Heading 7 Char"/>
    <w:basedOn w:val="DefaultParagraphFont"/>
    <w:link w:val="Heading7"/>
    <w:uiPriority w:val="9"/>
    <w:rsid w:val="009C039D"/>
    <w:rPr>
      <w:rFonts w:asciiTheme="majorHAnsi" w:eastAsiaTheme="majorEastAsia" w:hAnsiTheme="majorHAnsi" w:cstheme="majorBidi"/>
      <w:i/>
      <w:iCs/>
      <w:color w:val="7927B7" w:themeColor="accent1" w:themeShade="7F"/>
    </w:rPr>
  </w:style>
  <w:style w:type="character" w:customStyle="1" w:styleId="Heading9Char">
    <w:name w:val="Heading 9 Char"/>
    <w:basedOn w:val="DefaultParagraphFont"/>
    <w:link w:val="Heading9"/>
    <w:uiPriority w:val="9"/>
    <w:rsid w:val="009C039D"/>
    <w:rPr>
      <w:rFonts w:asciiTheme="majorHAnsi" w:eastAsiaTheme="majorEastAsia" w:hAnsiTheme="majorHAnsi" w:cstheme="majorBidi"/>
      <w:i/>
      <w:iCs/>
      <w:color w:val="23518D" w:themeColor="text1" w:themeTint="D8"/>
      <w:sz w:val="21"/>
      <w:szCs w:val="21"/>
    </w:rPr>
  </w:style>
  <w:style w:type="character" w:customStyle="1" w:styleId="Heading8Char">
    <w:name w:val="Heading 8 Char"/>
    <w:basedOn w:val="DefaultParagraphFont"/>
    <w:link w:val="Heading8"/>
    <w:uiPriority w:val="9"/>
    <w:semiHidden/>
    <w:rsid w:val="009C039D"/>
    <w:rPr>
      <w:rFonts w:eastAsiaTheme="minorEastAsia"/>
      <w:caps/>
      <w:color w:val="auto"/>
      <w:spacing w:val="10"/>
      <w:sz w:val="18"/>
      <w:szCs w:val="18"/>
      <w:lang w:eastAsia="en-AU"/>
    </w:rPr>
  </w:style>
  <w:style w:type="paragraph" w:styleId="BodyText2">
    <w:name w:val="Body Text 2"/>
    <w:basedOn w:val="Normal"/>
    <w:link w:val="BodyText2Char"/>
    <w:rsid w:val="009C039D"/>
    <w:pPr>
      <w:spacing w:before="200"/>
      <w:ind w:left="284" w:hanging="284"/>
      <w:jc w:val="both"/>
    </w:pPr>
    <w:rPr>
      <w:rFonts w:ascii="Times New Roman" w:eastAsia="Times New Roman" w:hAnsi="Times New Roman" w:cs="Times New Roman"/>
      <w:color w:val="auto"/>
      <w:sz w:val="24"/>
      <w:szCs w:val="20"/>
      <w:lang w:val="en-GB" w:eastAsia="en-AU"/>
    </w:rPr>
  </w:style>
  <w:style w:type="character" w:customStyle="1" w:styleId="BodyText2Char">
    <w:name w:val="Body Text 2 Char"/>
    <w:basedOn w:val="DefaultParagraphFont"/>
    <w:link w:val="BodyText2"/>
    <w:rsid w:val="009C039D"/>
    <w:rPr>
      <w:rFonts w:ascii="Times New Roman" w:eastAsia="Times New Roman" w:hAnsi="Times New Roman" w:cs="Times New Roman"/>
      <w:color w:val="auto"/>
      <w:sz w:val="24"/>
      <w:szCs w:val="20"/>
      <w:lang w:val="en-GB" w:eastAsia="en-AU"/>
    </w:rPr>
  </w:style>
  <w:style w:type="paragraph" w:customStyle="1" w:styleId="DepartmentalNormal">
    <w:name w:val="Departmental Normal"/>
    <w:basedOn w:val="Normal"/>
    <w:rsid w:val="009C039D"/>
    <w:pPr>
      <w:spacing w:before="200"/>
      <w:ind w:left="284" w:hanging="284"/>
      <w:jc w:val="both"/>
    </w:pPr>
    <w:rPr>
      <w:rFonts w:ascii="Times New Roman" w:eastAsia="Times New Roman" w:hAnsi="Times New Roman" w:cs="Times New Roman"/>
      <w:color w:val="auto"/>
      <w:sz w:val="24"/>
      <w:szCs w:val="20"/>
      <w:lang w:val="en-GB" w:eastAsia="en-AU"/>
    </w:rPr>
  </w:style>
  <w:style w:type="paragraph" w:customStyle="1" w:styleId="p2">
    <w:name w:val="p2"/>
    <w:basedOn w:val="Normal"/>
    <w:rsid w:val="009C039D"/>
    <w:pPr>
      <w:tabs>
        <w:tab w:val="left" w:pos="720"/>
      </w:tabs>
      <w:spacing w:before="200" w:line="280" w:lineRule="atLeast"/>
      <w:ind w:left="284" w:hanging="284"/>
      <w:jc w:val="both"/>
    </w:pPr>
    <w:rPr>
      <w:rFonts w:ascii="Times New Roman" w:eastAsia="Times New Roman" w:hAnsi="Times New Roman" w:cs="Times New Roman"/>
      <w:color w:val="auto"/>
      <w:sz w:val="24"/>
      <w:szCs w:val="20"/>
      <w:lang w:val="en-GB" w:eastAsia="en-AU"/>
    </w:rPr>
  </w:style>
  <w:style w:type="paragraph" w:customStyle="1" w:styleId="Default">
    <w:name w:val="Default"/>
    <w:rsid w:val="009C039D"/>
    <w:pPr>
      <w:autoSpaceDE w:val="0"/>
      <w:autoSpaceDN w:val="0"/>
      <w:adjustRightInd w:val="0"/>
      <w:spacing w:before="200"/>
      <w:ind w:left="284" w:hanging="284"/>
      <w:jc w:val="both"/>
    </w:pPr>
    <w:rPr>
      <w:rFonts w:ascii="Times New Roman" w:eastAsiaTheme="minorEastAsia" w:hAnsi="Times New Roman" w:cs="Times New Roman"/>
      <w:color w:val="000000"/>
      <w:sz w:val="24"/>
      <w:szCs w:val="24"/>
      <w:lang w:eastAsia="en-AU"/>
    </w:rPr>
  </w:style>
  <w:style w:type="paragraph" w:styleId="NormalWeb">
    <w:name w:val="Normal (Web)"/>
    <w:basedOn w:val="Normal"/>
    <w:uiPriority w:val="99"/>
    <w:semiHidden/>
    <w:unhideWhenUsed/>
    <w:rsid w:val="009C039D"/>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9C039D"/>
    <w:rPr>
      <w:sz w:val="16"/>
      <w:szCs w:val="16"/>
    </w:rPr>
  </w:style>
  <w:style w:type="paragraph" w:styleId="CommentText">
    <w:name w:val="annotation text"/>
    <w:basedOn w:val="Normal"/>
    <w:link w:val="CommentTextChar"/>
    <w:uiPriority w:val="99"/>
    <w:unhideWhenUsed/>
    <w:rsid w:val="009C039D"/>
    <w:pPr>
      <w:spacing w:before="200" w:after="200"/>
    </w:pPr>
    <w:rPr>
      <w:rFonts w:eastAsiaTheme="minorEastAsia"/>
      <w:color w:val="auto"/>
      <w:sz w:val="20"/>
      <w:szCs w:val="20"/>
      <w:lang w:eastAsia="en-AU"/>
    </w:rPr>
  </w:style>
  <w:style w:type="character" w:customStyle="1" w:styleId="CommentTextChar">
    <w:name w:val="Comment Text Char"/>
    <w:basedOn w:val="DefaultParagraphFont"/>
    <w:link w:val="CommentText"/>
    <w:uiPriority w:val="99"/>
    <w:rsid w:val="009C039D"/>
    <w:rPr>
      <w:rFonts w:eastAsiaTheme="minorEastAsia"/>
      <w:color w:val="auto"/>
      <w:sz w:val="20"/>
      <w:szCs w:val="20"/>
      <w:lang w:eastAsia="en-AU"/>
    </w:rPr>
  </w:style>
  <w:style w:type="paragraph" w:styleId="CommentSubject">
    <w:name w:val="annotation subject"/>
    <w:basedOn w:val="CommentText"/>
    <w:next w:val="CommentText"/>
    <w:link w:val="CommentSubjectChar"/>
    <w:uiPriority w:val="99"/>
    <w:semiHidden/>
    <w:unhideWhenUsed/>
    <w:rsid w:val="009C039D"/>
    <w:rPr>
      <w:b/>
      <w:bCs/>
    </w:rPr>
  </w:style>
  <w:style w:type="character" w:customStyle="1" w:styleId="CommentSubjectChar">
    <w:name w:val="Comment Subject Char"/>
    <w:basedOn w:val="CommentTextChar"/>
    <w:link w:val="CommentSubject"/>
    <w:uiPriority w:val="99"/>
    <w:semiHidden/>
    <w:rsid w:val="009C039D"/>
    <w:rPr>
      <w:rFonts w:eastAsiaTheme="minorEastAsia"/>
      <w:b/>
      <w:bCs/>
      <w:color w:val="auto"/>
      <w:sz w:val="20"/>
      <w:szCs w:val="20"/>
      <w:lang w:eastAsia="en-AU"/>
    </w:rPr>
  </w:style>
  <w:style w:type="character" w:styleId="Emphasis">
    <w:name w:val="Emphasis"/>
    <w:uiPriority w:val="20"/>
    <w:qFormat/>
    <w:rsid w:val="009C039D"/>
    <w:rPr>
      <w:caps/>
      <w:color w:val="7927B7" w:themeColor="accent1" w:themeShade="7F"/>
      <w:spacing w:val="5"/>
    </w:rPr>
  </w:style>
  <w:style w:type="paragraph" w:styleId="Revision">
    <w:name w:val="Revision"/>
    <w:hidden/>
    <w:uiPriority w:val="99"/>
    <w:semiHidden/>
    <w:rsid w:val="009C039D"/>
    <w:pPr>
      <w:spacing w:before="200"/>
    </w:pPr>
    <w:rPr>
      <w:rFonts w:eastAsiaTheme="minorEastAsia"/>
      <w:color w:val="auto"/>
      <w:lang w:eastAsia="en-AU"/>
    </w:rPr>
  </w:style>
  <w:style w:type="character" w:styleId="PageNumber">
    <w:name w:val="page number"/>
    <w:basedOn w:val="DefaultParagraphFont"/>
    <w:rsid w:val="009C039D"/>
  </w:style>
  <w:style w:type="paragraph" w:customStyle="1" w:styleId="attributes">
    <w:name w:val="attributes"/>
    <w:basedOn w:val="Normal"/>
    <w:rsid w:val="009C039D"/>
    <w:pPr>
      <w:spacing w:line="276" w:lineRule="auto"/>
      <w:jc w:val="both"/>
    </w:pPr>
    <w:rPr>
      <w:rFonts w:ascii="Cambria" w:eastAsia="Calibri" w:hAnsi="Cambria" w:cs="Times New Roman"/>
      <w:b/>
      <w:color w:val="365F91"/>
      <w:sz w:val="28"/>
      <w:szCs w:val="28"/>
      <w:lang w:eastAsia="en-AU"/>
    </w:rPr>
  </w:style>
  <w:style w:type="paragraph" w:styleId="BodyText">
    <w:name w:val="Body Text"/>
    <w:basedOn w:val="Normal"/>
    <w:link w:val="BodyTextChar"/>
    <w:uiPriority w:val="99"/>
    <w:semiHidden/>
    <w:unhideWhenUsed/>
    <w:rsid w:val="009C039D"/>
    <w:pPr>
      <w:spacing w:before="200" w:after="120" w:line="276" w:lineRule="auto"/>
    </w:pPr>
    <w:rPr>
      <w:rFonts w:eastAsiaTheme="minorEastAsia"/>
      <w:color w:val="auto"/>
      <w:sz w:val="20"/>
      <w:szCs w:val="20"/>
      <w:lang w:eastAsia="en-AU"/>
    </w:rPr>
  </w:style>
  <w:style w:type="character" w:customStyle="1" w:styleId="BodyTextChar">
    <w:name w:val="Body Text Char"/>
    <w:basedOn w:val="DefaultParagraphFont"/>
    <w:link w:val="BodyText"/>
    <w:uiPriority w:val="99"/>
    <w:semiHidden/>
    <w:rsid w:val="009C039D"/>
    <w:rPr>
      <w:rFonts w:eastAsiaTheme="minorEastAsia"/>
      <w:color w:val="auto"/>
      <w:sz w:val="20"/>
      <w:szCs w:val="20"/>
      <w:lang w:eastAsia="en-AU"/>
    </w:rPr>
  </w:style>
  <w:style w:type="paragraph" w:customStyle="1" w:styleId="SubHeading">
    <w:name w:val="SubHeading"/>
    <w:basedOn w:val="Normal"/>
    <w:rsid w:val="009C039D"/>
    <w:pPr>
      <w:spacing w:before="200" w:after="200" w:line="276" w:lineRule="auto"/>
      <w:jc w:val="both"/>
    </w:pPr>
    <w:rPr>
      <w:rFonts w:ascii="Calibri" w:eastAsia="Calibri" w:hAnsi="Calibri" w:cs="Times New Roman"/>
      <w:b/>
      <w:i/>
      <w:color w:val="4F81BD"/>
      <w:sz w:val="20"/>
      <w:szCs w:val="20"/>
      <w:lang w:eastAsia="en-AU"/>
    </w:rPr>
  </w:style>
  <w:style w:type="paragraph" w:customStyle="1" w:styleId="Conclusion">
    <w:name w:val="Conclusion"/>
    <w:basedOn w:val="Normal"/>
    <w:rsid w:val="009C039D"/>
    <w:pPr>
      <w:spacing w:before="200" w:after="200" w:line="276" w:lineRule="auto"/>
      <w:jc w:val="both"/>
    </w:pPr>
    <w:rPr>
      <w:rFonts w:ascii="Cambria" w:eastAsia="Calibri" w:hAnsi="Cambria" w:cs="Times New Roman"/>
      <w:b/>
      <w:color w:val="4F81BD"/>
      <w:sz w:val="24"/>
      <w:szCs w:val="20"/>
      <w:lang w:eastAsia="en-AU"/>
    </w:rPr>
  </w:style>
  <w:style w:type="character" w:styleId="Strong">
    <w:name w:val="Strong"/>
    <w:uiPriority w:val="22"/>
    <w:qFormat/>
    <w:rsid w:val="009C039D"/>
    <w:rPr>
      <w:b/>
      <w:bCs/>
    </w:rPr>
  </w:style>
  <w:style w:type="paragraph" w:styleId="NoSpacing">
    <w:name w:val="No Spacing"/>
    <w:basedOn w:val="Normal"/>
    <w:link w:val="NoSpacingChar"/>
    <w:uiPriority w:val="1"/>
    <w:qFormat/>
    <w:rsid w:val="009C039D"/>
    <w:pPr>
      <w:spacing w:before="0"/>
    </w:pPr>
    <w:rPr>
      <w:rFonts w:eastAsiaTheme="minorEastAsia"/>
      <w:color w:val="auto"/>
      <w:sz w:val="20"/>
      <w:szCs w:val="20"/>
      <w:lang w:eastAsia="en-AU"/>
    </w:rPr>
  </w:style>
  <w:style w:type="character" w:customStyle="1" w:styleId="NoSpacingChar">
    <w:name w:val="No Spacing Char"/>
    <w:basedOn w:val="DefaultParagraphFont"/>
    <w:link w:val="NoSpacing"/>
    <w:uiPriority w:val="1"/>
    <w:rsid w:val="009C039D"/>
    <w:rPr>
      <w:rFonts w:eastAsiaTheme="minorEastAsia"/>
      <w:color w:val="auto"/>
      <w:sz w:val="20"/>
      <w:szCs w:val="20"/>
      <w:lang w:eastAsia="en-AU"/>
    </w:rPr>
  </w:style>
  <w:style w:type="paragraph" w:styleId="Quote">
    <w:name w:val="Quote"/>
    <w:basedOn w:val="Normal"/>
    <w:next w:val="Normal"/>
    <w:link w:val="QuoteChar"/>
    <w:uiPriority w:val="29"/>
    <w:qFormat/>
    <w:rsid w:val="009C039D"/>
    <w:pPr>
      <w:spacing w:before="200" w:after="200" w:line="276" w:lineRule="auto"/>
    </w:pPr>
    <w:rPr>
      <w:rFonts w:eastAsiaTheme="minorEastAsia"/>
      <w:i/>
      <w:iCs/>
      <w:color w:val="auto"/>
      <w:sz w:val="20"/>
      <w:szCs w:val="20"/>
      <w:lang w:eastAsia="en-AU"/>
    </w:rPr>
  </w:style>
  <w:style w:type="character" w:customStyle="1" w:styleId="QuoteChar">
    <w:name w:val="Quote Char"/>
    <w:basedOn w:val="DefaultParagraphFont"/>
    <w:link w:val="Quote"/>
    <w:uiPriority w:val="29"/>
    <w:rsid w:val="009C039D"/>
    <w:rPr>
      <w:rFonts w:eastAsiaTheme="minorEastAsia"/>
      <w:i/>
      <w:iCs/>
      <w:color w:val="auto"/>
      <w:sz w:val="20"/>
      <w:szCs w:val="20"/>
      <w:lang w:eastAsia="en-AU"/>
    </w:rPr>
  </w:style>
  <w:style w:type="paragraph" w:styleId="IntenseQuote">
    <w:name w:val="Intense Quote"/>
    <w:basedOn w:val="Normal"/>
    <w:next w:val="Normal"/>
    <w:link w:val="IntenseQuoteChar"/>
    <w:uiPriority w:val="30"/>
    <w:qFormat/>
    <w:rsid w:val="009C039D"/>
    <w:pPr>
      <w:pBdr>
        <w:top w:val="single" w:sz="4" w:space="10" w:color="E3CCF4" w:themeColor="accent1"/>
        <w:left w:val="single" w:sz="4" w:space="10" w:color="E3CCF4" w:themeColor="accent1"/>
      </w:pBdr>
      <w:spacing w:before="200" w:line="276" w:lineRule="auto"/>
      <w:ind w:left="1296" w:right="1152"/>
      <w:jc w:val="both"/>
    </w:pPr>
    <w:rPr>
      <w:rFonts w:eastAsiaTheme="minorEastAsia"/>
      <w:i/>
      <w:iCs/>
      <w:color w:val="E3CCF4" w:themeColor="accent1"/>
      <w:sz w:val="20"/>
      <w:szCs w:val="20"/>
      <w:lang w:eastAsia="en-AU"/>
    </w:rPr>
  </w:style>
  <w:style w:type="character" w:customStyle="1" w:styleId="IntenseQuoteChar">
    <w:name w:val="Intense Quote Char"/>
    <w:basedOn w:val="DefaultParagraphFont"/>
    <w:link w:val="IntenseQuote"/>
    <w:uiPriority w:val="30"/>
    <w:rsid w:val="009C039D"/>
    <w:rPr>
      <w:rFonts w:eastAsiaTheme="minorEastAsia"/>
      <w:i/>
      <w:iCs/>
      <w:color w:val="E3CCF4" w:themeColor="accent1"/>
      <w:sz w:val="20"/>
      <w:szCs w:val="20"/>
      <w:lang w:eastAsia="en-AU"/>
    </w:rPr>
  </w:style>
  <w:style w:type="character" w:styleId="IntenseEmphasis">
    <w:name w:val="Intense Emphasis"/>
    <w:uiPriority w:val="21"/>
    <w:qFormat/>
    <w:rsid w:val="009C039D"/>
    <w:rPr>
      <w:b/>
      <w:bCs/>
      <w:caps/>
      <w:color w:val="7927B7" w:themeColor="accent1" w:themeShade="7F"/>
      <w:spacing w:val="10"/>
    </w:rPr>
  </w:style>
  <w:style w:type="character" w:styleId="SubtleReference">
    <w:name w:val="Subtle Reference"/>
    <w:uiPriority w:val="31"/>
    <w:qFormat/>
    <w:rsid w:val="009C039D"/>
    <w:rPr>
      <w:b/>
      <w:bCs/>
      <w:color w:val="E3CCF4" w:themeColor="accent1"/>
    </w:rPr>
  </w:style>
  <w:style w:type="character" w:styleId="IntenseReference">
    <w:name w:val="Intense Reference"/>
    <w:uiPriority w:val="32"/>
    <w:qFormat/>
    <w:rsid w:val="009C039D"/>
    <w:rPr>
      <w:b/>
      <w:bCs/>
      <w:i/>
      <w:iCs/>
      <w:caps/>
      <w:color w:val="E3CCF4" w:themeColor="accent1"/>
    </w:rPr>
  </w:style>
  <w:style w:type="character" w:styleId="BookTitle">
    <w:name w:val="Book Title"/>
    <w:uiPriority w:val="33"/>
    <w:qFormat/>
    <w:rsid w:val="009C039D"/>
    <w:rPr>
      <w:b/>
      <w:bCs/>
      <w:i/>
      <w:iCs/>
      <w:spacing w:val="9"/>
    </w:rPr>
  </w:style>
  <w:style w:type="character" w:styleId="HTMLCite">
    <w:name w:val="HTML Cite"/>
    <w:basedOn w:val="DefaultParagraphFont"/>
    <w:uiPriority w:val="99"/>
    <w:semiHidden/>
    <w:unhideWhenUsed/>
    <w:rsid w:val="009C039D"/>
    <w:rPr>
      <w:i/>
      <w:iCs/>
    </w:rPr>
  </w:style>
  <w:style w:type="paragraph" w:customStyle="1" w:styleId="aLicenceCondition">
    <w:name w:val="a Licence Condition"/>
    <w:basedOn w:val="Normal"/>
    <w:autoRedefine/>
    <w:rsid w:val="009C039D"/>
    <w:pPr>
      <w:tabs>
        <w:tab w:val="left" w:pos="3261"/>
      </w:tabs>
      <w:spacing w:after="120"/>
      <w:ind w:left="360" w:hanging="360"/>
      <w:jc w:val="both"/>
    </w:pPr>
    <w:rPr>
      <w:rFonts w:eastAsia="Times New Roman" w:cs="Times New Roman"/>
      <w:snapToGrid w:val="0"/>
      <w:color w:val="auto"/>
    </w:rPr>
  </w:style>
  <w:style w:type="paragraph" w:customStyle="1" w:styleId="definitionacronyms">
    <w:name w:val="definition+acronyms"/>
    <w:basedOn w:val="Heading1"/>
    <w:qFormat/>
    <w:rsid w:val="009C039D"/>
    <w:pPr>
      <w:spacing w:after="600" w:line="276" w:lineRule="auto"/>
      <w:jc w:val="center"/>
    </w:pPr>
    <w:rPr>
      <w:rFonts w:asciiTheme="majorHAnsi" w:hAnsiTheme="majorHAnsi"/>
      <w:color w:val="AF6FE0" w:themeColor="accent1" w:themeShade="BF"/>
      <w:sz w:val="28"/>
    </w:rPr>
  </w:style>
  <w:style w:type="table" w:customStyle="1" w:styleId="LightShading-Accent11">
    <w:name w:val="Light Shading - Accent 11"/>
    <w:basedOn w:val="TableNormal"/>
    <w:uiPriority w:val="60"/>
    <w:rsid w:val="009C039D"/>
    <w:pPr>
      <w:spacing w:before="0"/>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paragraph" w:customStyle="1" w:styleId="subsection">
    <w:name w:val="subsection"/>
    <w:basedOn w:val="Normal"/>
    <w:rsid w:val="00874F03"/>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874F03"/>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notetext">
    <w:name w:val="notetext"/>
    <w:basedOn w:val="Normal"/>
    <w:rsid w:val="00874F03"/>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aragraphsub">
    <w:name w:val="paragraphsub"/>
    <w:basedOn w:val="Normal"/>
    <w:rsid w:val="00DF28B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tabletext0">
    <w:name w:val="tabletext"/>
    <w:basedOn w:val="Normal"/>
    <w:rsid w:val="00822282"/>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tablea">
    <w:name w:val="tablea"/>
    <w:basedOn w:val="Normal"/>
    <w:rsid w:val="00822282"/>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13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6858">
      <w:bodyDiv w:val="1"/>
      <w:marLeft w:val="0"/>
      <w:marRight w:val="0"/>
      <w:marTop w:val="0"/>
      <w:marBottom w:val="0"/>
      <w:divBdr>
        <w:top w:val="none" w:sz="0" w:space="0" w:color="auto"/>
        <w:left w:val="none" w:sz="0" w:space="0" w:color="auto"/>
        <w:bottom w:val="none" w:sz="0" w:space="0" w:color="auto"/>
        <w:right w:val="none" w:sz="0" w:space="0" w:color="auto"/>
      </w:divBdr>
    </w:div>
    <w:div w:id="491526310">
      <w:bodyDiv w:val="1"/>
      <w:marLeft w:val="0"/>
      <w:marRight w:val="0"/>
      <w:marTop w:val="0"/>
      <w:marBottom w:val="0"/>
      <w:divBdr>
        <w:top w:val="none" w:sz="0" w:space="0" w:color="auto"/>
        <w:left w:val="none" w:sz="0" w:space="0" w:color="auto"/>
        <w:bottom w:val="none" w:sz="0" w:space="0" w:color="auto"/>
        <w:right w:val="none" w:sz="0" w:space="0" w:color="auto"/>
      </w:divBdr>
    </w:div>
    <w:div w:id="632172155">
      <w:bodyDiv w:val="1"/>
      <w:marLeft w:val="0"/>
      <w:marRight w:val="0"/>
      <w:marTop w:val="0"/>
      <w:marBottom w:val="0"/>
      <w:divBdr>
        <w:top w:val="none" w:sz="0" w:space="0" w:color="auto"/>
        <w:left w:val="none" w:sz="0" w:space="0" w:color="auto"/>
        <w:bottom w:val="none" w:sz="0" w:space="0" w:color="auto"/>
        <w:right w:val="none" w:sz="0" w:space="0" w:color="auto"/>
      </w:divBdr>
    </w:div>
    <w:div w:id="929854568">
      <w:bodyDiv w:val="1"/>
      <w:marLeft w:val="0"/>
      <w:marRight w:val="0"/>
      <w:marTop w:val="0"/>
      <w:marBottom w:val="0"/>
      <w:divBdr>
        <w:top w:val="none" w:sz="0" w:space="0" w:color="auto"/>
        <w:left w:val="none" w:sz="0" w:space="0" w:color="auto"/>
        <w:bottom w:val="none" w:sz="0" w:space="0" w:color="auto"/>
        <w:right w:val="none" w:sz="0" w:space="0" w:color="auto"/>
      </w:divBdr>
    </w:div>
    <w:div w:id="941380247">
      <w:bodyDiv w:val="1"/>
      <w:marLeft w:val="0"/>
      <w:marRight w:val="0"/>
      <w:marTop w:val="0"/>
      <w:marBottom w:val="0"/>
      <w:divBdr>
        <w:top w:val="none" w:sz="0" w:space="0" w:color="auto"/>
        <w:left w:val="none" w:sz="0" w:space="0" w:color="auto"/>
        <w:bottom w:val="none" w:sz="0" w:space="0" w:color="auto"/>
        <w:right w:val="none" w:sz="0" w:space="0" w:color="auto"/>
      </w:divBdr>
    </w:div>
    <w:div w:id="1236629447">
      <w:bodyDiv w:val="1"/>
      <w:marLeft w:val="0"/>
      <w:marRight w:val="0"/>
      <w:marTop w:val="0"/>
      <w:marBottom w:val="0"/>
      <w:divBdr>
        <w:top w:val="none" w:sz="0" w:space="0" w:color="auto"/>
        <w:left w:val="none" w:sz="0" w:space="0" w:color="auto"/>
        <w:bottom w:val="none" w:sz="0" w:space="0" w:color="auto"/>
        <w:right w:val="none" w:sz="0" w:space="0" w:color="auto"/>
      </w:divBdr>
    </w:div>
    <w:div w:id="1450851187">
      <w:bodyDiv w:val="1"/>
      <w:marLeft w:val="0"/>
      <w:marRight w:val="0"/>
      <w:marTop w:val="0"/>
      <w:marBottom w:val="0"/>
      <w:divBdr>
        <w:top w:val="none" w:sz="0" w:space="0" w:color="auto"/>
        <w:left w:val="none" w:sz="0" w:space="0" w:color="auto"/>
        <w:bottom w:val="none" w:sz="0" w:space="0" w:color="auto"/>
        <w:right w:val="none" w:sz="0" w:space="0" w:color="auto"/>
      </w:divBdr>
    </w:div>
    <w:div w:id="19885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01.safelinks.protection.outlook.com/?url=https%3A%2F%2Fwww.pmc.gov.au%2Fgovernment%2Fcommonwealth-coat-arms&amp;data=04%7C01%7Cmartin.reynolds%40arpansa.gov.au%7Ccdebc4e657e44477babd08d9f85a70a6%7Ce23b734400e149cb94682759cc63a844%7C0%7C0%7C637813891752656501%7CUnknown%7CTWFpbGZsb3d8eyJWIjoiMC4wLjAwMDAiLCJQIjoiV2luMzIiLCJBTiI6Ik1haWwiLCJXVCI6Mn0%3D%7C1000&amp;sdata=XNZC3WmRVIBq%2BTDGayy5AAKxPssjvBIzWqwjCxh8BjM%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1.png@01CEB53F.7BA597A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3" Type="http://schemas.openxmlformats.org/officeDocument/2006/relationships/hyperlink" Target="https://www.industry.gov.au/data-and-publications/australian-radioactive-waste-management-framework" TargetMode="External"/><Relationship Id="rId18" Type="http://schemas.openxmlformats.org/officeDocument/2006/relationships/hyperlink" Target="https://www-pub.iaea.org/MTCD/Publications/PDF/PUB1830_web.pdf" TargetMode="External"/><Relationship Id="rId26" Type="http://schemas.openxmlformats.org/officeDocument/2006/relationships/hyperlink" Target="https://www.arpansa.gov.au/sites/default/files/anm-sor-24052019.pdf" TargetMode="External"/><Relationship Id="rId21" Type="http://schemas.openxmlformats.org/officeDocument/2006/relationships/hyperlink" Target="https://journals.sagepub.com/doi/pdf/10.1177/ANIB_37_2-4" TargetMode="External"/><Relationship Id="rId34" Type="http://schemas.openxmlformats.org/officeDocument/2006/relationships/hyperlink" Target="https://www.aph.gov.au/Parliamentary_Business/Committees/Senate/Economics/RadioactiveWaste/Submissions" TargetMode="External"/><Relationship Id="rId7" Type="http://schemas.openxmlformats.org/officeDocument/2006/relationships/hyperlink" Target="https://www.arpansa.gov.au/regulation-and-licensing/licensing/information-for-licence-holders/regulatory-guides" TargetMode="External"/><Relationship Id="rId12" Type="http://schemas.openxmlformats.org/officeDocument/2006/relationships/hyperlink" Target="https://www.arpansa.gov.au/regulation-and-licensing/regulation/international-best-practice" TargetMode="External"/><Relationship Id="rId17" Type="http://schemas.openxmlformats.org/officeDocument/2006/relationships/hyperlink" Target="https://www.arpansa.gov.au/regulation-and-licensing/licensing/information-for-licence-holders/regulatory-guides/regulatory-guide-preparation-safety-analysis" TargetMode="External"/><Relationship Id="rId25" Type="http://schemas.openxmlformats.org/officeDocument/2006/relationships/hyperlink" Target="https://www.arpansa.gov.au/sites/default/files/statement_of_reasons_sor_-_anm_operations.pdf" TargetMode="External"/><Relationship Id="rId33" Type="http://schemas.openxmlformats.org/officeDocument/2006/relationships/hyperlink" Target="https://www.arpansa.gov.au/sites/default/files/statement_of_reasons_sor_-_anm_operations.pdf" TargetMode="External"/><Relationship Id="rId38" Type="http://schemas.openxmlformats.org/officeDocument/2006/relationships/hyperlink" Target="https://www.oecd-nea.org/jcms/pl_26152/high-level-group-on-the-security-of-supply-of-medical-radioisotopes-hlg-mr" TargetMode="External"/><Relationship Id="rId2" Type="http://schemas.openxmlformats.org/officeDocument/2006/relationships/hyperlink" Target="https://www.arpansa.gov.au/sites/default/files/rpsc3.pdf" TargetMode="External"/><Relationship Id="rId16" Type="http://schemas.openxmlformats.org/officeDocument/2006/relationships/hyperlink" Target="https://www.industry.gov.au/news/minister-declares-napandee-as-the-site-for-the-national-radioactive-waste-management-facility" TargetMode="External"/><Relationship Id="rId20" Type="http://schemas.openxmlformats.org/officeDocument/2006/relationships/hyperlink" Target="https://www.arpansa.gov.au/sites/default/files/rps_c-1_rev_1.pdf" TargetMode="External"/><Relationship Id="rId29" Type="http://schemas.openxmlformats.org/officeDocument/2006/relationships/hyperlink" Target="https://www.arpansa.gov.au/regulation-and-licensing/regulatory-publications/radiation-protection-series/codes-and-standards/rpsc-1" TargetMode="External"/><Relationship Id="rId1" Type="http://schemas.openxmlformats.org/officeDocument/2006/relationships/hyperlink" Target="https://www.legislation.gov.au/Details/C2016C00977" TargetMode="External"/><Relationship Id="rId6" Type="http://schemas.openxmlformats.org/officeDocument/2006/relationships/hyperlink" Target="https://www.arpansa.gov.au/regulation-and-licensing/regulatory-publications/radiation-protection-series" TargetMode="External"/><Relationship Id="rId11" Type="http://schemas.openxmlformats.org/officeDocument/2006/relationships/hyperlink" Target="https://www.arpansa.gov.au/notice-intention-make-decision-facility-licence-application" TargetMode="External"/><Relationship Id="rId24" Type="http://schemas.openxmlformats.org/officeDocument/2006/relationships/hyperlink" Target="https://www.arpansa.gov.au/regulation-and-licensing/licensing/information-for-licence-holders/regulatory-guides/regulatory-guide-plans-and-arrangements" TargetMode="External"/><Relationship Id="rId32" Type="http://schemas.openxmlformats.org/officeDocument/2006/relationships/hyperlink" Target="https://www.industry.gov.au/policies-and-initiatives/australian-radioactive-waste-agency" TargetMode="External"/><Relationship Id="rId37" Type="http://schemas.openxmlformats.org/officeDocument/2006/relationships/hyperlink" Target="https://www.arpansa.gov.au/about-us/our-policies/regulatory-activity-policies" TargetMode="External"/><Relationship Id="rId5" Type="http://schemas.openxmlformats.org/officeDocument/2006/relationships/hyperlink" Target="https://aus01.safelinks.protection.outlook.com/?url=https%3A%2F%2Farpansa.gov.au%2FANSTO-ILWCI&amp;data=04%7C01%7Cfrancesca.wigney%40arpansa.gov.au%7Cc6c8cc6c4a3c489898fe08d9f5b9d920%7Ce23b734400e149cb94682759cc63a844%7C0%7C0%7C637811000825718578%7CUnknown%7CTWFpbGZsb3d8eyJWIjoiMC4wLjAwMDAiLCJQIjoiV2luMzIiLCJBTiI6Ik1haWwiLCJXVCI6Mn0%3D%7C3000&amp;sdata=WG87MQKdwFpmNxj3cn4FMp2jAleHhCGSKk4eNlxzqow%3D&amp;reserved=0" TargetMode="External"/><Relationship Id="rId15" Type="http://schemas.openxmlformats.org/officeDocument/2006/relationships/hyperlink" Target="https://www.arpansa.gov.au/regulation-and-licensing/regulatory-publications/radiation-protection-series/rps-g-4" TargetMode="External"/><Relationship Id="rId23" Type="http://schemas.openxmlformats.org/officeDocument/2006/relationships/hyperlink" Target="https://www.arpansa.gov.au/sites/default/files/rps-g-3-part-1-2019.pdf" TargetMode="External"/><Relationship Id="rId28" Type="http://schemas.openxmlformats.org/officeDocument/2006/relationships/hyperlink" Target="https://www.iaea.org/publications/8930/radiation-protection-and-safety-of-radiation-sources-international-basic-safety-standards" TargetMode="External"/><Relationship Id="rId36" Type="http://schemas.openxmlformats.org/officeDocument/2006/relationships/hyperlink" Target="https://theconversation.com/3-reasons-the-announcement-to-dump-radioactive-waste-in-south-australia-is-extremely-premature-172766" TargetMode="External"/><Relationship Id="rId10" Type="http://schemas.openxmlformats.org/officeDocument/2006/relationships/hyperlink" Target="https://www.youtube.com/watch?v=eSb8t4pHMOw" TargetMode="External"/><Relationship Id="rId19" Type="http://schemas.openxmlformats.org/officeDocument/2006/relationships/hyperlink" Target="https://www.arpansa.gov.au/regulation-and-licensing/regulatory-publications/radiation-protection-series/codes-and-standards/rpsc-1/advisory-note" TargetMode="External"/><Relationship Id="rId31" Type="http://schemas.openxmlformats.org/officeDocument/2006/relationships/hyperlink" Target="https://aus01.safelinks.protection.outlook.com/?url=https%3A%2F%2Farpansa.gov.au%2FANSTO-ILWCI&amp;data=04%7C01%7Cfrancesca.wigney%40arpansa.gov.au%7Cc6c8cc6c4a3c489898fe08d9f5b9d920%7Ce23b734400e149cb94682759cc63a844%7C0%7C0%7C637811000825718578%7CUnknown%7CTWFpbGZsb3d8eyJWIjoiMC4wLjAwMDAiLCJQIjoiV2luMzIiLCJBTiI6Ik1haWwiLCJXVCI6Mn0%3D%7C3000&amp;sdata=WG87MQKdwFpmNxj3cn4FMp2jAleHhCGSKk4eNlxzqow%3D&amp;reserved=0" TargetMode="External"/><Relationship Id="rId4" Type="http://schemas.openxmlformats.org/officeDocument/2006/relationships/hyperlink" Target="https://www.arpansa.gov.au/regulation-and-licensing/licensing/information-for-licence-holders/regulatory-guides/regulatory-guide-applying-licence-nuclear" TargetMode="External"/><Relationship Id="rId9" Type="http://schemas.openxmlformats.org/officeDocument/2006/relationships/hyperlink" Target="https://www.arpansa.gov.au/notice-intention-make-decision-facility-licence-application" TargetMode="External"/><Relationship Id="rId14" Type="http://schemas.openxmlformats.org/officeDocument/2006/relationships/hyperlink" Target="https://www.arpansa.gov.au/about-us/our-policies/regulatory-activity-policies" TargetMode="External"/><Relationship Id="rId22" Type="http://schemas.openxmlformats.org/officeDocument/2006/relationships/hyperlink" Target="https://journals.sagepub.com/doi/pdf/10.1177/ANIB_37_2-4" TargetMode="External"/><Relationship Id="rId27" Type="http://schemas.openxmlformats.org/officeDocument/2006/relationships/hyperlink" Target="https://journals.sagepub.com/doi/pdf/10.1177/ANIB_37_2-4" TargetMode="External"/><Relationship Id="rId30" Type="http://schemas.openxmlformats.org/officeDocument/2006/relationships/hyperlink" Target="https://www-pub.iaea.org/MTCD/Publications/PDF/P1779_web.pdf" TargetMode="External"/><Relationship Id="rId35" Type="http://schemas.openxmlformats.org/officeDocument/2006/relationships/hyperlink" Target="https://www.arpansa.gov.au/news/progress-actions-ansto-safety-review" TargetMode="External"/><Relationship Id="rId8" Type="http://schemas.openxmlformats.org/officeDocument/2006/relationships/hyperlink" Target="https://www.arpansa.gov.au/about-us/advisory-council-and-committees/nuclear-safety-committee" TargetMode="External"/><Relationship Id="rId3" Type="http://schemas.openxmlformats.org/officeDocument/2006/relationships/hyperlink" Target="https://www.legislation.gov.au/Details/F2021C00746"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D048148-F730-4531-96DA-1BB66B8A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11238</Words>
  <Characters>64060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75148</CharactersWithSpaces>
  <SharedDoc>false</SharedDoc>
  <HLinks>
    <vt:vector size="468" baseType="variant">
      <vt:variant>
        <vt:i4>1245233</vt:i4>
      </vt:variant>
      <vt:variant>
        <vt:i4>236</vt:i4>
      </vt:variant>
      <vt:variant>
        <vt:i4>0</vt:i4>
      </vt:variant>
      <vt:variant>
        <vt:i4>5</vt:i4>
      </vt:variant>
      <vt:variant>
        <vt:lpwstr/>
      </vt:variant>
      <vt:variant>
        <vt:lpwstr>_Toc96958691</vt:lpwstr>
      </vt:variant>
      <vt:variant>
        <vt:i4>1179697</vt:i4>
      </vt:variant>
      <vt:variant>
        <vt:i4>230</vt:i4>
      </vt:variant>
      <vt:variant>
        <vt:i4>0</vt:i4>
      </vt:variant>
      <vt:variant>
        <vt:i4>5</vt:i4>
      </vt:variant>
      <vt:variant>
        <vt:lpwstr/>
      </vt:variant>
      <vt:variant>
        <vt:lpwstr>_Toc96958690</vt:lpwstr>
      </vt:variant>
      <vt:variant>
        <vt:i4>1769520</vt:i4>
      </vt:variant>
      <vt:variant>
        <vt:i4>224</vt:i4>
      </vt:variant>
      <vt:variant>
        <vt:i4>0</vt:i4>
      </vt:variant>
      <vt:variant>
        <vt:i4>5</vt:i4>
      </vt:variant>
      <vt:variant>
        <vt:lpwstr/>
      </vt:variant>
      <vt:variant>
        <vt:lpwstr>_Toc96958689</vt:lpwstr>
      </vt:variant>
      <vt:variant>
        <vt:i4>1703984</vt:i4>
      </vt:variant>
      <vt:variant>
        <vt:i4>218</vt:i4>
      </vt:variant>
      <vt:variant>
        <vt:i4>0</vt:i4>
      </vt:variant>
      <vt:variant>
        <vt:i4>5</vt:i4>
      </vt:variant>
      <vt:variant>
        <vt:lpwstr/>
      </vt:variant>
      <vt:variant>
        <vt:lpwstr>_Toc96958688</vt:lpwstr>
      </vt:variant>
      <vt:variant>
        <vt:i4>1376304</vt:i4>
      </vt:variant>
      <vt:variant>
        <vt:i4>212</vt:i4>
      </vt:variant>
      <vt:variant>
        <vt:i4>0</vt:i4>
      </vt:variant>
      <vt:variant>
        <vt:i4>5</vt:i4>
      </vt:variant>
      <vt:variant>
        <vt:lpwstr/>
      </vt:variant>
      <vt:variant>
        <vt:lpwstr>_Toc96958687</vt:lpwstr>
      </vt:variant>
      <vt:variant>
        <vt:i4>1310768</vt:i4>
      </vt:variant>
      <vt:variant>
        <vt:i4>206</vt:i4>
      </vt:variant>
      <vt:variant>
        <vt:i4>0</vt:i4>
      </vt:variant>
      <vt:variant>
        <vt:i4>5</vt:i4>
      </vt:variant>
      <vt:variant>
        <vt:lpwstr/>
      </vt:variant>
      <vt:variant>
        <vt:lpwstr>_Toc96958686</vt:lpwstr>
      </vt:variant>
      <vt:variant>
        <vt:i4>1507376</vt:i4>
      </vt:variant>
      <vt:variant>
        <vt:i4>200</vt:i4>
      </vt:variant>
      <vt:variant>
        <vt:i4>0</vt:i4>
      </vt:variant>
      <vt:variant>
        <vt:i4>5</vt:i4>
      </vt:variant>
      <vt:variant>
        <vt:lpwstr/>
      </vt:variant>
      <vt:variant>
        <vt:lpwstr>_Toc96958685</vt:lpwstr>
      </vt:variant>
      <vt:variant>
        <vt:i4>1441840</vt:i4>
      </vt:variant>
      <vt:variant>
        <vt:i4>194</vt:i4>
      </vt:variant>
      <vt:variant>
        <vt:i4>0</vt:i4>
      </vt:variant>
      <vt:variant>
        <vt:i4>5</vt:i4>
      </vt:variant>
      <vt:variant>
        <vt:lpwstr/>
      </vt:variant>
      <vt:variant>
        <vt:lpwstr>_Toc96958684</vt:lpwstr>
      </vt:variant>
      <vt:variant>
        <vt:i4>1114160</vt:i4>
      </vt:variant>
      <vt:variant>
        <vt:i4>188</vt:i4>
      </vt:variant>
      <vt:variant>
        <vt:i4>0</vt:i4>
      </vt:variant>
      <vt:variant>
        <vt:i4>5</vt:i4>
      </vt:variant>
      <vt:variant>
        <vt:lpwstr/>
      </vt:variant>
      <vt:variant>
        <vt:lpwstr>_Toc96958683</vt:lpwstr>
      </vt:variant>
      <vt:variant>
        <vt:i4>1048624</vt:i4>
      </vt:variant>
      <vt:variant>
        <vt:i4>182</vt:i4>
      </vt:variant>
      <vt:variant>
        <vt:i4>0</vt:i4>
      </vt:variant>
      <vt:variant>
        <vt:i4>5</vt:i4>
      </vt:variant>
      <vt:variant>
        <vt:lpwstr/>
      </vt:variant>
      <vt:variant>
        <vt:lpwstr>_Toc96958682</vt:lpwstr>
      </vt:variant>
      <vt:variant>
        <vt:i4>1245232</vt:i4>
      </vt:variant>
      <vt:variant>
        <vt:i4>176</vt:i4>
      </vt:variant>
      <vt:variant>
        <vt:i4>0</vt:i4>
      </vt:variant>
      <vt:variant>
        <vt:i4>5</vt:i4>
      </vt:variant>
      <vt:variant>
        <vt:lpwstr/>
      </vt:variant>
      <vt:variant>
        <vt:lpwstr>_Toc96958681</vt:lpwstr>
      </vt:variant>
      <vt:variant>
        <vt:i4>1179696</vt:i4>
      </vt:variant>
      <vt:variant>
        <vt:i4>170</vt:i4>
      </vt:variant>
      <vt:variant>
        <vt:i4>0</vt:i4>
      </vt:variant>
      <vt:variant>
        <vt:i4>5</vt:i4>
      </vt:variant>
      <vt:variant>
        <vt:lpwstr/>
      </vt:variant>
      <vt:variant>
        <vt:lpwstr>_Toc96958680</vt:lpwstr>
      </vt:variant>
      <vt:variant>
        <vt:i4>1769535</vt:i4>
      </vt:variant>
      <vt:variant>
        <vt:i4>164</vt:i4>
      </vt:variant>
      <vt:variant>
        <vt:i4>0</vt:i4>
      </vt:variant>
      <vt:variant>
        <vt:i4>5</vt:i4>
      </vt:variant>
      <vt:variant>
        <vt:lpwstr/>
      </vt:variant>
      <vt:variant>
        <vt:lpwstr>_Toc96958679</vt:lpwstr>
      </vt:variant>
      <vt:variant>
        <vt:i4>1703999</vt:i4>
      </vt:variant>
      <vt:variant>
        <vt:i4>158</vt:i4>
      </vt:variant>
      <vt:variant>
        <vt:i4>0</vt:i4>
      </vt:variant>
      <vt:variant>
        <vt:i4>5</vt:i4>
      </vt:variant>
      <vt:variant>
        <vt:lpwstr/>
      </vt:variant>
      <vt:variant>
        <vt:lpwstr>_Toc96958678</vt:lpwstr>
      </vt:variant>
      <vt:variant>
        <vt:i4>1376319</vt:i4>
      </vt:variant>
      <vt:variant>
        <vt:i4>152</vt:i4>
      </vt:variant>
      <vt:variant>
        <vt:i4>0</vt:i4>
      </vt:variant>
      <vt:variant>
        <vt:i4>5</vt:i4>
      </vt:variant>
      <vt:variant>
        <vt:lpwstr/>
      </vt:variant>
      <vt:variant>
        <vt:lpwstr>_Toc96958677</vt:lpwstr>
      </vt:variant>
      <vt:variant>
        <vt:i4>1310783</vt:i4>
      </vt:variant>
      <vt:variant>
        <vt:i4>146</vt:i4>
      </vt:variant>
      <vt:variant>
        <vt:i4>0</vt:i4>
      </vt:variant>
      <vt:variant>
        <vt:i4>5</vt:i4>
      </vt:variant>
      <vt:variant>
        <vt:lpwstr/>
      </vt:variant>
      <vt:variant>
        <vt:lpwstr>_Toc96958676</vt:lpwstr>
      </vt:variant>
      <vt:variant>
        <vt:i4>1507391</vt:i4>
      </vt:variant>
      <vt:variant>
        <vt:i4>140</vt:i4>
      </vt:variant>
      <vt:variant>
        <vt:i4>0</vt:i4>
      </vt:variant>
      <vt:variant>
        <vt:i4>5</vt:i4>
      </vt:variant>
      <vt:variant>
        <vt:lpwstr/>
      </vt:variant>
      <vt:variant>
        <vt:lpwstr>_Toc96958675</vt:lpwstr>
      </vt:variant>
      <vt:variant>
        <vt:i4>1441855</vt:i4>
      </vt:variant>
      <vt:variant>
        <vt:i4>134</vt:i4>
      </vt:variant>
      <vt:variant>
        <vt:i4>0</vt:i4>
      </vt:variant>
      <vt:variant>
        <vt:i4>5</vt:i4>
      </vt:variant>
      <vt:variant>
        <vt:lpwstr/>
      </vt:variant>
      <vt:variant>
        <vt:lpwstr>_Toc96958674</vt:lpwstr>
      </vt:variant>
      <vt:variant>
        <vt:i4>1114175</vt:i4>
      </vt:variant>
      <vt:variant>
        <vt:i4>128</vt:i4>
      </vt:variant>
      <vt:variant>
        <vt:i4>0</vt:i4>
      </vt:variant>
      <vt:variant>
        <vt:i4>5</vt:i4>
      </vt:variant>
      <vt:variant>
        <vt:lpwstr/>
      </vt:variant>
      <vt:variant>
        <vt:lpwstr>_Toc96958673</vt:lpwstr>
      </vt:variant>
      <vt:variant>
        <vt:i4>1048639</vt:i4>
      </vt:variant>
      <vt:variant>
        <vt:i4>122</vt:i4>
      </vt:variant>
      <vt:variant>
        <vt:i4>0</vt:i4>
      </vt:variant>
      <vt:variant>
        <vt:i4>5</vt:i4>
      </vt:variant>
      <vt:variant>
        <vt:lpwstr/>
      </vt:variant>
      <vt:variant>
        <vt:lpwstr>_Toc96958672</vt:lpwstr>
      </vt:variant>
      <vt:variant>
        <vt:i4>1245247</vt:i4>
      </vt:variant>
      <vt:variant>
        <vt:i4>116</vt:i4>
      </vt:variant>
      <vt:variant>
        <vt:i4>0</vt:i4>
      </vt:variant>
      <vt:variant>
        <vt:i4>5</vt:i4>
      </vt:variant>
      <vt:variant>
        <vt:lpwstr/>
      </vt:variant>
      <vt:variant>
        <vt:lpwstr>_Toc96958671</vt:lpwstr>
      </vt:variant>
      <vt:variant>
        <vt:i4>1179711</vt:i4>
      </vt:variant>
      <vt:variant>
        <vt:i4>110</vt:i4>
      </vt:variant>
      <vt:variant>
        <vt:i4>0</vt:i4>
      </vt:variant>
      <vt:variant>
        <vt:i4>5</vt:i4>
      </vt:variant>
      <vt:variant>
        <vt:lpwstr/>
      </vt:variant>
      <vt:variant>
        <vt:lpwstr>_Toc96958670</vt:lpwstr>
      </vt:variant>
      <vt:variant>
        <vt:i4>1769534</vt:i4>
      </vt:variant>
      <vt:variant>
        <vt:i4>104</vt:i4>
      </vt:variant>
      <vt:variant>
        <vt:i4>0</vt:i4>
      </vt:variant>
      <vt:variant>
        <vt:i4>5</vt:i4>
      </vt:variant>
      <vt:variant>
        <vt:lpwstr/>
      </vt:variant>
      <vt:variant>
        <vt:lpwstr>_Toc96958669</vt:lpwstr>
      </vt:variant>
      <vt:variant>
        <vt:i4>1703998</vt:i4>
      </vt:variant>
      <vt:variant>
        <vt:i4>98</vt:i4>
      </vt:variant>
      <vt:variant>
        <vt:i4>0</vt:i4>
      </vt:variant>
      <vt:variant>
        <vt:i4>5</vt:i4>
      </vt:variant>
      <vt:variant>
        <vt:lpwstr/>
      </vt:variant>
      <vt:variant>
        <vt:lpwstr>_Toc96958668</vt:lpwstr>
      </vt:variant>
      <vt:variant>
        <vt:i4>1376318</vt:i4>
      </vt:variant>
      <vt:variant>
        <vt:i4>92</vt:i4>
      </vt:variant>
      <vt:variant>
        <vt:i4>0</vt:i4>
      </vt:variant>
      <vt:variant>
        <vt:i4>5</vt:i4>
      </vt:variant>
      <vt:variant>
        <vt:lpwstr/>
      </vt:variant>
      <vt:variant>
        <vt:lpwstr>_Toc96958667</vt:lpwstr>
      </vt:variant>
      <vt:variant>
        <vt:i4>1310782</vt:i4>
      </vt:variant>
      <vt:variant>
        <vt:i4>86</vt:i4>
      </vt:variant>
      <vt:variant>
        <vt:i4>0</vt:i4>
      </vt:variant>
      <vt:variant>
        <vt:i4>5</vt:i4>
      </vt:variant>
      <vt:variant>
        <vt:lpwstr/>
      </vt:variant>
      <vt:variant>
        <vt:lpwstr>_Toc96958666</vt:lpwstr>
      </vt:variant>
      <vt:variant>
        <vt:i4>1507390</vt:i4>
      </vt:variant>
      <vt:variant>
        <vt:i4>80</vt:i4>
      </vt:variant>
      <vt:variant>
        <vt:i4>0</vt:i4>
      </vt:variant>
      <vt:variant>
        <vt:i4>5</vt:i4>
      </vt:variant>
      <vt:variant>
        <vt:lpwstr/>
      </vt:variant>
      <vt:variant>
        <vt:lpwstr>_Toc96958665</vt:lpwstr>
      </vt:variant>
      <vt:variant>
        <vt:i4>1441854</vt:i4>
      </vt:variant>
      <vt:variant>
        <vt:i4>74</vt:i4>
      </vt:variant>
      <vt:variant>
        <vt:i4>0</vt:i4>
      </vt:variant>
      <vt:variant>
        <vt:i4>5</vt:i4>
      </vt:variant>
      <vt:variant>
        <vt:lpwstr/>
      </vt:variant>
      <vt:variant>
        <vt:lpwstr>_Toc96958664</vt:lpwstr>
      </vt:variant>
      <vt:variant>
        <vt:i4>1114174</vt:i4>
      </vt:variant>
      <vt:variant>
        <vt:i4>68</vt:i4>
      </vt:variant>
      <vt:variant>
        <vt:i4>0</vt:i4>
      </vt:variant>
      <vt:variant>
        <vt:i4>5</vt:i4>
      </vt:variant>
      <vt:variant>
        <vt:lpwstr/>
      </vt:variant>
      <vt:variant>
        <vt:lpwstr>_Toc96958663</vt:lpwstr>
      </vt:variant>
      <vt:variant>
        <vt:i4>1048638</vt:i4>
      </vt:variant>
      <vt:variant>
        <vt:i4>62</vt:i4>
      </vt:variant>
      <vt:variant>
        <vt:i4>0</vt:i4>
      </vt:variant>
      <vt:variant>
        <vt:i4>5</vt:i4>
      </vt:variant>
      <vt:variant>
        <vt:lpwstr/>
      </vt:variant>
      <vt:variant>
        <vt:lpwstr>_Toc96958662</vt:lpwstr>
      </vt:variant>
      <vt:variant>
        <vt:i4>1245246</vt:i4>
      </vt:variant>
      <vt:variant>
        <vt:i4>56</vt:i4>
      </vt:variant>
      <vt:variant>
        <vt:i4>0</vt:i4>
      </vt:variant>
      <vt:variant>
        <vt:i4>5</vt:i4>
      </vt:variant>
      <vt:variant>
        <vt:lpwstr/>
      </vt:variant>
      <vt:variant>
        <vt:lpwstr>_Toc96958661</vt:lpwstr>
      </vt:variant>
      <vt:variant>
        <vt:i4>1179710</vt:i4>
      </vt:variant>
      <vt:variant>
        <vt:i4>50</vt:i4>
      </vt:variant>
      <vt:variant>
        <vt:i4>0</vt:i4>
      </vt:variant>
      <vt:variant>
        <vt:i4>5</vt:i4>
      </vt:variant>
      <vt:variant>
        <vt:lpwstr/>
      </vt:variant>
      <vt:variant>
        <vt:lpwstr>_Toc96958660</vt:lpwstr>
      </vt:variant>
      <vt:variant>
        <vt:i4>1769533</vt:i4>
      </vt:variant>
      <vt:variant>
        <vt:i4>44</vt:i4>
      </vt:variant>
      <vt:variant>
        <vt:i4>0</vt:i4>
      </vt:variant>
      <vt:variant>
        <vt:i4>5</vt:i4>
      </vt:variant>
      <vt:variant>
        <vt:lpwstr/>
      </vt:variant>
      <vt:variant>
        <vt:lpwstr>_Toc96958659</vt:lpwstr>
      </vt:variant>
      <vt:variant>
        <vt:i4>1703997</vt:i4>
      </vt:variant>
      <vt:variant>
        <vt:i4>38</vt:i4>
      </vt:variant>
      <vt:variant>
        <vt:i4>0</vt:i4>
      </vt:variant>
      <vt:variant>
        <vt:i4>5</vt:i4>
      </vt:variant>
      <vt:variant>
        <vt:lpwstr/>
      </vt:variant>
      <vt:variant>
        <vt:lpwstr>_Toc96958658</vt:lpwstr>
      </vt:variant>
      <vt:variant>
        <vt:i4>1376317</vt:i4>
      </vt:variant>
      <vt:variant>
        <vt:i4>32</vt:i4>
      </vt:variant>
      <vt:variant>
        <vt:i4>0</vt:i4>
      </vt:variant>
      <vt:variant>
        <vt:i4>5</vt:i4>
      </vt:variant>
      <vt:variant>
        <vt:lpwstr/>
      </vt:variant>
      <vt:variant>
        <vt:lpwstr>_Toc96958657</vt:lpwstr>
      </vt:variant>
      <vt:variant>
        <vt:i4>1310781</vt:i4>
      </vt:variant>
      <vt:variant>
        <vt:i4>26</vt:i4>
      </vt:variant>
      <vt:variant>
        <vt:i4>0</vt:i4>
      </vt:variant>
      <vt:variant>
        <vt:i4>5</vt:i4>
      </vt:variant>
      <vt:variant>
        <vt:lpwstr/>
      </vt:variant>
      <vt:variant>
        <vt:lpwstr>_Toc96958656</vt:lpwstr>
      </vt:variant>
      <vt:variant>
        <vt:i4>1507389</vt:i4>
      </vt:variant>
      <vt:variant>
        <vt:i4>20</vt:i4>
      </vt:variant>
      <vt:variant>
        <vt:i4>0</vt:i4>
      </vt:variant>
      <vt:variant>
        <vt:i4>5</vt:i4>
      </vt:variant>
      <vt:variant>
        <vt:lpwstr/>
      </vt:variant>
      <vt:variant>
        <vt:lpwstr>_Toc96958655</vt:lpwstr>
      </vt:variant>
      <vt:variant>
        <vt:i4>1441853</vt:i4>
      </vt:variant>
      <vt:variant>
        <vt:i4>14</vt:i4>
      </vt:variant>
      <vt:variant>
        <vt:i4>0</vt:i4>
      </vt:variant>
      <vt:variant>
        <vt:i4>5</vt:i4>
      </vt:variant>
      <vt:variant>
        <vt:lpwstr/>
      </vt:variant>
      <vt:variant>
        <vt:lpwstr>_Toc96958654</vt:lpwstr>
      </vt:variant>
      <vt:variant>
        <vt:i4>1114173</vt:i4>
      </vt:variant>
      <vt:variant>
        <vt:i4>8</vt:i4>
      </vt:variant>
      <vt:variant>
        <vt:i4>0</vt:i4>
      </vt:variant>
      <vt:variant>
        <vt:i4>5</vt:i4>
      </vt:variant>
      <vt:variant>
        <vt:lpwstr/>
      </vt:variant>
      <vt:variant>
        <vt:lpwstr>_Toc96958653</vt:lpwstr>
      </vt:variant>
      <vt:variant>
        <vt:i4>3080309</vt:i4>
      </vt:variant>
      <vt:variant>
        <vt:i4>3</vt:i4>
      </vt:variant>
      <vt:variant>
        <vt:i4>0</vt:i4>
      </vt:variant>
      <vt:variant>
        <vt:i4>5</vt:i4>
      </vt:variant>
      <vt:variant>
        <vt:lpwstr>https://aus01.safelinks.protection.outlook.com/?url=https%3A%2F%2Fwww.pmc.gov.au%2Fgovernment%2Fcommonwealth-coat-arms&amp;data=04%7C01%7Cmartin.reynolds%40arpansa.gov.au%7Ccdebc4e657e44477babd08d9f85a70a6%7Ce23b734400e149cb94682759cc63a844%7C0%7C0%7C637813891752656501%7CUnknown%7CTWFpbGZsb3d8eyJWIjoiMC4wLjAwMDAiLCJQIjoiV2luMzIiLCJBTiI6Ik1haWwiLCJXVCI6Mn0%3D%7C1000&amp;sdata=XNZC3WmRVIBq%2BTDGayy5AAKxPssjvBIzWqwjCxh8BjM%3D&amp;reserved=0</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65592</vt:i4>
      </vt:variant>
      <vt:variant>
        <vt:i4>108</vt:i4>
      </vt:variant>
      <vt:variant>
        <vt:i4>0</vt:i4>
      </vt:variant>
      <vt:variant>
        <vt:i4>5</vt:i4>
      </vt:variant>
      <vt:variant>
        <vt:lpwstr>https://www.oecd-nea.org/jcms/pl_26152/high-level-group-on-the-security-of-supply-of-medical-radioisotopes-hlg-mr</vt:lpwstr>
      </vt:variant>
      <vt:variant>
        <vt:lpwstr/>
      </vt:variant>
      <vt:variant>
        <vt:i4>6226002</vt:i4>
      </vt:variant>
      <vt:variant>
        <vt:i4>105</vt:i4>
      </vt:variant>
      <vt:variant>
        <vt:i4>0</vt:i4>
      </vt:variant>
      <vt:variant>
        <vt:i4>5</vt:i4>
      </vt:variant>
      <vt:variant>
        <vt:lpwstr>https://www.arpansa.gov.au/about-us/our-policies/regulatory-activity-policies</vt:lpwstr>
      </vt:variant>
      <vt:variant>
        <vt:lpwstr>:~:text=The%20Regulatory%20Activities%20Policy%20(the,the%20environment%2C%20from%20the%20harmful</vt:lpwstr>
      </vt:variant>
      <vt:variant>
        <vt:i4>393286</vt:i4>
      </vt:variant>
      <vt:variant>
        <vt:i4>102</vt:i4>
      </vt:variant>
      <vt:variant>
        <vt:i4>0</vt:i4>
      </vt:variant>
      <vt:variant>
        <vt:i4>5</vt:i4>
      </vt:variant>
      <vt:variant>
        <vt:lpwstr>https://theconversation.com/3-reasons-the-announcement-to-dump-radioactive-waste-in-south-australia-is-extremely-premature-172766</vt:lpwstr>
      </vt:variant>
      <vt:variant>
        <vt:lpwstr/>
      </vt:variant>
      <vt:variant>
        <vt:i4>4456518</vt:i4>
      </vt:variant>
      <vt:variant>
        <vt:i4>99</vt:i4>
      </vt:variant>
      <vt:variant>
        <vt:i4>0</vt:i4>
      </vt:variant>
      <vt:variant>
        <vt:i4>5</vt:i4>
      </vt:variant>
      <vt:variant>
        <vt:lpwstr>https://www.arpansa.gov.au/news/progress-actions-ansto-safety-review</vt:lpwstr>
      </vt:variant>
      <vt:variant>
        <vt:lpwstr/>
      </vt:variant>
      <vt:variant>
        <vt:i4>7274613</vt:i4>
      </vt:variant>
      <vt:variant>
        <vt:i4>96</vt:i4>
      </vt:variant>
      <vt:variant>
        <vt:i4>0</vt:i4>
      </vt:variant>
      <vt:variant>
        <vt:i4>5</vt:i4>
      </vt:variant>
      <vt:variant>
        <vt:lpwstr>https://www.arpansa.gov.au/sites/default/files/statement_of_reasons_sor_-_anm_operations.pdf</vt:lpwstr>
      </vt:variant>
      <vt:variant>
        <vt:lpwstr/>
      </vt:variant>
      <vt:variant>
        <vt:i4>5111821</vt:i4>
      </vt:variant>
      <vt:variant>
        <vt:i4>93</vt:i4>
      </vt:variant>
      <vt:variant>
        <vt:i4>0</vt:i4>
      </vt:variant>
      <vt:variant>
        <vt:i4>5</vt:i4>
      </vt:variant>
      <vt:variant>
        <vt:lpwstr>https://www.industry.gov.au/policies-and-initiatives/australian-radioactive-waste-agency</vt:lpwstr>
      </vt:variant>
      <vt:variant>
        <vt:lpwstr/>
      </vt:variant>
      <vt:variant>
        <vt:i4>7536758</vt:i4>
      </vt:variant>
      <vt:variant>
        <vt:i4>90</vt:i4>
      </vt:variant>
      <vt:variant>
        <vt:i4>0</vt:i4>
      </vt:variant>
      <vt:variant>
        <vt:i4>5</vt:i4>
      </vt:variant>
      <vt:variant>
        <vt:lpwstr>https://aus01.safelinks.protection.outlook.com/?url=https%3A%2F%2Farpansa.gov.au%2FANSTO-ILWCI&amp;data=04%7C01%7Cfrancesca.wigney%40arpansa.gov.au%7Cc6c8cc6c4a3c489898fe08d9f5b9d920%7Ce23b734400e149cb94682759cc63a844%7C0%7C0%7C637811000825718578%7CUnknown%7CTWFpbGZsb3d8eyJWIjoiMC4wLjAwMDAiLCJQIjoiV2luMzIiLCJBTiI6Ik1haWwiLCJXVCI6Mn0%3D%7C3000&amp;sdata=WG87MQKdwFpmNxj3cn4FMp2jAleHhCGSKk4eNlxzqow%3D&amp;reserved=0</vt:lpwstr>
      </vt:variant>
      <vt:variant>
        <vt:lpwstr/>
      </vt:variant>
      <vt:variant>
        <vt:i4>4194354</vt:i4>
      </vt:variant>
      <vt:variant>
        <vt:i4>87</vt:i4>
      </vt:variant>
      <vt:variant>
        <vt:i4>0</vt:i4>
      </vt:variant>
      <vt:variant>
        <vt:i4>5</vt:i4>
      </vt:variant>
      <vt:variant>
        <vt:lpwstr>https://www-pub.iaea.org/MTCD/Publications/PDF/P1779_web.pdf</vt:lpwstr>
      </vt:variant>
      <vt:variant>
        <vt:lpwstr/>
      </vt:variant>
      <vt:variant>
        <vt:i4>3407924</vt:i4>
      </vt:variant>
      <vt:variant>
        <vt:i4>84</vt:i4>
      </vt:variant>
      <vt:variant>
        <vt:i4>0</vt:i4>
      </vt:variant>
      <vt:variant>
        <vt:i4>5</vt:i4>
      </vt:variant>
      <vt:variant>
        <vt:lpwstr>https://www.arpansa.gov.au/regulation-and-licensing/regulatory-publications/radiation-protection-series/codes-and-standards/rpsc-1</vt:lpwstr>
      </vt:variant>
      <vt:variant>
        <vt:lpwstr/>
      </vt:variant>
      <vt:variant>
        <vt:i4>5046360</vt:i4>
      </vt:variant>
      <vt:variant>
        <vt:i4>81</vt:i4>
      </vt:variant>
      <vt:variant>
        <vt:i4>0</vt:i4>
      </vt:variant>
      <vt:variant>
        <vt:i4>5</vt:i4>
      </vt:variant>
      <vt:variant>
        <vt:lpwstr>https://www.iaea.org/publications/8930/radiation-protection-and-safety-of-radiation-sources-international-basic-safety-standards</vt:lpwstr>
      </vt:variant>
      <vt:variant>
        <vt:lpwstr/>
      </vt:variant>
      <vt:variant>
        <vt:i4>7471155</vt:i4>
      </vt:variant>
      <vt:variant>
        <vt:i4>78</vt:i4>
      </vt:variant>
      <vt:variant>
        <vt:i4>0</vt:i4>
      </vt:variant>
      <vt:variant>
        <vt:i4>5</vt:i4>
      </vt:variant>
      <vt:variant>
        <vt:lpwstr>https://journals.sagepub.com/doi/pdf/10.1177/ANIB_37_2-4</vt:lpwstr>
      </vt:variant>
      <vt:variant>
        <vt:lpwstr/>
      </vt:variant>
      <vt:variant>
        <vt:i4>7995455</vt:i4>
      </vt:variant>
      <vt:variant>
        <vt:i4>75</vt:i4>
      </vt:variant>
      <vt:variant>
        <vt:i4>0</vt:i4>
      </vt:variant>
      <vt:variant>
        <vt:i4>5</vt:i4>
      </vt:variant>
      <vt:variant>
        <vt:lpwstr>https://www.arpansa.gov.au/sites/default/files/anm-sor-24052019.pdf</vt:lpwstr>
      </vt:variant>
      <vt:variant>
        <vt:lpwstr/>
      </vt:variant>
      <vt:variant>
        <vt:i4>7274613</vt:i4>
      </vt:variant>
      <vt:variant>
        <vt:i4>72</vt:i4>
      </vt:variant>
      <vt:variant>
        <vt:i4>0</vt:i4>
      </vt:variant>
      <vt:variant>
        <vt:i4>5</vt:i4>
      </vt:variant>
      <vt:variant>
        <vt:lpwstr>https://www.arpansa.gov.au/sites/default/files/statement_of_reasons_sor_-_anm_operations.pdf</vt:lpwstr>
      </vt:variant>
      <vt:variant>
        <vt:lpwstr/>
      </vt:variant>
      <vt:variant>
        <vt:i4>7536686</vt:i4>
      </vt:variant>
      <vt:variant>
        <vt:i4>69</vt:i4>
      </vt:variant>
      <vt:variant>
        <vt:i4>0</vt:i4>
      </vt:variant>
      <vt:variant>
        <vt:i4>5</vt:i4>
      </vt:variant>
      <vt:variant>
        <vt:lpwstr>https://www.arpansa.gov.au/regulation-and-licensing/licensing/information-for-licence-holders/regulatory-guides/regulatory-guide-plans-and-arrangements</vt:lpwstr>
      </vt:variant>
      <vt:variant>
        <vt:lpwstr/>
      </vt:variant>
      <vt:variant>
        <vt:i4>7602294</vt:i4>
      </vt:variant>
      <vt:variant>
        <vt:i4>66</vt:i4>
      </vt:variant>
      <vt:variant>
        <vt:i4>0</vt:i4>
      </vt:variant>
      <vt:variant>
        <vt:i4>5</vt:i4>
      </vt:variant>
      <vt:variant>
        <vt:lpwstr>https://www.arpansa.gov.au/sites/default/files/rps-g-3-part-1-2019.pdf</vt:lpwstr>
      </vt:variant>
      <vt:variant>
        <vt:lpwstr/>
      </vt:variant>
      <vt:variant>
        <vt:i4>7471155</vt:i4>
      </vt:variant>
      <vt:variant>
        <vt:i4>63</vt:i4>
      </vt:variant>
      <vt:variant>
        <vt:i4>0</vt:i4>
      </vt:variant>
      <vt:variant>
        <vt:i4>5</vt:i4>
      </vt:variant>
      <vt:variant>
        <vt:lpwstr>https://journals.sagepub.com/doi/pdf/10.1177/ANIB_37_2-4</vt:lpwstr>
      </vt:variant>
      <vt:variant>
        <vt:lpwstr/>
      </vt:variant>
      <vt:variant>
        <vt:i4>7471155</vt:i4>
      </vt:variant>
      <vt:variant>
        <vt:i4>60</vt:i4>
      </vt:variant>
      <vt:variant>
        <vt:i4>0</vt:i4>
      </vt:variant>
      <vt:variant>
        <vt:i4>5</vt:i4>
      </vt:variant>
      <vt:variant>
        <vt:lpwstr>https://journals.sagepub.com/doi/pdf/10.1177/ANIB_37_2-4</vt:lpwstr>
      </vt:variant>
      <vt:variant>
        <vt:lpwstr/>
      </vt:variant>
      <vt:variant>
        <vt:i4>4980843</vt:i4>
      </vt:variant>
      <vt:variant>
        <vt:i4>57</vt:i4>
      </vt:variant>
      <vt:variant>
        <vt:i4>0</vt:i4>
      </vt:variant>
      <vt:variant>
        <vt:i4>5</vt:i4>
      </vt:variant>
      <vt:variant>
        <vt:lpwstr>https://www.arpansa.gov.au/sites/default/files/rps_c-1_rev_1.pdf</vt:lpwstr>
      </vt:variant>
      <vt:variant>
        <vt:lpwstr/>
      </vt:variant>
      <vt:variant>
        <vt:i4>327706</vt:i4>
      </vt:variant>
      <vt:variant>
        <vt:i4>54</vt:i4>
      </vt:variant>
      <vt:variant>
        <vt:i4>0</vt:i4>
      </vt:variant>
      <vt:variant>
        <vt:i4>5</vt:i4>
      </vt:variant>
      <vt:variant>
        <vt:lpwstr>https://www.arpansa.gov.au/regulation-and-licensing/regulatory-publications/radiation-protection-series/codes-and-standards/rpsc-1/advisory-note</vt:lpwstr>
      </vt:variant>
      <vt:variant>
        <vt:lpwstr/>
      </vt:variant>
      <vt:variant>
        <vt:i4>2359363</vt:i4>
      </vt:variant>
      <vt:variant>
        <vt:i4>51</vt:i4>
      </vt:variant>
      <vt:variant>
        <vt:i4>0</vt:i4>
      </vt:variant>
      <vt:variant>
        <vt:i4>5</vt:i4>
      </vt:variant>
      <vt:variant>
        <vt:lpwstr>https://www-pub.iaea.org/MTCD/Publications/PDF/PUB1830_web.pdf</vt:lpwstr>
      </vt:variant>
      <vt:variant>
        <vt:lpwstr/>
      </vt:variant>
      <vt:variant>
        <vt:i4>4259870</vt:i4>
      </vt:variant>
      <vt:variant>
        <vt:i4>48</vt:i4>
      </vt:variant>
      <vt:variant>
        <vt:i4>0</vt:i4>
      </vt:variant>
      <vt:variant>
        <vt:i4>5</vt:i4>
      </vt:variant>
      <vt:variant>
        <vt:lpwstr>https://www.arpansa.gov.au/regulation-and-licensing/licensing/information-for-licence-holders/regulatory-guides/regulatory-guide-preparation-safety-analysis</vt:lpwstr>
      </vt:variant>
      <vt:variant>
        <vt:lpwstr/>
      </vt:variant>
      <vt:variant>
        <vt:i4>8323175</vt:i4>
      </vt:variant>
      <vt:variant>
        <vt:i4>45</vt:i4>
      </vt:variant>
      <vt:variant>
        <vt:i4>0</vt:i4>
      </vt:variant>
      <vt:variant>
        <vt:i4>5</vt:i4>
      </vt:variant>
      <vt:variant>
        <vt:lpwstr>https://www.industry.gov.au/news/minister-declares-napandee-as-the-site-for-the-national-radioactive-waste-management-facility</vt:lpwstr>
      </vt:variant>
      <vt:variant>
        <vt:lpwstr/>
      </vt:variant>
      <vt:variant>
        <vt:i4>3276920</vt:i4>
      </vt:variant>
      <vt:variant>
        <vt:i4>42</vt:i4>
      </vt:variant>
      <vt:variant>
        <vt:i4>0</vt:i4>
      </vt:variant>
      <vt:variant>
        <vt:i4>5</vt:i4>
      </vt:variant>
      <vt:variant>
        <vt:lpwstr>https://www.arpansa.gov.au/regulation-and-licensing/regulatory-publications/radiation-protection-series/rps-g-4</vt:lpwstr>
      </vt:variant>
      <vt:variant>
        <vt:lpwstr/>
      </vt:variant>
      <vt:variant>
        <vt:i4>6226002</vt:i4>
      </vt:variant>
      <vt:variant>
        <vt:i4>39</vt:i4>
      </vt:variant>
      <vt:variant>
        <vt:i4>0</vt:i4>
      </vt:variant>
      <vt:variant>
        <vt:i4>5</vt:i4>
      </vt:variant>
      <vt:variant>
        <vt:lpwstr>https://www.arpansa.gov.au/about-us/our-policies/regulatory-activity-policies</vt:lpwstr>
      </vt:variant>
      <vt:variant>
        <vt:lpwstr>:~:text=The%20Regulatory%20Activities%20Policy%20(the,the%20environment%2C%20from%20the%20harmful</vt:lpwstr>
      </vt:variant>
      <vt:variant>
        <vt:i4>7733373</vt:i4>
      </vt:variant>
      <vt:variant>
        <vt:i4>36</vt:i4>
      </vt:variant>
      <vt:variant>
        <vt:i4>0</vt:i4>
      </vt:variant>
      <vt:variant>
        <vt:i4>5</vt:i4>
      </vt:variant>
      <vt:variant>
        <vt:lpwstr>https://www.industry.gov.au/data-and-publications/australian-radioactive-waste-management-framework</vt:lpwstr>
      </vt:variant>
      <vt:variant>
        <vt:lpwstr/>
      </vt:variant>
      <vt:variant>
        <vt:i4>3276917</vt:i4>
      </vt:variant>
      <vt:variant>
        <vt:i4>33</vt:i4>
      </vt:variant>
      <vt:variant>
        <vt:i4>0</vt:i4>
      </vt:variant>
      <vt:variant>
        <vt:i4>5</vt:i4>
      </vt:variant>
      <vt:variant>
        <vt:lpwstr>https://www.arpansa.gov.au/regulation-and-licensing/regulation/international-best-practice</vt:lpwstr>
      </vt:variant>
      <vt:variant>
        <vt:lpwstr/>
      </vt:variant>
      <vt:variant>
        <vt:i4>7012384</vt:i4>
      </vt:variant>
      <vt:variant>
        <vt:i4>30</vt:i4>
      </vt:variant>
      <vt:variant>
        <vt:i4>0</vt:i4>
      </vt:variant>
      <vt:variant>
        <vt:i4>5</vt:i4>
      </vt:variant>
      <vt:variant>
        <vt:lpwstr>https://www.arpansa.gov.au/notice-intention-make-decision-facility-licence-application</vt:lpwstr>
      </vt:variant>
      <vt:variant>
        <vt:lpwstr/>
      </vt:variant>
      <vt:variant>
        <vt:i4>2555937</vt:i4>
      </vt:variant>
      <vt:variant>
        <vt:i4>27</vt:i4>
      </vt:variant>
      <vt:variant>
        <vt:i4>0</vt:i4>
      </vt:variant>
      <vt:variant>
        <vt:i4>5</vt:i4>
      </vt:variant>
      <vt:variant>
        <vt:lpwstr>https://www.youtube.com/watch?v=eSb8t4pHMOw</vt:lpwstr>
      </vt:variant>
      <vt:variant>
        <vt:lpwstr/>
      </vt:variant>
      <vt:variant>
        <vt:i4>7012384</vt:i4>
      </vt:variant>
      <vt:variant>
        <vt:i4>24</vt:i4>
      </vt:variant>
      <vt:variant>
        <vt:i4>0</vt:i4>
      </vt:variant>
      <vt:variant>
        <vt:i4>5</vt:i4>
      </vt:variant>
      <vt:variant>
        <vt:lpwstr>https://www.arpansa.gov.au/notice-intention-make-decision-facility-licence-application</vt:lpwstr>
      </vt:variant>
      <vt:variant>
        <vt:lpwstr/>
      </vt:variant>
      <vt:variant>
        <vt:i4>1179728</vt:i4>
      </vt:variant>
      <vt:variant>
        <vt:i4>21</vt:i4>
      </vt:variant>
      <vt:variant>
        <vt:i4>0</vt:i4>
      </vt:variant>
      <vt:variant>
        <vt:i4>5</vt:i4>
      </vt:variant>
      <vt:variant>
        <vt:lpwstr>https://www.arpansa.gov.au/about-us/advisory-council-and-committees/nuclear-safety-committee</vt:lpwstr>
      </vt:variant>
      <vt:variant>
        <vt:lpwstr/>
      </vt:variant>
      <vt:variant>
        <vt:i4>4063272</vt:i4>
      </vt:variant>
      <vt:variant>
        <vt:i4>18</vt:i4>
      </vt:variant>
      <vt:variant>
        <vt:i4>0</vt:i4>
      </vt:variant>
      <vt:variant>
        <vt:i4>5</vt:i4>
      </vt:variant>
      <vt:variant>
        <vt:lpwstr>https://www.arpansa.gov.au/regulation-and-licensing/licensing/information-for-licence-holders/regulatory-guides</vt:lpwstr>
      </vt:variant>
      <vt:variant>
        <vt:lpwstr/>
      </vt:variant>
      <vt:variant>
        <vt:i4>7143533</vt:i4>
      </vt:variant>
      <vt:variant>
        <vt:i4>15</vt:i4>
      </vt:variant>
      <vt:variant>
        <vt:i4>0</vt:i4>
      </vt:variant>
      <vt:variant>
        <vt:i4>5</vt:i4>
      </vt:variant>
      <vt:variant>
        <vt:lpwstr>https://www.arpansa.gov.au/regulation-and-licensing/regulatory-publications/radiation-protection-series</vt:lpwstr>
      </vt:variant>
      <vt:variant>
        <vt:lpwstr/>
      </vt:variant>
      <vt:variant>
        <vt:i4>7536758</vt:i4>
      </vt:variant>
      <vt:variant>
        <vt:i4>12</vt:i4>
      </vt:variant>
      <vt:variant>
        <vt:i4>0</vt:i4>
      </vt:variant>
      <vt:variant>
        <vt:i4>5</vt:i4>
      </vt:variant>
      <vt:variant>
        <vt:lpwstr>https://aus01.safelinks.protection.outlook.com/?url=https%3A%2F%2Farpansa.gov.au%2FANSTO-ILWCI&amp;data=04%7C01%7Cfrancesca.wigney%40arpansa.gov.au%7Cc6c8cc6c4a3c489898fe08d9f5b9d920%7Ce23b734400e149cb94682759cc63a844%7C0%7C0%7C637811000825718578%7CUnknown%7CTWFpbGZsb3d8eyJWIjoiMC4wLjAwMDAiLCJQIjoiV2luMzIiLCJBTiI6Ik1haWwiLCJXVCI6Mn0%3D%7C3000&amp;sdata=WG87MQKdwFpmNxj3cn4FMp2jAleHhCGSKk4eNlxzqow%3D&amp;reserved=0</vt:lpwstr>
      </vt:variant>
      <vt:variant>
        <vt:lpwstr/>
      </vt:variant>
      <vt:variant>
        <vt:i4>786507</vt:i4>
      </vt:variant>
      <vt:variant>
        <vt:i4>9</vt:i4>
      </vt:variant>
      <vt:variant>
        <vt:i4>0</vt:i4>
      </vt:variant>
      <vt:variant>
        <vt:i4>5</vt:i4>
      </vt:variant>
      <vt:variant>
        <vt:lpwstr>https://www.arpansa.gov.au/regulation-and-licensing/licensing/information-for-licence-holders/regulatory-guides/regulatory-guide-applying-licence-nuclear</vt:lpwstr>
      </vt:variant>
      <vt:variant>
        <vt:lpwstr/>
      </vt:variant>
      <vt:variant>
        <vt:i4>7667745</vt:i4>
      </vt:variant>
      <vt:variant>
        <vt:i4>6</vt:i4>
      </vt:variant>
      <vt:variant>
        <vt:i4>0</vt:i4>
      </vt:variant>
      <vt:variant>
        <vt:i4>5</vt:i4>
      </vt:variant>
      <vt:variant>
        <vt:lpwstr>https://www.legislation.gov.au/Details/F2021C00746</vt:lpwstr>
      </vt:variant>
      <vt:variant>
        <vt:lpwstr/>
      </vt:variant>
      <vt:variant>
        <vt:i4>1572895</vt:i4>
      </vt:variant>
      <vt:variant>
        <vt:i4>3</vt:i4>
      </vt:variant>
      <vt:variant>
        <vt:i4>0</vt:i4>
      </vt:variant>
      <vt:variant>
        <vt:i4>5</vt:i4>
      </vt:variant>
      <vt:variant>
        <vt:lpwstr>https://www.arpansa.gov.au/sites/default/files/rpsc3.pdf</vt:lpwstr>
      </vt:variant>
      <vt:variant>
        <vt:lpwstr/>
      </vt:variant>
      <vt:variant>
        <vt:i4>7864353</vt:i4>
      </vt:variant>
      <vt:variant>
        <vt:i4>0</vt:i4>
      </vt:variant>
      <vt:variant>
        <vt:i4>0</vt:i4>
      </vt:variant>
      <vt:variant>
        <vt:i4>5</vt:i4>
      </vt:variant>
      <vt:variant>
        <vt:lpwstr>https://www.legislation.gov.au/Details/C2016C00977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harrid</dc:creator>
  <cp:lastModifiedBy>Kelly Daniell</cp:lastModifiedBy>
  <cp:revision>3</cp:revision>
  <cp:lastPrinted>2022-03-15T01:46:00Z</cp:lastPrinted>
  <dcterms:created xsi:type="dcterms:W3CDTF">2022-03-15T01:46:00Z</dcterms:created>
  <dcterms:modified xsi:type="dcterms:W3CDTF">2022-03-15T01:46:00Z</dcterms:modified>
</cp:coreProperties>
</file>