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AE" w:rsidRDefault="00142BCA" w:rsidP="00275B6F">
      <w:pPr>
        <w:pStyle w:val="Heading1"/>
        <w:spacing w:before="240"/>
        <w:ind w:left="-142" w:hanging="14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47.25pt">
            <v:imagedata r:id="rId8" o:title="ACDSheading"/>
          </v:shape>
        </w:pict>
      </w:r>
    </w:p>
    <w:p w:rsidR="008A241D" w:rsidRDefault="00C17F6A" w:rsidP="00142BCA">
      <w:pPr>
        <w:pStyle w:val="Heading1"/>
        <w:spacing w:before="240"/>
        <w:jc w:val="center"/>
      </w:pPr>
      <w:bookmarkStart w:id="0" w:name="_Toc477512482"/>
      <w:r w:rsidRPr="00C17F6A">
        <w:rPr>
          <w:lang w:val="en-US"/>
        </w:rPr>
        <w:t>How the ACDS derives reference doses from PMMA blocks</w:t>
      </w:r>
      <w:bookmarkEnd w:id="0"/>
    </w:p>
    <w:p w:rsidR="00C17F6A" w:rsidRDefault="00C17F6A" w:rsidP="00142BCA">
      <w:pPr>
        <w:jc w:val="both"/>
        <w:rPr>
          <w:lang w:val="en-US"/>
        </w:rPr>
      </w:pPr>
      <w:r w:rsidRPr="00C17F6A">
        <w:rPr>
          <w:lang w:val="en-US"/>
        </w:rPr>
        <w:t>The returned OSLD</w:t>
      </w:r>
      <w:r w:rsidR="00275B6F">
        <w:rPr>
          <w:lang w:val="en-US"/>
        </w:rPr>
        <w:t>s</w:t>
      </w:r>
      <w:r w:rsidRPr="00C17F6A">
        <w:rPr>
          <w:lang w:val="en-US"/>
        </w:rPr>
        <w:t xml:space="preserve"> are read out between one week a</w:t>
      </w:r>
      <w:r w:rsidR="00CE57A1">
        <w:rPr>
          <w:lang w:val="en-US"/>
        </w:rPr>
        <w:t xml:space="preserve">nd one month post-irradiation. </w:t>
      </w:r>
      <w:r w:rsidRPr="00C17F6A">
        <w:rPr>
          <w:lang w:val="en-US"/>
        </w:rPr>
        <w:t>The actual dose in the block</w:t>
      </w:r>
      <w:r w:rsidR="00765D3C">
        <w:rPr>
          <w:lang w:val="en-US"/>
        </w:rPr>
        <w:t xml:space="preserve"> is determined</w:t>
      </w:r>
      <w:r w:rsidRPr="00C17F6A">
        <w:rPr>
          <w:lang w:val="en-US"/>
        </w:rPr>
        <w:t xml:space="preserve"> </w:t>
      </w:r>
      <w:r w:rsidR="00275B6F">
        <w:rPr>
          <w:lang w:val="en-US"/>
        </w:rPr>
        <w:t xml:space="preserve">through a calibrated readout session which employs control </w:t>
      </w:r>
      <w:r w:rsidRPr="00C17F6A">
        <w:rPr>
          <w:lang w:val="en-US"/>
        </w:rPr>
        <w:t>OSLD</w:t>
      </w:r>
      <w:r w:rsidR="00765D3C">
        <w:rPr>
          <w:lang w:val="en-US"/>
        </w:rPr>
        <w:t>s</w:t>
      </w:r>
      <w:r w:rsidRPr="00C17F6A">
        <w:rPr>
          <w:lang w:val="en-US"/>
        </w:rPr>
        <w:t xml:space="preserve"> irradiated to a known dose of 1 </w:t>
      </w:r>
      <w:proofErr w:type="spellStart"/>
      <w:r w:rsidRPr="00C17F6A">
        <w:rPr>
          <w:lang w:val="en-US"/>
        </w:rPr>
        <w:t>Gy</w:t>
      </w:r>
      <w:proofErr w:type="spellEnd"/>
      <w:r w:rsidRPr="00C17F6A">
        <w:rPr>
          <w:lang w:val="en-US"/>
        </w:rPr>
        <w:t xml:space="preserve"> by the ACDS. The detectors are also corrected for fading, individual detector sensitivity, energy dependence</w:t>
      </w:r>
      <w:r w:rsidR="00D908B2">
        <w:rPr>
          <w:lang w:val="en-US"/>
        </w:rPr>
        <w:t xml:space="preserve"> and</w:t>
      </w:r>
      <w:r w:rsidRPr="00C17F6A">
        <w:rPr>
          <w:lang w:val="en-US"/>
        </w:rPr>
        <w:t xml:space="preserve"> non-linearity.</w:t>
      </w:r>
    </w:p>
    <w:p w:rsidR="00C17F6A" w:rsidRDefault="00C17F6A" w:rsidP="00142BCA">
      <w:pPr>
        <w:jc w:val="both"/>
        <w:rPr>
          <w:lang w:val="en-US"/>
        </w:rPr>
      </w:pPr>
      <w:r w:rsidRPr="00C17F6A">
        <w:rPr>
          <w:lang w:val="en-US"/>
        </w:rPr>
        <w:t xml:space="preserve">The dose delivered to the block, </w:t>
      </w:r>
      <w:proofErr w:type="spellStart"/>
      <w:r w:rsidRPr="00C17F6A">
        <w:rPr>
          <w:i/>
          <w:lang w:val="en-US"/>
        </w:rPr>
        <w:t>D</w:t>
      </w:r>
      <w:r w:rsidRPr="00C17F6A">
        <w:rPr>
          <w:i/>
          <w:vertAlign w:val="subscript"/>
          <w:lang w:val="en-US"/>
        </w:rPr>
        <w:t>audit</w:t>
      </w:r>
      <w:proofErr w:type="spellEnd"/>
      <w:r w:rsidRPr="00C17F6A">
        <w:rPr>
          <w:lang w:val="en-US"/>
        </w:rPr>
        <w:t>, is then converted to the equivalent dose under the refer</w:t>
      </w:r>
      <w:bookmarkStart w:id="1" w:name="_GoBack"/>
      <w:bookmarkEnd w:id="1"/>
      <w:r w:rsidRPr="00C17F6A">
        <w:rPr>
          <w:lang w:val="en-US"/>
        </w:rPr>
        <w:t xml:space="preserve">ence conditions of the facility, </w:t>
      </w:r>
      <w:proofErr w:type="spellStart"/>
      <w:r w:rsidRPr="00C17F6A">
        <w:rPr>
          <w:i/>
          <w:lang w:val="en-US"/>
        </w:rPr>
        <w:t>D</w:t>
      </w:r>
      <w:r w:rsidRPr="00C17F6A">
        <w:rPr>
          <w:i/>
          <w:vertAlign w:val="subscript"/>
          <w:lang w:val="en-US"/>
        </w:rPr>
        <w:t>ref</w:t>
      </w:r>
      <w:proofErr w:type="spellEnd"/>
      <w:r w:rsidRPr="00C17F6A">
        <w:rPr>
          <w:lang w:val="en-US"/>
        </w:rPr>
        <w:t xml:space="preserve">. The block dose requires corrections for; the different distance and depth between audit and reference conditions, the reduced scatter in the small block compared to a full scatter water phantom; and the difference between the block material and water. </w:t>
      </w:r>
    </w:p>
    <w:p w:rsidR="00C17F6A" w:rsidRDefault="00C17F6A" w:rsidP="00142BCA">
      <w:pPr>
        <w:jc w:val="both"/>
        <w:rPr>
          <w:lang w:val="en-US"/>
        </w:rPr>
      </w:pPr>
      <w:r w:rsidRPr="00C17F6A">
        <w:rPr>
          <w:lang w:val="en-US"/>
        </w:rPr>
        <w:t xml:space="preserve">The ACDS combines these corrections into a single beam quality </w:t>
      </w:r>
      <w:r w:rsidR="005631C3" w:rsidRPr="00C17F6A">
        <w:rPr>
          <w:lang w:val="en-US"/>
        </w:rPr>
        <w:t>dependent</w:t>
      </w:r>
      <w:r w:rsidRPr="00C17F6A">
        <w:rPr>
          <w:lang w:val="en-US"/>
        </w:rPr>
        <w:t xml:space="preserve"> Block Factor (BF). The BF is defined as the ratio of the dose to the OSLD under reference conditions to the dose to the OSLD under audit conditions.</w:t>
      </w:r>
    </w:p>
    <w:p w:rsidR="00C17F6A" w:rsidRPr="00C17F6A" w:rsidRDefault="00C17F6A" w:rsidP="00142BCA">
      <w:pPr>
        <w:ind w:left="3600" w:firstLine="720"/>
        <w:jc w:val="both"/>
        <w:rPr>
          <w:lang w:val="en-US"/>
        </w:rPr>
      </w:pPr>
      <w:proofErr w:type="spellStart"/>
      <w:proofErr w:type="gramStart"/>
      <w:r w:rsidRPr="00C17F6A">
        <w:rPr>
          <w:i/>
          <w:lang w:val="en-US"/>
        </w:rPr>
        <w:t>D</w:t>
      </w:r>
      <w:r w:rsidRPr="00C17F6A">
        <w:rPr>
          <w:i/>
          <w:vertAlign w:val="subscript"/>
          <w:lang w:val="en-US"/>
        </w:rPr>
        <w:t>ref</w:t>
      </w:r>
      <w:proofErr w:type="spellEnd"/>
      <w:r w:rsidRPr="00C17F6A">
        <w:rPr>
          <w:lang w:val="en-US"/>
        </w:rPr>
        <w:t xml:space="preserve">  =</w:t>
      </w:r>
      <w:proofErr w:type="gramEnd"/>
      <w:r w:rsidRPr="00C17F6A">
        <w:rPr>
          <w:lang w:val="en-US"/>
        </w:rPr>
        <w:t xml:space="preserve"> </w:t>
      </w:r>
      <w:proofErr w:type="spellStart"/>
      <w:r w:rsidRPr="00C17F6A">
        <w:rPr>
          <w:i/>
          <w:lang w:val="en-US"/>
        </w:rPr>
        <w:t>D</w:t>
      </w:r>
      <w:r w:rsidRPr="00C17F6A">
        <w:rPr>
          <w:i/>
          <w:vertAlign w:val="subscript"/>
          <w:lang w:val="en-US"/>
        </w:rPr>
        <w:t>audit</w:t>
      </w:r>
      <w:proofErr w:type="spellEnd"/>
      <w:r w:rsidRPr="00C17F6A">
        <w:rPr>
          <w:i/>
          <w:vertAlign w:val="subscript"/>
          <w:lang w:val="en-US"/>
        </w:rPr>
        <w:t xml:space="preserve"> </w:t>
      </w:r>
      <w:r w:rsidRPr="00C17F6A">
        <w:rPr>
          <w:vertAlign w:val="subscript"/>
          <w:lang w:val="en-US"/>
        </w:rPr>
        <w:t xml:space="preserve"> </w:t>
      </w:r>
      <w:r w:rsidRPr="00C17F6A">
        <w:rPr>
          <w:lang w:val="en-US"/>
        </w:rPr>
        <w:t xml:space="preserve">× </w:t>
      </w:r>
      <w:r w:rsidRPr="00C17F6A">
        <w:rPr>
          <w:i/>
          <w:lang w:val="en-US"/>
        </w:rPr>
        <w:t>BF</w:t>
      </w:r>
    </w:p>
    <w:p w:rsidR="00C17F6A" w:rsidRPr="00C17F6A" w:rsidRDefault="00C17F6A" w:rsidP="00142BCA">
      <w:pPr>
        <w:jc w:val="both"/>
        <w:rPr>
          <w:lang w:val="en-US"/>
        </w:rPr>
      </w:pPr>
      <w:r>
        <w:rPr>
          <w:lang w:val="en-US"/>
        </w:rPr>
        <w:t>T</w:t>
      </w:r>
      <w:r w:rsidRPr="00C17F6A">
        <w:rPr>
          <w:lang w:val="en-US"/>
        </w:rPr>
        <w:t xml:space="preserve">he BF was modelled with </w:t>
      </w:r>
      <w:proofErr w:type="spellStart"/>
      <w:r w:rsidRPr="00C17F6A">
        <w:rPr>
          <w:lang w:val="en-US"/>
        </w:rPr>
        <w:t>BEAMnrc</w:t>
      </w:r>
      <w:proofErr w:type="spellEnd"/>
      <w:r w:rsidRPr="00C17F6A">
        <w:rPr>
          <w:lang w:val="en-US"/>
        </w:rPr>
        <w:t>/</w:t>
      </w:r>
      <w:proofErr w:type="spellStart"/>
      <w:r w:rsidRPr="00C17F6A">
        <w:rPr>
          <w:lang w:val="en-US"/>
        </w:rPr>
        <w:t>DOSXYZnrc</w:t>
      </w:r>
      <w:proofErr w:type="spellEnd"/>
      <w:r w:rsidRPr="00C17F6A">
        <w:rPr>
          <w:lang w:val="en-US"/>
        </w:rPr>
        <w:t xml:space="preserve"> and compared to measured block factors for the ACDS </w:t>
      </w:r>
      <w:proofErr w:type="spellStart"/>
      <w:r w:rsidRPr="00C17F6A">
        <w:rPr>
          <w:lang w:val="en-US"/>
        </w:rPr>
        <w:t>linac</w:t>
      </w:r>
      <w:proofErr w:type="spellEnd"/>
      <w:r w:rsidRPr="00C17F6A">
        <w:rPr>
          <w:lang w:val="en-US"/>
        </w:rPr>
        <w:t>. The modelling of the BF was then extended to a range of beam qualities for each nominal photon and electron energy to cover the existing range of beam qualities in Australia.</w:t>
      </w:r>
    </w:p>
    <w:p w:rsidR="008A241D" w:rsidRDefault="00142BCA" w:rsidP="00142BCA">
      <w:pPr>
        <w:jc w:val="both"/>
      </w:pPr>
      <w:r w:rsidRPr="00F45E55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490220</wp:posOffset>
            </wp:positionV>
            <wp:extent cx="5540375" cy="3045460"/>
            <wp:effectExtent l="0" t="0" r="317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F6A" w:rsidRPr="00C17F6A">
        <w:rPr>
          <w:lang w:val="en-US"/>
        </w:rPr>
        <w:t>The reference and audit conditions used in determining the block factor are summarized below:</w:t>
      </w:r>
    </w:p>
    <w:p w:rsidR="003D2646" w:rsidRPr="00275B6F" w:rsidRDefault="003D2646" w:rsidP="00142BCA">
      <w:pPr>
        <w:jc w:val="both"/>
        <w:rPr>
          <w:b/>
        </w:rPr>
      </w:pPr>
    </w:p>
    <w:sectPr w:rsidR="003D2646" w:rsidRPr="00275B6F" w:rsidSect="002356D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2A" w:rsidRDefault="00EF792A" w:rsidP="00037687">
      <w:r>
        <w:separator/>
      </w:r>
    </w:p>
  </w:endnote>
  <w:endnote w:type="continuationSeparator" w:id="0">
    <w:p w:rsidR="00EF792A" w:rsidRDefault="00EF792A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E7" w:rsidRPr="00FF6AB9" w:rsidRDefault="00D770E7" w:rsidP="007D153D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3360" behindDoc="0" locked="0" layoutInCell="1" allowOverlap="1" wp14:anchorId="14FB9C7D" wp14:editId="13AF1F62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F6A" w:rsidRPr="00C17F6A">
      <w:rPr>
        <w:rFonts w:ascii="Times New Roman" w:eastAsia="Times New Roman" w:hAnsi="Times New Roman" w:cs="Times New Roman"/>
        <w:i/>
        <w:snapToGrid w:val="0"/>
        <w:color w:val="auto"/>
        <w:lang w:val="en-US"/>
      </w:rPr>
      <w:t xml:space="preserve"> </w:t>
    </w:r>
    <w:r w:rsidR="00C17F6A" w:rsidRPr="00C17F6A">
      <w:rPr>
        <w:i/>
        <w:noProof/>
        <w:sz w:val="18"/>
        <w:lang w:val="en-US" w:eastAsia="en-AU"/>
      </w:rPr>
      <w:t>ACDS-SUP-1015-v</w:t>
    </w:r>
    <w:r w:rsidR="00C17F6A">
      <w:rPr>
        <w:i/>
        <w:noProof/>
        <w:sz w:val="18"/>
        <w:lang w:val="en-US" w:eastAsia="en-AU"/>
      </w:rPr>
      <w:t>3</w:t>
    </w:r>
    <w:r w:rsidRPr="00FF6AB9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142BCA">
      <w:rPr>
        <w:noProof/>
        <w:sz w:val="18"/>
      </w:rPr>
      <w:t>2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142BCA">
      <w:rPr>
        <w:noProof/>
        <w:sz w:val="18"/>
      </w:rPr>
      <w:t>2</w:t>
    </w:r>
    <w:r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687" w:rsidRPr="002356D6" w:rsidRDefault="00751131" w:rsidP="007D153D">
    <w:pPr>
      <w:tabs>
        <w:tab w:val="left" w:pos="4253"/>
        <w:tab w:val="right" w:pos="9639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61312" behindDoc="0" locked="0" layoutInCell="1" allowOverlap="1" wp14:anchorId="1895E634" wp14:editId="49AD1129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120000" cy="54000"/>
          <wp:effectExtent l="0" t="0" r="0" b="3175"/>
          <wp:wrapTopAndBottom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D6" w:rsidRPr="002356D6">
      <w:rPr>
        <w:sz w:val="16"/>
      </w:rPr>
      <w:t>619 Lower Plent</w:t>
    </w:r>
    <w:r w:rsidR="00BA52C8">
      <w:rPr>
        <w:sz w:val="16"/>
      </w:rPr>
      <w:t>y Road, Yallambie VIC 3085</w:t>
    </w:r>
    <w:r w:rsidR="00BA52C8">
      <w:rPr>
        <w:sz w:val="16"/>
      </w:rPr>
      <w:tab/>
    </w:r>
    <w:r w:rsidR="00BA52C8">
      <w:rPr>
        <w:sz w:val="16"/>
      </w:rPr>
      <w:tab/>
      <w:t>acds</w:t>
    </w:r>
    <w:r w:rsidR="002356D6" w:rsidRPr="002356D6">
      <w:rPr>
        <w:sz w:val="16"/>
      </w:rPr>
      <w:t>@arpansa.gov.au</w:t>
    </w:r>
    <w:r w:rsidR="002356D6" w:rsidRPr="002356D6">
      <w:rPr>
        <w:sz w:val="16"/>
      </w:rPr>
      <w:br/>
      <w:t>+61 3 94</w:t>
    </w:r>
    <w:r w:rsidR="00C62993">
      <w:rPr>
        <w:sz w:val="16"/>
      </w:rPr>
      <w:t>33 2220</w:t>
    </w:r>
    <w:r w:rsidR="00370113">
      <w:rPr>
        <w:sz w:val="16"/>
      </w:rPr>
      <w:tab/>
    </w:r>
    <w:r w:rsidR="002356D6" w:rsidRPr="002356D6">
      <w:rPr>
        <w:sz w:val="16"/>
      </w:rPr>
      <w:tab/>
      <w:t>arpansa.gov.au</w:t>
    </w:r>
    <w:r w:rsidR="00BA52C8">
      <w:rPr>
        <w:sz w:val="16"/>
      </w:rPr>
      <w:t>/acds</w:t>
    </w:r>
    <w:r w:rsidR="002356D6" w:rsidRPr="002356D6">
      <w:rPr>
        <w:sz w:val="16"/>
      </w:rPr>
      <w:br/>
    </w:r>
    <w:r w:rsidR="002356D6" w:rsidRPr="002356D6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2A" w:rsidRDefault="00EF792A" w:rsidP="00037687">
      <w:r>
        <w:separator/>
      </w:r>
    </w:p>
  </w:footnote>
  <w:footnote w:type="continuationSeparator" w:id="0">
    <w:p w:rsidR="00EF792A" w:rsidRDefault="00EF792A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6D6" w:rsidRDefault="002356D6">
    <w:pPr>
      <w:pStyle w:val="Header"/>
    </w:pPr>
  </w:p>
  <w:p w:rsidR="002356D6" w:rsidRDefault="007A0993">
    <w:pPr>
      <w:pStyle w:val="Header"/>
    </w:pPr>
    <w:r>
      <w:rPr>
        <w:noProof/>
        <w:lang w:eastAsia="en-AU"/>
      </w:rPr>
      <w:drawing>
        <wp:inline distT="0" distB="0" distL="0" distR="0">
          <wp:extent cx="6120384" cy="731520"/>
          <wp:effectExtent l="0" t="0" r="0" b="0"/>
          <wp:docPr id="1" name="Picture 1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2F87"/>
    <w:multiLevelType w:val="hybridMultilevel"/>
    <w:tmpl w:val="39FE1684"/>
    <w:lvl w:ilvl="0" w:tplc="269222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B2B67"/>
    <w:multiLevelType w:val="hybridMultilevel"/>
    <w:tmpl w:val="B6AA30F6"/>
    <w:lvl w:ilvl="0" w:tplc="26922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2A6F120A"/>
    <w:multiLevelType w:val="hybridMultilevel"/>
    <w:tmpl w:val="9E909B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535C1D"/>
    <w:multiLevelType w:val="hybridMultilevel"/>
    <w:tmpl w:val="62E8E658"/>
    <w:lvl w:ilvl="0" w:tplc="269222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A5476"/>
    <w:multiLevelType w:val="hybridMultilevel"/>
    <w:tmpl w:val="FDD2E5F0"/>
    <w:lvl w:ilvl="0" w:tplc="269222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5" w15:restartNumberingAfterBreak="0">
    <w:nsid w:val="5A2B5A44"/>
    <w:multiLevelType w:val="hybridMultilevel"/>
    <w:tmpl w:val="A70AD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95657"/>
    <w:multiLevelType w:val="hybridMultilevel"/>
    <w:tmpl w:val="C9986F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B413C"/>
    <w:multiLevelType w:val="hybridMultilevel"/>
    <w:tmpl w:val="CAFE0864"/>
    <w:lvl w:ilvl="0" w:tplc="26922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14"/>
  </w:num>
  <w:num w:numId="8">
    <w:abstractNumId w:val="0"/>
  </w:num>
  <w:num w:numId="9">
    <w:abstractNumId w:val="18"/>
  </w:num>
  <w:num w:numId="10">
    <w:abstractNumId w:val="4"/>
  </w:num>
  <w:num w:numId="11">
    <w:abstractNumId w:val="12"/>
  </w:num>
  <w:num w:numId="12">
    <w:abstractNumId w:val="13"/>
  </w:num>
  <w:num w:numId="13">
    <w:abstractNumId w:val="10"/>
  </w:num>
  <w:num w:numId="14">
    <w:abstractNumId w:val="2"/>
  </w:num>
  <w:num w:numId="15">
    <w:abstractNumId w:val="6"/>
  </w:num>
  <w:num w:numId="16">
    <w:abstractNumId w:val="1"/>
  </w:num>
  <w:num w:numId="17">
    <w:abstractNumId w:val="17"/>
  </w:num>
  <w:num w:numId="18">
    <w:abstractNumId w:val="15"/>
  </w:num>
  <w:num w:numId="19">
    <w:abstractNumId w:val="5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2A"/>
    <w:rsid w:val="00037687"/>
    <w:rsid w:val="00066B27"/>
    <w:rsid w:val="00082E26"/>
    <w:rsid w:val="000917AA"/>
    <w:rsid w:val="000D27C8"/>
    <w:rsid w:val="000F3AB1"/>
    <w:rsid w:val="000F73FB"/>
    <w:rsid w:val="0010348D"/>
    <w:rsid w:val="00142BCA"/>
    <w:rsid w:val="00192A8D"/>
    <w:rsid w:val="001A11CB"/>
    <w:rsid w:val="001F5B95"/>
    <w:rsid w:val="00211B48"/>
    <w:rsid w:val="002356D6"/>
    <w:rsid w:val="00275B6F"/>
    <w:rsid w:val="003014F6"/>
    <w:rsid w:val="00327077"/>
    <w:rsid w:val="00370113"/>
    <w:rsid w:val="003939E0"/>
    <w:rsid w:val="003B0414"/>
    <w:rsid w:val="003D2646"/>
    <w:rsid w:val="003D265D"/>
    <w:rsid w:val="00412CF8"/>
    <w:rsid w:val="00425B07"/>
    <w:rsid w:val="00434381"/>
    <w:rsid w:val="004577AE"/>
    <w:rsid w:val="004E4746"/>
    <w:rsid w:val="0052607B"/>
    <w:rsid w:val="0054455D"/>
    <w:rsid w:val="00561136"/>
    <w:rsid w:val="005631C3"/>
    <w:rsid w:val="00570B3E"/>
    <w:rsid w:val="00586DAE"/>
    <w:rsid w:val="005B28E2"/>
    <w:rsid w:val="00621F3A"/>
    <w:rsid w:val="00675E49"/>
    <w:rsid w:val="006E59E8"/>
    <w:rsid w:val="00727B77"/>
    <w:rsid w:val="00751131"/>
    <w:rsid w:val="00765D3C"/>
    <w:rsid w:val="00787C08"/>
    <w:rsid w:val="007A0993"/>
    <w:rsid w:val="007D153D"/>
    <w:rsid w:val="008209AC"/>
    <w:rsid w:val="00841065"/>
    <w:rsid w:val="008A241D"/>
    <w:rsid w:val="009A7F99"/>
    <w:rsid w:val="009F3F6D"/>
    <w:rsid w:val="00A847BC"/>
    <w:rsid w:val="00A8520D"/>
    <w:rsid w:val="00AB6DA9"/>
    <w:rsid w:val="00AD2D61"/>
    <w:rsid w:val="00B54750"/>
    <w:rsid w:val="00BA52C8"/>
    <w:rsid w:val="00BE6683"/>
    <w:rsid w:val="00C17F6A"/>
    <w:rsid w:val="00C62993"/>
    <w:rsid w:val="00C719DB"/>
    <w:rsid w:val="00C90747"/>
    <w:rsid w:val="00CC1541"/>
    <w:rsid w:val="00CE57A1"/>
    <w:rsid w:val="00D22F8B"/>
    <w:rsid w:val="00D24A37"/>
    <w:rsid w:val="00D70D97"/>
    <w:rsid w:val="00D770E7"/>
    <w:rsid w:val="00D87798"/>
    <w:rsid w:val="00D908B2"/>
    <w:rsid w:val="00E25BD4"/>
    <w:rsid w:val="00E32A56"/>
    <w:rsid w:val="00E54D3A"/>
    <w:rsid w:val="00EF792A"/>
    <w:rsid w:val="00F30B42"/>
    <w:rsid w:val="00F87EA5"/>
    <w:rsid w:val="00FF674E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7AA473A-BFE0-48DC-8469-D5DC6864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26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pansa.local\VicData\Public\Templates\Generic%20Word%20doc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71BD28A-A100-422F-8084-7CFF82C6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Word doc.DOTX</Template>
  <TotalTime>26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Lye</dc:creator>
  <cp:lastModifiedBy>Maddison  Shaw</cp:lastModifiedBy>
  <cp:revision>10</cp:revision>
  <cp:lastPrinted>2018-05-22T02:33:00Z</cp:lastPrinted>
  <dcterms:created xsi:type="dcterms:W3CDTF">2018-05-16T02:54:00Z</dcterms:created>
  <dcterms:modified xsi:type="dcterms:W3CDTF">2018-07-04T04:01:00Z</dcterms:modified>
</cp:coreProperties>
</file>