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i/>
        </w:rPr>
        <w:id w:val="1849667792"/>
        <w:docPartObj>
          <w:docPartGallery w:val="Cover Pages"/>
          <w:docPartUnique/>
        </w:docPartObj>
      </w:sdtPr>
      <w:sdtEndPr/>
      <w:sdtContent>
        <w:p w:rsidR="00A603B7" w:rsidRDefault="00A603B7"/>
        <w:p w:rsidR="00A603B7" w:rsidRDefault="00A603B7"/>
        <w:p w:rsidR="00B2207B" w:rsidRDefault="00B2207B"/>
        <w:p w:rsidR="00B2207B" w:rsidRDefault="00B2207B"/>
        <w:p w:rsidR="000C561C" w:rsidRDefault="000C561C"/>
        <w:p w:rsidR="00A603B7" w:rsidRDefault="00A603B7"/>
        <w:p w:rsidR="00B2207B" w:rsidRPr="00B2207B" w:rsidRDefault="00B2207B" w:rsidP="00B2207B">
          <w:pPr>
            <w:pStyle w:val="Title"/>
            <w:spacing w:line="276" w:lineRule="auto"/>
            <w:rPr>
              <w:color w:val="365F91" w:themeColor="accent1" w:themeShade="BF"/>
              <w:sz w:val="36"/>
            </w:rPr>
          </w:pPr>
          <w:r w:rsidRPr="00B2207B">
            <w:rPr>
              <w:color w:val="365F91" w:themeColor="accent1" w:themeShade="BF"/>
              <w:sz w:val="36"/>
            </w:rPr>
            <w:t>Privacy Impact Assessment Template</w:t>
          </w:r>
        </w:p>
        <w:p w:rsidR="00B2207B" w:rsidRDefault="00B2207B">
          <w:bookmarkStart w:id="0" w:name="_GoBack"/>
          <w:bookmarkEnd w:id="0"/>
        </w:p>
        <w:p w:rsidR="00B2207B" w:rsidRDefault="00B2207B"/>
        <w:p w:rsidR="00B2207B" w:rsidRPr="000C561C" w:rsidRDefault="00C1795E" w:rsidP="00B2207B">
          <w:pPr>
            <w:pStyle w:val="Title"/>
            <w:spacing w:line="276" w:lineRule="auto"/>
            <w:rPr>
              <w:color w:val="365F91" w:themeColor="accent1" w:themeShade="BF"/>
            </w:rPr>
          </w:pPr>
          <w:r>
            <w:rPr>
              <w:color w:val="365F91" w:themeColor="accent1" w:themeShade="BF"/>
            </w:rPr>
            <w:t>For the</w:t>
          </w:r>
          <w:r w:rsidR="00B2207B" w:rsidRPr="000C561C">
            <w:rPr>
              <w:color w:val="365F91" w:themeColor="accent1" w:themeShade="BF"/>
            </w:rPr>
            <w:t xml:space="preserve"> Submission of Dose Records to the </w:t>
          </w:r>
          <w:r w:rsidR="00B2207B" w:rsidRPr="000C561C">
            <w:rPr>
              <w:color w:val="365F91" w:themeColor="accent1" w:themeShade="BF"/>
            </w:rPr>
            <w:br/>
            <w:t>Australian National Radiation Dose Register</w:t>
          </w:r>
        </w:p>
        <w:p w:rsidR="00B2207B" w:rsidRDefault="00B2207B"/>
        <w:p w:rsidR="00B2207B" w:rsidRDefault="00B2207B"/>
        <w:p w:rsidR="00B2207B" w:rsidRDefault="00B2207B"/>
        <w:p w:rsidR="00753831" w:rsidRPr="009062CA" w:rsidRDefault="00C1795E" w:rsidP="00753831">
          <w:pPr>
            <w:pStyle w:val="Title"/>
            <w:spacing w:line="276" w:lineRule="auto"/>
            <w:rPr>
              <w:color w:val="365F91" w:themeColor="accent1" w:themeShade="BF"/>
              <w:sz w:val="28"/>
            </w:rPr>
          </w:pPr>
          <w:r>
            <w:rPr>
              <w:color w:val="365F91" w:themeColor="accent1" w:themeShade="BF"/>
              <w:sz w:val="28"/>
            </w:rPr>
            <w:t>10</w:t>
          </w:r>
          <w:r w:rsidR="00753831" w:rsidRPr="009062CA">
            <w:rPr>
              <w:color w:val="365F91" w:themeColor="accent1" w:themeShade="BF"/>
              <w:sz w:val="28"/>
            </w:rPr>
            <w:t xml:space="preserve"> </w:t>
          </w:r>
          <w:r>
            <w:rPr>
              <w:color w:val="365F91" w:themeColor="accent1" w:themeShade="BF"/>
              <w:sz w:val="28"/>
            </w:rPr>
            <w:t>December 201</w:t>
          </w:r>
          <w:r w:rsidR="005E015C">
            <w:rPr>
              <w:color w:val="365F91" w:themeColor="accent1" w:themeShade="BF"/>
              <w:sz w:val="28"/>
            </w:rPr>
            <w:t>6</w:t>
          </w:r>
        </w:p>
        <w:p w:rsidR="00B2207B" w:rsidRDefault="00B2207B"/>
        <w:p w:rsidR="00B2207B" w:rsidRDefault="00B2207B"/>
        <w:p w:rsidR="00B2207B" w:rsidRDefault="00B2207B"/>
        <w:p w:rsidR="00A603B7" w:rsidRDefault="00AA5D4B" w:rsidP="006100B5">
          <w:pPr>
            <w:pStyle w:val="AppendixHeading3"/>
            <w:numPr>
              <w:ilvl w:val="0"/>
              <w:numId w:val="0"/>
            </w:numPr>
            <w:ind w:left="851" w:hanging="851"/>
          </w:pPr>
        </w:p>
      </w:sdtContent>
    </w:sdt>
    <w:p w:rsidR="00446294" w:rsidRDefault="00446294" w:rsidP="006904DD"/>
    <w:p w:rsidR="004D4826" w:rsidRDefault="004D4826">
      <w:pPr>
        <w:spacing w:before="0" w:after="200"/>
      </w:pPr>
      <w:r>
        <w:br w:type="page"/>
      </w:r>
    </w:p>
    <w:p w:rsidR="00C14DC8" w:rsidRDefault="00C14DC8" w:rsidP="00753831">
      <w:pPr>
        <w:pStyle w:val="Title"/>
        <w:spacing w:line="276" w:lineRule="auto"/>
        <w:jc w:val="left"/>
        <w:rPr>
          <w:color w:val="365F91" w:themeColor="accent1" w:themeShade="BF"/>
          <w:sz w:val="36"/>
        </w:rPr>
      </w:pPr>
      <w:r w:rsidRPr="005432E0">
        <w:rPr>
          <w:color w:val="365F91"/>
          <w:sz w:val="36"/>
        </w:rPr>
        <w:lastRenderedPageBreak/>
        <w:t>Contents</w:t>
      </w:r>
    </w:p>
    <w:p w:rsidR="00F319BE" w:rsidRDefault="009062CA">
      <w:pPr>
        <w:pStyle w:val="TOC1"/>
        <w:rPr>
          <w:rFonts w:eastAsiaTheme="minorEastAsia"/>
          <w:b w:val="0"/>
          <w:noProof/>
          <w:color w:val="auto"/>
          <w:lang w:eastAsia="en-AU"/>
        </w:rPr>
      </w:pPr>
      <w:r>
        <w:fldChar w:fldCharType="begin"/>
      </w:r>
      <w:r>
        <w:instrText xml:space="preserve"> TOC \o "2-2" \h \z \t "Heading 1,1,Supplementary Material,1" </w:instrText>
      </w:r>
      <w:r>
        <w:fldChar w:fldCharType="separate"/>
      </w:r>
      <w:hyperlink w:anchor="_Toc469305222" w:history="1">
        <w:r w:rsidR="00F319BE" w:rsidRPr="0023664E">
          <w:rPr>
            <w:rStyle w:val="Hyperlink"/>
            <w:noProof/>
          </w:rPr>
          <w:t>Disclaimer</w:t>
        </w:r>
        <w:r w:rsidR="00F319BE">
          <w:rPr>
            <w:noProof/>
            <w:webHidden/>
          </w:rPr>
          <w:tab/>
        </w:r>
        <w:r w:rsidR="00F319BE">
          <w:rPr>
            <w:noProof/>
            <w:webHidden/>
          </w:rPr>
          <w:fldChar w:fldCharType="begin"/>
        </w:r>
        <w:r w:rsidR="00F319BE">
          <w:rPr>
            <w:noProof/>
            <w:webHidden/>
          </w:rPr>
          <w:instrText xml:space="preserve"> PAGEREF _Toc469305222 \h </w:instrText>
        </w:r>
        <w:r w:rsidR="00F319BE">
          <w:rPr>
            <w:noProof/>
            <w:webHidden/>
          </w:rPr>
        </w:r>
        <w:r w:rsidR="00F319BE">
          <w:rPr>
            <w:noProof/>
            <w:webHidden/>
          </w:rPr>
          <w:fldChar w:fldCharType="separate"/>
        </w:r>
        <w:r w:rsidR="00A03412">
          <w:rPr>
            <w:noProof/>
            <w:webHidden/>
          </w:rPr>
          <w:t>3</w:t>
        </w:r>
        <w:r w:rsidR="00F319BE">
          <w:rPr>
            <w:noProof/>
            <w:webHidden/>
          </w:rPr>
          <w:fldChar w:fldCharType="end"/>
        </w:r>
      </w:hyperlink>
    </w:p>
    <w:p w:rsidR="00F319BE" w:rsidRDefault="00AA5D4B">
      <w:pPr>
        <w:pStyle w:val="TOC1"/>
        <w:rPr>
          <w:rFonts w:eastAsiaTheme="minorEastAsia"/>
          <w:b w:val="0"/>
          <w:noProof/>
          <w:color w:val="auto"/>
          <w:lang w:eastAsia="en-AU"/>
        </w:rPr>
      </w:pPr>
      <w:hyperlink w:anchor="_Toc469305223" w:history="1">
        <w:r w:rsidR="00F319BE" w:rsidRPr="0023664E">
          <w:rPr>
            <w:rStyle w:val="Hyperlink"/>
            <w:noProof/>
          </w:rPr>
          <w:t>Why Complete a Privacy Impact Assessment?</w:t>
        </w:r>
        <w:r w:rsidR="00F319BE">
          <w:rPr>
            <w:noProof/>
            <w:webHidden/>
          </w:rPr>
          <w:tab/>
        </w:r>
        <w:r w:rsidR="00F319BE">
          <w:rPr>
            <w:noProof/>
            <w:webHidden/>
          </w:rPr>
          <w:fldChar w:fldCharType="begin"/>
        </w:r>
        <w:r w:rsidR="00F319BE">
          <w:rPr>
            <w:noProof/>
            <w:webHidden/>
          </w:rPr>
          <w:instrText xml:space="preserve"> PAGEREF _Toc469305223 \h </w:instrText>
        </w:r>
        <w:r w:rsidR="00F319BE">
          <w:rPr>
            <w:noProof/>
            <w:webHidden/>
          </w:rPr>
        </w:r>
        <w:r w:rsidR="00F319BE">
          <w:rPr>
            <w:noProof/>
            <w:webHidden/>
          </w:rPr>
          <w:fldChar w:fldCharType="separate"/>
        </w:r>
        <w:r w:rsidR="00A03412">
          <w:rPr>
            <w:noProof/>
            <w:webHidden/>
          </w:rPr>
          <w:t>3</w:t>
        </w:r>
        <w:r w:rsidR="00F319BE">
          <w:rPr>
            <w:noProof/>
            <w:webHidden/>
          </w:rPr>
          <w:fldChar w:fldCharType="end"/>
        </w:r>
      </w:hyperlink>
    </w:p>
    <w:p w:rsidR="00F319BE" w:rsidRDefault="00AA5D4B">
      <w:pPr>
        <w:pStyle w:val="TOC1"/>
        <w:rPr>
          <w:rFonts w:eastAsiaTheme="minorEastAsia"/>
          <w:b w:val="0"/>
          <w:noProof/>
          <w:color w:val="auto"/>
          <w:lang w:eastAsia="en-AU"/>
        </w:rPr>
      </w:pPr>
      <w:hyperlink w:anchor="_Toc469305224" w:history="1">
        <w:r w:rsidR="00F319BE" w:rsidRPr="0023664E">
          <w:rPr>
            <w:rStyle w:val="Hyperlink"/>
            <w:rFonts w:ascii="Calibri" w:hAnsi="Calibri"/>
            <w:noProof/>
          </w:rPr>
          <w:t>1.</w:t>
        </w:r>
        <w:r w:rsidR="00F319BE">
          <w:rPr>
            <w:rFonts w:eastAsiaTheme="minorEastAsia"/>
            <w:b w:val="0"/>
            <w:noProof/>
            <w:color w:val="auto"/>
            <w:lang w:eastAsia="en-AU"/>
          </w:rPr>
          <w:tab/>
        </w:r>
        <w:r w:rsidR="00F319BE" w:rsidRPr="0023664E">
          <w:rPr>
            <w:rStyle w:val="Hyperlink"/>
            <w:noProof/>
          </w:rPr>
          <w:t>Introduction</w:t>
        </w:r>
        <w:r w:rsidR="00F319BE">
          <w:rPr>
            <w:noProof/>
            <w:webHidden/>
          </w:rPr>
          <w:tab/>
        </w:r>
        <w:r w:rsidR="00F319BE">
          <w:rPr>
            <w:noProof/>
            <w:webHidden/>
          </w:rPr>
          <w:fldChar w:fldCharType="begin"/>
        </w:r>
        <w:r w:rsidR="00F319BE">
          <w:rPr>
            <w:noProof/>
            <w:webHidden/>
          </w:rPr>
          <w:instrText xml:space="preserve"> PAGEREF _Toc469305224 \h </w:instrText>
        </w:r>
        <w:r w:rsidR="00F319BE">
          <w:rPr>
            <w:noProof/>
            <w:webHidden/>
          </w:rPr>
        </w:r>
        <w:r w:rsidR="00F319BE">
          <w:rPr>
            <w:noProof/>
            <w:webHidden/>
          </w:rPr>
          <w:fldChar w:fldCharType="separate"/>
        </w:r>
        <w:r w:rsidR="00A03412">
          <w:rPr>
            <w:noProof/>
            <w:webHidden/>
          </w:rPr>
          <w:t>4</w:t>
        </w:r>
        <w:r w:rsidR="00F319BE">
          <w:rPr>
            <w:noProof/>
            <w:webHidden/>
          </w:rPr>
          <w:fldChar w:fldCharType="end"/>
        </w:r>
      </w:hyperlink>
    </w:p>
    <w:p w:rsidR="00F319BE" w:rsidRDefault="00AA5D4B">
      <w:pPr>
        <w:pStyle w:val="TOC2"/>
        <w:rPr>
          <w:rFonts w:eastAsiaTheme="minorEastAsia"/>
          <w:lang w:eastAsia="en-AU"/>
        </w:rPr>
      </w:pPr>
      <w:hyperlink w:anchor="_Toc469305225" w:history="1">
        <w:r w:rsidR="00F319BE" w:rsidRPr="0023664E">
          <w:rPr>
            <w:rStyle w:val="Hyperlink"/>
            <w:rFonts w:ascii="Calibri" w:hAnsi="Calibri"/>
          </w:rPr>
          <w:t>1.1</w:t>
        </w:r>
        <w:r w:rsidR="00F319BE">
          <w:rPr>
            <w:rFonts w:eastAsiaTheme="minorEastAsia"/>
            <w:lang w:eastAsia="en-AU"/>
          </w:rPr>
          <w:tab/>
        </w:r>
        <w:r w:rsidR="00F319BE" w:rsidRPr="0023664E">
          <w:rPr>
            <w:rStyle w:val="Hyperlink"/>
          </w:rPr>
          <w:t>Background of ANRDR</w:t>
        </w:r>
        <w:r w:rsidR="00F319BE">
          <w:rPr>
            <w:webHidden/>
          </w:rPr>
          <w:tab/>
        </w:r>
        <w:r w:rsidR="00F319BE">
          <w:rPr>
            <w:webHidden/>
          </w:rPr>
          <w:fldChar w:fldCharType="begin"/>
        </w:r>
        <w:r w:rsidR="00F319BE">
          <w:rPr>
            <w:webHidden/>
          </w:rPr>
          <w:instrText xml:space="preserve"> PAGEREF _Toc469305225 \h </w:instrText>
        </w:r>
        <w:r w:rsidR="00F319BE">
          <w:rPr>
            <w:webHidden/>
          </w:rPr>
        </w:r>
        <w:r w:rsidR="00F319BE">
          <w:rPr>
            <w:webHidden/>
          </w:rPr>
          <w:fldChar w:fldCharType="separate"/>
        </w:r>
        <w:r w:rsidR="00A03412">
          <w:rPr>
            <w:webHidden/>
          </w:rPr>
          <w:t>4</w:t>
        </w:r>
        <w:r w:rsidR="00F319BE">
          <w:rPr>
            <w:webHidden/>
          </w:rPr>
          <w:fldChar w:fldCharType="end"/>
        </w:r>
      </w:hyperlink>
    </w:p>
    <w:p w:rsidR="00F319BE" w:rsidRDefault="00AA5D4B">
      <w:pPr>
        <w:pStyle w:val="TOC2"/>
        <w:rPr>
          <w:rFonts w:eastAsiaTheme="minorEastAsia"/>
          <w:lang w:eastAsia="en-AU"/>
        </w:rPr>
      </w:pPr>
      <w:hyperlink w:anchor="_Toc469305226" w:history="1">
        <w:r w:rsidR="00F319BE" w:rsidRPr="0023664E">
          <w:rPr>
            <w:rStyle w:val="Hyperlink"/>
            <w:rFonts w:ascii="Calibri" w:hAnsi="Calibri"/>
          </w:rPr>
          <w:t>1.2</w:t>
        </w:r>
        <w:r w:rsidR="00F319BE">
          <w:rPr>
            <w:rFonts w:eastAsiaTheme="minorEastAsia"/>
            <w:lang w:eastAsia="en-AU"/>
          </w:rPr>
          <w:tab/>
        </w:r>
        <w:r w:rsidR="00F319BE" w:rsidRPr="0023664E">
          <w:rPr>
            <w:rStyle w:val="Hyperlink"/>
          </w:rPr>
          <w:t>Objective</w:t>
        </w:r>
        <w:r w:rsidR="00F319BE">
          <w:rPr>
            <w:webHidden/>
          </w:rPr>
          <w:tab/>
        </w:r>
        <w:r w:rsidR="00F319BE">
          <w:rPr>
            <w:webHidden/>
          </w:rPr>
          <w:fldChar w:fldCharType="begin"/>
        </w:r>
        <w:r w:rsidR="00F319BE">
          <w:rPr>
            <w:webHidden/>
          </w:rPr>
          <w:instrText xml:space="preserve"> PAGEREF _Toc469305226 \h </w:instrText>
        </w:r>
        <w:r w:rsidR="00F319BE">
          <w:rPr>
            <w:webHidden/>
          </w:rPr>
        </w:r>
        <w:r w:rsidR="00F319BE">
          <w:rPr>
            <w:webHidden/>
          </w:rPr>
          <w:fldChar w:fldCharType="separate"/>
        </w:r>
        <w:r w:rsidR="00A03412">
          <w:rPr>
            <w:webHidden/>
          </w:rPr>
          <w:t>5</w:t>
        </w:r>
        <w:r w:rsidR="00F319BE">
          <w:rPr>
            <w:webHidden/>
          </w:rPr>
          <w:fldChar w:fldCharType="end"/>
        </w:r>
      </w:hyperlink>
    </w:p>
    <w:p w:rsidR="00F319BE" w:rsidRDefault="00AA5D4B">
      <w:pPr>
        <w:pStyle w:val="TOC2"/>
        <w:rPr>
          <w:rFonts w:eastAsiaTheme="minorEastAsia"/>
          <w:lang w:eastAsia="en-AU"/>
        </w:rPr>
      </w:pPr>
      <w:hyperlink w:anchor="_Toc469305227" w:history="1">
        <w:r w:rsidR="00F319BE" w:rsidRPr="0023664E">
          <w:rPr>
            <w:rStyle w:val="Hyperlink"/>
            <w:rFonts w:ascii="Calibri" w:hAnsi="Calibri"/>
          </w:rPr>
          <w:t>1.3</w:t>
        </w:r>
        <w:r w:rsidR="00F319BE">
          <w:rPr>
            <w:rFonts w:eastAsiaTheme="minorEastAsia"/>
            <w:lang w:eastAsia="en-AU"/>
          </w:rPr>
          <w:tab/>
        </w:r>
        <w:r w:rsidR="00F319BE" w:rsidRPr="0023664E">
          <w:rPr>
            <w:rStyle w:val="Hyperlink"/>
          </w:rPr>
          <w:t>Relationship of ANRDR to APP entities and the collection of personal information</w:t>
        </w:r>
        <w:r w:rsidR="00F319BE">
          <w:rPr>
            <w:webHidden/>
          </w:rPr>
          <w:tab/>
        </w:r>
        <w:r w:rsidR="00F319BE">
          <w:rPr>
            <w:webHidden/>
          </w:rPr>
          <w:fldChar w:fldCharType="begin"/>
        </w:r>
        <w:r w:rsidR="00F319BE">
          <w:rPr>
            <w:webHidden/>
          </w:rPr>
          <w:instrText xml:space="preserve"> PAGEREF _Toc469305227 \h </w:instrText>
        </w:r>
        <w:r w:rsidR="00F319BE">
          <w:rPr>
            <w:webHidden/>
          </w:rPr>
        </w:r>
        <w:r w:rsidR="00F319BE">
          <w:rPr>
            <w:webHidden/>
          </w:rPr>
          <w:fldChar w:fldCharType="separate"/>
        </w:r>
        <w:r w:rsidR="00A03412">
          <w:rPr>
            <w:webHidden/>
          </w:rPr>
          <w:t>5</w:t>
        </w:r>
        <w:r w:rsidR="00F319BE">
          <w:rPr>
            <w:webHidden/>
          </w:rPr>
          <w:fldChar w:fldCharType="end"/>
        </w:r>
      </w:hyperlink>
    </w:p>
    <w:p w:rsidR="00F319BE" w:rsidRDefault="00AA5D4B">
      <w:pPr>
        <w:pStyle w:val="TOC1"/>
        <w:rPr>
          <w:rFonts w:eastAsiaTheme="minorEastAsia"/>
          <w:b w:val="0"/>
          <w:noProof/>
          <w:color w:val="auto"/>
          <w:lang w:eastAsia="en-AU"/>
        </w:rPr>
      </w:pPr>
      <w:hyperlink w:anchor="_Toc469305228" w:history="1">
        <w:r w:rsidR="00F319BE" w:rsidRPr="0023664E">
          <w:rPr>
            <w:rStyle w:val="Hyperlink"/>
            <w:rFonts w:ascii="Calibri" w:hAnsi="Calibri"/>
            <w:noProof/>
          </w:rPr>
          <w:t>2.</w:t>
        </w:r>
        <w:r w:rsidR="00F319BE">
          <w:rPr>
            <w:rFonts w:eastAsiaTheme="minorEastAsia"/>
            <w:b w:val="0"/>
            <w:noProof/>
            <w:color w:val="auto"/>
            <w:lang w:eastAsia="en-AU"/>
          </w:rPr>
          <w:tab/>
        </w:r>
        <w:r w:rsidR="00F319BE" w:rsidRPr="0023664E">
          <w:rPr>
            <w:rStyle w:val="Hyperlink"/>
            <w:noProof/>
          </w:rPr>
          <w:t>ANRDR Personal Information</w:t>
        </w:r>
        <w:r w:rsidR="00F319BE">
          <w:rPr>
            <w:noProof/>
            <w:webHidden/>
          </w:rPr>
          <w:tab/>
        </w:r>
        <w:r w:rsidR="00F319BE">
          <w:rPr>
            <w:noProof/>
            <w:webHidden/>
          </w:rPr>
          <w:fldChar w:fldCharType="begin"/>
        </w:r>
        <w:r w:rsidR="00F319BE">
          <w:rPr>
            <w:noProof/>
            <w:webHidden/>
          </w:rPr>
          <w:instrText xml:space="preserve"> PAGEREF _Toc469305228 \h </w:instrText>
        </w:r>
        <w:r w:rsidR="00F319BE">
          <w:rPr>
            <w:noProof/>
            <w:webHidden/>
          </w:rPr>
        </w:r>
        <w:r w:rsidR="00F319BE">
          <w:rPr>
            <w:noProof/>
            <w:webHidden/>
          </w:rPr>
          <w:fldChar w:fldCharType="separate"/>
        </w:r>
        <w:r w:rsidR="00A03412">
          <w:rPr>
            <w:noProof/>
            <w:webHidden/>
          </w:rPr>
          <w:t>6</w:t>
        </w:r>
        <w:r w:rsidR="00F319BE">
          <w:rPr>
            <w:noProof/>
            <w:webHidden/>
          </w:rPr>
          <w:fldChar w:fldCharType="end"/>
        </w:r>
      </w:hyperlink>
    </w:p>
    <w:p w:rsidR="00F319BE" w:rsidRDefault="00AA5D4B">
      <w:pPr>
        <w:pStyle w:val="TOC2"/>
        <w:rPr>
          <w:rFonts w:eastAsiaTheme="minorEastAsia"/>
          <w:lang w:eastAsia="en-AU"/>
        </w:rPr>
      </w:pPr>
      <w:hyperlink w:anchor="_Toc469305229" w:history="1">
        <w:r w:rsidR="00F319BE" w:rsidRPr="0023664E">
          <w:rPr>
            <w:rStyle w:val="Hyperlink"/>
            <w:rFonts w:ascii="Calibri" w:hAnsi="Calibri"/>
          </w:rPr>
          <w:t>2.1</w:t>
        </w:r>
        <w:r w:rsidR="00F319BE">
          <w:rPr>
            <w:rFonts w:eastAsiaTheme="minorEastAsia"/>
            <w:lang w:eastAsia="en-AU"/>
          </w:rPr>
          <w:tab/>
        </w:r>
        <w:r w:rsidR="00F319BE" w:rsidRPr="0023664E">
          <w:rPr>
            <w:rStyle w:val="Hyperlink"/>
          </w:rPr>
          <w:t>Information in the ANRDR</w:t>
        </w:r>
        <w:r w:rsidR="00F319BE">
          <w:rPr>
            <w:webHidden/>
          </w:rPr>
          <w:tab/>
        </w:r>
        <w:r w:rsidR="00F319BE">
          <w:rPr>
            <w:webHidden/>
          </w:rPr>
          <w:fldChar w:fldCharType="begin"/>
        </w:r>
        <w:r w:rsidR="00F319BE">
          <w:rPr>
            <w:webHidden/>
          </w:rPr>
          <w:instrText xml:space="preserve"> PAGEREF _Toc469305229 \h </w:instrText>
        </w:r>
        <w:r w:rsidR="00F319BE">
          <w:rPr>
            <w:webHidden/>
          </w:rPr>
        </w:r>
        <w:r w:rsidR="00F319BE">
          <w:rPr>
            <w:webHidden/>
          </w:rPr>
          <w:fldChar w:fldCharType="separate"/>
        </w:r>
        <w:r w:rsidR="00A03412">
          <w:rPr>
            <w:webHidden/>
          </w:rPr>
          <w:t>6</w:t>
        </w:r>
        <w:r w:rsidR="00F319BE">
          <w:rPr>
            <w:webHidden/>
          </w:rPr>
          <w:fldChar w:fldCharType="end"/>
        </w:r>
      </w:hyperlink>
    </w:p>
    <w:p w:rsidR="00F319BE" w:rsidRDefault="00AA5D4B">
      <w:pPr>
        <w:pStyle w:val="TOC2"/>
        <w:rPr>
          <w:rFonts w:eastAsiaTheme="minorEastAsia"/>
          <w:lang w:eastAsia="en-AU"/>
        </w:rPr>
      </w:pPr>
      <w:hyperlink w:anchor="_Toc469305230" w:history="1">
        <w:r w:rsidR="00F319BE" w:rsidRPr="0023664E">
          <w:rPr>
            <w:rStyle w:val="Hyperlink"/>
            <w:rFonts w:ascii="Calibri" w:hAnsi="Calibri"/>
          </w:rPr>
          <w:t>2.2</w:t>
        </w:r>
        <w:r w:rsidR="00F319BE">
          <w:rPr>
            <w:rFonts w:eastAsiaTheme="minorEastAsia"/>
            <w:lang w:eastAsia="en-AU"/>
          </w:rPr>
          <w:tab/>
        </w:r>
        <w:r w:rsidR="00F319BE" w:rsidRPr="0023664E">
          <w:rPr>
            <w:rStyle w:val="Hyperlink"/>
          </w:rPr>
          <w:t>ANRDR Information Flow</w:t>
        </w:r>
        <w:r w:rsidR="00F319BE">
          <w:rPr>
            <w:webHidden/>
          </w:rPr>
          <w:tab/>
        </w:r>
        <w:r w:rsidR="00F319BE">
          <w:rPr>
            <w:webHidden/>
          </w:rPr>
          <w:fldChar w:fldCharType="begin"/>
        </w:r>
        <w:r w:rsidR="00F319BE">
          <w:rPr>
            <w:webHidden/>
          </w:rPr>
          <w:instrText xml:space="preserve"> PAGEREF _Toc469305230 \h </w:instrText>
        </w:r>
        <w:r w:rsidR="00F319BE">
          <w:rPr>
            <w:webHidden/>
          </w:rPr>
        </w:r>
        <w:r w:rsidR="00F319BE">
          <w:rPr>
            <w:webHidden/>
          </w:rPr>
          <w:fldChar w:fldCharType="separate"/>
        </w:r>
        <w:r w:rsidR="00A03412">
          <w:rPr>
            <w:webHidden/>
          </w:rPr>
          <w:t>6</w:t>
        </w:r>
        <w:r w:rsidR="00F319BE">
          <w:rPr>
            <w:webHidden/>
          </w:rPr>
          <w:fldChar w:fldCharType="end"/>
        </w:r>
      </w:hyperlink>
    </w:p>
    <w:p w:rsidR="00F319BE" w:rsidRDefault="00AA5D4B">
      <w:pPr>
        <w:pStyle w:val="TOC1"/>
        <w:rPr>
          <w:rFonts w:eastAsiaTheme="minorEastAsia"/>
          <w:b w:val="0"/>
          <w:noProof/>
          <w:color w:val="auto"/>
          <w:lang w:eastAsia="en-AU"/>
        </w:rPr>
      </w:pPr>
      <w:hyperlink w:anchor="_Toc469305231" w:history="1">
        <w:r w:rsidR="00F319BE" w:rsidRPr="0023664E">
          <w:rPr>
            <w:rStyle w:val="Hyperlink"/>
            <w:rFonts w:ascii="Calibri" w:hAnsi="Calibri"/>
            <w:noProof/>
          </w:rPr>
          <w:t>3.</w:t>
        </w:r>
        <w:r w:rsidR="00F319BE">
          <w:rPr>
            <w:rFonts w:eastAsiaTheme="minorEastAsia"/>
            <w:b w:val="0"/>
            <w:noProof/>
            <w:color w:val="auto"/>
            <w:lang w:eastAsia="en-AU"/>
          </w:rPr>
          <w:tab/>
        </w:r>
        <w:r w:rsidR="00F319BE" w:rsidRPr="0023664E">
          <w:rPr>
            <w:rStyle w:val="Hyperlink"/>
            <w:noProof/>
          </w:rPr>
          <w:t>Implementing the Disclosure of Dose Records to the ANRDR</w:t>
        </w:r>
        <w:r w:rsidR="00F319BE">
          <w:rPr>
            <w:noProof/>
            <w:webHidden/>
          </w:rPr>
          <w:tab/>
        </w:r>
        <w:r w:rsidR="00F319BE">
          <w:rPr>
            <w:noProof/>
            <w:webHidden/>
          </w:rPr>
          <w:fldChar w:fldCharType="begin"/>
        </w:r>
        <w:r w:rsidR="00F319BE">
          <w:rPr>
            <w:noProof/>
            <w:webHidden/>
          </w:rPr>
          <w:instrText xml:space="preserve"> PAGEREF _Toc469305231 \h </w:instrText>
        </w:r>
        <w:r w:rsidR="00F319BE">
          <w:rPr>
            <w:noProof/>
            <w:webHidden/>
          </w:rPr>
        </w:r>
        <w:r w:rsidR="00F319BE">
          <w:rPr>
            <w:noProof/>
            <w:webHidden/>
          </w:rPr>
          <w:fldChar w:fldCharType="separate"/>
        </w:r>
        <w:r w:rsidR="00A03412">
          <w:rPr>
            <w:noProof/>
            <w:webHidden/>
          </w:rPr>
          <w:t>7</w:t>
        </w:r>
        <w:r w:rsidR="00F319BE">
          <w:rPr>
            <w:noProof/>
            <w:webHidden/>
          </w:rPr>
          <w:fldChar w:fldCharType="end"/>
        </w:r>
      </w:hyperlink>
    </w:p>
    <w:p w:rsidR="00F319BE" w:rsidRDefault="00AA5D4B">
      <w:pPr>
        <w:pStyle w:val="TOC1"/>
        <w:rPr>
          <w:rFonts w:eastAsiaTheme="minorEastAsia"/>
          <w:b w:val="0"/>
          <w:noProof/>
          <w:color w:val="auto"/>
          <w:lang w:eastAsia="en-AU"/>
        </w:rPr>
      </w:pPr>
      <w:hyperlink w:anchor="_Toc469305232" w:history="1">
        <w:r w:rsidR="00F319BE" w:rsidRPr="0023664E">
          <w:rPr>
            <w:rStyle w:val="Hyperlink"/>
            <w:rFonts w:ascii="Calibri" w:hAnsi="Calibri"/>
            <w:noProof/>
          </w:rPr>
          <w:t>4.</w:t>
        </w:r>
        <w:r w:rsidR="00F319BE">
          <w:rPr>
            <w:rFonts w:eastAsiaTheme="minorEastAsia"/>
            <w:b w:val="0"/>
            <w:noProof/>
            <w:color w:val="auto"/>
            <w:lang w:eastAsia="en-AU"/>
          </w:rPr>
          <w:tab/>
        </w:r>
        <w:r w:rsidR="00F319BE" w:rsidRPr="0023664E">
          <w:rPr>
            <w:rStyle w:val="Hyperlink"/>
            <w:noProof/>
          </w:rPr>
          <w:t>Privacy Statement</w:t>
        </w:r>
        <w:r w:rsidR="00F319BE">
          <w:rPr>
            <w:noProof/>
            <w:webHidden/>
          </w:rPr>
          <w:tab/>
        </w:r>
        <w:r w:rsidR="00F319BE">
          <w:rPr>
            <w:noProof/>
            <w:webHidden/>
          </w:rPr>
          <w:fldChar w:fldCharType="begin"/>
        </w:r>
        <w:r w:rsidR="00F319BE">
          <w:rPr>
            <w:noProof/>
            <w:webHidden/>
          </w:rPr>
          <w:instrText xml:space="preserve"> PAGEREF _Toc469305232 \h </w:instrText>
        </w:r>
        <w:r w:rsidR="00F319BE">
          <w:rPr>
            <w:noProof/>
            <w:webHidden/>
          </w:rPr>
        </w:r>
        <w:r w:rsidR="00F319BE">
          <w:rPr>
            <w:noProof/>
            <w:webHidden/>
          </w:rPr>
          <w:fldChar w:fldCharType="separate"/>
        </w:r>
        <w:r w:rsidR="00A03412">
          <w:rPr>
            <w:noProof/>
            <w:webHidden/>
          </w:rPr>
          <w:t>8</w:t>
        </w:r>
        <w:r w:rsidR="00F319BE">
          <w:rPr>
            <w:noProof/>
            <w:webHidden/>
          </w:rPr>
          <w:fldChar w:fldCharType="end"/>
        </w:r>
      </w:hyperlink>
    </w:p>
    <w:p w:rsidR="00F319BE" w:rsidRDefault="00AA5D4B">
      <w:pPr>
        <w:pStyle w:val="TOC1"/>
        <w:rPr>
          <w:rFonts w:eastAsiaTheme="minorEastAsia"/>
          <w:b w:val="0"/>
          <w:noProof/>
          <w:color w:val="auto"/>
          <w:lang w:eastAsia="en-AU"/>
        </w:rPr>
      </w:pPr>
      <w:hyperlink w:anchor="_Toc469305233" w:history="1">
        <w:r w:rsidR="00F319BE" w:rsidRPr="0023664E">
          <w:rPr>
            <w:rStyle w:val="Hyperlink"/>
            <w:rFonts w:ascii="Calibri" w:hAnsi="Calibri"/>
            <w:noProof/>
          </w:rPr>
          <w:t>5.</w:t>
        </w:r>
        <w:r w:rsidR="00F319BE">
          <w:rPr>
            <w:rFonts w:eastAsiaTheme="minorEastAsia"/>
            <w:b w:val="0"/>
            <w:noProof/>
            <w:color w:val="auto"/>
            <w:lang w:eastAsia="en-AU"/>
          </w:rPr>
          <w:tab/>
        </w:r>
        <w:r w:rsidR="00F319BE" w:rsidRPr="0023664E">
          <w:rPr>
            <w:rStyle w:val="Hyperlink"/>
            <w:noProof/>
          </w:rPr>
          <w:t>Assessment of Compliance with the APPs</w:t>
        </w:r>
        <w:r w:rsidR="00F319BE">
          <w:rPr>
            <w:noProof/>
            <w:webHidden/>
          </w:rPr>
          <w:tab/>
        </w:r>
        <w:r w:rsidR="00F319BE">
          <w:rPr>
            <w:noProof/>
            <w:webHidden/>
          </w:rPr>
          <w:fldChar w:fldCharType="begin"/>
        </w:r>
        <w:r w:rsidR="00F319BE">
          <w:rPr>
            <w:noProof/>
            <w:webHidden/>
          </w:rPr>
          <w:instrText xml:space="preserve"> PAGEREF _Toc469305233 \h </w:instrText>
        </w:r>
        <w:r w:rsidR="00F319BE">
          <w:rPr>
            <w:noProof/>
            <w:webHidden/>
          </w:rPr>
        </w:r>
        <w:r w:rsidR="00F319BE">
          <w:rPr>
            <w:noProof/>
            <w:webHidden/>
          </w:rPr>
          <w:fldChar w:fldCharType="separate"/>
        </w:r>
        <w:r w:rsidR="00A03412">
          <w:rPr>
            <w:noProof/>
            <w:webHidden/>
          </w:rPr>
          <w:t>9</w:t>
        </w:r>
        <w:r w:rsidR="00F319BE">
          <w:rPr>
            <w:noProof/>
            <w:webHidden/>
          </w:rPr>
          <w:fldChar w:fldCharType="end"/>
        </w:r>
      </w:hyperlink>
    </w:p>
    <w:p w:rsidR="00F319BE" w:rsidRDefault="00AA5D4B">
      <w:pPr>
        <w:pStyle w:val="TOC2"/>
        <w:rPr>
          <w:rFonts w:eastAsiaTheme="minorEastAsia"/>
          <w:lang w:eastAsia="en-AU"/>
        </w:rPr>
      </w:pPr>
      <w:hyperlink w:anchor="_Toc469305234" w:history="1">
        <w:r w:rsidR="00F319BE" w:rsidRPr="0023664E">
          <w:rPr>
            <w:rStyle w:val="Hyperlink"/>
            <w:rFonts w:ascii="Calibri" w:hAnsi="Calibri"/>
          </w:rPr>
          <w:t>5.1</w:t>
        </w:r>
        <w:r w:rsidR="00F319BE">
          <w:rPr>
            <w:rFonts w:eastAsiaTheme="minorEastAsia"/>
            <w:lang w:eastAsia="en-AU"/>
          </w:rPr>
          <w:tab/>
        </w:r>
        <w:r w:rsidR="00F319BE" w:rsidRPr="0023664E">
          <w:rPr>
            <w:rStyle w:val="Hyperlink"/>
          </w:rPr>
          <w:t>APP 1 Open and Transparent Management of Personal Information</w:t>
        </w:r>
        <w:r w:rsidR="00F319BE">
          <w:rPr>
            <w:webHidden/>
          </w:rPr>
          <w:tab/>
        </w:r>
        <w:r w:rsidR="00F319BE">
          <w:rPr>
            <w:webHidden/>
          </w:rPr>
          <w:fldChar w:fldCharType="begin"/>
        </w:r>
        <w:r w:rsidR="00F319BE">
          <w:rPr>
            <w:webHidden/>
          </w:rPr>
          <w:instrText xml:space="preserve"> PAGEREF _Toc469305234 \h </w:instrText>
        </w:r>
        <w:r w:rsidR="00F319BE">
          <w:rPr>
            <w:webHidden/>
          </w:rPr>
        </w:r>
        <w:r w:rsidR="00F319BE">
          <w:rPr>
            <w:webHidden/>
          </w:rPr>
          <w:fldChar w:fldCharType="separate"/>
        </w:r>
        <w:r w:rsidR="00A03412">
          <w:rPr>
            <w:webHidden/>
          </w:rPr>
          <w:t>9</w:t>
        </w:r>
        <w:r w:rsidR="00F319BE">
          <w:rPr>
            <w:webHidden/>
          </w:rPr>
          <w:fldChar w:fldCharType="end"/>
        </w:r>
      </w:hyperlink>
    </w:p>
    <w:p w:rsidR="00F319BE" w:rsidRDefault="00AA5D4B">
      <w:pPr>
        <w:pStyle w:val="TOC2"/>
        <w:rPr>
          <w:rFonts w:eastAsiaTheme="minorEastAsia"/>
          <w:lang w:eastAsia="en-AU"/>
        </w:rPr>
      </w:pPr>
      <w:hyperlink w:anchor="_Toc469305235" w:history="1">
        <w:r w:rsidR="00F319BE" w:rsidRPr="0023664E">
          <w:rPr>
            <w:rStyle w:val="Hyperlink"/>
            <w:rFonts w:ascii="Calibri" w:hAnsi="Calibri"/>
          </w:rPr>
          <w:t>5.2</w:t>
        </w:r>
        <w:r w:rsidR="00F319BE">
          <w:rPr>
            <w:rFonts w:eastAsiaTheme="minorEastAsia"/>
            <w:lang w:eastAsia="en-AU"/>
          </w:rPr>
          <w:tab/>
        </w:r>
        <w:r w:rsidR="00F319BE" w:rsidRPr="0023664E">
          <w:rPr>
            <w:rStyle w:val="Hyperlink"/>
          </w:rPr>
          <w:t>APP 2 Anonymity and Pseudonymity</w:t>
        </w:r>
        <w:r w:rsidR="00F319BE">
          <w:rPr>
            <w:webHidden/>
          </w:rPr>
          <w:tab/>
        </w:r>
        <w:r w:rsidR="00F319BE">
          <w:rPr>
            <w:webHidden/>
          </w:rPr>
          <w:fldChar w:fldCharType="begin"/>
        </w:r>
        <w:r w:rsidR="00F319BE">
          <w:rPr>
            <w:webHidden/>
          </w:rPr>
          <w:instrText xml:space="preserve"> PAGEREF _Toc469305235 \h </w:instrText>
        </w:r>
        <w:r w:rsidR="00F319BE">
          <w:rPr>
            <w:webHidden/>
          </w:rPr>
        </w:r>
        <w:r w:rsidR="00F319BE">
          <w:rPr>
            <w:webHidden/>
          </w:rPr>
          <w:fldChar w:fldCharType="separate"/>
        </w:r>
        <w:r w:rsidR="00A03412">
          <w:rPr>
            <w:webHidden/>
          </w:rPr>
          <w:t>10</w:t>
        </w:r>
        <w:r w:rsidR="00F319BE">
          <w:rPr>
            <w:webHidden/>
          </w:rPr>
          <w:fldChar w:fldCharType="end"/>
        </w:r>
      </w:hyperlink>
    </w:p>
    <w:p w:rsidR="00F319BE" w:rsidRDefault="00AA5D4B">
      <w:pPr>
        <w:pStyle w:val="TOC2"/>
        <w:rPr>
          <w:rFonts w:eastAsiaTheme="minorEastAsia"/>
          <w:lang w:eastAsia="en-AU"/>
        </w:rPr>
      </w:pPr>
      <w:hyperlink w:anchor="_Toc469305236" w:history="1">
        <w:r w:rsidR="00F319BE" w:rsidRPr="0023664E">
          <w:rPr>
            <w:rStyle w:val="Hyperlink"/>
            <w:rFonts w:ascii="Calibri" w:hAnsi="Calibri"/>
          </w:rPr>
          <w:t>5.3</w:t>
        </w:r>
        <w:r w:rsidR="00F319BE">
          <w:rPr>
            <w:rFonts w:eastAsiaTheme="minorEastAsia"/>
            <w:lang w:eastAsia="en-AU"/>
          </w:rPr>
          <w:tab/>
        </w:r>
        <w:r w:rsidR="00F319BE" w:rsidRPr="0023664E">
          <w:rPr>
            <w:rStyle w:val="Hyperlink"/>
          </w:rPr>
          <w:t>APP 3 Collection of Solicited Personal Information</w:t>
        </w:r>
        <w:r w:rsidR="00F319BE">
          <w:rPr>
            <w:webHidden/>
          </w:rPr>
          <w:tab/>
        </w:r>
        <w:r w:rsidR="00F319BE">
          <w:rPr>
            <w:webHidden/>
          </w:rPr>
          <w:fldChar w:fldCharType="begin"/>
        </w:r>
        <w:r w:rsidR="00F319BE">
          <w:rPr>
            <w:webHidden/>
          </w:rPr>
          <w:instrText xml:space="preserve"> PAGEREF _Toc469305236 \h </w:instrText>
        </w:r>
        <w:r w:rsidR="00F319BE">
          <w:rPr>
            <w:webHidden/>
          </w:rPr>
        </w:r>
        <w:r w:rsidR="00F319BE">
          <w:rPr>
            <w:webHidden/>
          </w:rPr>
          <w:fldChar w:fldCharType="separate"/>
        </w:r>
        <w:r w:rsidR="00A03412">
          <w:rPr>
            <w:webHidden/>
          </w:rPr>
          <w:t>10</w:t>
        </w:r>
        <w:r w:rsidR="00F319BE">
          <w:rPr>
            <w:webHidden/>
          </w:rPr>
          <w:fldChar w:fldCharType="end"/>
        </w:r>
      </w:hyperlink>
    </w:p>
    <w:p w:rsidR="00F319BE" w:rsidRDefault="00AA5D4B">
      <w:pPr>
        <w:pStyle w:val="TOC2"/>
        <w:rPr>
          <w:rFonts w:eastAsiaTheme="minorEastAsia"/>
          <w:lang w:eastAsia="en-AU"/>
        </w:rPr>
      </w:pPr>
      <w:hyperlink w:anchor="_Toc469305237" w:history="1">
        <w:r w:rsidR="00F319BE" w:rsidRPr="0023664E">
          <w:rPr>
            <w:rStyle w:val="Hyperlink"/>
            <w:rFonts w:ascii="Calibri" w:hAnsi="Calibri"/>
          </w:rPr>
          <w:t>5.4</w:t>
        </w:r>
        <w:r w:rsidR="00F319BE">
          <w:rPr>
            <w:rFonts w:eastAsiaTheme="minorEastAsia"/>
            <w:lang w:eastAsia="en-AU"/>
          </w:rPr>
          <w:tab/>
        </w:r>
        <w:r w:rsidR="00F319BE" w:rsidRPr="0023664E">
          <w:rPr>
            <w:rStyle w:val="Hyperlink"/>
          </w:rPr>
          <w:t>APP 4 Dealing with Unsolicited Personal Information</w:t>
        </w:r>
        <w:r w:rsidR="00F319BE">
          <w:rPr>
            <w:webHidden/>
          </w:rPr>
          <w:tab/>
        </w:r>
        <w:r w:rsidR="00F319BE">
          <w:rPr>
            <w:webHidden/>
          </w:rPr>
          <w:fldChar w:fldCharType="begin"/>
        </w:r>
        <w:r w:rsidR="00F319BE">
          <w:rPr>
            <w:webHidden/>
          </w:rPr>
          <w:instrText xml:space="preserve"> PAGEREF _Toc469305237 \h </w:instrText>
        </w:r>
        <w:r w:rsidR="00F319BE">
          <w:rPr>
            <w:webHidden/>
          </w:rPr>
        </w:r>
        <w:r w:rsidR="00F319BE">
          <w:rPr>
            <w:webHidden/>
          </w:rPr>
          <w:fldChar w:fldCharType="separate"/>
        </w:r>
        <w:r w:rsidR="00A03412">
          <w:rPr>
            <w:webHidden/>
          </w:rPr>
          <w:t>11</w:t>
        </w:r>
        <w:r w:rsidR="00F319BE">
          <w:rPr>
            <w:webHidden/>
          </w:rPr>
          <w:fldChar w:fldCharType="end"/>
        </w:r>
      </w:hyperlink>
    </w:p>
    <w:p w:rsidR="00F319BE" w:rsidRDefault="00AA5D4B">
      <w:pPr>
        <w:pStyle w:val="TOC2"/>
        <w:rPr>
          <w:rFonts w:eastAsiaTheme="minorEastAsia"/>
          <w:lang w:eastAsia="en-AU"/>
        </w:rPr>
      </w:pPr>
      <w:hyperlink w:anchor="_Toc469305238" w:history="1">
        <w:r w:rsidR="00F319BE" w:rsidRPr="0023664E">
          <w:rPr>
            <w:rStyle w:val="Hyperlink"/>
            <w:rFonts w:ascii="Calibri" w:hAnsi="Calibri"/>
          </w:rPr>
          <w:t>5.5</w:t>
        </w:r>
        <w:r w:rsidR="00F319BE">
          <w:rPr>
            <w:rFonts w:eastAsiaTheme="minorEastAsia"/>
            <w:lang w:eastAsia="en-AU"/>
          </w:rPr>
          <w:tab/>
        </w:r>
        <w:r w:rsidR="00F319BE" w:rsidRPr="0023664E">
          <w:rPr>
            <w:rStyle w:val="Hyperlink"/>
          </w:rPr>
          <w:t>APP 5 Notification of the Collection of Personal Information</w:t>
        </w:r>
        <w:r w:rsidR="00F319BE">
          <w:rPr>
            <w:webHidden/>
          </w:rPr>
          <w:tab/>
        </w:r>
        <w:r w:rsidR="00F319BE">
          <w:rPr>
            <w:webHidden/>
          </w:rPr>
          <w:fldChar w:fldCharType="begin"/>
        </w:r>
        <w:r w:rsidR="00F319BE">
          <w:rPr>
            <w:webHidden/>
          </w:rPr>
          <w:instrText xml:space="preserve"> PAGEREF _Toc469305238 \h </w:instrText>
        </w:r>
        <w:r w:rsidR="00F319BE">
          <w:rPr>
            <w:webHidden/>
          </w:rPr>
        </w:r>
        <w:r w:rsidR="00F319BE">
          <w:rPr>
            <w:webHidden/>
          </w:rPr>
          <w:fldChar w:fldCharType="separate"/>
        </w:r>
        <w:r w:rsidR="00A03412">
          <w:rPr>
            <w:webHidden/>
          </w:rPr>
          <w:t>11</w:t>
        </w:r>
        <w:r w:rsidR="00F319BE">
          <w:rPr>
            <w:webHidden/>
          </w:rPr>
          <w:fldChar w:fldCharType="end"/>
        </w:r>
      </w:hyperlink>
    </w:p>
    <w:p w:rsidR="00F319BE" w:rsidRDefault="00AA5D4B">
      <w:pPr>
        <w:pStyle w:val="TOC2"/>
        <w:rPr>
          <w:rFonts w:eastAsiaTheme="minorEastAsia"/>
          <w:lang w:eastAsia="en-AU"/>
        </w:rPr>
      </w:pPr>
      <w:hyperlink w:anchor="_Toc469305239" w:history="1">
        <w:r w:rsidR="00F319BE" w:rsidRPr="0023664E">
          <w:rPr>
            <w:rStyle w:val="Hyperlink"/>
            <w:rFonts w:ascii="Calibri" w:hAnsi="Calibri"/>
          </w:rPr>
          <w:t>5.6</w:t>
        </w:r>
        <w:r w:rsidR="00F319BE">
          <w:rPr>
            <w:rFonts w:eastAsiaTheme="minorEastAsia"/>
            <w:lang w:eastAsia="en-AU"/>
          </w:rPr>
          <w:tab/>
        </w:r>
        <w:r w:rsidR="00F319BE" w:rsidRPr="0023664E">
          <w:rPr>
            <w:rStyle w:val="Hyperlink"/>
          </w:rPr>
          <w:t>APP 6 Use or Disclosure of Personal Information</w:t>
        </w:r>
        <w:r w:rsidR="00F319BE">
          <w:rPr>
            <w:webHidden/>
          </w:rPr>
          <w:tab/>
        </w:r>
        <w:r w:rsidR="00F319BE">
          <w:rPr>
            <w:webHidden/>
          </w:rPr>
          <w:fldChar w:fldCharType="begin"/>
        </w:r>
        <w:r w:rsidR="00F319BE">
          <w:rPr>
            <w:webHidden/>
          </w:rPr>
          <w:instrText xml:space="preserve"> PAGEREF _Toc469305239 \h </w:instrText>
        </w:r>
        <w:r w:rsidR="00F319BE">
          <w:rPr>
            <w:webHidden/>
          </w:rPr>
        </w:r>
        <w:r w:rsidR="00F319BE">
          <w:rPr>
            <w:webHidden/>
          </w:rPr>
          <w:fldChar w:fldCharType="separate"/>
        </w:r>
        <w:r w:rsidR="00A03412">
          <w:rPr>
            <w:webHidden/>
          </w:rPr>
          <w:t>12</w:t>
        </w:r>
        <w:r w:rsidR="00F319BE">
          <w:rPr>
            <w:webHidden/>
          </w:rPr>
          <w:fldChar w:fldCharType="end"/>
        </w:r>
      </w:hyperlink>
    </w:p>
    <w:p w:rsidR="00F319BE" w:rsidRDefault="00AA5D4B">
      <w:pPr>
        <w:pStyle w:val="TOC2"/>
        <w:rPr>
          <w:rFonts w:eastAsiaTheme="minorEastAsia"/>
          <w:lang w:eastAsia="en-AU"/>
        </w:rPr>
      </w:pPr>
      <w:hyperlink w:anchor="_Toc469305240" w:history="1">
        <w:r w:rsidR="00F319BE" w:rsidRPr="0023664E">
          <w:rPr>
            <w:rStyle w:val="Hyperlink"/>
            <w:rFonts w:ascii="Calibri" w:hAnsi="Calibri"/>
          </w:rPr>
          <w:t>5.7</w:t>
        </w:r>
        <w:r w:rsidR="00F319BE">
          <w:rPr>
            <w:rFonts w:eastAsiaTheme="minorEastAsia"/>
            <w:lang w:eastAsia="en-AU"/>
          </w:rPr>
          <w:tab/>
        </w:r>
        <w:r w:rsidR="00F319BE" w:rsidRPr="0023664E">
          <w:rPr>
            <w:rStyle w:val="Hyperlink"/>
          </w:rPr>
          <w:t>APP 7 Direct Marketing</w:t>
        </w:r>
        <w:r w:rsidR="00F319BE">
          <w:rPr>
            <w:webHidden/>
          </w:rPr>
          <w:tab/>
        </w:r>
        <w:r w:rsidR="00F319BE">
          <w:rPr>
            <w:webHidden/>
          </w:rPr>
          <w:fldChar w:fldCharType="begin"/>
        </w:r>
        <w:r w:rsidR="00F319BE">
          <w:rPr>
            <w:webHidden/>
          </w:rPr>
          <w:instrText xml:space="preserve"> PAGEREF _Toc469305240 \h </w:instrText>
        </w:r>
        <w:r w:rsidR="00F319BE">
          <w:rPr>
            <w:webHidden/>
          </w:rPr>
        </w:r>
        <w:r w:rsidR="00F319BE">
          <w:rPr>
            <w:webHidden/>
          </w:rPr>
          <w:fldChar w:fldCharType="separate"/>
        </w:r>
        <w:r w:rsidR="00A03412">
          <w:rPr>
            <w:webHidden/>
          </w:rPr>
          <w:t>13</w:t>
        </w:r>
        <w:r w:rsidR="00F319BE">
          <w:rPr>
            <w:webHidden/>
          </w:rPr>
          <w:fldChar w:fldCharType="end"/>
        </w:r>
      </w:hyperlink>
    </w:p>
    <w:p w:rsidR="00F319BE" w:rsidRDefault="00AA5D4B">
      <w:pPr>
        <w:pStyle w:val="TOC2"/>
        <w:rPr>
          <w:rFonts w:eastAsiaTheme="minorEastAsia"/>
          <w:lang w:eastAsia="en-AU"/>
        </w:rPr>
      </w:pPr>
      <w:hyperlink w:anchor="_Toc469305241" w:history="1">
        <w:r w:rsidR="00F319BE" w:rsidRPr="0023664E">
          <w:rPr>
            <w:rStyle w:val="Hyperlink"/>
            <w:rFonts w:ascii="Calibri" w:hAnsi="Calibri"/>
          </w:rPr>
          <w:t>5.8</w:t>
        </w:r>
        <w:r w:rsidR="00F319BE">
          <w:rPr>
            <w:rFonts w:eastAsiaTheme="minorEastAsia"/>
            <w:lang w:eastAsia="en-AU"/>
          </w:rPr>
          <w:tab/>
        </w:r>
        <w:r w:rsidR="00F319BE" w:rsidRPr="0023664E">
          <w:rPr>
            <w:rStyle w:val="Hyperlink"/>
          </w:rPr>
          <w:t>APP 8 Cross Border (Overseas) Disclosure of Personal Information</w:t>
        </w:r>
        <w:r w:rsidR="00F319BE">
          <w:rPr>
            <w:webHidden/>
          </w:rPr>
          <w:tab/>
        </w:r>
        <w:r w:rsidR="00F319BE">
          <w:rPr>
            <w:webHidden/>
          </w:rPr>
          <w:fldChar w:fldCharType="begin"/>
        </w:r>
        <w:r w:rsidR="00F319BE">
          <w:rPr>
            <w:webHidden/>
          </w:rPr>
          <w:instrText xml:space="preserve"> PAGEREF _Toc469305241 \h </w:instrText>
        </w:r>
        <w:r w:rsidR="00F319BE">
          <w:rPr>
            <w:webHidden/>
          </w:rPr>
        </w:r>
        <w:r w:rsidR="00F319BE">
          <w:rPr>
            <w:webHidden/>
          </w:rPr>
          <w:fldChar w:fldCharType="separate"/>
        </w:r>
        <w:r w:rsidR="00A03412">
          <w:rPr>
            <w:webHidden/>
          </w:rPr>
          <w:t>13</w:t>
        </w:r>
        <w:r w:rsidR="00F319BE">
          <w:rPr>
            <w:webHidden/>
          </w:rPr>
          <w:fldChar w:fldCharType="end"/>
        </w:r>
      </w:hyperlink>
    </w:p>
    <w:p w:rsidR="00F319BE" w:rsidRDefault="00AA5D4B">
      <w:pPr>
        <w:pStyle w:val="TOC2"/>
        <w:rPr>
          <w:rFonts w:eastAsiaTheme="minorEastAsia"/>
          <w:lang w:eastAsia="en-AU"/>
        </w:rPr>
      </w:pPr>
      <w:hyperlink w:anchor="_Toc469305242" w:history="1">
        <w:r w:rsidR="00F319BE" w:rsidRPr="0023664E">
          <w:rPr>
            <w:rStyle w:val="Hyperlink"/>
            <w:rFonts w:ascii="Calibri" w:hAnsi="Calibri"/>
          </w:rPr>
          <w:t>5.9</w:t>
        </w:r>
        <w:r w:rsidR="00F319BE">
          <w:rPr>
            <w:rFonts w:eastAsiaTheme="minorEastAsia"/>
            <w:lang w:eastAsia="en-AU"/>
          </w:rPr>
          <w:tab/>
        </w:r>
        <w:r w:rsidR="00F319BE" w:rsidRPr="0023664E">
          <w:rPr>
            <w:rStyle w:val="Hyperlink"/>
          </w:rPr>
          <w:t>APP 9 Adoption, Use or Disclosure of Government Related Identifiers</w:t>
        </w:r>
        <w:r w:rsidR="00F319BE">
          <w:rPr>
            <w:webHidden/>
          </w:rPr>
          <w:tab/>
        </w:r>
        <w:r w:rsidR="00F319BE">
          <w:rPr>
            <w:webHidden/>
          </w:rPr>
          <w:fldChar w:fldCharType="begin"/>
        </w:r>
        <w:r w:rsidR="00F319BE">
          <w:rPr>
            <w:webHidden/>
          </w:rPr>
          <w:instrText xml:space="preserve"> PAGEREF _Toc469305242 \h </w:instrText>
        </w:r>
        <w:r w:rsidR="00F319BE">
          <w:rPr>
            <w:webHidden/>
          </w:rPr>
        </w:r>
        <w:r w:rsidR="00F319BE">
          <w:rPr>
            <w:webHidden/>
          </w:rPr>
          <w:fldChar w:fldCharType="separate"/>
        </w:r>
        <w:r w:rsidR="00A03412">
          <w:rPr>
            <w:webHidden/>
          </w:rPr>
          <w:t>13</w:t>
        </w:r>
        <w:r w:rsidR="00F319BE">
          <w:rPr>
            <w:webHidden/>
          </w:rPr>
          <w:fldChar w:fldCharType="end"/>
        </w:r>
      </w:hyperlink>
    </w:p>
    <w:p w:rsidR="00F319BE" w:rsidRDefault="00AA5D4B">
      <w:pPr>
        <w:pStyle w:val="TOC2"/>
        <w:rPr>
          <w:rFonts w:eastAsiaTheme="minorEastAsia"/>
          <w:lang w:eastAsia="en-AU"/>
        </w:rPr>
      </w:pPr>
      <w:hyperlink w:anchor="_Toc469305243" w:history="1">
        <w:r w:rsidR="00F319BE" w:rsidRPr="0023664E">
          <w:rPr>
            <w:rStyle w:val="Hyperlink"/>
            <w:rFonts w:ascii="Calibri" w:hAnsi="Calibri"/>
          </w:rPr>
          <w:t>5.10</w:t>
        </w:r>
        <w:r w:rsidR="00F319BE">
          <w:rPr>
            <w:rFonts w:eastAsiaTheme="minorEastAsia"/>
            <w:lang w:eastAsia="en-AU"/>
          </w:rPr>
          <w:tab/>
        </w:r>
        <w:r w:rsidR="00F319BE" w:rsidRPr="0023664E">
          <w:rPr>
            <w:rStyle w:val="Hyperlink"/>
          </w:rPr>
          <w:t>APP 10 Quality of Personal Information</w:t>
        </w:r>
        <w:r w:rsidR="00F319BE">
          <w:rPr>
            <w:webHidden/>
          </w:rPr>
          <w:tab/>
        </w:r>
        <w:r w:rsidR="00F319BE">
          <w:rPr>
            <w:webHidden/>
          </w:rPr>
          <w:fldChar w:fldCharType="begin"/>
        </w:r>
        <w:r w:rsidR="00F319BE">
          <w:rPr>
            <w:webHidden/>
          </w:rPr>
          <w:instrText xml:space="preserve"> PAGEREF _Toc469305243 \h </w:instrText>
        </w:r>
        <w:r w:rsidR="00F319BE">
          <w:rPr>
            <w:webHidden/>
          </w:rPr>
        </w:r>
        <w:r w:rsidR="00F319BE">
          <w:rPr>
            <w:webHidden/>
          </w:rPr>
          <w:fldChar w:fldCharType="separate"/>
        </w:r>
        <w:r w:rsidR="00A03412">
          <w:rPr>
            <w:webHidden/>
          </w:rPr>
          <w:t>14</w:t>
        </w:r>
        <w:r w:rsidR="00F319BE">
          <w:rPr>
            <w:webHidden/>
          </w:rPr>
          <w:fldChar w:fldCharType="end"/>
        </w:r>
      </w:hyperlink>
    </w:p>
    <w:p w:rsidR="00F319BE" w:rsidRDefault="00AA5D4B">
      <w:pPr>
        <w:pStyle w:val="TOC2"/>
        <w:rPr>
          <w:rFonts w:eastAsiaTheme="minorEastAsia"/>
          <w:lang w:eastAsia="en-AU"/>
        </w:rPr>
      </w:pPr>
      <w:hyperlink w:anchor="_Toc469305244" w:history="1">
        <w:r w:rsidR="00F319BE" w:rsidRPr="0023664E">
          <w:rPr>
            <w:rStyle w:val="Hyperlink"/>
            <w:rFonts w:ascii="Calibri" w:hAnsi="Calibri"/>
          </w:rPr>
          <w:t>5.11</w:t>
        </w:r>
        <w:r w:rsidR="00F319BE">
          <w:rPr>
            <w:rFonts w:eastAsiaTheme="minorEastAsia"/>
            <w:lang w:eastAsia="en-AU"/>
          </w:rPr>
          <w:tab/>
        </w:r>
        <w:r w:rsidR="00F319BE" w:rsidRPr="0023664E">
          <w:rPr>
            <w:rStyle w:val="Hyperlink"/>
          </w:rPr>
          <w:t>APP 11 Security of Personal Information</w:t>
        </w:r>
        <w:r w:rsidR="00F319BE">
          <w:rPr>
            <w:webHidden/>
          </w:rPr>
          <w:tab/>
        </w:r>
        <w:r w:rsidR="00F319BE">
          <w:rPr>
            <w:webHidden/>
          </w:rPr>
          <w:fldChar w:fldCharType="begin"/>
        </w:r>
        <w:r w:rsidR="00F319BE">
          <w:rPr>
            <w:webHidden/>
          </w:rPr>
          <w:instrText xml:space="preserve"> PAGEREF _Toc469305244 \h </w:instrText>
        </w:r>
        <w:r w:rsidR="00F319BE">
          <w:rPr>
            <w:webHidden/>
          </w:rPr>
        </w:r>
        <w:r w:rsidR="00F319BE">
          <w:rPr>
            <w:webHidden/>
          </w:rPr>
          <w:fldChar w:fldCharType="separate"/>
        </w:r>
        <w:r w:rsidR="00A03412">
          <w:rPr>
            <w:webHidden/>
          </w:rPr>
          <w:t>14</w:t>
        </w:r>
        <w:r w:rsidR="00F319BE">
          <w:rPr>
            <w:webHidden/>
          </w:rPr>
          <w:fldChar w:fldCharType="end"/>
        </w:r>
      </w:hyperlink>
    </w:p>
    <w:p w:rsidR="00F319BE" w:rsidRDefault="00AA5D4B">
      <w:pPr>
        <w:pStyle w:val="TOC2"/>
        <w:rPr>
          <w:rFonts w:eastAsiaTheme="minorEastAsia"/>
          <w:lang w:eastAsia="en-AU"/>
        </w:rPr>
      </w:pPr>
      <w:hyperlink w:anchor="_Toc469305245" w:history="1">
        <w:r w:rsidR="00F319BE" w:rsidRPr="0023664E">
          <w:rPr>
            <w:rStyle w:val="Hyperlink"/>
            <w:rFonts w:ascii="Calibri" w:hAnsi="Calibri"/>
          </w:rPr>
          <w:t>5.12</w:t>
        </w:r>
        <w:r w:rsidR="00F319BE">
          <w:rPr>
            <w:rFonts w:eastAsiaTheme="minorEastAsia"/>
            <w:lang w:eastAsia="en-AU"/>
          </w:rPr>
          <w:tab/>
        </w:r>
        <w:r w:rsidR="00F319BE" w:rsidRPr="0023664E">
          <w:rPr>
            <w:rStyle w:val="Hyperlink"/>
          </w:rPr>
          <w:t>APP 12 Access to Personal Information</w:t>
        </w:r>
        <w:r w:rsidR="00F319BE">
          <w:rPr>
            <w:webHidden/>
          </w:rPr>
          <w:tab/>
        </w:r>
        <w:r w:rsidR="00F319BE">
          <w:rPr>
            <w:webHidden/>
          </w:rPr>
          <w:fldChar w:fldCharType="begin"/>
        </w:r>
        <w:r w:rsidR="00F319BE">
          <w:rPr>
            <w:webHidden/>
          </w:rPr>
          <w:instrText xml:space="preserve"> PAGEREF _Toc469305245 \h </w:instrText>
        </w:r>
        <w:r w:rsidR="00F319BE">
          <w:rPr>
            <w:webHidden/>
          </w:rPr>
        </w:r>
        <w:r w:rsidR="00F319BE">
          <w:rPr>
            <w:webHidden/>
          </w:rPr>
          <w:fldChar w:fldCharType="separate"/>
        </w:r>
        <w:r w:rsidR="00A03412">
          <w:rPr>
            <w:webHidden/>
          </w:rPr>
          <w:t>14</w:t>
        </w:r>
        <w:r w:rsidR="00F319BE">
          <w:rPr>
            <w:webHidden/>
          </w:rPr>
          <w:fldChar w:fldCharType="end"/>
        </w:r>
      </w:hyperlink>
    </w:p>
    <w:p w:rsidR="00F319BE" w:rsidRDefault="00AA5D4B">
      <w:pPr>
        <w:pStyle w:val="TOC2"/>
        <w:rPr>
          <w:rFonts w:eastAsiaTheme="minorEastAsia"/>
          <w:lang w:eastAsia="en-AU"/>
        </w:rPr>
      </w:pPr>
      <w:hyperlink w:anchor="_Toc469305246" w:history="1">
        <w:r w:rsidR="00F319BE" w:rsidRPr="0023664E">
          <w:rPr>
            <w:rStyle w:val="Hyperlink"/>
            <w:rFonts w:ascii="Calibri" w:hAnsi="Calibri"/>
          </w:rPr>
          <w:t>5.13</w:t>
        </w:r>
        <w:r w:rsidR="00F319BE">
          <w:rPr>
            <w:rFonts w:eastAsiaTheme="minorEastAsia"/>
            <w:lang w:eastAsia="en-AU"/>
          </w:rPr>
          <w:tab/>
        </w:r>
        <w:r w:rsidR="00F319BE" w:rsidRPr="0023664E">
          <w:rPr>
            <w:rStyle w:val="Hyperlink"/>
          </w:rPr>
          <w:t>APP 13 Correction of Personal Information</w:t>
        </w:r>
        <w:r w:rsidR="00F319BE">
          <w:rPr>
            <w:webHidden/>
          </w:rPr>
          <w:tab/>
        </w:r>
        <w:r w:rsidR="00F319BE">
          <w:rPr>
            <w:webHidden/>
          </w:rPr>
          <w:fldChar w:fldCharType="begin"/>
        </w:r>
        <w:r w:rsidR="00F319BE">
          <w:rPr>
            <w:webHidden/>
          </w:rPr>
          <w:instrText xml:space="preserve"> PAGEREF _Toc469305246 \h </w:instrText>
        </w:r>
        <w:r w:rsidR="00F319BE">
          <w:rPr>
            <w:webHidden/>
          </w:rPr>
        </w:r>
        <w:r w:rsidR="00F319BE">
          <w:rPr>
            <w:webHidden/>
          </w:rPr>
          <w:fldChar w:fldCharType="separate"/>
        </w:r>
        <w:r w:rsidR="00A03412">
          <w:rPr>
            <w:webHidden/>
          </w:rPr>
          <w:t>15</w:t>
        </w:r>
        <w:r w:rsidR="00F319BE">
          <w:rPr>
            <w:webHidden/>
          </w:rPr>
          <w:fldChar w:fldCharType="end"/>
        </w:r>
      </w:hyperlink>
    </w:p>
    <w:p w:rsidR="00F319BE" w:rsidRDefault="00AA5D4B">
      <w:pPr>
        <w:pStyle w:val="TOC1"/>
        <w:rPr>
          <w:rFonts w:eastAsiaTheme="minorEastAsia"/>
          <w:b w:val="0"/>
          <w:noProof/>
          <w:color w:val="auto"/>
          <w:lang w:eastAsia="en-AU"/>
        </w:rPr>
      </w:pPr>
      <w:hyperlink w:anchor="_Toc469305247" w:history="1">
        <w:r w:rsidR="00F319BE" w:rsidRPr="0023664E">
          <w:rPr>
            <w:rStyle w:val="Hyperlink"/>
            <w:rFonts w:ascii="Calibri" w:hAnsi="Calibri"/>
            <w:noProof/>
          </w:rPr>
          <w:t>6.</w:t>
        </w:r>
        <w:r w:rsidR="00F319BE">
          <w:rPr>
            <w:rFonts w:eastAsiaTheme="minorEastAsia"/>
            <w:b w:val="0"/>
            <w:noProof/>
            <w:color w:val="auto"/>
            <w:lang w:eastAsia="en-AU"/>
          </w:rPr>
          <w:tab/>
        </w:r>
        <w:r w:rsidR="00F319BE" w:rsidRPr="0023664E">
          <w:rPr>
            <w:rStyle w:val="Hyperlink"/>
            <w:noProof/>
          </w:rPr>
          <w:t>Privacy Risk Mitigation</w:t>
        </w:r>
        <w:r w:rsidR="00F319BE">
          <w:rPr>
            <w:noProof/>
            <w:webHidden/>
          </w:rPr>
          <w:tab/>
        </w:r>
        <w:r w:rsidR="00F319BE">
          <w:rPr>
            <w:noProof/>
            <w:webHidden/>
          </w:rPr>
          <w:fldChar w:fldCharType="begin"/>
        </w:r>
        <w:r w:rsidR="00F319BE">
          <w:rPr>
            <w:noProof/>
            <w:webHidden/>
          </w:rPr>
          <w:instrText xml:space="preserve"> PAGEREF _Toc469305247 \h </w:instrText>
        </w:r>
        <w:r w:rsidR="00F319BE">
          <w:rPr>
            <w:noProof/>
            <w:webHidden/>
          </w:rPr>
        </w:r>
        <w:r w:rsidR="00F319BE">
          <w:rPr>
            <w:noProof/>
            <w:webHidden/>
          </w:rPr>
          <w:fldChar w:fldCharType="separate"/>
        </w:r>
        <w:r w:rsidR="00A03412">
          <w:rPr>
            <w:noProof/>
            <w:webHidden/>
          </w:rPr>
          <w:t>15</w:t>
        </w:r>
        <w:r w:rsidR="00F319BE">
          <w:rPr>
            <w:noProof/>
            <w:webHidden/>
          </w:rPr>
          <w:fldChar w:fldCharType="end"/>
        </w:r>
      </w:hyperlink>
    </w:p>
    <w:p w:rsidR="00F319BE" w:rsidRDefault="00AA5D4B">
      <w:pPr>
        <w:pStyle w:val="TOC1"/>
        <w:rPr>
          <w:rFonts w:eastAsiaTheme="minorEastAsia"/>
          <w:b w:val="0"/>
          <w:noProof/>
          <w:color w:val="auto"/>
          <w:lang w:eastAsia="en-AU"/>
        </w:rPr>
      </w:pPr>
      <w:hyperlink w:anchor="_Toc469305248" w:history="1">
        <w:r w:rsidR="00F319BE" w:rsidRPr="0023664E">
          <w:rPr>
            <w:rStyle w:val="Hyperlink"/>
            <w:rFonts w:ascii="Calibri" w:hAnsi="Calibri"/>
            <w:noProof/>
          </w:rPr>
          <w:t>7.</w:t>
        </w:r>
        <w:r w:rsidR="00F319BE">
          <w:rPr>
            <w:rFonts w:eastAsiaTheme="minorEastAsia"/>
            <w:b w:val="0"/>
            <w:noProof/>
            <w:color w:val="auto"/>
            <w:lang w:eastAsia="en-AU"/>
          </w:rPr>
          <w:tab/>
        </w:r>
        <w:r w:rsidR="00F319BE" w:rsidRPr="0023664E">
          <w:rPr>
            <w:rStyle w:val="Hyperlink"/>
            <w:noProof/>
          </w:rPr>
          <w:t>Conclusion</w:t>
        </w:r>
        <w:r w:rsidR="00F319BE">
          <w:rPr>
            <w:noProof/>
            <w:webHidden/>
          </w:rPr>
          <w:tab/>
        </w:r>
        <w:r w:rsidR="00F319BE">
          <w:rPr>
            <w:noProof/>
            <w:webHidden/>
          </w:rPr>
          <w:fldChar w:fldCharType="begin"/>
        </w:r>
        <w:r w:rsidR="00F319BE">
          <w:rPr>
            <w:noProof/>
            <w:webHidden/>
          </w:rPr>
          <w:instrText xml:space="preserve"> PAGEREF _Toc469305248 \h </w:instrText>
        </w:r>
        <w:r w:rsidR="00F319BE">
          <w:rPr>
            <w:noProof/>
            <w:webHidden/>
          </w:rPr>
        </w:r>
        <w:r w:rsidR="00F319BE">
          <w:rPr>
            <w:noProof/>
            <w:webHidden/>
          </w:rPr>
          <w:fldChar w:fldCharType="separate"/>
        </w:r>
        <w:r w:rsidR="00A03412">
          <w:rPr>
            <w:noProof/>
            <w:webHidden/>
          </w:rPr>
          <w:t>16</w:t>
        </w:r>
        <w:r w:rsidR="00F319BE">
          <w:rPr>
            <w:noProof/>
            <w:webHidden/>
          </w:rPr>
          <w:fldChar w:fldCharType="end"/>
        </w:r>
      </w:hyperlink>
    </w:p>
    <w:p w:rsidR="00F319BE" w:rsidRDefault="00AA5D4B">
      <w:pPr>
        <w:pStyle w:val="TOC1"/>
        <w:rPr>
          <w:rFonts w:eastAsiaTheme="minorEastAsia"/>
          <w:b w:val="0"/>
          <w:noProof/>
          <w:color w:val="auto"/>
          <w:lang w:eastAsia="en-AU"/>
        </w:rPr>
      </w:pPr>
      <w:hyperlink w:anchor="_Toc469305249" w:history="1">
        <w:r w:rsidR="00F319BE" w:rsidRPr="0023664E">
          <w:rPr>
            <w:rStyle w:val="Hyperlink"/>
            <w:rFonts w:ascii="Calibri" w:hAnsi="Calibri"/>
            <w:noProof/>
          </w:rPr>
          <w:t>8.</w:t>
        </w:r>
        <w:r w:rsidR="00F319BE">
          <w:rPr>
            <w:rFonts w:eastAsiaTheme="minorEastAsia"/>
            <w:b w:val="0"/>
            <w:noProof/>
            <w:color w:val="auto"/>
            <w:lang w:eastAsia="en-AU"/>
          </w:rPr>
          <w:tab/>
        </w:r>
        <w:r w:rsidR="00F319BE" w:rsidRPr="0023664E">
          <w:rPr>
            <w:rStyle w:val="Hyperlink"/>
            <w:noProof/>
          </w:rPr>
          <w:t>References</w:t>
        </w:r>
        <w:r w:rsidR="00F319BE">
          <w:rPr>
            <w:noProof/>
            <w:webHidden/>
          </w:rPr>
          <w:tab/>
        </w:r>
        <w:r w:rsidR="00F319BE">
          <w:rPr>
            <w:noProof/>
            <w:webHidden/>
          </w:rPr>
          <w:fldChar w:fldCharType="begin"/>
        </w:r>
        <w:r w:rsidR="00F319BE">
          <w:rPr>
            <w:noProof/>
            <w:webHidden/>
          </w:rPr>
          <w:instrText xml:space="preserve"> PAGEREF _Toc469305249 \h </w:instrText>
        </w:r>
        <w:r w:rsidR="00F319BE">
          <w:rPr>
            <w:noProof/>
            <w:webHidden/>
          </w:rPr>
        </w:r>
        <w:r w:rsidR="00F319BE">
          <w:rPr>
            <w:noProof/>
            <w:webHidden/>
          </w:rPr>
          <w:fldChar w:fldCharType="separate"/>
        </w:r>
        <w:r w:rsidR="00A03412">
          <w:rPr>
            <w:noProof/>
            <w:webHidden/>
          </w:rPr>
          <w:t>16</w:t>
        </w:r>
        <w:r w:rsidR="00F319BE">
          <w:rPr>
            <w:noProof/>
            <w:webHidden/>
          </w:rPr>
          <w:fldChar w:fldCharType="end"/>
        </w:r>
      </w:hyperlink>
    </w:p>
    <w:p w:rsidR="00753831" w:rsidRPr="00753831" w:rsidRDefault="009062CA" w:rsidP="00753831">
      <w:r>
        <w:fldChar w:fldCharType="end"/>
      </w:r>
    </w:p>
    <w:p w:rsidR="00B2207B" w:rsidRDefault="00B2207B">
      <w:pPr>
        <w:spacing w:before="0" w:after="200"/>
      </w:pPr>
      <w:r>
        <w:br w:type="page"/>
      </w:r>
    </w:p>
    <w:p w:rsidR="0015418A" w:rsidRPr="00753831" w:rsidRDefault="0015418A" w:rsidP="00753831">
      <w:pPr>
        <w:pStyle w:val="SupplementaryMaterial"/>
        <w:spacing w:before="0"/>
        <w:rPr>
          <w:color w:val="365F91" w:themeColor="accent1" w:themeShade="BF"/>
          <w:sz w:val="36"/>
        </w:rPr>
      </w:pPr>
      <w:bookmarkStart w:id="1" w:name="_Toc469305222"/>
      <w:r w:rsidRPr="00753831">
        <w:rPr>
          <w:color w:val="365F91" w:themeColor="accent1" w:themeShade="BF"/>
          <w:sz w:val="36"/>
        </w:rPr>
        <w:lastRenderedPageBreak/>
        <w:t>Disclaimer</w:t>
      </w:r>
      <w:bookmarkEnd w:id="1"/>
    </w:p>
    <w:p w:rsidR="0015418A" w:rsidRPr="0088281D" w:rsidRDefault="004C007C" w:rsidP="0015418A">
      <w:r>
        <w:t>T</w:t>
      </w:r>
      <w:r w:rsidR="0015418A">
        <w:t>his template for a PIA self-assessment should be used as a guide only. ARPANSA recommends that organisations who wish to participate in the ANRDR obtain their own legal advice relating to their privacy obligations for the disclosure of personal information to the ANRDR.</w:t>
      </w:r>
    </w:p>
    <w:p w:rsidR="00EF7550" w:rsidRPr="00753831" w:rsidRDefault="003706C5" w:rsidP="00753831">
      <w:pPr>
        <w:pStyle w:val="SupplementaryMaterial"/>
        <w:rPr>
          <w:color w:val="365F91" w:themeColor="accent1" w:themeShade="BF"/>
          <w:sz w:val="36"/>
        </w:rPr>
      </w:pPr>
      <w:bookmarkStart w:id="2" w:name="_Toc467501491"/>
      <w:bookmarkStart w:id="3" w:name="_Toc469305223"/>
      <w:r w:rsidRPr="00753831">
        <w:rPr>
          <w:color w:val="365F91" w:themeColor="accent1" w:themeShade="BF"/>
          <w:sz w:val="36"/>
        </w:rPr>
        <w:t>Why Complete a Privacy Impact Assessment?</w:t>
      </w:r>
      <w:bookmarkEnd w:id="2"/>
      <w:bookmarkEnd w:id="3"/>
    </w:p>
    <w:p w:rsidR="00CA4F5D" w:rsidRDefault="00CA4F5D" w:rsidP="00CA4F5D">
      <w:r>
        <w:t xml:space="preserve">The disclosure of personal information associated with radiation </w:t>
      </w:r>
      <w:r w:rsidR="002615A0">
        <w:t xml:space="preserve">dose </w:t>
      </w:r>
      <w:r>
        <w:t xml:space="preserve">records to the Australian National Radiation Dose Register (ANRDR) requires addressing the requirements of the </w:t>
      </w:r>
      <w:r w:rsidRPr="009C4BA5">
        <w:rPr>
          <w:i/>
        </w:rPr>
        <w:t>Privacy Act 1988</w:t>
      </w:r>
      <w:r w:rsidR="00D520F2">
        <w:t xml:space="preserve"> (Cth</w:t>
      </w:r>
      <w:r>
        <w:t>)</w:t>
      </w:r>
      <w:r w:rsidR="002615A0">
        <w:t xml:space="preserve"> (the Privacy Act)</w:t>
      </w:r>
      <w:r>
        <w:t>.</w:t>
      </w:r>
    </w:p>
    <w:p w:rsidR="00803AA9" w:rsidRDefault="00803AA9" w:rsidP="00D02702">
      <w:r>
        <w:t xml:space="preserve">A Privacy Impact Assessment </w:t>
      </w:r>
      <w:r w:rsidR="001A08D4">
        <w:t xml:space="preserve">(PIA) </w:t>
      </w:r>
      <w:r>
        <w:t>is a systematic assessment of a</w:t>
      </w:r>
      <w:r w:rsidR="001A08D4">
        <w:t>n</w:t>
      </w:r>
      <w:r>
        <w:t xml:space="preserve"> </w:t>
      </w:r>
      <w:r w:rsidR="001A08D4">
        <w:t xml:space="preserve">activity </w:t>
      </w:r>
      <w:r>
        <w:t xml:space="preserve">that identifies the impact that the </w:t>
      </w:r>
      <w:r w:rsidR="001A08D4">
        <w:t xml:space="preserve">activity </w:t>
      </w:r>
      <w:r>
        <w:t xml:space="preserve">might have on the privacy of individuals, and sets out the </w:t>
      </w:r>
      <w:r w:rsidR="001A08D4">
        <w:t xml:space="preserve">mitigation strategies </w:t>
      </w:r>
      <w:r>
        <w:t>for managing, minimising or eliminating that impact.</w:t>
      </w:r>
    </w:p>
    <w:p w:rsidR="00803AA9" w:rsidRDefault="003706C5" w:rsidP="00D02702">
      <w:r>
        <w:t>PIAs are an important component in the protection of privacy, and should be part of the overall risk management and p</w:t>
      </w:r>
      <w:r w:rsidR="00D02702">
        <w:t>lanning process of APP entities</w:t>
      </w:r>
      <w:r w:rsidR="005949DB">
        <w:t>.</w:t>
      </w:r>
      <w:r w:rsidR="002615A0">
        <w:t xml:space="preserve"> An APP entity is defined in the Privacy Act as an agency or organisation with an annual turnover of $3 million or more.</w:t>
      </w:r>
    </w:p>
    <w:p w:rsidR="005949DB" w:rsidRDefault="005949DB" w:rsidP="005949DB">
      <w:r>
        <w:t xml:space="preserve">Completing the PIA for the disclosure of </w:t>
      </w:r>
      <w:r w:rsidR="002615A0">
        <w:t>dose</w:t>
      </w:r>
      <w:r>
        <w:t xml:space="preserve"> records to the ANRDR </w:t>
      </w:r>
      <w:r w:rsidR="00B1175D">
        <w:t>will:</w:t>
      </w:r>
    </w:p>
    <w:p w:rsidR="00B1175D" w:rsidRPr="009062CA" w:rsidRDefault="009062CA" w:rsidP="004D4826">
      <w:pPr>
        <w:pStyle w:val="ListParagraph"/>
      </w:pPr>
      <w:r>
        <w:t>d</w:t>
      </w:r>
      <w:r w:rsidR="00B1175D" w:rsidRPr="009062CA">
        <w:t xml:space="preserve">escribe </w:t>
      </w:r>
      <w:r w:rsidR="00B81B00" w:rsidRPr="009062CA">
        <w:t xml:space="preserve">the flow of </w:t>
      </w:r>
      <w:r w:rsidR="00B1175D" w:rsidRPr="009062CA">
        <w:t>personal information</w:t>
      </w:r>
    </w:p>
    <w:p w:rsidR="00B1175D" w:rsidRPr="009062CA" w:rsidRDefault="009062CA" w:rsidP="004D4826">
      <w:pPr>
        <w:pStyle w:val="ListParagraph"/>
      </w:pPr>
      <w:r>
        <w:t>a</w:t>
      </w:r>
      <w:r w:rsidR="00B1175D" w:rsidRPr="009062CA">
        <w:t xml:space="preserve">ssess the possible impact on </w:t>
      </w:r>
      <w:r w:rsidR="00D520F2" w:rsidRPr="009062CA">
        <w:t xml:space="preserve">an </w:t>
      </w:r>
      <w:r w:rsidR="00B1175D" w:rsidRPr="009062CA">
        <w:t>individuals’ privacy</w:t>
      </w:r>
    </w:p>
    <w:p w:rsidR="00B1175D" w:rsidRPr="009062CA" w:rsidRDefault="009062CA" w:rsidP="004D4826">
      <w:pPr>
        <w:pStyle w:val="ListParagraph"/>
      </w:pPr>
      <w:r>
        <w:t>i</w:t>
      </w:r>
      <w:r w:rsidR="00B1175D" w:rsidRPr="009062CA">
        <w:t>dentify</w:t>
      </w:r>
      <w:r w:rsidR="000D3474" w:rsidRPr="009062CA">
        <w:t xml:space="preserve"> </w:t>
      </w:r>
      <w:r w:rsidR="00D02702" w:rsidRPr="009062CA">
        <w:t>options for avoiding, minimising or mitigating negative privacy impacts</w:t>
      </w:r>
    </w:p>
    <w:p w:rsidR="00D02702" w:rsidRPr="009062CA" w:rsidRDefault="009062CA" w:rsidP="004D4826">
      <w:pPr>
        <w:pStyle w:val="ListParagraph"/>
      </w:pPr>
      <w:r>
        <w:t>e</w:t>
      </w:r>
      <w:r w:rsidR="00D02702" w:rsidRPr="009062CA">
        <w:t xml:space="preserve">nsure all privacy requirements are </w:t>
      </w:r>
      <w:r w:rsidR="000D3474" w:rsidRPr="009062CA">
        <w:t>met</w:t>
      </w:r>
    </w:p>
    <w:p w:rsidR="00A44C41" w:rsidRDefault="00C7482C" w:rsidP="002615A0">
      <w:pPr>
        <w:rPr>
          <w:b/>
        </w:rPr>
      </w:pPr>
      <w:r w:rsidRPr="00C7482C">
        <w:rPr>
          <w:b/>
        </w:rPr>
        <w:t xml:space="preserve">The information provided in </w:t>
      </w:r>
      <w:r>
        <w:rPr>
          <w:b/>
        </w:rPr>
        <w:t xml:space="preserve">Sections 1 – 3 </w:t>
      </w:r>
      <w:r w:rsidRPr="00C7482C">
        <w:rPr>
          <w:b/>
        </w:rPr>
        <w:t>is extracted from the ANRDR Privacy Impact Assessment for reference.</w:t>
      </w:r>
    </w:p>
    <w:p w:rsidR="004D4826" w:rsidRDefault="004D4826" w:rsidP="002615A0">
      <w:pPr>
        <w:rPr>
          <w:b/>
        </w:rPr>
      </w:pPr>
    </w:p>
    <w:p w:rsidR="004D4826" w:rsidRDefault="004D4826">
      <w:pPr>
        <w:spacing w:before="0" w:after="200"/>
        <w:rPr>
          <w:b/>
        </w:rPr>
      </w:pPr>
      <w:r>
        <w:rPr>
          <w:b/>
        </w:rPr>
        <w:br w:type="page"/>
      </w:r>
    </w:p>
    <w:p w:rsidR="00373591" w:rsidRPr="00D73630" w:rsidRDefault="00C302AB" w:rsidP="00D73630">
      <w:pPr>
        <w:pStyle w:val="Heading1"/>
      </w:pPr>
      <w:bookmarkStart w:id="4" w:name="_Toc467501492"/>
      <w:bookmarkStart w:id="5" w:name="_Toc469305224"/>
      <w:r w:rsidRPr="00D73630">
        <w:lastRenderedPageBreak/>
        <w:t>Introduction</w:t>
      </w:r>
      <w:bookmarkEnd w:id="4"/>
      <w:bookmarkEnd w:id="5"/>
    </w:p>
    <w:p w:rsidR="00EF6371" w:rsidRPr="00753831" w:rsidRDefault="00B14197" w:rsidP="00753831">
      <w:pPr>
        <w:pStyle w:val="Heading2"/>
        <w:keepLines w:val="0"/>
        <w:spacing w:before="240" w:line="240" w:lineRule="auto"/>
        <w:rPr>
          <w:color w:val="365F91" w:themeColor="accent1" w:themeShade="BF"/>
          <w:sz w:val="28"/>
        </w:rPr>
      </w:pPr>
      <w:bookmarkStart w:id="6" w:name="_Toc467501493"/>
      <w:bookmarkStart w:id="7" w:name="_Toc469305225"/>
      <w:r w:rsidRPr="00753831">
        <w:rPr>
          <w:color w:val="365F91" w:themeColor="accent1" w:themeShade="BF"/>
          <w:sz w:val="28"/>
        </w:rPr>
        <w:t>Background</w:t>
      </w:r>
      <w:r w:rsidR="005949DB" w:rsidRPr="00753831">
        <w:rPr>
          <w:color w:val="365F91" w:themeColor="accent1" w:themeShade="BF"/>
          <w:sz w:val="28"/>
        </w:rPr>
        <w:t xml:space="preserve"> of ANRDR</w:t>
      </w:r>
      <w:bookmarkEnd w:id="6"/>
      <w:bookmarkEnd w:id="7"/>
    </w:p>
    <w:p w:rsidR="00DF1303" w:rsidRPr="00CC0C07" w:rsidRDefault="00DF1303" w:rsidP="00DF1303">
      <w:r>
        <w:t xml:space="preserve">The International Atomic Energy Agency (IAEA) publishes </w:t>
      </w:r>
      <w:r w:rsidRPr="00CC0C07">
        <w:t>International Safety Standards requir</w:t>
      </w:r>
      <w:r>
        <w:t>ing</w:t>
      </w:r>
      <w:r w:rsidRPr="00CC0C07">
        <w:t xml:space="preserve"> that occupational dose </w:t>
      </w:r>
      <w:r w:rsidRPr="00EA2781">
        <w:t xml:space="preserve">records </w:t>
      </w:r>
      <w:r w:rsidRPr="00CC0C07">
        <w:t xml:space="preserve">of </w:t>
      </w:r>
      <w:r w:rsidRPr="004362EA">
        <w:t xml:space="preserve">individual </w:t>
      </w:r>
      <w:r w:rsidRPr="00CC0C07">
        <w:t xml:space="preserve">workers are kept and made available to the relevant regulatory authority and to </w:t>
      </w:r>
      <w:r>
        <w:t xml:space="preserve">the </w:t>
      </w:r>
      <w:r w:rsidRPr="00CC0C07">
        <w:t>individuals</w:t>
      </w:r>
      <w:r>
        <w:t xml:space="preserve"> concerned</w:t>
      </w:r>
      <w:r w:rsidRPr="00CC0C07">
        <w:t>.</w:t>
      </w:r>
    </w:p>
    <w:p w:rsidR="00DF1303" w:rsidRPr="00CC0C07" w:rsidRDefault="00DF1303" w:rsidP="00DF1303">
      <w:pPr>
        <w:rPr>
          <w:iCs/>
        </w:rPr>
      </w:pPr>
      <w:r w:rsidRPr="00CC0C07">
        <w:rPr>
          <w:iCs/>
        </w:rPr>
        <w:t>The IAEA GSR Part 3 (2014) states that:</w:t>
      </w:r>
    </w:p>
    <w:p w:rsidR="00DF1303" w:rsidRPr="00CC0C07" w:rsidRDefault="00DF1303" w:rsidP="005F1B2D">
      <w:pPr>
        <w:ind w:left="720" w:right="565"/>
      </w:pPr>
      <w:r w:rsidRPr="00CC0C07">
        <w:rPr>
          <w:iCs/>
        </w:rPr>
        <w:t>“</w:t>
      </w:r>
      <w:r w:rsidRPr="00CC0C07">
        <w:rPr>
          <w:i/>
          <w:iCs/>
        </w:rPr>
        <w:t>Exposure records for each worker shall be maintained during and after the worker's working life, at least until the former worker attains or would have attained the age of 75 years, and for not less than 30 years after cessation of the work in which the worker was subject to occupational exposure.”</w:t>
      </w:r>
    </w:p>
    <w:p w:rsidR="00DF1303" w:rsidRPr="00CC0C07" w:rsidRDefault="00DF1303" w:rsidP="00DF1303">
      <w:r>
        <w:t>T</w:t>
      </w:r>
      <w:r w:rsidRPr="00CC0C07">
        <w:t>h</w:t>
      </w:r>
      <w:r>
        <w:t>i</w:t>
      </w:r>
      <w:r w:rsidRPr="00CC0C07">
        <w:t>s requirement ha</w:t>
      </w:r>
      <w:r>
        <w:t>s</w:t>
      </w:r>
      <w:r w:rsidRPr="00CC0C07">
        <w:t xml:space="preserve"> been adopted in Commonwealth, </w:t>
      </w:r>
      <w:r>
        <w:t>s</w:t>
      </w:r>
      <w:r w:rsidRPr="00CC0C07">
        <w:t xml:space="preserve">tate and </w:t>
      </w:r>
      <w:r>
        <w:t>t</w:t>
      </w:r>
      <w:r w:rsidRPr="00CC0C07">
        <w:t xml:space="preserve">erritory </w:t>
      </w:r>
      <w:r>
        <w:t>regulatory frameworks</w:t>
      </w:r>
      <w:r w:rsidRPr="00CC0C07">
        <w:t xml:space="preserve"> across Australia. Internationally, it is considered best practice to strengthen the application of this requirement by establishing a central dose register to </w:t>
      </w:r>
      <w:r>
        <w:t>allow</w:t>
      </w:r>
      <w:r w:rsidRPr="00CC0C07">
        <w:t xml:space="preserve"> </w:t>
      </w:r>
      <w:r>
        <w:t>storing</w:t>
      </w:r>
      <w:r w:rsidRPr="00CC0C07">
        <w:t>, maintaining, and retrieving records of occupational exposure. Canada (Zielinski et al. 2008) and many European (Frasch et al. 2001) countries have established comprehensive central registers for recording occupational doses.</w:t>
      </w:r>
    </w:p>
    <w:p w:rsidR="00DF1303" w:rsidRPr="00CC0C07" w:rsidRDefault="00DF1303" w:rsidP="00DF1303">
      <w:r w:rsidRPr="00CC0C07">
        <w:t xml:space="preserve">In 2008, </w:t>
      </w:r>
      <w:r>
        <w:t>the</w:t>
      </w:r>
      <w:r w:rsidRPr="00CC0C07">
        <w:t xml:space="preserve"> Australian </w:t>
      </w:r>
      <w:r>
        <w:t>G</w:t>
      </w:r>
      <w:r w:rsidRPr="00CC0C07">
        <w:t xml:space="preserve">overnment, in cooperation with industry, </w:t>
      </w:r>
      <w:r>
        <w:t>initiated</w:t>
      </w:r>
      <w:r w:rsidRPr="00CC0C07">
        <w:t xml:space="preserve"> the development of the </w:t>
      </w:r>
      <w:r>
        <w:t>ANRDR, which was launched</w:t>
      </w:r>
      <w:r w:rsidRPr="00CC0C07">
        <w:t xml:space="preserve"> in 2010</w:t>
      </w:r>
      <w:r>
        <w:t xml:space="preserve"> a</w:t>
      </w:r>
      <w:r w:rsidRPr="00CC0C07">
        <w:t xml:space="preserve">s a centralised database designed for </w:t>
      </w:r>
      <w:r>
        <w:t xml:space="preserve">the </w:t>
      </w:r>
      <w:r w:rsidRPr="00CC0C07">
        <w:t xml:space="preserve">long-term storage </w:t>
      </w:r>
      <w:r>
        <w:t xml:space="preserve">and maintenance </w:t>
      </w:r>
      <w:r w:rsidRPr="00CC0C07">
        <w:t xml:space="preserve">of </w:t>
      </w:r>
      <w:r>
        <w:t>dose records</w:t>
      </w:r>
      <w:r w:rsidRPr="00CC0C07">
        <w:t xml:space="preserve"> for workers occupationally exposed to radiation in the Australian uranium mining and milling industry.</w:t>
      </w:r>
    </w:p>
    <w:p w:rsidR="00DF1303" w:rsidRPr="00CC0C07" w:rsidRDefault="00DF1303" w:rsidP="00DF1303">
      <w:r w:rsidRPr="00CC0C07">
        <w:t xml:space="preserve">The ANRDR is administered by ARPANSA as part of its </w:t>
      </w:r>
      <w:r>
        <w:t>statutory objective</w:t>
      </w:r>
      <w:r w:rsidRPr="00CC0C07">
        <w:t xml:space="preserve"> to protect the health and safety of people</w:t>
      </w:r>
      <w:r>
        <w:t>,</w:t>
      </w:r>
      <w:r w:rsidRPr="00CC0C07">
        <w:t xml:space="preserve"> and the environment</w:t>
      </w:r>
      <w:r>
        <w:t>,</w:t>
      </w:r>
      <w:r w:rsidRPr="00CC0C07">
        <w:t xml:space="preserve"> from the harmful effects of radiation, and to promote national uniformity in radiation protection. Consistent with this role, and to ensure that operation of the ANRDR meets the best practices of the more established national dose registers in Canada and Europe, ARPANSA is expanding the ANRDR beyond the uranium industry to include all workers occupationally exposed to ionising radiation in industries including mineral sands mining and processing, Commonwealth Government entities, aviation, medical, research, regulatory, industrial and any other applicable industries.</w:t>
      </w:r>
    </w:p>
    <w:p w:rsidR="00DF1303" w:rsidRPr="00D323E6" w:rsidRDefault="00DF1303" w:rsidP="00DF1303">
      <w:r>
        <w:t>Dose records</w:t>
      </w:r>
      <w:r w:rsidRPr="00CC0C07">
        <w:t xml:space="preserve"> are submitted by the employer to ARPANSA containing personal information </w:t>
      </w:r>
      <w:r w:rsidRPr="00D323E6">
        <w:t xml:space="preserve">which allows the ANRDR to match dose data </w:t>
      </w:r>
      <w:r w:rsidRPr="00E07D0A">
        <w:t>to the relevant worker for the purpose of generating personal dose history reports on request</w:t>
      </w:r>
      <w:r w:rsidRPr="00D323E6">
        <w:t xml:space="preserve"> and to detect doses of workers who may have exceeded an occupational dose limit.</w:t>
      </w:r>
    </w:p>
    <w:p w:rsidR="00B2207B" w:rsidRDefault="00DF1303" w:rsidP="00DF1303">
      <w:r w:rsidRPr="00F371C1">
        <w:lastRenderedPageBreak/>
        <w:t xml:space="preserve">The </w:t>
      </w:r>
      <w:hyperlink r:id="rId9" w:history="1">
        <w:r w:rsidRPr="0051612D">
          <w:rPr>
            <w:rStyle w:val="Hyperlink"/>
            <w:color w:val="365F91" w:themeColor="accent1" w:themeShade="BF"/>
          </w:rPr>
          <w:t>APPs</w:t>
        </w:r>
      </w:hyperlink>
      <w:r w:rsidRPr="00F371C1">
        <w:t>, which ar</w:t>
      </w:r>
      <w:r>
        <w:t xml:space="preserve">e contained in schedule 1 of </w:t>
      </w:r>
      <w:hyperlink r:id="rId10" w:history="1">
        <w:r w:rsidRPr="0051612D">
          <w:rPr>
            <w:rStyle w:val="Hyperlink"/>
            <w:color w:val="365F91" w:themeColor="accent1" w:themeShade="BF"/>
          </w:rPr>
          <w:t>the Privacy Act</w:t>
        </w:r>
      </w:hyperlink>
      <w:r w:rsidRPr="00F371C1">
        <w:t>, outline how APP entities must handle, use and manage personal information. An APP entity is defined in the Privacy Act as any Commonwealth Government agency or a private sector organisation with an annual turnover of more than $3 million.</w:t>
      </w:r>
    </w:p>
    <w:p w:rsidR="00E406AE" w:rsidRPr="00D73630" w:rsidRDefault="00E406AE" w:rsidP="00D73630">
      <w:pPr>
        <w:pStyle w:val="Heading2"/>
        <w:keepLines w:val="0"/>
        <w:spacing w:before="240" w:line="240" w:lineRule="auto"/>
        <w:rPr>
          <w:color w:val="365F91" w:themeColor="accent1" w:themeShade="BF"/>
          <w:sz w:val="28"/>
        </w:rPr>
      </w:pPr>
      <w:bookmarkStart w:id="8" w:name="_Toc465340484"/>
      <w:bookmarkStart w:id="9" w:name="_Toc469305226"/>
      <w:bookmarkStart w:id="10" w:name="_Toc467501494"/>
      <w:r w:rsidRPr="00D73630">
        <w:rPr>
          <w:color w:val="365F91" w:themeColor="accent1" w:themeShade="BF"/>
          <w:sz w:val="28"/>
        </w:rPr>
        <w:t>Objective</w:t>
      </w:r>
      <w:bookmarkEnd w:id="8"/>
      <w:bookmarkEnd w:id="9"/>
    </w:p>
    <w:p w:rsidR="00DF1303" w:rsidRPr="00607097" w:rsidRDefault="00DF1303" w:rsidP="00DF1303">
      <w:pPr>
        <w:rPr>
          <w:lang w:val="en"/>
        </w:rPr>
      </w:pPr>
      <w:r w:rsidRPr="00607097">
        <w:rPr>
          <w:bCs/>
          <w:lang w:val="en"/>
        </w:rPr>
        <w:t>The objective of this PIA is to demonstrate compliance with the APPs contained in the Privacy Act, and to identify potential privacy risks and mitigation strategies. This PIA will be provided to ANRDR stakeholders as part of the on-boarding process to assist th</w:t>
      </w:r>
      <w:r>
        <w:rPr>
          <w:bCs/>
          <w:lang w:val="en"/>
        </w:rPr>
        <w:t>os</w:t>
      </w:r>
      <w:r w:rsidRPr="00607097">
        <w:rPr>
          <w:bCs/>
          <w:lang w:val="en"/>
        </w:rPr>
        <w:t xml:space="preserve">e </w:t>
      </w:r>
      <w:r w:rsidRPr="00DF1303">
        <w:rPr>
          <w:bCs/>
        </w:rPr>
        <w:t>organisations</w:t>
      </w:r>
      <w:r w:rsidRPr="00607097">
        <w:rPr>
          <w:bCs/>
          <w:lang w:val="en"/>
        </w:rPr>
        <w:t xml:space="preserve"> in meeting their own privacy obligations. </w:t>
      </w:r>
    </w:p>
    <w:p w:rsidR="00DF1303" w:rsidRPr="00607097" w:rsidRDefault="00DF1303" w:rsidP="00DF1303">
      <w:pPr>
        <w:rPr>
          <w:bCs/>
          <w:lang w:val="en"/>
        </w:rPr>
      </w:pPr>
      <w:r w:rsidRPr="00607097">
        <w:rPr>
          <w:bCs/>
          <w:lang w:val="en"/>
        </w:rPr>
        <w:t xml:space="preserve">Workers who are occupationally exposed to radiation will benefit from the long-term storage </w:t>
      </w:r>
      <w:r>
        <w:rPr>
          <w:bCs/>
          <w:lang w:val="en"/>
        </w:rPr>
        <w:t xml:space="preserve">and maintenance </w:t>
      </w:r>
      <w:r w:rsidRPr="00607097">
        <w:rPr>
          <w:bCs/>
          <w:lang w:val="en"/>
        </w:rPr>
        <w:t xml:space="preserve">of their </w:t>
      </w:r>
      <w:r>
        <w:rPr>
          <w:bCs/>
          <w:lang w:val="en"/>
        </w:rPr>
        <w:t>dose records</w:t>
      </w:r>
      <w:r w:rsidRPr="00607097">
        <w:rPr>
          <w:bCs/>
          <w:lang w:val="en"/>
        </w:rPr>
        <w:t xml:space="preserve">, which will allow them to check and monitor their own occupational exposure. The ANRDR </w:t>
      </w:r>
      <w:r>
        <w:rPr>
          <w:bCs/>
          <w:lang w:val="en"/>
        </w:rPr>
        <w:t xml:space="preserve">will </w:t>
      </w:r>
      <w:r w:rsidRPr="00607097">
        <w:rPr>
          <w:bCs/>
          <w:lang w:val="en"/>
        </w:rPr>
        <w:t>provide a facility for the retrieval of their dose records throughout the course of their career, and beyond, regardless of where in Australia they have worked</w:t>
      </w:r>
      <w:r>
        <w:rPr>
          <w:bCs/>
          <w:lang w:val="en"/>
        </w:rPr>
        <w:t>, or for whom</w:t>
      </w:r>
      <w:r w:rsidRPr="00607097">
        <w:rPr>
          <w:bCs/>
          <w:lang w:val="en"/>
        </w:rPr>
        <w:t xml:space="preserve">. </w:t>
      </w:r>
    </w:p>
    <w:p w:rsidR="00E406AE" w:rsidRPr="00E406AE" w:rsidRDefault="00DF1303" w:rsidP="00DF1303">
      <w:r w:rsidRPr="00607097">
        <w:t xml:space="preserve">For employers, the information contained in the ANRDR will assist in developing better work practices to improve safety for occupationally exposed workers in Australia by facilitating </w:t>
      </w:r>
      <w:r>
        <w:t xml:space="preserve">the </w:t>
      </w:r>
      <w:r w:rsidRPr="00607097">
        <w:t>optimisation of radiation protection programs. Analysis of the ANRDR data provides information on industry exposure trends and a comparison of doses received by workers across different work practices. These industry trends are published in an annual ANRDR newsletter which is publicly available on ARPANSA’s website. ARPANSA does not identify any individuals or employers in this publication.</w:t>
      </w:r>
    </w:p>
    <w:p w:rsidR="00E406AE" w:rsidRPr="00D73630" w:rsidRDefault="00E406AE" w:rsidP="00D73630">
      <w:pPr>
        <w:pStyle w:val="Heading2"/>
        <w:keepLines w:val="0"/>
        <w:spacing w:before="240" w:line="240" w:lineRule="auto"/>
        <w:rPr>
          <w:color w:val="365F91" w:themeColor="accent1" w:themeShade="BF"/>
          <w:sz w:val="28"/>
        </w:rPr>
      </w:pPr>
      <w:bookmarkStart w:id="11" w:name="_Toc465340485"/>
      <w:bookmarkStart w:id="12" w:name="_Toc469305227"/>
      <w:r w:rsidRPr="00D73630">
        <w:rPr>
          <w:color w:val="365F91" w:themeColor="accent1" w:themeShade="BF"/>
          <w:sz w:val="28"/>
        </w:rPr>
        <w:t>Relationship of ANRDR to APP entities and the collection of personal information</w:t>
      </w:r>
      <w:bookmarkEnd w:id="11"/>
      <w:bookmarkEnd w:id="12"/>
    </w:p>
    <w:p w:rsidR="00DF1303" w:rsidRPr="00607097" w:rsidRDefault="00DF1303" w:rsidP="00DF1303">
      <w:r w:rsidRPr="00607097">
        <w:t xml:space="preserve">A number of </w:t>
      </w:r>
      <w:r>
        <w:t>s</w:t>
      </w:r>
      <w:r w:rsidRPr="00607097">
        <w:t xml:space="preserve">tate, </w:t>
      </w:r>
      <w:r>
        <w:t>t</w:t>
      </w:r>
      <w:r w:rsidRPr="00607097">
        <w:t>erritory and Commonwealth legislative requirements currently exist to ensure the health and safety of workers.</w:t>
      </w:r>
      <w:r>
        <w:t xml:space="preserve"> In particular, radiation dose monitoring is performed to protect workers from the harmful effects of radiation.</w:t>
      </w:r>
      <w:r w:rsidRPr="00607097">
        <w:t xml:space="preserve"> However, until the establishment of the ANRDR, there was no central national repository for the long-term </w:t>
      </w:r>
      <w:r>
        <w:t xml:space="preserve">storage and </w:t>
      </w:r>
      <w:r w:rsidRPr="00607097">
        <w:t>maintenance of workers’ doses. The implementation of the ANRDR was designed to close this gap in dose record management</w:t>
      </w:r>
      <w:r>
        <w:t xml:space="preserve"> to meet international best practice and to promote national uniformity for dose record management.</w:t>
      </w:r>
    </w:p>
    <w:p w:rsidR="00DF1303" w:rsidRPr="00607097" w:rsidRDefault="00DF1303" w:rsidP="00DF1303">
      <w:r w:rsidRPr="00607097">
        <w:t xml:space="preserve">The ANRDR was established with the purpose of being a central repository for the </w:t>
      </w:r>
      <w:r>
        <w:t xml:space="preserve">long term storage and </w:t>
      </w:r>
      <w:r w:rsidRPr="00607097">
        <w:t xml:space="preserve">maintenance of </w:t>
      </w:r>
      <w:r>
        <w:t>dose records</w:t>
      </w:r>
      <w:r w:rsidRPr="00607097">
        <w:t xml:space="preserve"> allow</w:t>
      </w:r>
      <w:r>
        <w:t>ing</w:t>
      </w:r>
      <w:r w:rsidRPr="00607097">
        <w:t xml:space="preserve"> individuals to obtain their dose records regardless of </w:t>
      </w:r>
      <w:r w:rsidRPr="00607097">
        <w:lastRenderedPageBreak/>
        <w:t>where in Australia they have worked throughout the course of their career, including when an employer has cease</w:t>
      </w:r>
      <w:r>
        <w:t>d</w:t>
      </w:r>
      <w:r w:rsidRPr="00607097">
        <w:t xml:space="preserve"> to operate. As such, the </w:t>
      </w:r>
      <w:r>
        <w:t xml:space="preserve">disclosure </w:t>
      </w:r>
      <w:r w:rsidRPr="00607097">
        <w:t xml:space="preserve">of </w:t>
      </w:r>
      <w:r>
        <w:t>dose records</w:t>
      </w:r>
      <w:r w:rsidRPr="00607097">
        <w:t xml:space="preserve"> to the ANRDR </w:t>
      </w:r>
      <w:r w:rsidR="00D7339D">
        <w:t xml:space="preserve">forms part </w:t>
      </w:r>
      <w:r>
        <w:t xml:space="preserve">of the </w:t>
      </w:r>
      <w:r w:rsidRPr="00607097">
        <w:t xml:space="preserve">primary purpose for which this information was collected </w:t>
      </w:r>
      <w:r>
        <w:t xml:space="preserve">by the employer </w:t>
      </w:r>
      <w:r w:rsidRPr="00607097">
        <w:t xml:space="preserve">and is </w:t>
      </w:r>
      <w:r>
        <w:t xml:space="preserve">also </w:t>
      </w:r>
      <w:r w:rsidRPr="00607097">
        <w:t xml:space="preserve">directly related to ARPANSA’s </w:t>
      </w:r>
      <w:r>
        <w:t>function of</w:t>
      </w:r>
      <w:r w:rsidRPr="00607097">
        <w:t xml:space="preserve"> protecting the health and safety of people and the environment from the harmful effects of radiation. This is achieved by:</w:t>
      </w:r>
    </w:p>
    <w:p w:rsidR="00DF1303" w:rsidRPr="00607097" w:rsidRDefault="004D4826" w:rsidP="004D4826">
      <w:pPr>
        <w:pStyle w:val="ListParagraph"/>
      </w:pPr>
      <w:r>
        <w:t>e</w:t>
      </w:r>
      <w:r w:rsidR="00DF1303" w:rsidRPr="00607097">
        <w:t>nabling workers to access their personal dose histories</w:t>
      </w:r>
    </w:p>
    <w:p w:rsidR="00E406AE" w:rsidRPr="00E406AE" w:rsidRDefault="004D4826" w:rsidP="004D4826">
      <w:pPr>
        <w:pStyle w:val="ListParagraph"/>
      </w:pPr>
      <w:r>
        <w:t>f</w:t>
      </w:r>
      <w:r w:rsidR="00DF1303" w:rsidRPr="00607097">
        <w:t xml:space="preserve">acilitating dose optimisation efforts in the workplace by providing a feedback mechanism to industry in </w:t>
      </w:r>
      <w:r w:rsidR="00285E5E">
        <w:t>the form of dose trend analyses</w:t>
      </w:r>
    </w:p>
    <w:p w:rsidR="00BD65EA" w:rsidRPr="00D73630" w:rsidRDefault="009F12BD" w:rsidP="00753831">
      <w:pPr>
        <w:pStyle w:val="Heading1"/>
      </w:pPr>
      <w:bookmarkStart w:id="13" w:name="_Toc467501496"/>
      <w:bookmarkStart w:id="14" w:name="_Toc469305228"/>
      <w:bookmarkEnd w:id="10"/>
      <w:r w:rsidRPr="00D73630">
        <w:t>ANRDR Personal Information</w:t>
      </w:r>
      <w:bookmarkEnd w:id="13"/>
      <w:bookmarkEnd w:id="14"/>
    </w:p>
    <w:p w:rsidR="00E406AE" w:rsidRPr="00D73630" w:rsidRDefault="00E406AE" w:rsidP="00D73630">
      <w:pPr>
        <w:pStyle w:val="Heading2"/>
        <w:keepLines w:val="0"/>
        <w:spacing w:before="240" w:line="240" w:lineRule="auto"/>
        <w:rPr>
          <w:color w:val="365F91" w:themeColor="accent1" w:themeShade="BF"/>
          <w:sz w:val="28"/>
        </w:rPr>
      </w:pPr>
      <w:bookmarkStart w:id="15" w:name="_Toc465340487"/>
      <w:bookmarkStart w:id="16" w:name="_Toc469305229"/>
      <w:bookmarkStart w:id="17" w:name="_Toc467501497"/>
      <w:r w:rsidRPr="00D73630">
        <w:rPr>
          <w:color w:val="365F91" w:themeColor="accent1" w:themeShade="BF"/>
          <w:sz w:val="28"/>
        </w:rPr>
        <w:t>Information in the ANRDR</w:t>
      </w:r>
      <w:bookmarkEnd w:id="15"/>
      <w:bookmarkEnd w:id="16"/>
    </w:p>
    <w:p w:rsidR="00DF1303" w:rsidRPr="00631B91" w:rsidRDefault="00DF1303" w:rsidP="00DF1303">
      <w:bookmarkStart w:id="18" w:name="OLE_LINK3"/>
      <w:bookmarkStart w:id="19" w:name="OLE_LINK4"/>
      <w:r w:rsidRPr="00607097">
        <w:t xml:space="preserve">The ANRDR </w:t>
      </w:r>
      <w:r>
        <w:t xml:space="preserve">receives </w:t>
      </w:r>
      <w:r w:rsidRPr="00607097">
        <w:t xml:space="preserve">radiation dose </w:t>
      </w:r>
      <w:r>
        <w:t>data</w:t>
      </w:r>
      <w:r w:rsidRPr="00607097">
        <w:t xml:space="preserve">, employer details and some personal information </w:t>
      </w:r>
      <w:r>
        <w:t>of workers which is disclosed by registered</w:t>
      </w:r>
      <w:r w:rsidRPr="00607097">
        <w:t xml:space="preserve"> </w:t>
      </w:r>
      <w:r>
        <w:t>organisations</w:t>
      </w:r>
      <w:r w:rsidRPr="00607097">
        <w:t>.</w:t>
      </w:r>
      <w:r>
        <w:t xml:space="preserve"> Collectively, this information is considered a radiation dose record. Dose records are submitted to the ANRDR on a quarterly basis which are linked in the ANRDR for individuals who have existing records. The ANRDR assigns a government unique identifier for all individuals to assist with linking records and administrative functions. The unique identifier is only used for internal ANRDR purposes.</w:t>
      </w:r>
    </w:p>
    <w:p w:rsidR="00DF1303" w:rsidRPr="00607097" w:rsidRDefault="00DF1303" w:rsidP="00DF1303">
      <w:r w:rsidRPr="00607097">
        <w:t xml:space="preserve">Personal information is </w:t>
      </w:r>
      <w:r>
        <w:t>provided</w:t>
      </w:r>
      <w:r w:rsidRPr="00607097">
        <w:t xml:space="preserve"> to ensure that doses are matched to the correct worker. This personal information includes:</w:t>
      </w:r>
    </w:p>
    <w:p w:rsidR="00DF1303" w:rsidRPr="00607097" w:rsidRDefault="004D4826" w:rsidP="004D4826">
      <w:pPr>
        <w:pStyle w:val="ListParagraph"/>
      </w:pPr>
      <w:r>
        <w:t>f</w:t>
      </w:r>
      <w:r w:rsidR="00DF1303">
        <w:t>ull</w:t>
      </w:r>
      <w:r w:rsidR="00DF1303" w:rsidRPr="00607097">
        <w:t xml:space="preserve"> name</w:t>
      </w:r>
    </w:p>
    <w:p w:rsidR="00DF1303" w:rsidRPr="00607097" w:rsidRDefault="004D4826" w:rsidP="004D4826">
      <w:pPr>
        <w:pStyle w:val="ListParagraph"/>
      </w:pPr>
      <w:r>
        <w:t>d</w:t>
      </w:r>
      <w:r w:rsidR="00DF1303" w:rsidRPr="00607097">
        <w:t>ate of birth</w:t>
      </w:r>
    </w:p>
    <w:p w:rsidR="00DF1303" w:rsidRPr="00607097" w:rsidRDefault="004D4826" w:rsidP="004D4826">
      <w:pPr>
        <w:pStyle w:val="ListParagraph"/>
      </w:pPr>
      <w:r>
        <w:t>g</w:t>
      </w:r>
      <w:r w:rsidR="00DF1303" w:rsidRPr="00607097">
        <w:t>ender</w:t>
      </w:r>
    </w:p>
    <w:p w:rsidR="00E406AE" w:rsidRPr="00E406AE" w:rsidRDefault="004D4826" w:rsidP="004D4826">
      <w:pPr>
        <w:pStyle w:val="ListParagraph"/>
      </w:pPr>
      <w:r w:rsidRPr="004D4826">
        <w:t>e</w:t>
      </w:r>
      <w:r w:rsidR="00DF1303" w:rsidRPr="004D4826">
        <w:t>mployee</w:t>
      </w:r>
      <w:r w:rsidR="00DF1303" w:rsidRPr="00607097">
        <w:t xml:space="preserve"> number</w:t>
      </w:r>
    </w:p>
    <w:p w:rsidR="00E406AE" w:rsidRPr="00D73630" w:rsidRDefault="00E406AE" w:rsidP="00D73630">
      <w:pPr>
        <w:pStyle w:val="Heading2"/>
        <w:keepLines w:val="0"/>
        <w:spacing w:before="240" w:line="240" w:lineRule="auto"/>
        <w:rPr>
          <w:color w:val="365F91" w:themeColor="accent1" w:themeShade="BF"/>
          <w:sz w:val="28"/>
        </w:rPr>
      </w:pPr>
      <w:bookmarkStart w:id="20" w:name="_Toc465340488"/>
      <w:bookmarkStart w:id="21" w:name="_Toc469305230"/>
      <w:bookmarkEnd w:id="18"/>
      <w:bookmarkEnd w:id="19"/>
      <w:r w:rsidRPr="00D73630">
        <w:rPr>
          <w:color w:val="365F91" w:themeColor="accent1" w:themeShade="BF"/>
          <w:sz w:val="28"/>
        </w:rPr>
        <w:lastRenderedPageBreak/>
        <w:t>ANRDR Information Flow</w:t>
      </w:r>
      <w:bookmarkEnd w:id="20"/>
      <w:bookmarkEnd w:id="21"/>
    </w:p>
    <w:p w:rsidR="00E406AE" w:rsidRPr="00E406AE" w:rsidRDefault="00C903FE" w:rsidP="00E406AE">
      <w:r w:rsidRPr="00E406AE">
        <w:rPr>
          <w:noProof/>
          <w:lang w:eastAsia="en-AU"/>
        </w:rPr>
        <mc:AlternateContent>
          <mc:Choice Requires="wps">
            <w:drawing>
              <wp:anchor distT="0" distB="0" distL="114300" distR="114300" simplePos="0" relativeHeight="251663360" behindDoc="0" locked="0" layoutInCell="1" allowOverlap="1" wp14:anchorId="74AF6E7B" wp14:editId="092E6856">
                <wp:simplePos x="0" y="0"/>
                <wp:positionH relativeFrom="column">
                  <wp:posOffset>3852545</wp:posOffset>
                </wp:positionH>
                <wp:positionV relativeFrom="paragraph">
                  <wp:posOffset>702945</wp:posOffset>
                </wp:positionV>
                <wp:extent cx="904875" cy="4000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0050"/>
                        </a:xfrm>
                        <a:prstGeom prst="rect">
                          <a:avLst/>
                        </a:prstGeom>
                        <a:solidFill>
                          <a:srgbClr val="FFFFFF"/>
                        </a:solidFill>
                        <a:ln w="19050">
                          <a:solidFill>
                            <a:srgbClr val="9BBB59">
                              <a:lumMod val="60000"/>
                              <a:lumOff val="40000"/>
                            </a:srgbClr>
                          </a:solidFill>
                          <a:miter lim="800000"/>
                          <a:headEnd/>
                          <a:tailEnd/>
                        </a:ln>
                      </wps:spPr>
                      <wps:txbx>
                        <w:txbxContent>
                          <w:p w:rsidR="00C1795E" w:rsidRPr="00C903FE" w:rsidRDefault="00C1795E" w:rsidP="00C903FE">
                            <w:pPr>
                              <w:spacing w:before="0" w:line="240" w:lineRule="auto"/>
                              <w:rPr>
                                <w:b/>
                                <w:color w:val="365F91" w:themeColor="accent1" w:themeShade="BF"/>
                                <w:sz w:val="20"/>
                                <w:szCs w:val="20"/>
                              </w:rPr>
                            </w:pPr>
                            <w:r w:rsidRPr="00C903FE">
                              <w:rPr>
                                <w:b/>
                                <w:color w:val="365F91" w:themeColor="accent1" w:themeShade="BF"/>
                                <w:sz w:val="20"/>
                                <w:szCs w:val="20"/>
                              </w:rPr>
                              <w:t>Personal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AF6E7B" id="_x0000_t202" coordsize="21600,21600" o:spt="202" path="m,l,21600r21600,l21600,xe">
                <v:stroke joinstyle="miter"/>
                <v:path gradientshapeok="t" o:connecttype="rect"/>
              </v:shapetype>
              <v:shape id="Text Box 5" o:spid="_x0000_s1026" type="#_x0000_t202" style="position:absolute;margin-left:303.35pt;margin-top:55.35pt;width:71.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" strokecolor="#c3d69b" strokeweight="1.5pt">
                <v:textbox>
                  <w:txbxContent>
                    <w:p w:rsidR="00C1795E" w:rsidRPr="00C903FE" w:rsidRDefault="00C1795E" w:rsidP="00C903FE">
                      <w:pPr>
                        <w:spacing w:before="0" w:line="240" w:lineRule="auto"/>
                        <w:rPr>
                          <w:b/>
                          <w:color w:val="365F91" w:themeColor="accent1" w:themeShade="BF"/>
                          <w:sz w:val="20"/>
                          <w:szCs w:val="20"/>
                        </w:rPr>
                      </w:pPr>
                      <w:r w:rsidRPr="00C903FE">
                        <w:rPr>
                          <w:b/>
                          <w:color w:val="365F91" w:themeColor="accent1" w:themeShade="BF"/>
                          <w:sz w:val="20"/>
                          <w:szCs w:val="20"/>
                        </w:rPr>
                        <w:t>Personal Information</w:t>
                      </w:r>
                    </w:p>
                  </w:txbxContent>
                </v:textbox>
              </v:shape>
            </w:pict>
          </mc:Fallback>
        </mc:AlternateContent>
      </w:r>
      <w:r w:rsidR="00E406AE" w:rsidRPr="00E406AE">
        <w:rPr>
          <w:noProof/>
          <w:lang w:eastAsia="en-AU"/>
        </w:rPr>
        <mc:AlternateContent>
          <mc:Choice Requires="wps">
            <w:drawing>
              <wp:anchor distT="0" distB="0" distL="114300" distR="114300" simplePos="0" relativeHeight="251664384" behindDoc="0" locked="0" layoutInCell="1" allowOverlap="1" wp14:anchorId="54656443" wp14:editId="50C440F2">
                <wp:simplePos x="0" y="0"/>
                <wp:positionH relativeFrom="column">
                  <wp:posOffset>1394460</wp:posOffset>
                </wp:positionH>
                <wp:positionV relativeFrom="paragraph">
                  <wp:posOffset>2506345</wp:posOffset>
                </wp:positionV>
                <wp:extent cx="857250" cy="400050"/>
                <wp:effectExtent l="13335" t="10795" r="15240" b="1778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0050"/>
                        </a:xfrm>
                        <a:prstGeom prst="rect">
                          <a:avLst/>
                        </a:prstGeom>
                        <a:solidFill>
                          <a:srgbClr val="FFFFFF"/>
                        </a:solidFill>
                        <a:ln w="19050">
                          <a:solidFill>
                            <a:srgbClr val="9BBB59">
                              <a:lumMod val="60000"/>
                              <a:lumOff val="40000"/>
                            </a:srgbClr>
                          </a:solidFill>
                          <a:miter lim="800000"/>
                          <a:headEnd/>
                          <a:tailEnd/>
                        </a:ln>
                      </wps:spPr>
                      <wps:txbx>
                        <w:txbxContent>
                          <w:p w:rsidR="00C1795E" w:rsidRPr="00C903FE" w:rsidRDefault="00C1795E" w:rsidP="00C903FE">
                            <w:pPr>
                              <w:spacing w:before="0" w:line="240" w:lineRule="auto"/>
                              <w:rPr>
                                <w:b/>
                                <w:color w:val="365F91" w:themeColor="accent1" w:themeShade="BF"/>
                                <w:sz w:val="20"/>
                                <w:szCs w:val="20"/>
                              </w:rPr>
                            </w:pPr>
                            <w:r w:rsidRPr="00C903FE">
                              <w:rPr>
                                <w:b/>
                                <w:color w:val="365F91" w:themeColor="accent1" w:themeShade="BF"/>
                                <w:sz w:val="20"/>
                                <w:szCs w:val="20"/>
                              </w:rPr>
                              <w:t>Personal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56443" id="Text Box 14" o:spid="_x0000_s1027" type="#_x0000_t202" style="position:absolute;margin-left:109.8pt;margin-top:197.35pt;width:6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" strokecolor="#c3d69b" strokeweight="1.5pt">
                <v:textbox>
                  <w:txbxContent>
                    <w:p w:rsidR="00C1795E" w:rsidRPr="00C903FE" w:rsidRDefault="00C1795E" w:rsidP="00C903FE">
                      <w:pPr>
                        <w:spacing w:before="0" w:line="240" w:lineRule="auto"/>
                        <w:rPr>
                          <w:b/>
                          <w:color w:val="365F91" w:themeColor="accent1" w:themeShade="BF"/>
                          <w:sz w:val="20"/>
                          <w:szCs w:val="20"/>
                        </w:rPr>
                      </w:pPr>
                      <w:r w:rsidRPr="00C903FE">
                        <w:rPr>
                          <w:b/>
                          <w:color w:val="365F91" w:themeColor="accent1" w:themeShade="BF"/>
                          <w:sz w:val="20"/>
                          <w:szCs w:val="20"/>
                        </w:rPr>
                        <w:t>Personal Information</w:t>
                      </w:r>
                    </w:p>
                  </w:txbxContent>
                </v:textbox>
              </v:shape>
            </w:pict>
          </mc:Fallback>
        </mc:AlternateContent>
      </w:r>
      <w:r w:rsidR="00E406AE" w:rsidRPr="00E406AE">
        <w:rPr>
          <w:noProof/>
          <w:lang w:eastAsia="en-AU"/>
        </w:rPr>
        <mc:AlternateContent>
          <mc:Choice Requires="wps">
            <w:drawing>
              <wp:anchor distT="0" distB="0" distL="114300" distR="114300" simplePos="0" relativeHeight="251665408" behindDoc="0" locked="0" layoutInCell="1" allowOverlap="1" wp14:anchorId="13FC5F41" wp14:editId="53DF0433">
                <wp:simplePos x="0" y="0"/>
                <wp:positionH relativeFrom="column">
                  <wp:posOffset>3851910</wp:posOffset>
                </wp:positionH>
                <wp:positionV relativeFrom="paragraph">
                  <wp:posOffset>3401695</wp:posOffset>
                </wp:positionV>
                <wp:extent cx="904875" cy="400050"/>
                <wp:effectExtent l="13335" t="10795" r="15240" b="1778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0050"/>
                        </a:xfrm>
                        <a:prstGeom prst="rect">
                          <a:avLst/>
                        </a:prstGeom>
                        <a:solidFill>
                          <a:srgbClr val="FFFFFF"/>
                        </a:solidFill>
                        <a:ln w="19050">
                          <a:solidFill>
                            <a:srgbClr val="9BBB59">
                              <a:lumMod val="60000"/>
                              <a:lumOff val="40000"/>
                            </a:srgbClr>
                          </a:solidFill>
                          <a:miter lim="800000"/>
                          <a:headEnd/>
                          <a:tailEnd/>
                        </a:ln>
                      </wps:spPr>
                      <wps:txbx>
                        <w:txbxContent>
                          <w:p w:rsidR="00C1795E" w:rsidRPr="00C903FE" w:rsidRDefault="00C1795E" w:rsidP="00C903FE">
                            <w:pPr>
                              <w:spacing w:before="0" w:line="240" w:lineRule="auto"/>
                              <w:rPr>
                                <w:b/>
                                <w:color w:val="365F91" w:themeColor="accent1" w:themeShade="BF"/>
                                <w:sz w:val="20"/>
                                <w:szCs w:val="20"/>
                              </w:rPr>
                            </w:pPr>
                            <w:r w:rsidRPr="00C903FE">
                              <w:rPr>
                                <w:b/>
                                <w:color w:val="365F91" w:themeColor="accent1" w:themeShade="BF"/>
                                <w:sz w:val="20"/>
                                <w:szCs w:val="20"/>
                              </w:rPr>
                              <w:t>Not Personal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FC5F41" id="Text Box 15" o:spid="_x0000_s1028" type="#_x0000_t202" style="position:absolute;margin-left:303.3pt;margin-top:267.85pt;width:71.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" strokecolor="#c3d69b" strokeweight="1.5pt">
                <v:textbox>
                  <w:txbxContent>
                    <w:p w:rsidR="00C1795E" w:rsidRPr="00C903FE" w:rsidRDefault="00C1795E" w:rsidP="00C903FE">
                      <w:pPr>
                        <w:spacing w:before="0" w:line="240" w:lineRule="auto"/>
                        <w:rPr>
                          <w:b/>
                          <w:color w:val="365F91" w:themeColor="accent1" w:themeShade="BF"/>
                          <w:sz w:val="20"/>
                          <w:szCs w:val="20"/>
                        </w:rPr>
                      </w:pPr>
                      <w:r w:rsidRPr="00C903FE">
                        <w:rPr>
                          <w:b/>
                          <w:color w:val="365F91" w:themeColor="accent1" w:themeShade="BF"/>
                          <w:sz w:val="20"/>
                          <w:szCs w:val="20"/>
                        </w:rPr>
                        <w:t>Not Personal Information</w:t>
                      </w:r>
                    </w:p>
                  </w:txbxContent>
                </v:textbox>
              </v:shape>
            </w:pict>
          </mc:Fallback>
        </mc:AlternateContent>
      </w:r>
      <w:r w:rsidR="00E406AE" w:rsidRPr="00E406AE">
        <w:rPr>
          <w:noProof/>
          <w:lang w:eastAsia="en-AU"/>
        </w:rPr>
        <w:drawing>
          <wp:inline distT="0" distB="0" distL="0" distR="0" wp14:anchorId="2DB0EC39" wp14:editId="77631C6C">
            <wp:extent cx="5943600" cy="4467860"/>
            <wp:effectExtent l="0" t="0" r="0" b="8890"/>
            <wp:docPr id="7"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Content Placeholder 4"/>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43600" cy="4467860"/>
                    </a:xfrm>
                    <a:prstGeom prst="rect">
                      <a:avLst/>
                    </a:prstGeom>
                  </pic:spPr>
                </pic:pic>
              </a:graphicData>
            </a:graphic>
          </wp:inline>
        </w:drawing>
      </w:r>
    </w:p>
    <w:p w:rsidR="00E406AE" w:rsidRPr="00C903FE" w:rsidRDefault="00E406AE" w:rsidP="00C903FE">
      <w:pPr>
        <w:pStyle w:val="Caption"/>
      </w:pPr>
      <w:r w:rsidRPr="00C903FE">
        <w:t xml:space="preserve">Figure </w:t>
      </w:r>
      <w:fldSimple w:instr=" SEQ Figure \* ARABIC ">
        <w:r w:rsidR="00A03412">
          <w:rPr>
            <w:noProof/>
          </w:rPr>
          <w:t>1</w:t>
        </w:r>
      </w:fldSimple>
      <w:r w:rsidRPr="00C903FE">
        <w:t>: ANRDR Information Flow</w:t>
      </w:r>
    </w:p>
    <w:p w:rsidR="00E406AE" w:rsidRPr="0092673D" w:rsidRDefault="00DF1303" w:rsidP="00E406AE">
      <w:pPr>
        <w:rPr>
          <w:spacing w:val="-2"/>
        </w:rPr>
      </w:pPr>
      <w:r w:rsidRPr="0092673D">
        <w:rPr>
          <w:spacing w:val="-2"/>
        </w:rPr>
        <w:t>Figure 1 shows the information flow required for the operation of the ANRDR. Personal information and dose data is provided to the ANRDR by employers of monitored individuals. This information is available to individual</w:t>
      </w:r>
      <w:r w:rsidR="00983C2B" w:rsidRPr="0092673D">
        <w:rPr>
          <w:spacing w:val="-2"/>
        </w:rPr>
        <w:t>s</w:t>
      </w:r>
      <w:r w:rsidRPr="0092673D">
        <w:rPr>
          <w:spacing w:val="-2"/>
        </w:rPr>
        <w:t xml:space="preserve"> upon request and disclosed to the relevant employer and regulatory authority in the event that an individual exceeds any radiation dose limit set in the Radiation Protection Series No. 1 (RPS 1). Contribution of data to national and international surveys, and other reports produced by the ANRDR, such as audit reports and statistical data analyses, do not contain personal information.</w:t>
      </w:r>
    </w:p>
    <w:p w:rsidR="00E406AE" w:rsidRPr="00D73630" w:rsidRDefault="00E406AE" w:rsidP="00753831">
      <w:pPr>
        <w:pStyle w:val="Heading1"/>
      </w:pPr>
      <w:bookmarkStart w:id="22" w:name="_Toc465340514"/>
      <w:bookmarkStart w:id="23" w:name="_Toc469305231"/>
      <w:bookmarkStart w:id="24" w:name="_Toc467501499"/>
      <w:bookmarkEnd w:id="17"/>
      <w:r w:rsidRPr="00D73630">
        <w:t>Implementing the Disclosure of Dose Records to the ANRDR</w:t>
      </w:r>
      <w:bookmarkEnd w:id="22"/>
      <w:bookmarkEnd w:id="23"/>
    </w:p>
    <w:p w:rsidR="00983C2B" w:rsidRDefault="00983C2B" w:rsidP="00983C2B">
      <w:r w:rsidRPr="00E905B0">
        <w:t xml:space="preserve">The ANRDR team will work with each APP entity to determine the most suitable means of meeting their privacy requirements for the disclosure of dose records to the ANRDR. In all cases, the employer must notify the employees that their </w:t>
      </w:r>
      <w:r>
        <w:t xml:space="preserve">dose </w:t>
      </w:r>
      <w:r w:rsidRPr="00E905B0">
        <w:t xml:space="preserve">data </w:t>
      </w:r>
      <w:r>
        <w:t xml:space="preserve">and some of their personal information </w:t>
      </w:r>
      <w:r w:rsidRPr="00E905B0">
        <w:t>will be provided to the ANRDR. The employer’s privacy policy should be updated to reflect the changes.</w:t>
      </w:r>
    </w:p>
    <w:p w:rsidR="00983C2B" w:rsidRPr="00C903FE" w:rsidRDefault="00983C2B" w:rsidP="00983C2B">
      <w:pPr>
        <w:rPr>
          <w:spacing w:val="-2"/>
        </w:rPr>
      </w:pPr>
      <w:r w:rsidRPr="00C903FE">
        <w:rPr>
          <w:spacing w:val="-2"/>
        </w:rPr>
        <w:lastRenderedPageBreak/>
        <w:t>The ANRDR provides a worker Outreach Program which can be used as a communication tool to assist employers in informing their workers about the implementation of the ANRDR in their workplace and to provide them with the necessary information about the use of their personal information.</w:t>
      </w:r>
    </w:p>
    <w:p w:rsidR="00983C2B" w:rsidRPr="00E905B0" w:rsidRDefault="00983C2B" w:rsidP="00983C2B">
      <w:r w:rsidRPr="00E905B0">
        <w:t xml:space="preserve">The Outreach </w:t>
      </w:r>
      <w:r>
        <w:t>P</w:t>
      </w:r>
      <w:r w:rsidRPr="00E905B0">
        <w:t xml:space="preserve">rogram consists of brochures and posters that can be used as physical or electronic means of communication, and a </w:t>
      </w:r>
      <w:r>
        <w:t xml:space="preserve">customisable </w:t>
      </w:r>
      <w:r w:rsidRPr="00E905B0">
        <w:t>PowerPoint slide is also available to be integrated into induction or radiation safety training presentations. The ANRDR team is available to assist in this process.</w:t>
      </w:r>
    </w:p>
    <w:p w:rsidR="00983C2B" w:rsidRPr="00D419B7" w:rsidRDefault="00983C2B" w:rsidP="00983C2B">
      <w:r w:rsidRPr="00D419B7">
        <w:t xml:space="preserve">APP entities intending to implement the ANRDR would have already established a method for the collection of personal information for the purpose of </w:t>
      </w:r>
      <w:r>
        <w:t>storing and maintaining dose records</w:t>
      </w:r>
      <w:r w:rsidRPr="00D419B7">
        <w:t xml:space="preserve"> and for general human resources (HR) purposes. </w:t>
      </w:r>
      <w:r>
        <w:t xml:space="preserve">The ANRDR team will work with APP entities to establish the storage and maintenance of dose records in the ANRDR as </w:t>
      </w:r>
      <w:r w:rsidR="00D7339D">
        <w:t xml:space="preserve">part </w:t>
      </w:r>
      <w:r>
        <w:t>of the primary purpose of collection.  For example, a clause may be inserted into an organisation’s radiation management plan (RMP) to state that dose records are collected for disclosure to the ANRDR.</w:t>
      </w:r>
    </w:p>
    <w:p w:rsidR="00983C2B" w:rsidRDefault="00983C2B" w:rsidP="00983C2B">
      <w:r w:rsidRPr="00E905B0">
        <w:t>ARPANSA recommends that an APP entity</w:t>
      </w:r>
      <w:r>
        <w:t xml:space="preserve"> </w:t>
      </w:r>
      <w:r w:rsidRPr="00E905B0">
        <w:t xml:space="preserve">planning to </w:t>
      </w:r>
      <w:r>
        <w:t>join</w:t>
      </w:r>
      <w:r w:rsidRPr="00E905B0">
        <w:t xml:space="preserve"> the ANRDR complete </w:t>
      </w:r>
      <w:r>
        <w:t xml:space="preserve">their own privacy impact assessment </w:t>
      </w:r>
      <w:r w:rsidRPr="00E905B0">
        <w:t xml:space="preserve">to </w:t>
      </w:r>
      <w:r>
        <w:t xml:space="preserve">ensure that they meet </w:t>
      </w:r>
      <w:r w:rsidRPr="00E905B0">
        <w:t xml:space="preserve">their obligations in relation to the Privacy Act. It is important to note that </w:t>
      </w:r>
      <w:r>
        <w:t xml:space="preserve">disclosure of dose records to the </w:t>
      </w:r>
      <w:r w:rsidRPr="00E905B0">
        <w:t xml:space="preserve">ANRDR </w:t>
      </w:r>
      <w:r>
        <w:t xml:space="preserve">becomes </w:t>
      </w:r>
      <w:r w:rsidR="00D7339D">
        <w:t xml:space="preserve">part </w:t>
      </w:r>
      <w:r>
        <w:t xml:space="preserve">of the </w:t>
      </w:r>
      <w:r w:rsidRPr="00E905B0">
        <w:t xml:space="preserve">primary purpose for </w:t>
      </w:r>
      <w:r>
        <w:t>which this information is collected</w:t>
      </w:r>
      <w:r w:rsidRPr="00E905B0">
        <w:t xml:space="preserve"> by the employer.</w:t>
      </w:r>
    </w:p>
    <w:p w:rsidR="00E406AE" w:rsidRPr="00E406AE" w:rsidRDefault="00983C2B" w:rsidP="00983C2B">
      <w:r w:rsidRPr="00E905B0">
        <w:t xml:space="preserve">Under APP 6, there are three options by which </w:t>
      </w:r>
      <w:r>
        <w:t xml:space="preserve">dose records </w:t>
      </w:r>
      <w:r w:rsidRPr="00E905B0">
        <w:t xml:space="preserve">may be disclosed to </w:t>
      </w:r>
      <w:r>
        <w:t>the ANRDR</w:t>
      </w:r>
      <w:r w:rsidRPr="00E905B0">
        <w:t>:</w:t>
      </w:r>
    </w:p>
    <w:p w:rsidR="00983C2B" w:rsidRPr="00E905B0" w:rsidRDefault="00983C2B" w:rsidP="00983C2B">
      <w:pPr>
        <w:rPr>
          <w:b/>
        </w:rPr>
      </w:pPr>
      <w:r w:rsidRPr="00E905B0">
        <w:rPr>
          <w:b/>
        </w:rPr>
        <w:t>Without individual consent:</w:t>
      </w:r>
    </w:p>
    <w:p w:rsidR="00983C2B" w:rsidRPr="00E905B0" w:rsidRDefault="00983C2B" w:rsidP="00C903FE">
      <w:r w:rsidRPr="0092673D">
        <w:rPr>
          <w:i/>
        </w:rPr>
        <w:t>1. Reasonable expectation</w:t>
      </w:r>
      <w:r w:rsidRPr="00E905B0">
        <w:t xml:space="preserve"> – The disclosure of personal</w:t>
      </w:r>
      <w:r>
        <w:t xml:space="preserve"> and sensitive</w:t>
      </w:r>
      <w:r w:rsidRPr="00E905B0">
        <w:t xml:space="preserve"> information </w:t>
      </w:r>
      <w:r>
        <w:t xml:space="preserve">for directly-related purposes </w:t>
      </w:r>
      <w:r w:rsidRPr="00E905B0">
        <w:t>is permitted without individual consent,</w:t>
      </w:r>
      <w:r>
        <w:t xml:space="preserve"> provided</w:t>
      </w:r>
      <w:r w:rsidRPr="00E905B0">
        <w:t xml:space="preserve"> that an individual would reasonably expect the information to be disclosed. Disclosure can occur if the following criteria are met:</w:t>
      </w:r>
    </w:p>
    <w:p w:rsidR="00983C2B" w:rsidRPr="00E905B0" w:rsidRDefault="00C903FE" w:rsidP="00C903FE">
      <w:pPr>
        <w:pStyle w:val="ListParagraph"/>
      </w:pPr>
      <w:r>
        <w:t>i</w:t>
      </w:r>
      <w:r w:rsidR="00983C2B" w:rsidRPr="00E905B0">
        <w:t xml:space="preserve">ndividuals </w:t>
      </w:r>
      <w:r w:rsidR="00983C2B">
        <w:t>are</w:t>
      </w:r>
      <w:r w:rsidR="00983C2B" w:rsidRPr="00E905B0">
        <w:t xml:space="preserve"> informed of the disclosure</w:t>
      </w:r>
    </w:p>
    <w:p w:rsidR="00983C2B" w:rsidRPr="00E905B0" w:rsidRDefault="0092673D" w:rsidP="00C903FE">
      <w:pPr>
        <w:pStyle w:val="ListParagraph"/>
      </w:pPr>
      <w:r>
        <w:t>t</w:t>
      </w:r>
      <w:r w:rsidR="00983C2B" w:rsidRPr="00E905B0">
        <w:t xml:space="preserve">he employer’s privacy policy </w:t>
      </w:r>
      <w:r w:rsidR="00983C2B">
        <w:t>reflects the disclosure</w:t>
      </w:r>
    </w:p>
    <w:p w:rsidR="00983C2B" w:rsidRPr="00E905B0" w:rsidRDefault="0092673D" w:rsidP="00C903FE">
      <w:pPr>
        <w:pStyle w:val="ListParagraph"/>
      </w:pPr>
      <w:r>
        <w:t>a</w:t>
      </w:r>
      <w:r w:rsidR="00983C2B" w:rsidRPr="00E905B0">
        <w:t xml:space="preserve"> service level agreement between the ANRDR and the APP entity</w:t>
      </w:r>
      <w:r w:rsidR="00983C2B">
        <w:t xml:space="preserve"> is implemented</w:t>
      </w:r>
      <w:r w:rsidR="00C903FE">
        <w:t>.</w:t>
      </w:r>
    </w:p>
    <w:p w:rsidR="00983C2B" w:rsidRDefault="00983C2B" w:rsidP="00983C2B">
      <w:r>
        <w:t xml:space="preserve">To provide further justification for this approach, the service level agreement puts an APP entity in a position of being a contracted service provider via the provision of dose records to the ANRDR. Section 6A (2) of the </w:t>
      </w:r>
      <w:r w:rsidRPr="007911E7">
        <w:rPr>
          <w:i/>
        </w:rPr>
        <w:t>Privacy Act 1988</w:t>
      </w:r>
      <w:r>
        <w:t xml:space="preserve"> (Cth) notes that there cannot be a breach of an APP for a contracted service provider meeting an obligation under the contract in the event that the obligation is inconsistent with a principle. Note, however, that the operation of the ANRDR and disclosure of dose records by APP entities to the ANRDR is consistent the requirements of the APPs. </w:t>
      </w:r>
    </w:p>
    <w:p w:rsidR="00983C2B" w:rsidRPr="00E905B0" w:rsidRDefault="00983C2B" w:rsidP="00983C2B">
      <w:r w:rsidRPr="00E905B0">
        <w:lastRenderedPageBreak/>
        <w:t xml:space="preserve">The Office of the Australian Information Commissioner (OAIC) provides a </w:t>
      </w:r>
      <w:hyperlink r:id="rId12" w:history="1">
        <w:r w:rsidRPr="0051612D">
          <w:rPr>
            <w:rStyle w:val="Hyperlink"/>
            <w:color w:val="365F91" w:themeColor="accent1" w:themeShade="BF"/>
          </w:rPr>
          <w:t>guide</w:t>
        </w:r>
      </w:hyperlink>
      <w:r w:rsidRPr="0051612D">
        <w:rPr>
          <w:color w:val="365F91" w:themeColor="accent1" w:themeShade="BF"/>
        </w:rPr>
        <w:t xml:space="preserve"> </w:t>
      </w:r>
      <w:r w:rsidRPr="00E905B0">
        <w:t>for each APP</w:t>
      </w:r>
      <w:r>
        <w:t xml:space="preserve"> and the guide for APP 6 discusses the reasonable expectations test. Communication of the disclosure of dose records to the ANRDR as </w:t>
      </w:r>
      <w:r w:rsidR="00565727">
        <w:t xml:space="preserve">part </w:t>
      </w:r>
      <w:r>
        <w:t>of the primary purpose is aligned with the reasonable expectations provided in the guide.</w:t>
      </w:r>
    </w:p>
    <w:p w:rsidR="00983C2B" w:rsidRPr="00E905B0" w:rsidRDefault="00983C2B" w:rsidP="00983C2B">
      <w:r w:rsidRPr="0092673D">
        <w:rPr>
          <w:i/>
        </w:rPr>
        <w:t>2. Legal requirement</w:t>
      </w:r>
      <w:r w:rsidRPr="00E905B0">
        <w:t xml:space="preserve"> – Disclosure to the ANRDR can be achieved if a legal requirement is established. In Queensland and the Northern Territory</w:t>
      </w:r>
      <w:r>
        <w:t>, for example</w:t>
      </w:r>
      <w:r w:rsidRPr="00E905B0">
        <w:t>, the disclosure of dose records to the ANRDR has been made a legal requirement for specific mining operations. In Queensland</w:t>
      </w:r>
      <w:r>
        <w:t>,</w:t>
      </w:r>
      <w:r w:rsidRPr="00E905B0">
        <w:t xml:space="preserve"> the requirement to submit data to the ANRDR has been incorporated into the mandatory mining code, whilst in the Northern Territory this requirement has been imposed through a change in regulations.</w:t>
      </w:r>
    </w:p>
    <w:p w:rsidR="00983C2B" w:rsidRPr="00E905B0" w:rsidRDefault="00983C2B" w:rsidP="00983C2B">
      <w:r w:rsidRPr="00E905B0">
        <w:t xml:space="preserve">Alternatively, a legal requirement can be implemented through a radiation licence condition amendment or an amendment to the radiation management plan (RMP) if there is a legal obligation for an APP entity to abide by all requirements specified in their RMP. This method is currently used by the uranium industry in South Australia. Due to the classification of </w:t>
      </w:r>
      <w:r>
        <w:t xml:space="preserve">dose records as classified </w:t>
      </w:r>
      <w:r w:rsidRPr="00E905B0">
        <w:t xml:space="preserve">information in that </w:t>
      </w:r>
      <w:r>
        <w:t>s</w:t>
      </w:r>
      <w:r w:rsidRPr="00E905B0">
        <w:t>tate, an additional approval from the Minister was required.</w:t>
      </w:r>
    </w:p>
    <w:p w:rsidR="00983C2B" w:rsidRPr="00E905B0" w:rsidRDefault="00983C2B" w:rsidP="00983C2B">
      <w:pPr>
        <w:rPr>
          <w:b/>
        </w:rPr>
      </w:pPr>
      <w:r w:rsidRPr="00E905B0">
        <w:rPr>
          <w:b/>
        </w:rPr>
        <w:t>With individual consent:</w:t>
      </w:r>
    </w:p>
    <w:p w:rsidR="00E406AE" w:rsidRPr="00E406AE" w:rsidRDefault="00983C2B" w:rsidP="00983C2B">
      <w:r w:rsidRPr="0092673D">
        <w:rPr>
          <w:i/>
        </w:rPr>
        <w:t>3. Individual consent</w:t>
      </w:r>
      <w:r w:rsidRPr="00E905B0">
        <w:t xml:space="preserve"> – APP 6 also allows for the disclosure of personal information by individual consent. This option is only recommended as a temporary solution for an APP entity with a small number of monitored workers until a change to their privacy policy </w:t>
      </w:r>
      <w:r>
        <w:t xml:space="preserve">or a legal requirement </w:t>
      </w:r>
      <w:r w:rsidRPr="00E905B0">
        <w:t>can be implemented.</w:t>
      </w:r>
    </w:p>
    <w:p w:rsidR="0057021D" w:rsidRPr="00D73630" w:rsidRDefault="0057021D" w:rsidP="00753831">
      <w:pPr>
        <w:pStyle w:val="Heading1"/>
      </w:pPr>
      <w:bookmarkStart w:id="25" w:name="_Toc467501500"/>
      <w:bookmarkStart w:id="26" w:name="_Toc469305232"/>
      <w:bookmarkEnd w:id="24"/>
      <w:r w:rsidRPr="00D73630">
        <w:t>Privacy Statement</w:t>
      </w:r>
      <w:bookmarkEnd w:id="25"/>
      <w:bookmarkEnd w:id="26"/>
    </w:p>
    <w:p w:rsidR="0057021D" w:rsidRDefault="00A1047F" w:rsidP="0057021D">
      <w:pPr>
        <w:shd w:val="clear" w:color="auto" w:fill="FFFFFF"/>
        <w:outlineLvl w:val="3"/>
        <w:rPr>
          <w:rFonts w:eastAsia="Times New Roman" w:cs="Arial"/>
          <w:b/>
          <w:bCs/>
          <w:lang w:eastAsia="en-AU"/>
        </w:rPr>
      </w:pPr>
      <w:r w:rsidRPr="00A1047F">
        <w:rPr>
          <w:rFonts w:eastAsia="Times New Roman" w:cs="Arial"/>
          <w:b/>
          <w:bCs/>
          <w:lang w:eastAsia="en-AU"/>
        </w:rPr>
        <w:t xml:space="preserve">A copy of your </w:t>
      </w:r>
      <w:r w:rsidR="006808AA">
        <w:rPr>
          <w:rFonts w:eastAsia="Times New Roman" w:cs="Arial"/>
          <w:b/>
          <w:bCs/>
          <w:lang w:eastAsia="en-AU"/>
        </w:rPr>
        <w:t>APP entity</w:t>
      </w:r>
      <w:r w:rsidRPr="00A1047F">
        <w:rPr>
          <w:rFonts w:eastAsia="Times New Roman" w:cs="Arial"/>
          <w:b/>
          <w:bCs/>
          <w:lang w:eastAsia="en-AU"/>
        </w:rPr>
        <w:t xml:space="preserve"> privacy statement or policy should be included </w:t>
      </w:r>
      <w:r w:rsidR="00205189">
        <w:rPr>
          <w:rFonts w:eastAsia="Times New Roman" w:cs="Arial"/>
          <w:b/>
          <w:bCs/>
          <w:lang w:eastAsia="en-AU"/>
        </w:rPr>
        <w:t xml:space="preserve">in this section </w:t>
      </w:r>
      <w:r w:rsidR="00322A98">
        <w:rPr>
          <w:rFonts w:eastAsia="Times New Roman" w:cs="Arial"/>
          <w:b/>
          <w:bCs/>
          <w:lang w:eastAsia="en-AU"/>
        </w:rPr>
        <w:t>as evidence</w:t>
      </w:r>
      <w:r w:rsidRPr="00A1047F">
        <w:rPr>
          <w:rFonts w:eastAsia="Times New Roman" w:cs="Arial"/>
          <w:b/>
          <w:bCs/>
          <w:lang w:eastAsia="en-AU"/>
        </w:rPr>
        <w:t xml:space="preserve"> </w:t>
      </w:r>
      <w:r>
        <w:rPr>
          <w:rFonts w:eastAsia="Times New Roman" w:cs="Arial"/>
          <w:b/>
          <w:bCs/>
          <w:lang w:eastAsia="en-AU"/>
        </w:rPr>
        <w:t xml:space="preserve">that </w:t>
      </w:r>
      <w:r w:rsidR="00055311">
        <w:rPr>
          <w:rFonts w:eastAsia="Times New Roman" w:cs="Arial"/>
          <w:b/>
          <w:bCs/>
          <w:lang w:eastAsia="en-AU"/>
        </w:rPr>
        <w:t xml:space="preserve">it reflects </w:t>
      </w:r>
      <w:r w:rsidR="007051D8">
        <w:rPr>
          <w:rFonts w:eastAsia="Times New Roman" w:cs="Arial"/>
          <w:b/>
          <w:bCs/>
          <w:lang w:eastAsia="en-AU"/>
        </w:rPr>
        <w:t xml:space="preserve">the </w:t>
      </w:r>
      <w:r w:rsidR="00301683">
        <w:rPr>
          <w:rFonts w:eastAsia="Times New Roman" w:cs="Arial"/>
          <w:b/>
          <w:bCs/>
          <w:lang w:eastAsia="en-AU"/>
        </w:rPr>
        <w:t xml:space="preserve">disclosure </w:t>
      </w:r>
      <w:r w:rsidR="007051D8">
        <w:rPr>
          <w:rFonts w:eastAsia="Times New Roman" w:cs="Arial"/>
          <w:b/>
          <w:bCs/>
          <w:lang w:eastAsia="en-AU"/>
        </w:rPr>
        <w:t xml:space="preserve">of personal information </w:t>
      </w:r>
      <w:r w:rsidR="00301683">
        <w:rPr>
          <w:rFonts w:eastAsia="Times New Roman" w:cs="Arial"/>
          <w:b/>
          <w:bCs/>
          <w:lang w:eastAsia="en-AU"/>
        </w:rPr>
        <w:t>to the ANRDR</w:t>
      </w:r>
      <w:r w:rsidRPr="00A1047F">
        <w:rPr>
          <w:rFonts w:eastAsia="Times New Roman" w:cs="Arial"/>
          <w:b/>
          <w:bCs/>
          <w:lang w:eastAsia="en-AU"/>
        </w:rPr>
        <w:t>.</w:t>
      </w:r>
    </w:p>
    <w:p w:rsidR="00A1047F" w:rsidRDefault="00A1047F" w:rsidP="0057021D">
      <w:pPr>
        <w:shd w:val="clear" w:color="auto" w:fill="FFFFFF"/>
        <w:outlineLvl w:val="3"/>
        <w:rPr>
          <w:rFonts w:eastAsia="Times New Roman" w:cs="Arial"/>
          <w:b/>
          <w:bCs/>
          <w:lang w:eastAsia="en-AU"/>
        </w:rPr>
      </w:pPr>
      <w:r>
        <w:rPr>
          <w:rFonts w:eastAsia="Times New Roman" w:cs="Arial"/>
          <w:b/>
          <w:bCs/>
          <w:lang w:eastAsia="en-AU"/>
        </w:rPr>
        <w:t>The ARPANSA privacy policy and ANRDR privacy statements are available at:</w:t>
      </w:r>
    </w:p>
    <w:p w:rsidR="00A1047F" w:rsidRPr="0092673D" w:rsidRDefault="00AA5D4B" w:rsidP="0057021D">
      <w:pPr>
        <w:shd w:val="clear" w:color="auto" w:fill="FFFFFF"/>
        <w:outlineLvl w:val="3"/>
        <w:rPr>
          <w:rFonts w:eastAsia="Times New Roman" w:cs="Arial"/>
          <w:b/>
          <w:bCs/>
          <w:color w:val="365F91" w:themeColor="accent1" w:themeShade="BF"/>
          <w:lang w:eastAsia="en-AU"/>
        </w:rPr>
      </w:pPr>
      <w:hyperlink r:id="rId13" w:history="1">
        <w:r w:rsidR="00A1047F" w:rsidRPr="0092673D">
          <w:rPr>
            <w:rStyle w:val="Hyperlink"/>
            <w:rFonts w:eastAsia="Times New Roman" w:cs="Arial"/>
            <w:b/>
            <w:bCs/>
            <w:color w:val="365F91" w:themeColor="accent1" w:themeShade="BF"/>
            <w:lang w:eastAsia="en-AU"/>
          </w:rPr>
          <w:t>http://www.arpansa.gov.au/AboutUs/privacypolicy.cfm</w:t>
        </w:r>
      </w:hyperlink>
      <w:r w:rsidR="00A1047F" w:rsidRPr="0092673D">
        <w:rPr>
          <w:rFonts w:eastAsia="Times New Roman" w:cs="Arial"/>
          <w:b/>
          <w:bCs/>
          <w:color w:val="365F91" w:themeColor="accent1" w:themeShade="BF"/>
          <w:lang w:eastAsia="en-AU"/>
        </w:rPr>
        <w:t xml:space="preserve"> </w:t>
      </w:r>
    </w:p>
    <w:p w:rsidR="00A1047F" w:rsidRPr="0092673D" w:rsidRDefault="00AA5D4B" w:rsidP="0057021D">
      <w:pPr>
        <w:shd w:val="clear" w:color="auto" w:fill="FFFFFF"/>
        <w:outlineLvl w:val="3"/>
        <w:rPr>
          <w:rFonts w:eastAsia="Times New Roman" w:cs="Arial"/>
          <w:b/>
          <w:bCs/>
          <w:color w:val="365F91" w:themeColor="accent1" w:themeShade="BF"/>
          <w:lang w:eastAsia="en-AU"/>
        </w:rPr>
      </w:pPr>
      <w:hyperlink r:id="rId14" w:history="1">
        <w:r w:rsidR="00390095" w:rsidRPr="0092673D">
          <w:rPr>
            <w:rStyle w:val="Hyperlink"/>
            <w:rFonts w:eastAsia="Times New Roman" w:cs="Arial"/>
            <w:b/>
            <w:bCs/>
            <w:color w:val="365F91" w:themeColor="accent1" w:themeShade="BF"/>
            <w:lang w:eastAsia="en-AU"/>
          </w:rPr>
          <w:t>http://www.arpansa.gov.au/services/ANRDR/PrivacyStatement.cfm</w:t>
        </w:r>
      </w:hyperlink>
      <w:r w:rsidR="00390095" w:rsidRPr="0092673D">
        <w:rPr>
          <w:rFonts w:eastAsia="Times New Roman" w:cs="Arial"/>
          <w:b/>
          <w:bCs/>
          <w:color w:val="365F91" w:themeColor="accent1" w:themeShade="BF"/>
          <w:lang w:eastAsia="en-AU"/>
        </w:rPr>
        <w:t xml:space="preserve"> </w:t>
      </w:r>
    </w:p>
    <w:p w:rsidR="00A1047F" w:rsidRDefault="00A1047F">
      <w:pPr>
        <w:spacing w:before="0" w:after="200"/>
        <w:rPr>
          <w:rFonts w:eastAsiaTheme="majorEastAsia" w:cstheme="majorBidi"/>
          <w:b/>
          <w:bCs/>
          <w:sz w:val="32"/>
          <w:szCs w:val="28"/>
        </w:rPr>
      </w:pPr>
      <w:r>
        <w:br w:type="page"/>
      </w:r>
    </w:p>
    <w:p w:rsidR="006B7037" w:rsidRPr="00D73630" w:rsidRDefault="0060194D" w:rsidP="00753831">
      <w:pPr>
        <w:pStyle w:val="Heading1"/>
      </w:pPr>
      <w:bookmarkStart w:id="27" w:name="_Toc467501501"/>
      <w:bookmarkStart w:id="28" w:name="_Toc469305233"/>
      <w:r w:rsidRPr="00D73630">
        <w:lastRenderedPageBreak/>
        <w:t>Assessment of Compliance with the APPs</w:t>
      </w:r>
      <w:bookmarkEnd w:id="27"/>
      <w:bookmarkEnd w:id="28"/>
    </w:p>
    <w:p w:rsidR="006B7037" w:rsidRPr="00231C65" w:rsidRDefault="00301FFE" w:rsidP="006B7037">
      <w:r w:rsidRPr="00551525">
        <w:t>Th</w:t>
      </w:r>
      <w:r>
        <w:t>is</w:t>
      </w:r>
      <w:r w:rsidRPr="00551525">
        <w:t xml:space="preserve"> </w:t>
      </w:r>
      <w:r w:rsidR="006B7037" w:rsidRPr="00551525">
        <w:t xml:space="preserve">assessment should be </w:t>
      </w:r>
      <w:r w:rsidR="00997B1C" w:rsidRPr="00551525">
        <w:t>completed with reference to the APPs</w:t>
      </w:r>
      <w:r w:rsidR="00322A98" w:rsidRPr="00551525">
        <w:t>.</w:t>
      </w:r>
      <w:r w:rsidR="00997B1C" w:rsidRPr="00551525">
        <w:t xml:space="preserve"> </w:t>
      </w:r>
      <w:r>
        <w:t>G</w:t>
      </w:r>
      <w:r w:rsidR="00997B1C" w:rsidRPr="00231C65">
        <w:t>uid</w:t>
      </w:r>
      <w:r>
        <w:t>ance is</w:t>
      </w:r>
      <w:r w:rsidR="00997B1C" w:rsidRPr="00231C65">
        <w:t xml:space="preserve"> available </w:t>
      </w:r>
      <w:r w:rsidR="00322A98" w:rsidRPr="00231C65">
        <w:t xml:space="preserve">from </w:t>
      </w:r>
      <w:r w:rsidR="00997B1C" w:rsidRPr="00231C65">
        <w:t xml:space="preserve">the Office of </w:t>
      </w:r>
      <w:r w:rsidR="00837600" w:rsidRPr="00231C65">
        <w:t>the Australian I</w:t>
      </w:r>
      <w:r w:rsidR="00CB2491" w:rsidRPr="00231C65">
        <w:t>n</w:t>
      </w:r>
      <w:r w:rsidR="00B4515E" w:rsidRPr="00231C65">
        <w:t>formation Commissioner website</w:t>
      </w:r>
      <w:r w:rsidRPr="00231C65">
        <w:t>:</w:t>
      </w:r>
    </w:p>
    <w:p w:rsidR="00837600" w:rsidRPr="0092673D" w:rsidRDefault="00AA5D4B" w:rsidP="006B7037">
      <w:pPr>
        <w:rPr>
          <w:color w:val="365F91" w:themeColor="accent1" w:themeShade="BF"/>
        </w:rPr>
      </w:pPr>
      <w:hyperlink r:id="rId15" w:history="1">
        <w:r w:rsidR="00837600" w:rsidRPr="0092673D">
          <w:rPr>
            <w:rStyle w:val="Hyperlink"/>
            <w:color w:val="365F91" w:themeColor="accent1" w:themeShade="BF"/>
          </w:rPr>
          <w:t>https://www.oaic.gov.au/individuals/privacy-fact-sheets/general/privacy-fact-sheet-17-australian-privacy-principles</w:t>
        </w:r>
      </w:hyperlink>
      <w:r w:rsidR="00837600" w:rsidRPr="0092673D">
        <w:rPr>
          <w:color w:val="365F91" w:themeColor="accent1" w:themeShade="BF"/>
        </w:rPr>
        <w:t xml:space="preserve"> </w:t>
      </w:r>
    </w:p>
    <w:p w:rsidR="00837600" w:rsidRPr="0092673D" w:rsidRDefault="00AA5D4B" w:rsidP="006B7037">
      <w:pPr>
        <w:rPr>
          <w:color w:val="365F91" w:themeColor="accent1" w:themeShade="BF"/>
        </w:rPr>
      </w:pPr>
      <w:hyperlink r:id="rId16" w:history="1">
        <w:r w:rsidR="00837600" w:rsidRPr="0092673D">
          <w:rPr>
            <w:rStyle w:val="Hyperlink"/>
            <w:color w:val="365F91" w:themeColor="accent1" w:themeShade="BF"/>
          </w:rPr>
          <w:t>https://www.oaic.gov.au/agencies-and-organisations/app-guidelines/</w:t>
        </w:r>
      </w:hyperlink>
      <w:r w:rsidR="00837600" w:rsidRPr="0092673D">
        <w:rPr>
          <w:color w:val="365F91" w:themeColor="accent1" w:themeShade="BF"/>
        </w:rPr>
        <w:t xml:space="preserve"> </w:t>
      </w:r>
    </w:p>
    <w:p w:rsidR="00CB2491" w:rsidRPr="000466B2" w:rsidRDefault="00CB2491" w:rsidP="006B7037">
      <w:r w:rsidRPr="00231C65">
        <w:t xml:space="preserve">Descriptions of any relevant processes, systems or improvement actions should be included in </w:t>
      </w:r>
      <w:r w:rsidR="00231C65">
        <w:t xml:space="preserve">each section. </w:t>
      </w:r>
    </w:p>
    <w:p w:rsidR="008154F2" w:rsidRPr="000466B2" w:rsidRDefault="008154F2" w:rsidP="006B7037">
      <w:r w:rsidRPr="00231C65">
        <w:t xml:space="preserve">Additional questions </w:t>
      </w:r>
      <w:r w:rsidR="00301FFE">
        <w:t>may be added</w:t>
      </w:r>
      <w:r w:rsidRPr="00231C65">
        <w:t xml:space="preserve"> to address any specific sections of the APP</w:t>
      </w:r>
      <w:r w:rsidR="00301FFE">
        <w:t>s</w:t>
      </w:r>
      <w:r w:rsidRPr="00231C65">
        <w:t xml:space="preserve"> that are required</w:t>
      </w:r>
      <w:r w:rsidR="00301FFE">
        <w:t xml:space="preserve"> for your industry or organisation but have not been included in this template</w:t>
      </w:r>
      <w:r w:rsidRPr="000466B2">
        <w:t>.</w:t>
      </w:r>
    </w:p>
    <w:p w:rsidR="00B4515E" w:rsidRPr="000466B2" w:rsidRDefault="00B4515E" w:rsidP="006B7037">
      <w:r w:rsidRPr="000466B2">
        <w:t xml:space="preserve">Information in some tables relating to the ANRDR has been </w:t>
      </w:r>
      <w:r w:rsidR="00301FFE" w:rsidRPr="000466B2">
        <w:t xml:space="preserve">pre-filled </w:t>
      </w:r>
      <w:r w:rsidRPr="000466B2">
        <w:t xml:space="preserve">for </w:t>
      </w:r>
      <w:r w:rsidR="00301FFE" w:rsidRPr="000466B2">
        <w:t>your</w:t>
      </w:r>
      <w:r w:rsidR="00301FFE">
        <w:t xml:space="preserve"> </w:t>
      </w:r>
      <w:r w:rsidRPr="000466B2">
        <w:t>convenience.</w:t>
      </w:r>
    </w:p>
    <w:p w:rsidR="00DC0E49" w:rsidRPr="00D73630" w:rsidRDefault="00DC0E49" w:rsidP="00D73630">
      <w:pPr>
        <w:pStyle w:val="Heading2"/>
        <w:keepLines w:val="0"/>
        <w:spacing w:before="240" w:line="240" w:lineRule="auto"/>
        <w:rPr>
          <w:color w:val="365F91" w:themeColor="accent1" w:themeShade="BF"/>
          <w:sz w:val="28"/>
        </w:rPr>
      </w:pPr>
      <w:bookmarkStart w:id="29" w:name="_Toc467501502"/>
      <w:bookmarkStart w:id="30" w:name="_Toc469305234"/>
      <w:bookmarkStart w:id="31" w:name="_Ref364159385"/>
      <w:r w:rsidRPr="00D73630">
        <w:rPr>
          <w:color w:val="365F91" w:themeColor="accent1" w:themeShade="BF"/>
          <w:sz w:val="28"/>
        </w:rPr>
        <w:t>APP</w:t>
      </w:r>
      <w:r w:rsidR="00735CF6" w:rsidRPr="00D73630">
        <w:rPr>
          <w:color w:val="365F91" w:themeColor="accent1" w:themeShade="BF"/>
          <w:sz w:val="28"/>
        </w:rPr>
        <w:t xml:space="preserve"> </w:t>
      </w:r>
      <w:r w:rsidRPr="00D73630">
        <w:rPr>
          <w:color w:val="365F91" w:themeColor="accent1" w:themeShade="BF"/>
          <w:sz w:val="28"/>
        </w:rPr>
        <w:t>1 Open and Transparent Management of Personal Information</w:t>
      </w:r>
      <w:bookmarkEnd w:id="29"/>
      <w:bookmarkEnd w:id="30"/>
    </w:p>
    <w:p w:rsidR="00B41770" w:rsidRDefault="000B28A3" w:rsidP="00B41770">
      <w:r w:rsidRPr="000466B2">
        <w:t>The object</w:t>
      </w:r>
      <w:r w:rsidR="00055311">
        <w:t>ive</w:t>
      </w:r>
      <w:r w:rsidRPr="000466B2">
        <w:t xml:space="preserve"> of this principle is to ensure that APP entities manage personal information in an open and transparent way.</w:t>
      </w:r>
    </w:p>
    <w:p w:rsidR="0092673D" w:rsidRPr="000466B2" w:rsidRDefault="0092673D" w:rsidP="0092673D">
      <w:pPr>
        <w:spacing w:before="0" w:line="240" w:lineRule="auto"/>
      </w:pPr>
    </w:p>
    <w:tbl>
      <w:tblPr>
        <w:tblStyle w:val="BodyCell"/>
        <w:tblW w:w="9606" w:type="dxa"/>
        <w:tblLayout w:type="fixed"/>
        <w:tblLook w:val="06A0" w:firstRow="1" w:lastRow="0" w:firstColumn="1" w:lastColumn="0" w:noHBand="1" w:noVBand="1"/>
      </w:tblPr>
      <w:tblGrid>
        <w:gridCol w:w="877"/>
        <w:gridCol w:w="6461"/>
        <w:gridCol w:w="567"/>
        <w:gridCol w:w="567"/>
        <w:gridCol w:w="1134"/>
      </w:tblGrid>
      <w:tr w:rsidR="000B28A3" w:rsidRPr="0092673D" w:rsidTr="009267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38" w:type="dxa"/>
            <w:gridSpan w:val="2"/>
            <w:vAlign w:val="center"/>
          </w:tcPr>
          <w:p w:rsidR="000B28A3" w:rsidRPr="00BD5E0F" w:rsidRDefault="00BF455D" w:rsidP="0092673D">
            <w:pPr>
              <w:spacing w:before="120" w:after="120"/>
              <w:rPr>
                <w:rFonts w:asciiTheme="minorHAnsi" w:hAnsiTheme="minorHAnsi"/>
                <w:b/>
              </w:rPr>
            </w:pPr>
            <w:r w:rsidRPr="00BD5E0F">
              <w:rPr>
                <w:rFonts w:asciiTheme="minorHAnsi" w:hAnsiTheme="minorHAnsi"/>
                <w:b/>
              </w:rPr>
              <w:t>Open and Transparent Management of Personal Information</w:t>
            </w:r>
          </w:p>
        </w:tc>
        <w:tc>
          <w:tcPr>
            <w:tcW w:w="567" w:type="dxa"/>
            <w:vAlign w:val="center"/>
          </w:tcPr>
          <w:p w:rsidR="000B28A3" w:rsidRPr="0092673D" w:rsidRDefault="000B28A3" w:rsidP="0092673D">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2673D">
              <w:rPr>
                <w:rFonts w:asciiTheme="minorHAnsi" w:hAnsiTheme="minorHAnsi"/>
                <w:b/>
              </w:rPr>
              <w:t>Y</w:t>
            </w:r>
          </w:p>
        </w:tc>
        <w:tc>
          <w:tcPr>
            <w:tcW w:w="567" w:type="dxa"/>
            <w:vAlign w:val="center"/>
          </w:tcPr>
          <w:p w:rsidR="000B28A3" w:rsidRPr="0092673D" w:rsidRDefault="000B28A3" w:rsidP="0092673D">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2673D">
              <w:rPr>
                <w:rFonts w:asciiTheme="minorHAnsi" w:hAnsiTheme="minorHAnsi"/>
                <w:b/>
              </w:rPr>
              <w:t>N</w:t>
            </w:r>
          </w:p>
        </w:tc>
        <w:tc>
          <w:tcPr>
            <w:tcW w:w="1134" w:type="dxa"/>
            <w:vAlign w:val="center"/>
          </w:tcPr>
          <w:p w:rsidR="000B28A3" w:rsidRPr="0092673D" w:rsidRDefault="000B28A3" w:rsidP="0092673D">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2673D">
              <w:rPr>
                <w:rFonts w:asciiTheme="minorHAnsi" w:hAnsiTheme="minorHAnsi"/>
                <w:b/>
              </w:rPr>
              <w:t>APP</w:t>
            </w:r>
          </w:p>
        </w:tc>
      </w:tr>
      <w:tr w:rsidR="000B28A3" w:rsidRPr="00A77A7D" w:rsidTr="0092673D">
        <w:tc>
          <w:tcPr>
            <w:cnfStyle w:val="001000000000" w:firstRow="0" w:lastRow="0" w:firstColumn="1" w:lastColumn="0" w:oddVBand="0" w:evenVBand="0" w:oddHBand="0" w:evenHBand="0" w:firstRowFirstColumn="0" w:firstRowLastColumn="0" w:lastRowFirstColumn="0" w:lastRowLastColumn="0"/>
            <w:tcW w:w="877" w:type="dxa"/>
            <w:vAlign w:val="center"/>
          </w:tcPr>
          <w:p w:rsidR="000B28A3" w:rsidRPr="00986205" w:rsidRDefault="00986205" w:rsidP="0092673D">
            <w:pPr>
              <w:spacing w:before="40" w:after="40"/>
              <w:jc w:val="center"/>
              <w:rPr>
                <w:rFonts w:asciiTheme="minorHAnsi" w:hAnsiTheme="minorHAnsi"/>
              </w:rPr>
            </w:pPr>
            <w:r>
              <w:rPr>
                <w:rFonts w:asciiTheme="minorHAnsi" w:hAnsiTheme="minorHAnsi"/>
              </w:rPr>
              <w:t>4</w:t>
            </w:r>
            <w:r w:rsidR="00AA6779" w:rsidRPr="00986205">
              <w:rPr>
                <w:rFonts w:asciiTheme="minorHAnsi" w:hAnsiTheme="minorHAnsi"/>
              </w:rPr>
              <w:t>.</w:t>
            </w:r>
            <w:r w:rsidR="000B28A3" w:rsidRPr="00986205">
              <w:rPr>
                <w:rFonts w:asciiTheme="minorHAnsi" w:hAnsiTheme="minorHAnsi"/>
              </w:rPr>
              <w:t>1</w:t>
            </w:r>
            <w:r w:rsidR="00B62DB4" w:rsidRPr="00986205">
              <w:rPr>
                <w:rFonts w:asciiTheme="minorHAnsi" w:hAnsiTheme="minorHAnsi"/>
              </w:rPr>
              <w:t>.1</w:t>
            </w:r>
          </w:p>
        </w:tc>
        <w:tc>
          <w:tcPr>
            <w:tcW w:w="6461" w:type="dxa"/>
            <w:vAlign w:val="center"/>
          </w:tcPr>
          <w:p w:rsidR="000B28A3" w:rsidRPr="00986205" w:rsidRDefault="000B28A3" w:rsidP="0092673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6205">
              <w:rPr>
                <w:rFonts w:asciiTheme="minorHAnsi" w:hAnsiTheme="minorHAnsi"/>
              </w:rPr>
              <w:t xml:space="preserve">The </w:t>
            </w:r>
            <w:r w:rsidR="006808AA">
              <w:rPr>
                <w:rFonts w:asciiTheme="minorHAnsi" w:hAnsiTheme="minorHAnsi"/>
              </w:rPr>
              <w:t>APP entity</w:t>
            </w:r>
            <w:r w:rsidRPr="00986205">
              <w:rPr>
                <w:rFonts w:asciiTheme="minorHAnsi" w:hAnsiTheme="minorHAnsi"/>
              </w:rPr>
              <w:t xml:space="preserve"> has a document </w:t>
            </w:r>
            <w:r w:rsidR="00F07C43">
              <w:rPr>
                <w:rFonts w:asciiTheme="minorHAnsi" w:hAnsiTheme="minorHAnsi"/>
              </w:rPr>
              <w:t xml:space="preserve">freely </w:t>
            </w:r>
            <w:r w:rsidRPr="00986205">
              <w:rPr>
                <w:rFonts w:asciiTheme="minorHAnsi" w:hAnsiTheme="minorHAnsi"/>
              </w:rPr>
              <w:t xml:space="preserve">available for </w:t>
            </w:r>
            <w:r w:rsidR="00231C65">
              <w:rPr>
                <w:rFonts w:asciiTheme="minorHAnsi" w:hAnsiTheme="minorHAnsi"/>
              </w:rPr>
              <w:t xml:space="preserve">workers </w:t>
            </w:r>
            <w:r w:rsidRPr="00986205">
              <w:rPr>
                <w:rFonts w:asciiTheme="minorHAnsi" w:hAnsiTheme="minorHAnsi"/>
              </w:rPr>
              <w:t>that sets out the policies for the management of personal information.</w:t>
            </w:r>
          </w:p>
        </w:tc>
        <w:tc>
          <w:tcPr>
            <w:tcW w:w="567" w:type="dxa"/>
            <w:vAlign w:val="center"/>
          </w:tcPr>
          <w:p w:rsidR="000B28A3" w:rsidRPr="00986205" w:rsidRDefault="000B28A3" w:rsidP="0092673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67" w:type="dxa"/>
            <w:vAlign w:val="center"/>
          </w:tcPr>
          <w:p w:rsidR="000B28A3" w:rsidRPr="00986205" w:rsidRDefault="000B28A3" w:rsidP="0092673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0B28A3" w:rsidRPr="00986205" w:rsidRDefault="000B28A3" w:rsidP="0092673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6205">
              <w:rPr>
                <w:rFonts w:asciiTheme="minorHAnsi" w:hAnsiTheme="minorHAnsi"/>
              </w:rPr>
              <w:t>1.3</w:t>
            </w:r>
            <w:r w:rsidR="00743CB7" w:rsidRPr="00986205">
              <w:rPr>
                <w:rFonts w:asciiTheme="minorHAnsi" w:hAnsiTheme="minorHAnsi"/>
              </w:rPr>
              <w:t xml:space="preserve"> &amp; 1.5</w:t>
            </w:r>
          </w:p>
        </w:tc>
      </w:tr>
      <w:tr w:rsidR="000B28A3" w:rsidRPr="00A77A7D" w:rsidTr="0092673D">
        <w:tc>
          <w:tcPr>
            <w:cnfStyle w:val="001000000000" w:firstRow="0" w:lastRow="0" w:firstColumn="1" w:lastColumn="0" w:oddVBand="0" w:evenVBand="0" w:oddHBand="0" w:evenHBand="0" w:firstRowFirstColumn="0" w:firstRowLastColumn="0" w:lastRowFirstColumn="0" w:lastRowLastColumn="0"/>
            <w:tcW w:w="877" w:type="dxa"/>
            <w:vAlign w:val="center"/>
          </w:tcPr>
          <w:p w:rsidR="000B28A3" w:rsidRPr="00986205" w:rsidRDefault="00986205" w:rsidP="0092673D">
            <w:pPr>
              <w:tabs>
                <w:tab w:val="center" w:pos="876"/>
              </w:tabs>
              <w:spacing w:before="40" w:after="40"/>
              <w:jc w:val="center"/>
              <w:rPr>
                <w:rFonts w:asciiTheme="minorHAnsi" w:hAnsiTheme="minorHAnsi"/>
              </w:rPr>
            </w:pPr>
            <w:r>
              <w:rPr>
                <w:rFonts w:asciiTheme="minorHAnsi" w:hAnsiTheme="minorHAnsi"/>
              </w:rPr>
              <w:t>4</w:t>
            </w:r>
            <w:r w:rsidR="00AA6779" w:rsidRPr="00986205">
              <w:rPr>
                <w:rFonts w:asciiTheme="minorHAnsi" w:hAnsiTheme="minorHAnsi"/>
              </w:rPr>
              <w:t>.</w:t>
            </w:r>
            <w:r w:rsidR="000B28A3" w:rsidRPr="00986205">
              <w:rPr>
                <w:rFonts w:asciiTheme="minorHAnsi" w:hAnsiTheme="minorHAnsi"/>
              </w:rPr>
              <w:t>1</w:t>
            </w:r>
            <w:r w:rsidR="00B62DB4" w:rsidRPr="00986205">
              <w:rPr>
                <w:rFonts w:asciiTheme="minorHAnsi" w:hAnsiTheme="minorHAnsi"/>
              </w:rPr>
              <w:t>.2</w:t>
            </w:r>
          </w:p>
        </w:tc>
        <w:tc>
          <w:tcPr>
            <w:tcW w:w="6461" w:type="dxa"/>
            <w:vAlign w:val="center"/>
          </w:tcPr>
          <w:p w:rsidR="000B28A3" w:rsidRPr="00986205" w:rsidRDefault="000B28A3" w:rsidP="0092673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6205">
              <w:rPr>
                <w:rFonts w:asciiTheme="minorHAnsi" w:hAnsiTheme="minorHAnsi"/>
              </w:rPr>
              <w:t xml:space="preserve">The </w:t>
            </w:r>
            <w:r w:rsidR="006808AA">
              <w:rPr>
                <w:rFonts w:asciiTheme="minorHAnsi" w:hAnsiTheme="minorHAnsi"/>
              </w:rPr>
              <w:t>APP entity</w:t>
            </w:r>
            <w:r w:rsidRPr="00986205">
              <w:rPr>
                <w:rFonts w:asciiTheme="minorHAnsi" w:hAnsiTheme="minorHAnsi"/>
              </w:rPr>
              <w:t xml:space="preserve"> has steps in place to allow an individual to know what personal information it holds about them and for what purposes it collects, uses and discloses it.</w:t>
            </w:r>
            <w:r w:rsidR="0014301C" w:rsidRPr="00986205">
              <w:rPr>
                <w:rFonts w:asciiTheme="minorHAnsi" w:hAnsiTheme="minorHAnsi"/>
              </w:rPr>
              <w:t xml:space="preserve"> This includes information about how they can access their information and </w:t>
            </w:r>
            <w:r w:rsidR="00231C65">
              <w:rPr>
                <w:rFonts w:asciiTheme="minorHAnsi" w:hAnsiTheme="minorHAnsi"/>
              </w:rPr>
              <w:t xml:space="preserve">report potential </w:t>
            </w:r>
            <w:r w:rsidR="0014301C" w:rsidRPr="00986205">
              <w:rPr>
                <w:rFonts w:asciiTheme="minorHAnsi" w:hAnsiTheme="minorHAnsi"/>
              </w:rPr>
              <w:t>breaches</w:t>
            </w:r>
            <w:r w:rsidR="000C0D6C">
              <w:rPr>
                <w:rFonts w:asciiTheme="minorHAnsi" w:hAnsiTheme="minorHAnsi"/>
              </w:rPr>
              <w:t>.</w:t>
            </w:r>
          </w:p>
        </w:tc>
        <w:tc>
          <w:tcPr>
            <w:tcW w:w="567" w:type="dxa"/>
            <w:vAlign w:val="center"/>
          </w:tcPr>
          <w:p w:rsidR="000B28A3" w:rsidRPr="00986205" w:rsidRDefault="000B28A3" w:rsidP="0092673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67" w:type="dxa"/>
            <w:vAlign w:val="center"/>
          </w:tcPr>
          <w:p w:rsidR="000B28A3" w:rsidRPr="00986205" w:rsidRDefault="000B28A3" w:rsidP="0092673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0B28A3" w:rsidRPr="00986205" w:rsidRDefault="00BF455D" w:rsidP="0092673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6205">
              <w:rPr>
                <w:rFonts w:asciiTheme="minorHAnsi" w:hAnsiTheme="minorHAnsi"/>
              </w:rPr>
              <w:t>1.2</w:t>
            </w:r>
            <w:r w:rsidR="00B53EAC" w:rsidRPr="00986205">
              <w:rPr>
                <w:rFonts w:asciiTheme="minorHAnsi" w:hAnsiTheme="minorHAnsi"/>
              </w:rPr>
              <w:t xml:space="preserve"> &amp; 1.4</w:t>
            </w:r>
          </w:p>
        </w:tc>
      </w:tr>
      <w:tr w:rsidR="00743CB7" w:rsidRPr="00A77A7D" w:rsidTr="0092673D">
        <w:tc>
          <w:tcPr>
            <w:cnfStyle w:val="001000000000" w:firstRow="0" w:lastRow="0" w:firstColumn="1" w:lastColumn="0" w:oddVBand="0" w:evenVBand="0" w:oddHBand="0" w:evenHBand="0" w:firstRowFirstColumn="0" w:firstRowLastColumn="0" w:lastRowFirstColumn="0" w:lastRowLastColumn="0"/>
            <w:tcW w:w="877" w:type="dxa"/>
            <w:vAlign w:val="center"/>
          </w:tcPr>
          <w:p w:rsidR="00743CB7" w:rsidRPr="00986205" w:rsidRDefault="00986205" w:rsidP="0092673D">
            <w:pPr>
              <w:tabs>
                <w:tab w:val="center" w:pos="876"/>
              </w:tabs>
              <w:spacing w:before="40" w:after="40"/>
              <w:jc w:val="center"/>
              <w:rPr>
                <w:rFonts w:asciiTheme="minorHAnsi" w:hAnsiTheme="minorHAnsi"/>
              </w:rPr>
            </w:pPr>
            <w:r>
              <w:rPr>
                <w:rFonts w:asciiTheme="minorHAnsi" w:hAnsiTheme="minorHAnsi"/>
              </w:rPr>
              <w:t>4</w:t>
            </w:r>
            <w:r w:rsidR="00AA6779" w:rsidRPr="00986205">
              <w:rPr>
                <w:rFonts w:asciiTheme="minorHAnsi" w:hAnsiTheme="minorHAnsi"/>
              </w:rPr>
              <w:t>.</w:t>
            </w:r>
            <w:r w:rsidR="00B62DB4" w:rsidRPr="00986205">
              <w:rPr>
                <w:rFonts w:asciiTheme="minorHAnsi" w:hAnsiTheme="minorHAnsi"/>
              </w:rPr>
              <w:t>1.3</w:t>
            </w:r>
          </w:p>
        </w:tc>
        <w:tc>
          <w:tcPr>
            <w:tcW w:w="6461" w:type="dxa"/>
            <w:vAlign w:val="center"/>
          </w:tcPr>
          <w:p w:rsidR="00743CB7" w:rsidRPr="00986205" w:rsidRDefault="00743CB7" w:rsidP="0092673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6205">
              <w:rPr>
                <w:rFonts w:asciiTheme="minorHAnsi" w:hAnsiTheme="minorHAnsi"/>
              </w:rPr>
              <w:t xml:space="preserve">The </w:t>
            </w:r>
            <w:r w:rsidR="006808AA">
              <w:rPr>
                <w:rFonts w:asciiTheme="minorHAnsi" w:hAnsiTheme="minorHAnsi"/>
              </w:rPr>
              <w:t>APP entity</w:t>
            </w:r>
            <w:r w:rsidRPr="00986205">
              <w:rPr>
                <w:rFonts w:asciiTheme="minorHAnsi" w:hAnsiTheme="minorHAnsi"/>
              </w:rPr>
              <w:t xml:space="preserve"> has processes in place to deal with inquiries and complaints from individuals about the entity’s compliance with the APP.</w:t>
            </w:r>
          </w:p>
        </w:tc>
        <w:tc>
          <w:tcPr>
            <w:tcW w:w="567" w:type="dxa"/>
            <w:vAlign w:val="center"/>
          </w:tcPr>
          <w:p w:rsidR="00743CB7" w:rsidRPr="00986205" w:rsidRDefault="00743CB7" w:rsidP="0092673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67" w:type="dxa"/>
            <w:vAlign w:val="center"/>
          </w:tcPr>
          <w:p w:rsidR="00743CB7" w:rsidRPr="00986205" w:rsidRDefault="00743CB7" w:rsidP="0092673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743CB7" w:rsidRPr="00986205" w:rsidRDefault="00743CB7" w:rsidP="0092673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6205">
              <w:rPr>
                <w:rFonts w:asciiTheme="minorHAnsi" w:hAnsiTheme="minorHAnsi"/>
              </w:rPr>
              <w:t>1.2</w:t>
            </w:r>
          </w:p>
        </w:tc>
      </w:tr>
      <w:tr w:rsidR="00743CB7" w:rsidRPr="00A77A7D" w:rsidTr="0092673D">
        <w:tc>
          <w:tcPr>
            <w:cnfStyle w:val="001000000000" w:firstRow="0" w:lastRow="0" w:firstColumn="1" w:lastColumn="0" w:oddVBand="0" w:evenVBand="0" w:oddHBand="0" w:evenHBand="0" w:firstRowFirstColumn="0" w:firstRowLastColumn="0" w:lastRowFirstColumn="0" w:lastRowLastColumn="0"/>
            <w:tcW w:w="877" w:type="dxa"/>
            <w:vAlign w:val="center"/>
          </w:tcPr>
          <w:p w:rsidR="00743CB7" w:rsidRPr="00986205" w:rsidRDefault="00986205" w:rsidP="0092673D">
            <w:pPr>
              <w:tabs>
                <w:tab w:val="center" w:pos="876"/>
              </w:tabs>
              <w:spacing w:before="40" w:after="40"/>
              <w:jc w:val="center"/>
              <w:rPr>
                <w:rFonts w:asciiTheme="minorHAnsi" w:hAnsiTheme="minorHAnsi"/>
              </w:rPr>
            </w:pPr>
            <w:r>
              <w:rPr>
                <w:rFonts w:asciiTheme="minorHAnsi" w:hAnsiTheme="minorHAnsi"/>
              </w:rPr>
              <w:t>4</w:t>
            </w:r>
            <w:r w:rsidR="00AA6779" w:rsidRPr="00986205">
              <w:rPr>
                <w:rFonts w:asciiTheme="minorHAnsi" w:hAnsiTheme="minorHAnsi"/>
              </w:rPr>
              <w:t>.</w:t>
            </w:r>
            <w:r w:rsidR="00B62DB4" w:rsidRPr="00986205">
              <w:rPr>
                <w:rFonts w:asciiTheme="minorHAnsi" w:hAnsiTheme="minorHAnsi"/>
              </w:rPr>
              <w:t>1.4</w:t>
            </w:r>
          </w:p>
        </w:tc>
        <w:tc>
          <w:tcPr>
            <w:tcW w:w="6461" w:type="dxa"/>
            <w:vAlign w:val="center"/>
          </w:tcPr>
          <w:p w:rsidR="00743CB7" w:rsidRPr="00986205" w:rsidRDefault="00B53EAC" w:rsidP="0092673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6205">
              <w:rPr>
                <w:rFonts w:asciiTheme="minorHAnsi" w:hAnsiTheme="minorHAnsi"/>
              </w:rPr>
              <w:t xml:space="preserve">The </w:t>
            </w:r>
            <w:r w:rsidR="006808AA">
              <w:rPr>
                <w:rFonts w:asciiTheme="minorHAnsi" w:hAnsiTheme="minorHAnsi"/>
              </w:rPr>
              <w:t>APP entity</w:t>
            </w:r>
            <w:r w:rsidRPr="00986205">
              <w:rPr>
                <w:rFonts w:asciiTheme="minorHAnsi" w:hAnsiTheme="minorHAnsi"/>
              </w:rPr>
              <w:t xml:space="preserve"> has means to provide copies of the privacy policy in</w:t>
            </w:r>
            <w:r w:rsidR="000E4388">
              <w:rPr>
                <w:rFonts w:asciiTheme="minorHAnsi" w:hAnsiTheme="minorHAnsi"/>
              </w:rPr>
              <w:t xml:space="preserve"> various</w:t>
            </w:r>
            <w:r w:rsidRPr="00986205">
              <w:rPr>
                <w:rFonts w:asciiTheme="minorHAnsi" w:hAnsiTheme="minorHAnsi"/>
              </w:rPr>
              <w:t xml:space="preserve"> form</w:t>
            </w:r>
            <w:r w:rsidR="000E4388">
              <w:rPr>
                <w:rFonts w:asciiTheme="minorHAnsi" w:hAnsiTheme="minorHAnsi"/>
              </w:rPr>
              <w:t>at</w:t>
            </w:r>
            <w:r w:rsidRPr="00986205">
              <w:rPr>
                <w:rFonts w:asciiTheme="minorHAnsi" w:hAnsiTheme="minorHAnsi"/>
              </w:rPr>
              <w:t>s</w:t>
            </w:r>
            <w:r w:rsidR="0021045A">
              <w:rPr>
                <w:rFonts w:asciiTheme="minorHAnsi" w:hAnsiTheme="minorHAnsi"/>
              </w:rPr>
              <w:t>.</w:t>
            </w:r>
          </w:p>
        </w:tc>
        <w:tc>
          <w:tcPr>
            <w:tcW w:w="567" w:type="dxa"/>
            <w:vAlign w:val="center"/>
          </w:tcPr>
          <w:p w:rsidR="00743CB7" w:rsidRPr="00986205" w:rsidRDefault="00743CB7" w:rsidP="0092673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67" w:type="dxa"/>
            <w:vAlign w:val="center"/>
          </w:tcPr>
          <w:p w:rsidR="00743CB7" w:rsidRPr="00986205" w:rsidRDefault="00743CB7" w:rsidP="0092673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743CB7" w:rsidRPr="00986205" w:rsidRDefault="00B53EAC" w:rsidP="0092673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6205">
              <w:rPr>
                <w:rFonts w:asciiTheme="minorHAnsi" w:hAnsiTheme="minorHAnsi"/>
              </w:rPr>
              <w:t>1.6</w:t>
            </w:r>
          </w:p>
        </w:tc>
      </w:tr>
      <w:tr w:rsidR="000B28A3" w:rsidRPr="00A77A7D" w:rsidTr="0092673D">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68C3F"/>
            <w:vAlign w:val="center"/>
          </w:tcPr>
          <w:p w:rsidR="000B28A3" w:rsidRPr="00986205" w:rsidRDefault="00B4515E" w:rsidP="0092673D">
            <w:pPr>
              <w:spacing w:before="40" w:after="40"/>
              <w:rPr>
                <w:rFonts w:asciiTheme="minorHAnsi" w:hAnsiTheme="minorHAnsi"/>
                <w:i/>
              </w:rPr>
            </w:pPr>
            <w:r>
              <w:rPr>
                <w:rFonts w:asciiTheme="minorHAnsi" w:hAnsiTheme="minorHAnsi"/>
                <w:i/>
              </w:rPr>
              <w:t>Risk identifier: If you answer NO to any of the above you will need to address the risk appropriately in the Privacy Risk Mitigation Section 6</w:t>
            </w:r>
          </w:p>
        </w:tc>
      </w:tr>
    </w:tbl>
    <w:p w:rsidR="00743CB7" w:rsidRPr="000466B2" w:rsidRDefault="0051064E" w:rsidP="00BF455D">
      <w:pPr>
        <w:rPr>
          <w:rStyle w:val="Hyperlink"/>
          <w:color w:val="auto"/>
          <w:u w:val="none"/>
        </w:rPr>
      </w:pPr>
      <w:r w:rsidRPr="000466B2">
        <w:rPr>
          <w:rStyle w:val="Hyperlink"/>
          <w:color w:val="auto"/>
          <w:u w:val="none"/>
        </w:rPr>
        <w:t xml:space="preserve">An APP entity intending to implement the ANRDR </w:t>
      </w:r>
      <w:r w:rsidR="001504AA">
        <w:rPr>
          <w:rStyle w:val="Hyperlink"/>
          <w:color w:val="auto"/>
          <w:u w:val="none"/>
        </w:rPr>
        <w:t>should ensure that they have a p</w:t>
      </w:r>
      <w:r w:rsidRPr="000466B2">
        <w:rPr>
          <w:rStyle w:val="Hyperlink"/>
          <w:color w:val="auto"/>
          <w:u w:val="none"/>
        </w:rPr>
        <w:t xml:space="preserve">rivacy </w:t>
      </w:r>
      <w:r w:rsidR="001504AA">
        <w:rPr>
          <w:rStyle w:val="Hyperlink"/>
          <w:color w:val="auto"/>
          <w:u w:val="none"/>
        </w:rPr>
        <w:t>p</w:t>
      </w:r>
      <w:r w:rsidRPr="000466B2">
        <w:rPr>
          <w:rStyle w:val="Hyperlink"/>
          <w:color w:val="auto"/>
          <w:u w:val="none"/>
        </w:rPr>
        <w:t>olicy that meets the requirement</w:t>
      </w:r>
      <w:r w:rsidR="00857133" w:rsidRPr="000466B2">
        <w:rPr>
          <w:rStyle w:val="Hyperlink"/>
          <w:color w:val="auto"/>
          <w:u w:val="none"/>
        </w:rPr>
        <w:t>s of the APPs</w:t>
      </w:r>
      <w:r w:rsidR="00917A4E" w:rsidRPr="000466B2">
        <w:rPr>
          <w:rStyle w:val="Hyperlink"/>
          <w:color w:val="auto"/>
          <w:u w:val="none"/>
        </w:rPr>
        <w:t xml:space="preserve"> and any </w:t>
      </w:r>
      <w:r w:rsidR="0021045A">
        <w:rPr>
          <w:rStyle w:val="Hyperlink"/>
          <w:color w:val="auto"/>
          <w:u w:val="none"/>
        </w:rPr>
        <w:t xml:space="preserve">additional </w:t>
      </w:r>
      <w:r w:rsidR="00917A4E" w:rsidRPr="000466B2">
        <w:rPr>
          <w:rStyle w:val="Hyperlink"/>
          <w:color w:val="auto"/>
          <w:u w:val="none"/>
        </w:rPr>
        <w:t>requirements within their jurisdiction</w:t>
      </w:r>
      <w:r w:rsidR="00AA6779" w:rsidRPr="000466B2">
        <w:rPr>
          <w:rStyle w:val="Hyperlink"/>
          <w:color w:val="auto"/>
          <w:u w:val="none"/>
        </w:rPr>
        <w:t>.</w:t>
      </w:r>
    </w:p>
    <w:p w:rsidR="00251288" w:rsidRDefault="00251288">
      <w:pPr>
        <w:spacing w:before="0" w:after="200"/>
        <w:rPr>
          <w:rFonts w:eastAsiaTheme="majorEastAsia" w:cstheme="majorBidi"/>
          <w:b/>
          <w:bCs/>
          <w:sz w:val="24"/>
          <w:szCs w:val="26"/>
        </w:rPr>
      </w:pPr>
      <w:r>
        <w:br w:type="page"/>
      </w:r>
    </w:p>
    <w:p w:rsidR="00F60943" w:rsidRDefault="007A4B2B" w:rsidP="00D73630">
      <w:pPr>
        <w:pStyle w:val="Heading2"/>
        <w:keepLines w:val="0"/>
        <w:spacing w:before="240" w:line="240" w:lineRule="auto"/>
        <w:rPr>
          <w:color w:val="365F91" w:themeColor="accent1" w:themeShade="BF"/>
          <w:sz w:val="28"/>
        </w:rPr>
      </w:pPr>
      <w:bookmarkStart w:id="32" w:name="_Toc467501503"/>
      <w:bookmarkStart w:id="33" w:name="_Toc469305235"/>
      <w:r w:rsidRPr="00D73630">
        <w:rPr>
          <w:color w:val="365F91" w:themeColor="accent1" w:themeShade="BF"/>
          <w:sz w:val="28"/>
        </w:rPr>
        <w:lastRenderedPageBreak/>
        <w:t>APP</w:t>
      </w:r>
      <w:r w:rsidR="00735CF6" w:rsidRPr="00D73630">
        <w:rPr>
          <w:color w:val="365F91" w:themeColor="accent1" w:themeShade="BF"/>
          <w:sz w:val="28"/>
        </w:rPr>
        <w:t xml:space="preserve"> </w:t>
      </w:r>
      <w:r w:rsidRPr="00D73630">
        <w:rPr>
          <w:color w:val="365F91" w:themeColor="accent1" w:themeShade="BF"/>
          <w:sz w:val="28"/>
        </w:rPr>
        <w:t xml:space="preserve">2 </w:t>
      </w:r>
      <w:r w:rsidR="00F60943" w:rsidRPr="00D73630">
        <w:rPr>
          <w:color w:val="365F91" w:themeColor="accent1" w:themeShade="BF"/>
          <w:sz w:val="28"/>
        </w:rPr>
        <w:t>Anonymity and Pseudonymity</w:t>
      </w:r>
      <w:bookmarkEnd w:id="32"/>
      <w:bookmarkEnd w:id="33"/>
    </w:p>
    <w:p w:rsidR="0092673D" w:rsidRDefault="0092673D" w:rsidP="0092673D">
      <w:pPr>
        <w:spacing w:before="0" w:line="240" w:lineRule="auto"/>
      </w:pPr>
    </w:p>
    <w:tbl>
      <w:tblPr>
        <w:tblStyle w:val="BodyCell"/>
        <w:tblW w:w="9464" w:type="dxa"/>
        <w:tblLayout w:type="fixed"/>
        <w:tblLook w:val="06A0" w:firstRow="1" w:lastRow="0" w:firstColumn="1" w:lastColumn="0" w:noHBand="1" w:noVBand="1"/>
      </w:tblPr>
      <w:tblGrid>
        <w:gridCol w:w="877"/>
        <w:gridCol w:w="6035"/>
        <w:gridCol w:w="709"/>
        <w:gridCol w:w="709"/>
        <w:gridCol w:w="1134"/>
      </w:tblGrid>
      <w:tr w:rsidR="0092673D" w:rsidRPr="00A77A7D" w:rsidTr="005F04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rsidR="0092673D" w:rsidRPr="00986205" w:rsidRDefault="0092673D" w:rsidP="00817B29">
            <w:pPr>
              <w:spacing w:before="120" w:after="120"/>
            </w:pPr>
            <w:r w:rsidRPr="00CB697C">
              <w:rPr>
                <w:rFonts w:asciiTheme="minorHAnsi" w:hAnsiTheme="minorHAnsi"/>
                <w:b/>
              </w:rPr>
              <w:t>Anonymity and Pseudonymity</w:t>
            </w:r>
          </w:p>
        </w:tc>
        <w:tc>
          <w:tcPr>
            <w:tcW w:w="709" w:type="dxa"/>
            <w:vAlign w:val="center"/>
          </w:tcPr>
          <w:p w:rsidR="0092673D" w:rsidRPr="00CB697C" w:rsidRDefault="0092673D" w:rsidP="005F04A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CB697C">
              <w:rPr>
                <w:rFonts w:asciiTheme="minorHAnsi" w:hAnsiTheme="minorHAnsi"/>
                <w:b/>
              </w:rPr>
              <w:t>Y</w:t>
            </w:r>
          </w:p>
        </w:tc>
        <w:tc>
          <w:tcPr>
            <w:tcW w:w="709" w:type="dxa"/>
            <w:vAlign w:val="center"/>
          </w:tcPr>
          <w:p w:rsidR="0092673D" w:rsidRPr="00CB697C" w:rsidRDefault="0092673D" w:rsidP="005F04A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CB697C">
              <w:rPr>
                <w:rFonts w:asciiTheme="minorHAnsi" w:hAnsiTheme="minorHAnsi"/>
                <w:b/>
              </w:rPr>
              <w:t>N</w:t>
            </w:r>
          </w:p>
        </w:tc>
        <w:tc>
          <w:tcPr>
            <w:tcW w:w="1134" w:type="dxa"/>
            <w:vAlign w:val="center"/>
          </w:tcPr>
          <w:p w:rsidR="0092673D" w:rsidRPr="00CB697C" w:rsidRDefault="0092673D" w:rsidP="005F04A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CB697C">
              <w:rPr>
                <w:rFonts w:asciiTheme="minorHAnsi" w:hAnsiTheme="minorHAnsi"/>
                <w:b/>
              </w:rPr>
              <w:t>APP</w:t>
            </w:r>
          </w:p>
        </w:tc>
      </w:tr>
      <w:tr w:rsidR="005F04AF" w:rsidRPr="00A77A7D" w:rsidTr="00735D70">
        <w:tc>
          <w:tcPr>
            <w:cnfStyle w:val="001000000000" w:firstRow="0" w:lastRow="0" w:firstColumn="1" w:lastColumn="0" w:oddVBand="0" w:evenVBand="0" w:oddHBand="0" w:evenHBand="0" w:firstRowFirstColumn="0" w:firstRowLastColumn="0" w:lastRowFirstColumn="0" w:lastRowLastColumn="0"/>
            <w:tcW w:w="877" w:type="dxa"/>
            <w:vAlign w:val="center"/>
          </w:tcPr>
          <w:p w:rsidR="005F04AF" w:rsidRPr="00CB697C" w:rsidRDefault="005F04AF" w:rsidP="00735D70">
            <w:pPr>
              <w:spacing w:before="80" w:after="80"/>
              <w:jc w:val="center"/>
              <w:rPr>
                <w:rFonts w:asciiTheme="minorHAnsi" w:hAnsiTheme="minorHAnsi"/>
              </w:rPr>
            </w:pPr>
            <w:r w:rsidRPr="00CB697C">
              <w:rPr>
                <w:rFonts w:asciiTheme="minorHAnsi" w:hAnsiTheme="minorHAnsi"/>
              </w:rPr>
              <w:t>4.2.1</w:t>
            </w:r>
          </w:p>
        </w:tc>
        <w:tc>
          <w:tcPr>
            <w:tcW w:w="6035" w:type="dxa"/>
            <w:vAlign w:val="center"/>
          </w:tcPr>
          <w:p w:rsidR="005F04AF" w:rsidRPr="00986205" w:rsidRDefault="005F04AF" w:rsidP="00735D70">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i</w:t>
            </w:r>
            <w:r w:rsidRPr="00986205">
              <w:rPr>
                <w:rFonts w:asciiTheme="minorHAnsi" w:hAnsiTheme="minorHAnsi"/>
              </w:rPr>
              <w:t>ndividuals have the option to not identify themselves, or use a pseud</w:t>
            </w:r>
            <w:r>
              <w:rPr>
                <w:rFonts w:asciiTheme="minorHAnsi" w:hAnsiTheme="minorHAnsi"/>
              </w:rPr>
              <w:t>onym when dealing with the APP entity relating to information about the ANRDR?</w:t>
            </w:r>
          </w:p>
        </w:tc>
        <w:tc>
          <w:tcPr>
            <w:tcW w:w="709" w:type="dxa"/>
            <w:vAlign w:val="center"/>
          </w:tcPr>
          <w:p w:rsidR="005F04AF" w:rsidRPr="00986205" w:rsidRDefault="005F04AF" w:rsidP="00735D70">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5F04AF" w:rsidRPr="00986205" w:rsidRDefault="005F04AF" w:rsidP="00735D70">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5F04AF" w:rsidRPr="00986205" w:rsidRDefault="005F04AF" w:rsidP="00735D70">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6205">
              <w:rPr>
                <w:rFonts w:asciiTheme="minorHAnsi" w:hAnsiTheme="minorHAnsi"/>
              </w:rPr>
              <w:t>2.1</w:t>
            </w:r>
          </w:p>
        </w:tc>
      </w:tr>
      <w:tr w:rsidR="005F04AF" w:rsidRPr="00A77A7D" w:rsidTr="00735D70">
        <w:tc>
          <w:tcPr>
            <w:cnfStyle w:val="001000000000" w:firstRow="0" w:lastRow="0" w:firstColumn="1" w:lastColumn="0" w:oddVBand="0" w:evenVBand="0" w:oddHBand="0" w:evenHBand="0" w:firstRowFirstColumn="0" w:firstRowLastColumn="0" w:lastRowFirstColumn="0" w:lastRowLastColumn="0"/>
            <w:tcW w:w="877" w:type="dxa"/>
            <w:vAlign w:val="center"/>
          </w:tcPr>
          <w:p w:rsidR="005F04AF" w:rsidRPr="00CB697C" w:rsidRDefault="005F04AF" w:rsidP="00735D70">
            <w:pPr>
              <w:spacing w:before="80" w:after="80"/>
              <w:jc w:val="center"/>
              <w:rPr>
                <w:rFonts w:asciiTheme="minorHAnsi" w:hAnsiTheme="minorHAnsi"/>
              </w:rPr>
            </w:pPr>
            <w:r w:rsidRPr="00CB697C">
              <w:rPr>
                <w:rFonts w:asciiTheme="minorHAnsi" w:hAnsiTheme="minorHAnsi"/>
              </w:rPr>
              <w:t>4.2.2</w:t>
            </w:r>
          </w:p>
        </w:tc>
        <w:tc>
          <w:tcPr>
            <w:tcW w:w="6035" w:type="dxa"/>
            <w:vAlign w:val="center"/>
          </w:tcPr>
          <w:p w:rsidR="005F04AF" w:rsidRPr="00986205" w:rsidRDefault="005F04AF" w:rsidP="00735D70">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6205">
              <w:rPr>
                <w:rFonts w:asciiTheme="minorHAnsi" w:hAnsiTheme="minorHAnsi"/>
              </w:rPr>
              <w:t xml:space="preserve">Is the </w:t>
            </w:r>
            <w:r>
              <w:rPr>
                <w:rFonts w:asciiTheme="minorHAnsi" w:hAnsiTheme="minorHAnsi"/>
              </w:rPr>
              <w:t>APP entity</w:t>
            </w:r>
            <w:r w:rsidRPr="00986205">
              <w:rPr>
                <w:rFonts w:asciiTheme="minorHAnsi" w:hAnsiTheme="minorHAnsi"/>
              </w:rPr>
              <w:t xml:space="preserve"> required by law to only deal with individuals who have identified themselves?</w:t>
            </w:r>
          </w:p>
        </w:tc>
        <w:tc>
          <w:tcPr>
            <w:tcW w:w="709" w:type="dxa"/>
            <w:vAlign w:val="center"/>
          </w:tcPr>
          <w:p w:rsidR="005F04AF" w:rsidRPr="00986205" w:rsidRDefault="005F04AF" w:rsidP="00735D70">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5F04AF" w:rsidRPr="00986205" w:rsidRDefault="005F04AF" w:rsidP="00735D70">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5F04AF" w:rsidRPr="00986205" w:rsidRDefault="005F04AF" w:rsidP="00735D70">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6205">
              <w:rPr>
                <w:rFonts w:asciiTheme="minorHAnsi" w:hAnsiTheme="minorHAnsi"/>
              </w:rPr>
              <w:t>2.2</w:t>
            </w:r>
          </w:p>
        </w:tc>
      </w:tr>
      <w:tr w:rsidR="005F04AF" w:rsidRPr="00A77A7D" w:rsidTr="00735D70">
        <w:tc>
          <w:tcPr>
            <w:cnfStyle w:val="001000000000" w:firstRow="0" w:lastRow="0" w:firstColumn="1" w:lastColumn="0" w:oddVBand="0" w:evenVBand="0" w:oddHBand="0" w:evenHBand="0" w:firstRowFirstColumn="0" w:firstRowLastColumn="0" w:lastRowFirstColumn="0" w:lastRowLastColumn="0"/>
            <w:tcW w:w="877" w:type="dxa"/>
            <w:vAlign w:val="center"/>
          </w:tcPr>
          <w:p w:rsidR="005F04AF" w:rsidRPr="00CB697C" w:rsidRDefault="005F04AF" w:rsidP="00735D70">
            <w:pPr>
              <w:spacing w:before="80" w:after="80"/>
              <w:jc w:val="center"/>
              <w:rPr>
                <w:rFonts w:asciiTheme="minorHAnsi" w:hAnsiTheme="minorHAnsi"/>
              </w:rPr>
            </w:pPr>
            <w:r w:rsidRPr="00CB697C">
              <w:rPr>
                <w:rFonts w:asciiTheme="minorHAnsi" w:hAnsiTheme="minorHAnsi"/>
              </w:rPr>
              <w:t>4.2.3</w:t>
            </w:r>
          </w:p>
        </w:tc>
        <w:tc>
          <w:tcPr>
            <w:tcW w:w="6035" w:type="dxa"/>
            <w:vAlign w:val="center"/>
          </w:tcPr>
          <w:p w:rsidR="005F04AF" w:rsidRPr="00986205" w:rsidRDefault="005F04AF" w:rsidP="00735D70">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6205">
              <w:rPr>
                <w:rFonts w:asciiTheme="minorHAnsi" w:hAnsiTheme="minorHAnsi"/>
              </w:rPr>
              <w:t>Is it p</w:t>
            </w:r>
            <w:r>
              <w:rPr>
                <w:rFonts w:asciiTheme="minorHAnsi" w:hAnsiTheme="minorHAnsi"/>
              </w:rPr>
              <w:t>ractical for the APP entity</w:t>
            </w:r>
            <w:r w:rsidRPr="00986205">
              <w:rPr>
                <w:rFonts w:asciiTheme="minorHAnsi" w:hAnsiTheme="minorHAnsi"/>
              </w:rPr>
              <w:t xml:space="preserve"> to deal with individuals who have not identified themselves?</w:t>
            </w:r>
          </w:p>
        </w:tc>
        <w:tc>
          <w:tcPr>
            <w:tcW w:w="709" w:type="dxa"/>
            <w:vAlign w:val="center"/>
          </w:tcPr>
          <w:p w:rsidR="005F04AF" w:rsidRPr="00986205" w:rsidRDefault="005F04AF" w:rsidP="00735D70">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5F04AF" w:rsidRPr="00986205" w:rsidRDefault="005F04AF" w:rsidP="00735D70">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5F04AF" w:rsidRPr="00986205" w:rsidRDefault="005F04AF" w:rsidP="00735D70">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6205">
              <w:rPr>
                <w:rFonts w:asciiTheme="minorHAnsi" w:hAnsiTheme="minorHAnsi"/>
              </w:rPr>
              <w:t>2.2</w:t>
            </w:r>
          </w:p>
        </w:tc>
      </w:tr>
      <w:tr w:rsidR="0092673D" w:rsidRPr="00A77A7D" w:rsidTr="00817B29">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F68C3F"/>
          </w:tcPr>
          <w:p w:rsidR="0092673D" w:rsidRPr="00986205" w:rsidRDefault="005F04AF" w:rsidP="00735D70">
            <w:pPr>
              <w:spacing w:before="40" w:after="40"/>
            </w:pPr>
            <w:r>
              <w:rPr>
                <w:rFonts w:asciiTheme="minorHAnsi" w:hAnsiTheme="minorHAnsi"/>
                <w:i/>
              </w:rPr>
              <w:t>If you answer NO to 4.2.1 then either 4.2.2 or 4.2.3 must be answered as a YES for risk mitigation.</w:t>
            </w:r>
          </w:p>
        </w:tc>
      </w:tr>
    </w:tbl>
    <w:p w:rsidR="00CB384C" w:rsidRPr="00735D70" w:rsidRDefault="00570690" w:rsidP="00F60943">
      <w:pPr>
        <w:rPr>
          <w:spacing w:val="-2"/>
        </w:rPr>
      </w:pPr>
      <w:r w:rsidRPr="00735D70">
        <w:rPr>
          <w:spacing w:val="-2"/>
        </w:rPr>
        <w:t>I</w:t>
      </w:r>
      <w:r w:rsidR="00CC3FC2" w:rsidRPr="00735D70">
        <w:rPr>
          <w:spacing w:val="-2"/>
        </w:rPr>
        <w:t>ndividuals may seek information regarding systems and process</w:t>
      </w:r>
      <w:r w:rsidR="0021045A" w:rsidRPr="00735D70">
        <w:rPr>
          <w:spacing w:val="-2"/>
        </w:rPr>
        <w:t>es</w:t>
      </w:r>
      <w:r w:rsidR="00CC3FC2" w:rsidRPr="00735D70">
        <w:rPr>
          <w:spacing w:val="-2"/>
        </w:rPr>
        <w:t xml:space="preserve"> anonymously</w:t>
      </w:r>
      <w:r w:rsidR="006C7383" w:rsidRPr="00735D70">
        <w:rPr>
          <w:spacing w:val="-2"/>
        </w:rPr>
        <w:t>.</w:t>
      </w:r>
      <w:r w:rsidR="00CC3FC2" w:rsidRPr="00735D70">
        <w:rPr>
          <w:spacing w:val="-2"/>
        </w:rPr>
        <w:t xml:space="preserve"> It is not practical for </w:t>
      </w:r>
      <w:r w:rsidR="00B4515E" w:rsidRPr="00735D70">
        <w:rPr>
          <w:spacing w:val="-2"/>
        </w:rPr>
        <w:t>a</w:t>
      </w:r>
      <w:r w:rsidR="00CC3FC2" w:rsidRPr="00735D70">
        <w:rPr>
          <w:spacing w:val="-2"/>
        </w:rPr>
        <w:t xml:space="preserve">n APP entity to deal with individuals </w:t>
      </w:r>
      <w:r w:rsidR="00B4515E" w:rsidRPr="00735D70">
        <w:rPr>
          <w:spacing w:val="-2"/>
        </w:rPr>
        <w:t xml:space="preserve">for </w:t>
      </w:r>
      <w:r w:rsidR="00CC3FC2" w:rsidRPr="00735D70">
        <w:rPr>
          <w:spacing w:val="-2"/>
        </w:rPr>
        <w:t xml:space="preserve">employment </w:t>
      </w:r>
      <w:r w:rsidR="00B4515E" w:rsidRPr="00735D70">
        <w:rPr>
          <w:spacing w:val="-2"/>
        </w:rPr>
        <w:t>purposes w</w:t>
      </w:r>
      <w:r w:rsidR="00CC3FC2" w:rsidRPr="00735D70">
        <w:rPr>
          <w:spacing w:val="-2"/>
        </w:rPr>
        <w:t>ithout knowing personal details.</w:t>
      </w:r>
    </w:p>
    <w:p w:rsidR="00CB651B" w:rsidRPr="00D73630" w:rsidRDefault="00735CF6" w:rsidP="00D73630">
      <w:pPr>
        <w:pStyle w:val="Heading2"/>
        <w:keepLines w:val="0"/>
        <w:spacing w:before="240" w:line="240" w:lineRule="auto"/>
        <w:rPr>
          <w:color w:val="365F91" w:themeColor="accent1" w:themeShade="BF"/>
          <w:sz w:val="28"/>
        </w:rPr>
      </w:pPr>
      <w:bookmarkStart w:id="34" w:name="_Toc467501504"/>
      <w:bookmarkStart w:id="35" w:name="_Toc469305236"/>
      <w:r w:rsidRPr="00D73630">
        <w:rPr>
          <w:color w:val="365F91" w:themeColor="accent1" w:themeShade="BF"/>
          <w:sz w:val="28"/>
        </w:rPr>
        <w:t xml:space="preserve">APP 3 </w:t>
      </w:r>
      <w:r w:rsidR="00374A15" w:rsidRPr="00D73630">
        <w:rPr>
          <w:color w:val="365F91" w:themeColor="accent1" w:themeShade="BF"/>
          <w:sz w:val="28"/>
        </w:rPr>
        <w:t>Collection of Solicited Personal Information</w:t>
      </w:r>
      <w:bookmarkEnd w:id="34"/>
      <w:bookmarkEnd w:id="35"/>
    </w:p>
    <w:p w:rsidR="002A0CAA" w:rsidRDefault="002A0CAA" w:rsidP="002A0CAA">
      <w:r w:rsidRPr="00251288">
        <w:t>Th</w:t>
      </w:r>
      <w:r w:rsidR="008E6819">
        <w:t>is</w:t>
      </w:r>
      <w:r w:rsidRPr="00251288">
        <w:t xml:space="preserve"> section applies to the collection of information as solicited by the </w:t>
      </w:r>
      <w:r w:rsidR="006808AA" w:rsidRPr="00251288">
        <w:t>APP entity</w:t>
      </w:r>
      <w:r w:rsidR="00570690" w:rsidRPr="00251288">
        <w:t xml:space="preserve"> from another entity</w:t>
      </w:r>
      <w:r w:rsidR="005B076B">
        <w:t xml:space="preserve"> or individual</w:t>
      </w:r>
      <w:r w:rsidR="00742082" w:rsidRPr="00251288">
        <w:t>.</w:t>
      </w:r>
      <w:r w:rsidR="00563187">
        <w:t xml:space="preserve"> Solicited personal information relates to any personal information received by the APP entity that is requested by the APP entity and is required for their dose record management system.</w:t>
      </w:r>
    </w:p>
    <w:p w:rsidR="005F04AF" w:rsidRPr="00251288" w:rsidRDefault="005F04AF" w:rsidP="005F04AF">
      <w:pPr>
        <w:spacing w:before="0" w:line="240" w:lineRule="auto"/>
      </w:pPr>
    </w:p>
    <w:tbl>
      <w:tblPr>
        <w:tblStyle w:val="BodyCell"/>
        <w:tblW w:w="9464" w:type="dxa"/>
        <w:tblLayout w:type="fixed"/>
        <w:tblLook w:val="06A0" w:firstRow="1" w:lastRow="0" w:firstColumn="1" w:lastColumn="0" w:noHBand="1" w:noVBand="1"/>
      </w:tblPr>
      <w:tblGrid>
        <w:gridCol w:w="877"/>
        <w:gridCol w:w="6035"/>
        <w:gridCol w:w="709"/>
        <w:gridCol w:w="709"/>
        <w:gridCol w:w="1134"/>
      </w:tblGrid>
      <w:tr w:rsidR="00FB221C" w:rsidRPr="005F04AF" w:rsidTr="005F04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vAlign w:val="center"/>
          </w:tcPr>
          <w:p w:rsidR="00FB221C" w:rsidRPr="005F04AF" w:rsidRDefault="00FB221C" w:rsidP="005F04AF">
            <w:pPr>
              <w:spacing w:before="120" w:after="120"/>
              <w:rPr>
                <w:rFonts w:asciiTheme="minorHAnsi" w:hAnsiTheme="minorHAnsi"/>
                <w:b/>
              </w:rPr>
            </w:pPr>
            <w:r w:rsidRPr="005F04AF">
              <w:rPr>
                <w:rFonts w:asciiTheme="minorHAnsi" w:hAnsiTheme="minorHAnsi"/>
                <w:b/>
              </w:rPr>
              <w:t>Collection of Solicited Personal Information</w:t>
            </w:r>
          </w:p>
        </w:tc>
        <w:tc>
          <w:tcPr>
            <w:tcW w:w="709" w:type="dxa"/>
            <w:vAlign w:val="center"/>
          </w:tcPr>
          <w:p w:rsidR="00FB221C" w:rsidRPr="005F04AF" w:rsidRDefault="00FB221C" w:rsidP="005F04A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F04AF">
              <w:rPr>
                <w:rFonts w:asciiTheme="minorHAnsi" w:hAnsiTheme="minorHAnsi"/>
                <w:b/>
              </w:rPr>
              <w:t>Y</w:t>
            </w:r>
          </w:p>
        </w:tc>
        <w:tc>
          <w:tcPr>
            <w:tcW w:w="709" w:type="dxa"/>
            <w:vAlign w:val="center"/>
          </w:tcPr>
          <w:p w:rsidR="00FB221C" w:rsidRPr="005F04AF" w:rsidRDefault="00FB221C" w:rsidP="005F04A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F04AF">
              <w:rPr>
                <w:rFonts w:asciiTheme="minorHAnsi" w:hAnsiTheme="minorHAnsi"/>
                <w:b/>
              </w:rPr>
              <w:t>N</w:t>
            </w:r>
          </w:p>
        </w:tc>
        <w:tc>
          <w:tcPr>
            <w:tcW w:w="1134" w:type="dxa"/>
            <w:vAlign w:val="center"/>
          </w:tcPr>
          <w:p w:rsidR="00FB221C" w:rsidRPr="005F04AF" w:rsidRDefault="00FB221C" w:rsidP="005F04A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F04AF">
              <w:rPr>
                <w:rFonts w:asciiTheme="minorHAnsi" w:hAnsiTheme="minorHAnsi"/>
                <w:b/>
              </w:rPr>
              <w:t>APP</w:t>
            </w:r>
          </w:p>
        </w:tc>
      </w:tr>
      <w:tr w:rsidR="00F43766" w:rsidRPr="005F04AF" w:rsidTr="005F04AF">
        <w:tc>
          <w:tcPr>
            <w:cnfStyle w:val="001000000000" w:firstRow="0" w:lastRow="0" w:firstColumn="1" w:lastColumn="0" w:oddVBand="0" w:evenVBand="0" w:oddHBand="0" w:evenHBand="0" w:firstRowFirstColumn="0" w:firstRowLastColumn="0" w:lastRowFirstColumn="0" w:lastRowLastColumn="0"/>
            <w:tcW w:w="877" w:type="dxa"/>
            <w:tcBorders>
              <w:bottom w:val="single" w:sz="8" w:space="0" w:color="FFFFFF" w:themeColor="background1"/>
            </w:tcBorders>
            <w:vAlign w:val="center"/>
          </w:tcPr>
          <w:p w:rsidR="00F43766" w:rsidRPr="005F04AF" w:rsidRDefault="00F43766" w:rsidP="005F04AF">
            <w:pPr>
              <w:spacing w:before="40" w:after="40"/>
              <w:jc w:val="center"/>
              <w:rPr>
                <w:rFonts w:asciiTheme="minorHAnsi" w:hAnsiTheme="minorHAnsi"/>
              </w:rPr>
            </w:pPr>
            <w:r w:rsidRPr="005F04AF">
              <w:rPr>
                <w:rFonts w:asciiTheme="minorHAnsi" w:hAnsiTheme="minorHAnsi"/>
              </w:rPr>
              <w:t>4.3.1</w:t>
            </w:r>
          </w:p>
        </w:tc>
        <w:tc>
          <w:tcPr>
            <w:tcW w:w="6035" w:type="dxa"/>
            <w:tcBorders>
              <w:bottom w:val="single" w:sz="8" w:space="0" w:color="FFFFFF" w:themeColor="background1"/>
            </w:tcBorders>
            <w:vAlign w:val="center"/>
          </w:tcPr>
          <w:p w:rsidR="00F43766" w:rsidRPr="005F04AF" w:rsidRDefault="00F43766" w:rsidP="005F04AF">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 xml:space="preserve">Does the APP entity solicit personal information from other </w:t>
            </w:r>
            <w:r w:rsidR="00F77D6B" w:rsidRPr="005F04AF">
              <w:rPr>
                <w:rFonts w:asciiTheme="minorHAnsi" w:hAnsiTheme="minorHAnsi"/>
              </w:rPr>
              <w:t xml:space="preserve">sources </w:t>
            </w:r>
            <w:r w:rsidR="00735FC0" w:rsidRPr="005F04AF">
              <w:rPr>
                <w:rFonts w:asciiTheme="minorHAnsi" w:hAnsiTheme="minorHAnsi"/>
              </w:rPr>
              <w:t>that is then submitted</w:t>
            </w:r>
            <w:r w:rsidRPr="005F04AF">
              <w:rPr>
                <w:rFonts w:asciiTheme="minorHAnsi" w:hAnsiTheme="minorHAnsi"/>
              </w:rPr>
              <w:t xml:space="preserve"> to the ANRDR?</w:t>
            </w:r>
            <w:r w:rsidR="00692829" w:rsidRPr="005F04AF">
              <w:rPr>
                <w:rFonts w:asciiTheme="minorHAnsi" w:hAnsiTheme="minorHAnsi"/>
              </w:rPr>
              <w:t xml:space="preserve"> (i.e.</w:t>
            </w:r>
            <w:r w:rsidR="00B0623A" w:rsidRPr="005F04AF">
              <w:rPr>
                <w:rFonts w:asciiTheme="minorHAnsi" w:hAnsiTheme="minorHAnsi"/>
              </w:rPr>
              <w:t xml:space="preserve"> from</w:t>
            </w:r>
            <w:r w:rsidR="00692829" w:rsidRPr="005F04AF">
              <w:rPr>
                <w:rFonts w:asciiTheme="minorHAnsi" w:hAnsiTheme="minorHAnsi"/>
              </w:rPr>
              <w:t xml:space="preserve"> individuals)</w:t>
            </w:r>
          </w:p>
        </w:tc>
        <w:tc>
          <w:tcPr>
            <w:tcW w:w="709" w:type="dxa"/>
            <w:tcBorders>
              <w:bottom w:val="single" w:sz="8" w:space="0" w:color="FFFFFF" w:themeColor="background1"/>
            </w:tcBorders>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tcBorders>
              <w:bottom w:val="single" w:sz="8" w:space="0" w:color="FFFFFF" w:themeColor="background1"/>
            </w:tcBorders>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tcBorders>
              <w:bottom w:val="single" w:sz="8" w:space="0" w:color="FFFFFF" w:themeColor="background1"/>
            </w:tcBorders>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3</w:t>
            </w:r>
          </w:p>
        </w:tc>
      </w:tr>
      <w:tr w:rsidR="00F43766" w:rsidRPr="005F04AF" w:rsidTr="005F04AF">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95B3D7" w:themeFill="accent1" w:themeFillTint="99"/>
            <w:vAlign w:val="center"/>
          </w:tcPr>
          <w:p w:rsidR="00F43766" w:rsidRPr="005F04AF" w:rsidRDefault="00F43766" w:rsidP="005F04AF">
            <w:pPr>
              <w:spacing w:before="60" w:after="60"/>
              <w:rPr>
                <w:rFonts w:asciiTheme="minorHAnsi" w:hAnsiTheme="minorHAnsi"/>
              </w:rPr>
            </w:pPr>
            <w:r w:rsidRPr="005F04AF">
              <w:rPr>
                <w:rFonts w:asciiTheme="minorHAnsi" w:hAnsiTheme="minorHAnsi"/>
              </w:rPr>
              <w:t>The following only apply if you answered YES to 4.3.1.</w:t>
            </w:r>
          </w:p>
        </w:tc>
      </w:tr>
      <w:tr w:rsidR="00F43766" w:rsidRPr="005F04AF" w:rsidTr="005F04AF">
        <w:tc>
          <w:tcPr>
            <w:cnfStyle w:val="001000000000" w:firstRow="0" w:lastRow="0" w:firstColumn="1" w:lastColumn="0" w:oddVBand="0" w:evenVBand="0" w:oddHBand="0" w:evenHBand="0" w:firstRowFirstColumn="0" w:firstRowLastColumn="0" w:lastRowFirstColumn="0" w:lastRowLastColumn="0"/>
            <w:tcW w:w="877" w:type="dxa"/>
            <w:vAlign w:val="center"/>
          </w:tcPr>
          <w:p w:rsidR="00F43766" w:rsidRPr="005F04AF" w:rsidRDefault="00F43766" w:rsidP="005F04AF">
            <w:pPr>
              <w:tabs>
                <w:tab w:val="center" w:pos="876"/>
              </w:tabs>
              <w:spacing w:before="40" w:after="40"/>
              <w:jc w:val="center"/>
              <w:rPr>
                <w:rFonts w:asciiTheme="minorHAnsi" w:hAnsiTheme="minorHAnsi"/>
              </w:rPr>
            </w:pPr>
            <w:r w:rsidRPr="005F04AF">
              <w:rPr>
                <w:rFonts w:asciiTheme="minorHAnsi" w:hAnsiTheme="minorHAnsi"/>
              </w:rPr>
              <w:t>4.3.2</w:t>
            </w:r>
          </w:p>
        </w:tc>
        <w:tc>
          <w:tcPr>
            <w:tcW w:w="6035" w:type="dxa"/>
            <w:vAlign w:val="center"/>
          </w:tcPr>
          <w:p w:rsidR="00F43766" w:rsidRPr="005F04AF" w:rsidRDefault="00F43766" w:rsidP="005F04AF">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Is the information collected necessary for the operation of the APP entity’s radiation monitoring program?</w:t>
            </w:r>
          </w:p>
        </w:tc>
        <w:tc>
          <w:tcPr>
            <w:tcW w:w="709"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3.1/3.2</w:t>
            </w:r>
          </w:p>
        </w:tc>
      </w:tr>
      <w:tr w:rsidR="00F43766" w:rsidRPr="005F04AF" w:rsidTr="005F04AF">
        <w:tc>
          <w:tcPr>
            <w:cnfStyle w:val="001000000000" w:firstRow="0" w:lastRow="0" w:firstColumn="1" w:lastColumn="0" w:oddVBand="0" w:evenVBand="0" w:oddHBand="0" w:evenHBand="0" w:firstRowFirstColumn="0" w:firstRowLastColumn="0" w:lastRowFirstColumn="0" w:lastRowLastColumn="0"/>
            <w:tcW w:w="877" w:type="dxa"/>
            <w:vAlign w:val="center"/>
          </w:tcPr>
          <w:p w:rsidR="00F43766" w:rsidRPr="005F04AF" w:rsidRDefault="00F43766" w:rsidP="005F04AF">
            <w:pPr>
              <w:tabs>
                <w:tab w:val="center" w:pos="876"/>
              </w:tabs>
              <w:spacing w:before="40" w:after="40"/>
              <w:jc w:val="center"/>
              <w:rPr>
                <w:rFonts w:asciiTheme="minorHAnsi" w:hAnsiTheme="minorHAnsi"/>
              </w:rPr>
            </w:pPr>
            <w:r w:rsidRPr="005F04AF">
              <w:rPr>
                <w:rFonts w:asciiTheme="minorHAnsi" w:hAnsiTheme="minorHAnsi"/>
              </w:rPr>
              <w:t>4.3.3</w:t>
            </w:r>
          </w:p>
        </w:tc>
        <w:tc>
          <w:tcPr>
            <w:tcW w:w="6035" w:type="dxa"/>
            <w:vAlign w:val="center"/>
          </w:tcPr>
          <w:p w:rsidR="00F43766" w:rsidRPr="005F04AF" w:rsidRDefault="00F43766" w:rsidP="005F04AF">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Is the information being collected classed as sensitive?</w:t>
            </w:r>
          </w:p>
        </w:tc>
        <w:tc>
          <w:tcPr>
            <w:tcW w:w="709"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3.3 &amp; 3.4</w:t>
            </w:r>
          </w:p>
        </w:tc>
      </w:tr>
      <w:tr w:rsidR="00F43766" w:rsidRPr="005F04AF" w:rsidTr="005F04AF">
        <w:tc>
          <w:tcPr>
            <w:cnfStyle w:val="001000000000" w:firstRow="0" w:lastRow="0" w:firstColumn="1" w:lastColumn="0" w:oddVBand="0" w:evenVBand="0" w:oddHBand="0" w:evenHBand="0" w:firstRowFirstColumn="0" w:firstRowLastColumn="0" w:lastRowFirstColumn="0" w:lastRowLastColumn="0"/>
            <w:tcW w:w="877" w:type="dxa"/>
            <w:vAlign w:val="center"/>
          </w:tcPr>
          <w:p w:rsidR="00F43766" w:rsidRPr="005F04AF" w:rsidRDefault="00F43766" w:rsidP="005F04AF">
            <w:pPr>
              <w:tabs>
                <w:tab w:val="center" w:pos="876"/>
              </w:tabs>
              <w:spacing w:before="40" w:after="40"/>
              <w:jc w:val="center"/>
              <w:rPr>
                <w:rFonts w:asciiTheme="minorHAnsi" w:hAnsiTheme="minorHAnsi"/>
              </w:rPr>
            </w:pPr>
            <w:r w:rsidRPr="005F04AF">
              <w:rPr>
                <w:rFonts w:asciiTheme="minorHAnsi" w:hAnsiTheme="minorHAnsi"/>
              </w:rPr>
              <w:t>4.3.4</w:t>
            </w:r>
          </w:p>
        </w:tc>
        <w:tc>
          <w:tcPr>
            <w:tcW w:w="6035" w:type="dxa"/>
            <w:vAlign w:val="center"/>
          </w:tcPr>
          <w:p w:rsidR="00F43766" w:rsidRPr="005F04AF" w:rsidRDefault="00F43766" w:rsidP="005F04AF">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Is the information collected by lawful and fair means?</w:t>
            </w:r>
          </w:p>
        </w:tc>
        <w:tc>
          <w:tcPr>
            <w:tcW w:w="709"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3.5</w:t>
            </w:r>
          </w:p>
        </w:tc>
      </w:tr>
      <w:tr w:rsidR="00F43766" w:rsidRPr="005F04AF" w:rsidTr="005F04AF">
        <w:tc>
          <w:tcPr>
            <w:cnfStyle w:val="001000000000" w:firstRow="0" w:lastRow="0" w:firstColumn="1" w:lastColumn="0" w:oddVBand="0" w:evenVBand="0" w:oddHBand="0" w:evenHBand="0" w:firstRowFirstColumn="0" w:firstRowLastColumn="0" w:lastRowFirstColumn="0" w:lastRowLastColumn="0"/>
            <w:tcW w:w="877" w:type="dxa"/>
            <w:vAlign w:val="center"/>
          </w:tcPr>
          <w:p w:rsidR="00F43766" w:rsidRPr="005F04AF" w:rsidRDefault="00F43766" w:rsidP="005F04AF">
            <w:pPr>
              <w:tabs>
                <w:tab w:val="center" w:pos="876"/>
              </w:tabs>
              <w:spacing w:before="40" w:after="40"/>
              <w:jc w:val="center"/>
              <w:rPr>
                <w:rFonts w:asciiTheme="minorHAnsi" w:hAnsiTheme="minorHAnsi"/>
              </w:rPr>
            </w:pPr>
            <w:r w:rsidRPr="005F04AF">
              <w:rPr>
                <w:rFonts w:asciiTheme="minorHAnsi" w:hAnsiTheme="minorHAnsi"/>
              </w:rPr>
              <w:t>4.3.5</w:t>
            </w:r>
          </w:p>
        </w:tc>
        <w:tc>
          <w:tcPr>
            <w:tcW w:w="6035" w:type="dxa"/>
            <w:vAlign w:val="center"/>
          </w:tcPr>
          <w:p w:rsidR="00F43766" w:rsidRPr="005F04AF" w:rsidRDefault="00F43766" w:rsidP="005F04AF">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Has the individual consented to the information collection?</w:t>
            </w:r>
          </w:p>
        </w:tc>
        <w:tc>
          <w:tcPr>
            <w:tcW w:w="709"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3.6</w:t>
            </w:r>
          </w:p>
        </w:tc>
      </w:tr>
      <w:tr w:rsidR="00F43766" w:rsidRPr="005F04AF" w:rsidTr="005F04AF">
        <w:tc>
          <w:tcPr>
            <w:cnfStyle w:val="001000000000" w:firstRow="0" w:lastRow="0" w:firstColumn="1" w:lastColumn="0" w:oddVBand="0" w:evenVBand="0" w:oddHBand="0" w:evenHBand="0" w:firstRowFirstColumn="0" w:firstRowLastColumn="0" w:lastRowFirstColumn="0" w:lastRowLastColumn="0"/>
            <w:tcW w:w="877" w:type="dxa"/>
            <w:vAlign w:val="center"/>
          </w:tcPr>
          <w:p w:rsidR="00F43766" w:rsidRPr="005F04AF" w:rsidRDefault="00F43766" w:rsidP="005F04AF">
            <w:pPr>
              <w:tabs>
                <w:tab w:val="center" w:pos="876"/>
              </w:tabs>
              <w:spacing w:before="40" w:after="40"/>
              <w:jc w:val="center"/>
              <w:rPr>
                <w:rFonts w:asciiTheme="minorHAnsi" w:hAnsiTheme="minorHAnsi"/>
              </w:rPr>
            </w:pPr>
            <w:r w:rsidRPr="005F04AF">
              <w:rPr>
                <w:rFonts w:asciiTheme="minorHAnsi" w:hAnsiTheme="minorHAnsi"/>
              </w:rPr>
              <w:t>4.3.6</w:t>
            </w:r>
          </w:p>
        </w:tc>
        <w:tc>
          <w:tcPr>
            <w:tcW w:w="6035" w:type="dxa"/>
            <w:vAlign w:val="center"/>
          </w:tcPr>
          <w:p w:rsidR="00F43766" w:rsidRPr="005F04AF" w:rsidRDefault="00F43766" w:rsidP="005F04AF">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Does a law or court order exist for the collection of the information*?</w:t>
            </w:r>
          </w:p>
        </w:tc>
        <w:tc>
          <w:tcPr>
            <w:tcW w:w="709"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3.6</w:t>
            </w:r>
          </w:p>
        </w:tc>
      </w:tr>
      <w:tr w:rsidR="00F43766" w:rsidRPr="005F04AF" w:rsidTr="005F04AF">
        <w:tc>
          <w:tcPr>
            <w:cnfStyle w:val="001000000000" w:firstRow="0" w:lastRow="0" w:firstColumn="1" w:lastColumn="0" w:oddVBand="0" w:evenVBand="0" w:oddHBand="0" w:evenHBand="0" w:firstRowFirstColumn="0" w:firstRowLastColumn="0" w:lastRowFirstColumn="0" w:lastRowLastColumn="0"/>
            <w:tcW w:w="877" w:type="dxa"/>
            <w:vAlign w:val="center"/>
          </w:tcPr>
          <w:p w:rsidR="00F43766" w:rsidRPr="005F04AF" w:rsidRDefault="00F43766" w:rsidP="005F04AF">
            <w:pPr>
              <w:tabs>
                <w:tab w:val="center" w:pos="876"/>
              </w:tabs>
              <w:spacing w:before="40" w:after="40"/>
              <w:jc w:val="center"/>
              <w:rPr>
                <w:rFonts w:asciiTheme="minorHAnsi" w:hAnsiTheme="minorHAnsi"/>
              </w:rPr>
            </w:pPr>
            <w:r w:rsidRPr="005F04AF">
              <w:rPr>
                <w:rFonts w:asciiTheme="minorHAnsi" w:hAnsiTheme="minorHAnsi"/>
              </w:rPr>
              <w:t>4.3.7</w:t>
            </w:r>
          </w:p>
        </w:tc>
        <w:tc>
          <w:tcPr>
            <w:tcW w:w="6035" w:type="dxa"/>
            <w:vAlign w:val="center"/>
          </w:tcPr>
          <w:p w:rsidR="00F43766" w:rsidRPr="005F04AF" w:rsidRDefault="00F43766" w:rsidP="005F04AF">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Is it reasonable or practical to obtain individual consent?</w:t>
            </w:r>
          </w:p>
        </w:tc>
        <w:tc>
          <w:tcPr>
            <w:tcW w:w="709"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F43766" w:rsidRPr="005F04AF" w:rsidRDefault="00F43766"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4AF">
              <w:rPr>
                <w:rFonts w:asciiTheme="minorHAnsi" w:hAnsiTheme="minorHAnsi"/>
              </w:rPr>
              <w:t>3.6</w:t>
            </w:r>
          </w:p>
        </w:tc>
      </w:tr>
      <w:tr w:rsidR="00F43766" w:rsidRPr="005F04AF" w:rsidTr="005F04AF">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F68C3F"/>
            <w:vAlign w:val="center"/>
          </w:tcPr>
          <w:p w:rsidR="00F43766" w:rsidRPr="005F04AF" w:rsidRDefault="00F43766" w:rsidP="005F04AF">
            <w:pPr>
              <w:spacing w:before="40" w:after="40"/>
              <w:rPr>
                <w:rFonts w:asciiTheme="minorHAnsi" w:hAnsiTheme="minorHAnsi"/>
                <w:i/>
              </w:rPr>
            </w:pPr>
            <w:r w:rsidRPr="005F04AF">
              <w:rPr>
                <w:rFonts w:asciiTheme="minorHAnsi" w:hAnsiTheme="minorHAnsi"/>
                <w:i/>
              </w:rPr>
              <w:t>If you answer</w:t>
            </w:r>
            <w:r w:rsidR="001504AA" w:rsidRPr="005F04AF">
              <w:rPr>
                <w:rFonts w:asciiTheme="minorHAnsi" w:hAnsiTheme="minorHAnsi"/>
                <w:i/>
              </w:rPr>
              <w:t>ed</w:t>
            </w:r>
            <w:r w:rsidRPr="005F04AF">
              <w:rPr>
                <w:rFonts w:asciiTheme="minorHAnsi" w:hAnsiTheme="minorHAnsi"/>
                <w:i/>
              </w:rPr>
              <w:t xml:space="preserve"> YES to 4.3.2 then you will need to </w:t>
            </w:r>
            <w:r w:rsidR="00721568" w:rsidRPr="005F04AF">
              <w:rPr>
                <w:rFonts w:asciiTheme="minorHAnsi" w:hAnsiTheme="minorHAnsi"/>
                <w:i/>
              </w:rPr>
              <w:t>review the relevant guideline for APP 3.</w:t>
            </w:r>
          </w:p>
          <w:p w:rsidR="00F43766" w:rsidRPr="005F04AF" w:rsidRDefault="00F43766" w:rsidP="005F04AF">
            <w:pPr>
              <w:spacing w:before="40" w:after="40"/>
              <w:rPr>
                <w:rFonts w:asciiTheme="minorHAnsi" w:hAnsiTheme="minorHAnsi"/>
                <w:i/>
              </w:rPr>
            </w:pPr>
            <w:r w:rsidRPr="005F04AF">
              <w:rPr>
                <w:rFonts w:asciiTheme="minorHAnsi" w:hAnsiTheme="minorHAnsi"/>
                <w:i/>
              </w:rPr>
              <w:t xml:space="preserve">*Generally there exist legal requirements for APP entities to monitor exposed workers and record radiation exposures. </w:t>
            </w:r>
          </w:p>
        </w:tc>
      </w:tr>
    </w:tbl>
    <w:p w:rsidR="002077C5" w:rsidRPr="005F04AF" w:rsidRDefault="002077C5" w:rsidP="002077C5">
      <w:pPr>
        <w:rPr>
          <w:spacing w:val="-2"/>
        </w:rPr>
      </w:pPr>
      <w:r w:rsidRPr="005F04AF">
        <w:rPr>
          <w:spacing w:val="-2"/>
        </w:rPr>
        <w:t xml:space="preserve">As there is no clear guidance or requirement </w:t>
      </w:r>
      <w:r w:rsidR="00C6704B" w:rsidRPr="005F04AF">
        <w:rPr>
          <w:spacing w:val="-2"/>
        </w:rPr>
        <w:t xml:space="preserve">on how radiation dose records are classified, </w:t>
      </w:r>
      <w:r w:rsidRPr="005F04AF">
        <w:rPr>
          <w:spacing w:val="-2"/>
        </w:rPr>
        <w:t xml:space="preserve">some </w:t>
      </w:r>
      <w:r w:rsidR="00F1136B" w:rsidRPr="005F04AF">
        <w:rPr>
          <w:spacing w:val="-2"/>
        </w:rPr>
        <w:t xml:space="preserve">APP entities </w:t>
      </w:r>
      <w:r w:rsidRPr="005F04AF">
        <w:rPr>
          <w:spacing w:val="-2"/>
        </w:rPr>
        <w:t xml:space="preserve">classify </w:t>
      </w:r>
      <w:r w:rsidR="00C6704B" w:rsidRPr="005F04AF">
        <w:rPr>
          <w:spacing w:val="-2"/>
        </w:rPr>
        <w:t>these</w:t>
      </w:r>
      <w:r w:rsidRPr="005F04AF">
        <w:rPr>
          <w:spacing w:val="-2"/>
        </w:rPr>
        <w:t xml:space="preserve"> records as sensitive (health) information while others classify </w:t>
      </w:r>
      <w:r w:rsidR="00C6704B" w:rsidRPr="005F04AF">
        <w:rPr>
          <w:spacing w:val="-2"/>
        </w:rPr>
        <w:t>them</w:t>
      </w:r>
      <w:r w:rsidRPr="005F04AF">
        <w:rPr>
          <w:spacing w:val="-2"/>
        </w:rPr>
        <w:t xml:space="preserve"> as personal information. Regardless of the classification type</w:t>
      </w:r>
      <w:r w:rsidR="00C6704B" w:rsidRPr="005F04AF">
        <w:rPr>
          <w:spacing w:val="-2"/>
        </w:rPr>
        <w:t>,</w:t>
      </w:r>
      <w:r w:rsidRPr="005F04AF">
        <w:rPr>
          <w:spacing w:val="-2"/>
        </w:rPr>
        <w:t xml:space="preserve"> the disclosure</w:t>
      </w:r>
      <w:r w:rsidR="00C6704B" w:rsidRPr="005F04AF">
        <w:rPr>
          <w:spacing w:val="-2"/>
        </w:rPr>
        <w:t xml:space="preserve"> of radiation dose records</w:t>
      </w:r>
      <w:r w:rsidRPr="005F04AF">
        <w:rPr>
          <w:spacing w:val="-2"/>
        </w:rPr>
        <w:t xml:space="preserve"> to the ANRDR is </w:t>
      </w:r>
      <w:r w:rsidR="00C6704B" w:rsidRPr="005F04AF">
        <w:rPr>
          <w:spacing w:val="-2"/>
        </w:rPr>
        <w:t>permitted</w:t>
      </w:r>
      <w:r w:rsidRPr="005F04AF">
        <w:rPr>
          <w:spacing w:val="-2"/>
        </w:rPr>
        <w:t xml:space="preserve"> </w:t>
      </w:r>
      <w:r w:rsidR="005A7C93" w:rsidRPr="005F04AF">
        <w:rPr>
          <w:spacing w:val="-2"/>
        </w:rPr>
        <w:t xml:space="preserve">as </w:t>
      </w:r>
      <w:r w:rsidR="008404B8">
        <w:rPr>
          <w:spacing w:val="-2"/>
        </w:rPr>
        <w:t xml:space="preserve">part of the </w:t>
      </w:r>
      <w:r w:rsidR="004F0B41" w:rsidRPr="005F04AF">
        <w:rPr>
          <w:spacing w:val="-2"/>
        </w:rPr>
        <w:t>primary purpose for which this information was collected by the employer</w:t>
      </w:r>
      <w:r w:rsidRPr="005F04AF">
        <w:rPr>
          <w:spacing w:val="-2"/>
        </w:rPr>
        <w:t>.</w:t>
      </w:r>
    </w:p>
    <w:p w:rsidR="005F04AF" w:rsidRDefault="00DF1A39" w:rsidP="005F04AF">
      <w:r>
        <w:lastRenderedPageBreak/>
        <w:t xml:space="preserve">To establish the relationship of disclosure to the ANRDR as </w:t>
      </w:r>
      <w:r w:rsidR="008404B8">
        <w:t xml:space="preserve">part of the </w:t>
      </w:r>
      <w:r>
        <w:t>primary purpose</w:t>
      </w:r>
      <w:r w:rsidR="004F0B41">
        <w:t>,</w:t>
      </w:r>
      <w:r>
        <w:t xml:space="preserve"> an APP entity will need to update their privacy policy and communicate the disclosure to their employees.</w:t>
      </w:r>
    </w:p>
    <w:p w:rsidR="00374A15" w:rsidRPr="00D73630" w:rsidRDefault="00735CF6" w:rsidP="00D73630">
      <w:pPr>
        <w:pStyle w:val="Heading2"/>
        <w:keepLines w:val="0"/>
        <w:spacing w:before="240" w:line="240" w:lineRule="auto"/>
        <w:rPr>
          <w:color w:val="365F91" w:themeColor="accent1" w:themeShade="BF"/>
          <w:sz w:val="28"/>
        </w:rPr>
      </w:pPr>
      <w:bookmarkStart w:id="36" w:name="_Toc467501505"/>
      <w:bookmarkStart w:id="37" w:name="_Toc469305237"/>
      <w:r w:rsidRPr="00D73630">
        <w:rPr>
          <w:color w:val="365F91" w:themeColor="accent1" w:themeShade="BF"/>
          <w:sz w:val="28"/>
        </w:rPr>
        <w:t xml:space="preserve">APP 4 </w:t>
      </w:r>
      <w:r w:rsidR="00374A15" w:rsidRPr="00D73630">
        <w:rPr>
          <w:color w:val="365F91" w:themeColor="accent1" w:themeShade="BF"/>
          <w:sz w:val="28"/>
        </w:rPr>
        <w:t xml:space="preserve">Dealing with Unsolicited </w:t>
      </w:r>
      <w:r w:rsidR="002338AB" w:rsidRPr="00D73630">
        <w:rPr>
          <w:color w:val="365F91" w:themeColor="accent1" w:themeShade="BF"/>
          <w:sz w:val="28"/>
        </w:rPr>
        <w:t xml:space="preserve">Personal </w:t>
      </w:r>
      <w:r w:rsidR="00374A15" w:rsidRPr="00D73630">
        <w:rPr>
          <w:color w:val="365F91" w:themeColor="accent1" w:themeShade="BF"/>
          <w:sz w:val="28"/>
        </w:rPr>
        <w:t>Information</w:t>
      </w:r>
      <w:bookmarkEnd w:id="36"/>
      <w:bookmarkEnd w:id="37"/>
    </w:p>
    <w:p w:rsidR="002338AB" w:rsidRDefault="002338AB" w:rsidP="00F77D6B">
      <w:pPr>
        <w:rPr>
          <w:rStyle w:val="Hyperlink"/>
          <w:color w:val="auto"/>
          <w:u w:val="none"/>
        </w:rPr>
      </w:pPr>
      <w:r w:rsidRPr="00F77D6B">
        <w:rPr>
          <w:rStyle w:val="Hyperlink"/>
          <w:color w:val="auto"/>
          <w:u w:val="none"/>
        </w:rPr>
        <w:t xml:space="preserve">Unsolicited </w:t>
      </w:r>
      <w:r>
        <w:rPr>
          <w:rStyle w:val="Hyperlink"/>
          <w:color w:val="auto"/>
          <w:u w:val="none"/>
        </w:rPr>
        <w:t xml:space="preserve">personal information relates to any personal information that is received by the APP entity that was not specifically requested by the APP entity and is not required </w:t>
      </w:r>
      <w:r w:rsidR="00563187">
        <w:rPr>
          <w:rStyle w:val="Hyperlink"/>
          <w:color w:val="auto"/>
          <w:u w:val="none"/>
        </w:rPr>
        <w:t>for</w:t>
      </w:r>
      <w:r>
        <w:rPr>
          <w:rStyle w:val="Hyperlink"/>
          <w:color w:val="auto"/>
          <w:u w:val="none"/>
        </w:rPr>
        <w:t xml:space="preserve"> their dose record management system.</w:t>
      </w:r>
    </w:p>
    <w:p w:rsidR="005F04AF" w:rsidRPr="005F04AF" w:rsidRDefault="005F04AF" w:rsidP="005F04AF">
      <w:pPr>
        <w:spacing w:before="0" w:line="240" w:lineRule="auto"/>
      </w:pPr>
    </w:p>
    <w:tbl>
      <w:tblPr>
        <w:tblStyle w:val="BodyCell"/>
        <w:tblW w:w="9464" w:type="dxa"/>
        <w:tblLayout w:type="fixed"/>
        <w:tblLook w:val="06A0" w:firstRow="1" w:lastRow="0" w:firstColumn="1" w:lastColumn="0" w:noHBand="1" w:noVBand="1"/>
      </w:tblPr>
      <w:tblGrid>
        <w:gridCol w:w="877"/>
        <w:gridCol w:w="6035"/>
        <w:gridCol w:w="709"/>
        <w:gridCol w:w="709"/>
        <w:gridCol w:w="1134"/>
      </w:tblGrid>
      <w:tr w:rsidR="00857133" w:rsidRPr="005F04AF" w:rsidTr="005F04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vAlign w:val="center"/>
          </w:tcPr>
          <w:p w:rsidR="00857133" w:rsidRPr="00E42D73" w:rsidRDefault="00857133" w:rsidP="005F04AF">
            <w:pPr>
              <w:spacing w:before="120" w:after="120"/>
              <w:rPr>
                <w:rFonts w:asciiTheme="minorHAnsi" w:hAnsiTheme="minorHAnsi"/>
                <w:b/>
              </w:rPr>
            </w:pPr>
            <w:r w:rsidRPr="00E42D73">
              <w:rPr>
                <w:rFonts w:asciiTheme="minorHAnsi" w:hAnsiTheme="minorHAnsi"/>
                <w:b/>
              </w:rPr>
              <w:t>Dealing with Unsolicited Information</w:t>
            </w:r>
          </w:p>
        </w:tc>
        <w:tc>
          <w:tcPr>
            <w:tcW w:w="709" w:type="dxa"/>
            <w:vAlign w:val="center"/>
          </w:tcPr>
          <w:p w:rsidR="00857133" w:rsidRPr="005F04AF" w:rsidRDefault="00857133" w:rsidP="005F04A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F04AF">
              <w:rPr>
                <w:rFonts w:asciiTheme="minorHAnsi" w:hAnsiTheme="minorHAnsi"/>
                <w:b/>
              </w:rPr>
              <w:t>Y</w:t>
            </w:r>
          </w:p>
        </w:tc>
        <w:tc>
          <w:tcPr>
            <w:tcW w:w="709" w:type="dxa"/>
            <w:vAlign w:val="center"/>
          </w:tcPr>
          <w:p w:rsidR="00857133" w:rsidRPr="005F04AF" w:rsidRDefault="00857133" w:rsidP="005F04A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F04AF">
              <w:rPr>
                <w:rFonts w:asciiTheme="minorHAnsi" w:hAnsiTheme="minorHAnsi"/>
                <w:b/>
              </w:rPr>
              <w:t>N</w:t>
            </w:r>
          </w:p>
        </w:tc>
        <w:tc>
          <w:tcPr>
            <w:tcW w:w="1134" w:type="dxa"/>
            <w:vAlign w:val="center"/>
          </w:tcPr>
          <w:p w:rsidR="00857133" w:rsidRPr="005F04AF" w:rsidRDefault="00857133" w:rsidP="005F04A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F04AF">
              <w:rPr>
                <w:rFonts w:asciiTheme="minorHAnsi" w:hAnsiTheme="minorHAnsi"/>
                <w:b/>
              </w:rPr>
              <w:t>APP</w:t>
            </w:r>
          </w:p>
        </w:tc>
      </w:tr>
      <w:tr w:rsidR="00857133" w:rsidRPr="00A77A7D" w:rsidTr="005F04AF">
        <w:tc>
          <w:tcPr>
            <w:cnfStyle w:val="001000000000" w:firstRow="0" w:lastRow="0" w:firstColumn="1" w:lastColumn="0" w:oddVBand="0" w:evenVBand="0" w:oddHBand="0" w:evenHBand="0" w:firstRowFirstColumn="0" w:firstRowLastColumn="0" w:lastRowFirstColumn="0" w:lastRowLastColumn="0"/>
            <w:tcW w:w="877" w:type="dxa"/>
            <w:vAlign w:val="center"/>
          </w:tcPr>
          <w:p w:rsidR="00857133" w:rsidRPr="00E42D73" w:rsidRDefault="00693DA4" w:rsidP="005F04AF">
            <w:pPr>
              <w:spacing w:before="40" w:after="40"/>
              <w:jc w:val="center"/>
              <w:rPr>
                <w:rFonts w:asciiTheme="minorHAnsi" w:hAnsiTheme="minorHAnsi"/>
              </w:rPr>
            </w:pPr>
            <w:r>
              <w:rPr>
                <w:rFonts w:asciiTheme="minorHAnsi" w:hAnsiTheme="minorHAnsi"/>
              </w:rPr>
              <w:t>4</w:t>
            </w:r>
            <w:r w:rsidR="00B62DB4" w:rsidRPr="00E42D73">
              <w:rPr>
                <w:rFonts w:asciiTheme="minorHAnsi" w:hAnsiTheme="minorHAnsi"/>
              </w:rPr>
              <w:t>.4.1</w:t>
            </w:r>
          </w:p>
        </w:tc>
        <w:tc>
          <w:tcPr>
            <w:tcW w:w="6035" w:type="dxa"/>
            <w:vAlign w:val="center"/>
          </w:tcPr>
          <w:p w:rsidR="00857133" w:rsidRPr="00E42D73" w:rsidRDefault="00B30E44" w:rsidP="005F04AF">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Is the </w:t>
            </w:r>
            <w:r w:rsidR="006808AA">
              <w:rPr>
                <w:rFonts w:asciiTheme="minorHAnsi" w:hAnsiTheme="minorHAnsi"/>
              </w:rPr>
              <w:t>APP entity</w:t>
            </w:r>
            <w:r>
              <w:rPr>
                <w:rFonts w:asciiTheme="minorHAnsi" w:hAnsiTheme="minorHAnsi"/>
              </w:rPr>
              <w:t xml:space="preserve"> able to</w:t>
            </w:r>
            <w:r w:rsidR="001864C3">
              <w:rPr>
                <w:rFonts w:asciiTheme="minorHAnsi" w:hAnsiTheme="minorHAnsi"/>
              </w:rPr>
              <w:t xml:space="preserve"> accept unsolicited information relating to its radiation exposure information?</w:t>
            </w:r>
          </w:p>
        </w:tc>
        <w:tc>
          <w:tcPr>
            <w:tcW w:w="709" w:type="dxa"/>
            <w:vAlign w:val="center"/>
          </w:tcPr>
          <w:p w:rsidR="00857133" w:rsidRPr="00E42D73" w:rsidRDefault="00857133"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857133" w:rsidRPr="00E42D73" w:rsidRDefault="00857133"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857133" w:rsidRPr="00E42D73" w:rsidRDefault="002343BD"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42D73">
              <w:rPr>
                <w:rFonts w:asciiTheme="minorHAnsi" w:hAnsiTheme="minorHAnsi"/>
              </w:rPr>
              <w:t>4.1</w:t>
            </w:r>
            <w:r w:rsidR="00153BB0">
              <w:rPr>
                <w:rFonts w:asciiTheme="minorHAnsi" w:hAnsiTheme="minorHAnsi"/>
              </w:rPr>
              <w:t>, 4.2</w:t>
            </w:r>
            <w:r w:rsidR="00A837DB">
              <w:rPr>
                <w:rFonts w:asciiTheme="minorHAnsi" w:hAnsiTheme="minorHAnsi"/>
              </w:rPr>
              <w:t xml:space="preserve"> &amp; 4.4</w:t>
            </w:r>
          </w:p>
        </w:tc>
      </w:tr>
      <w:tr w:rsidR="00153BB0" w:rsidRPr="00A77A7D" w:rsidTr="005F04AF">
        <w:tc>
          <w:tcPr>
            <w:cnfStyle w:val="001000000000" w:firstRow="0" w:lastRow="0" w:firstColumn="1" w:lastColumn="0" w:oddVBand="0" w:evenVBand="0" w:oddHBand="0" w:evenHBand="0" w:firstRowFirstColumn="0" w:firstRowLastColumn="0" w:lastRowFirstColumn="0" w:lastRowLastColumn="0"/>
            <w:tcW w:w="877" w:type="dxa"/>
            <w:vAlign w:val="center"/>
          </w:tcPr>
          <w:p w:rsidR="00153BB0" w:rsidRDefault="00153BB0" w:rsidP="005F04AF">
            <w:pPr>
              <w:spacing w:before="40" w:after="40"/>
              <w:jc w:val="center"/>
              <w:rPr>
                <w:rFonts w:asciiTheme="minorHAnsi" w:hAnsiTheme="minorHAnsi"/>
              </w:rPr>
            </w:pPr>
            <w:r>
              <w:rPr>
                <w:rFonts w:asciiTheme="minorHAnsi" w:hAnsiTheme="minorHAnsi"/>
              </w:rPr>
              <w:t>4.4.2</w:t>
            </w:r>
          </w:p>
        </w:tc>
        <w:tc>
          <w:tcPr>
            <w:tcW w:w="6035" w:type="dxa"/>
            <w:vAlign w:val="center"/>
          </w:tcPr>
          <w:p w:rsidR="00153BB0" w:rsidRDefault="00153BB0" w:rsidP="005F04AF">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If the information could not have been collected as part of normal operations, do processes exist to destroy the information?</w:t>
            </w:r>
          </w:p>
        </w:tc>
        <w:tc>
          <w:tcPr>
            <w:tcW w:w="709" w:type="dxa"/>
            <w:vAlign w:val="center"/>
          </w:tcPr>
          <w:p w:rsidR="00153BB0" w:rsidRPr="00E42D73" w:rsidRDefault="00153BB0"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153BB0" w:rsidRPr="00E42D73" w:rsidRDefault="00153BB0"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153BB0" w:rsidRPr="00E42D73" w:rsidRDefault="00153BB0" w:rsidP="005F04A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4.3</w:t>
            </w:r>
          </w:p>
        </w:tc>
      </w:tr>
      <w:tr w:rsidR="00857133" w:rsidRPr="00A77A7D" w:rsidTr="005F04AF">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F68C3F"/>
            <w:vAlign w:val="center"/>
          </w:tcPr>
          <w:p w:rsidR="00857133" w:rsidRDefault="003168CA" w:rsidP="005F04AF">
            <w:pPr>
              <w:spacing w:before="40" w:after="40"/>
              <w:rPr>
                <w:rFonts w:asciiTheme="minorHAnsi" w:hAnsiTheme="minorHAnsi"/>
                <w:i/>
              </w:rPr>
            </w:pPr>
            <w:r>
              <w:rPr>
                <w:rFonts w:asciiTheme="minorHAnsi" w:hAnsiTheme="minorHAnsi"/>
                <w:i/>
              </w:rPr>
              <w:t>For APP entities that are Commonwealth agencies or ‘contracted service providers’, records are exempt from being destroyed or de-</w:t>
            </w:r>
            <w:r w:rsidR="00202E22">
              <w:rPr>
                <w:rFonts w:asciiTheme="minorHAnsi" w:hAnsiTheme="minorHAnsi"/>
                <w:i/>
              </w:rPr>
              <w:t xml:space="preserve">identified </w:t>
            </w:r>
            <w:r>
              <w:rPr>
                <w:rFonts w:asciiTheme="minorHAnsi" w:hAnsiTheme="minorHAnsi"/>
                <w:i/>
              </w:rPr>
              <w:t>even if unsolicited.</w:t>
            </w:r>
          </w:p>
          <w:p w:rsidR="00563187" w:rsidRPr="00E42D73" w:rsidRDefault="00563187" w:rsidP="005F04AF">
            <w:pPr>
              <w:spacing w:before="40" w:after="40"/>
              <w:rPr>
                <w:rFonts w:asciiTheme="minorHAnsi" w:hAnsiTheme="minorHAnsi"/>
                <w:i/>
              </w:rPr>
            </w:pPr>
            <w:r>
              <w:rPr>
                <w:rFonts w:asciiTheme="minorHAnsi" w:hAnsiTheme="minorHAnsi"/>
                <w:i/>
              </w:rPr>
              <w:t xml:space="preserve">Responses to these questions will not affect your ability to submit </w:t>
            </w:r>
            <w:r w:rsidR="00D74D50">
              <w:rPr>
                <w:rFonts w:asciiTheme="minorHAnsi" w:hAnsiTheme="minorHAnsi"/>
                <w:i/>
              </w:rPr>
              <w:t>personal information</w:t>
            </w:r>
            <w:r>
              <w:rPr>
                <w:rFonts w:asciiTheme="minorHAnsi" w:hAnsiTheme="minorHAnsi"/>
                <w:i/>
              </w:rPr>
              <w:t xml:space="preserve"> to the </w:t>
            </w:r>
            <w:r w:rsidR="001504AA">
              <w:rPr>
                <w:rFonts w:asciiTheme="minorHAnsi" w:hAnsiTheme="minorHAnsi"/>
                <w:i/>
              </w:rPr>
              <w:t>ANRDR;</w:t>
            </w:r>
            <w:r>
              <w:rPr>
                <w:rFonts w:asciiTheme="minorHAnsi" w:hAnsiTheme="minorHAnsi"/>
                <w:i/>
              </w:rPr>
              <w:t xml:space="preserve"> however, </w:t>
            </w:r>
            <w:r w:rsidR="00D74D50">
              <w:rPr>
                <w:rFonts w:asciiTheme="minorHAnsi" w:hAnsiTheme="minorHAnsi"/>
                <w:i/>
              </w:rPr>
              <w:t>it is recommended that all APP entities address these questions to ensure they meet their privacy obligations.</w:t>
            </w:r>
          </w:p>
        </w:tc>
      </w:tr>
    </w:tbl>
    <w:p w:rsidR="00374A15" w:rsidRPr="00D73630" w:rsidRDefault="00735CF6" w:rsidP="00D73630">
      <w:pPr>
        <w:pStyle w:val="Heading2"/>
        <w:keepLines w:val="0"/>
        <w:spacing w:before="240" w:line="240" w:lineRule="auto"/>
        <w:rPr>
          <w:color w:val="365F91" w:themeColor="accent1" w:themeShade="BF"/>
          <w:sz w:val="28"/>
        </w:rPr>
      </w:pPr>
      <w:bookmarkStart w:id="38" w:name="_Toc467501506"/>
      <w:bookmarkStart w:id="39" w:name="_Toc469305238"/>
      <w:r w:rsidRPr="00D73630">
        <w:rPr>
          <w:color w:val="365F91" w:themeColor="accent1" w:themeShade="BF"/>
          <w:sz w:val="28"/>
        </w:rPr>
        <w:t xml:space="preserve">APP 5 </w:t>
      </w:r>
      <w:r w:rsidR="00857133" w:rsidRPr="00D73630">
        <w:rPr>
          <w:color w:val="365F91" w:themeColor="accent1" w:themeShade="BF"/>
          <w:sz w:val="28"/>
        </w:rPr>
        <w:t>Notification of the Collection of Personal Information</w:t>
      </w:r>
      <w:bookmarkEnd w:id="38"/>
      <w:bookmarkEnd w:id="39"/>
    </w:p>
    <w:p w:rsidR="000111B6" w:rsidRDefault="000111B6" w:rsidP="000111B6">
      <w:r w:rsidRPr="00B130A4">
        <w:t>The APP entity must take reasonable steps</w:t>
      </w:r>
      <w:r w:rsidR="00D74D50">
        <w:t xml:space="preserve"> to notify workers of the collection and use of their personal information</w:t>
      </w:r>
      <w:r w:rsidRPr="00B130A4">
        <w:t>, before, or at the time it collects personal information. If this is not practicable, reasonable steps must be taken as soon as practicable after collection.</w:t>
      </w:r>
    </w:p>
    <w:p w:rsidR="005F04AF" w:rsidRPr="00B130A4" w:rsidRDefault="005F04AF" w:rsidP="005F04AF">
      <w:pPr>
        <w:spacing w:before="0" w:line="240" w:lineRule="auto"/>
      </w:pPr>
    </w:p>
    <w:tbl>
      <w:tblPr>
        <w:tblStyle w:val="BodyCell"/>
        <w:tblW w:w="9464" w:type="dxa"/>
        <w:tblLayout w:type="fixed"/>
        <w:tblLook w:val="06A0" w:firstRow="1" w:lastRow="0" w:firstColumn="1" w:lastColumn="0" w:noHBand="1" w:noVBand="1"/>
      </w:tblPr>
      <w:tblGrid>
        <w:gridCol w:w="877"/>
        <w:gridCol w:w="6035"/>
        <w:gridCol w:w="709"/>
        <w:gridCol w:w="709"/>
        <w:gridCol w:w="1134"/>
      </w:tblGrid>
      <w:tr w:rsidR="00F07E0C" w:rsidRPr="005F04AF" w:rsidTr="00817B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rsidR="00F07E0C" w:rsidRPr="00E42D73" w:rsidRDefault="00F07E0C" w:rsidP="005F04AF">
            <w:pPr>
              <w:spacing w:before="120" w:after="120"/>
              <w:rPr>
                <w:rFonts w:asciiTheme="minorHAnsi" w:hAnsiTheme="minorHAnsi"/>
                <w:b/>
              </w:rPr>
            </w:pPr>
            <w:r w:rsidRPr="00E42D73">
              <w:rPr>
                <w:rFonts w:asciiTheme="minorHAnsi" w:hAnsiTheme="minorHAnsi"/>
                <w:b/>
              </w:rPr>
              <w:t>Notification of the Collection of Personal Information</w:t>
            </w:r>
          </w:p>
        </w:tc>
        <w:tc>
          <w:tcPr>
            <w:tcW w:w="709" w:type="dxa"/>
            <w:vAlign w:val="center"/>
          </w:tcPr>
          <w:p w:rsidR="00F07E0C" w:rsidRPr="005F04AF" w:rsidRDefault="00F07E0C" w:rsidP="00817B29">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F04AF">
              <w:rPr>
                <w:rFonts w:asciiTheme="minorHAnsi" w:hAnsiTheme="minorHAnsi"/>
                <w:b/>
              </w:rPr>
              <w:t>Y</w:t>
            </w:r>
          </w:p>
        </w:tc>
        <w:tc>
          <w:tcPr>
            <w:tcW w:w="709" w:type="dxa"/>
            <w:vAlign w:val="center"/>
          </w:tcPr>
          <w:p w:rsidR="00F07E0C" w:rsidRPr="005F04AF" w:rsidRDefault="00F07E0C" w:rsidP="00817B29">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F04AF">
              <w:rPr>
                <w:rFonts w:asciiTheme="minorHAnsi" w:hAnsiTheme="minorHAnsi"/>
                <w:b/>
              </w:rPr>
              <w:t>N</w:t>
            </w:r>
          </w:p>
        </w:tc>
        <w:tc>
          <w:tcPr>
            <w:tcW w:w="1134" w:type="dxa"/>
            <w:vAlign w:val="center"/>
          </w:tcPr>
          <w:p w:rsidR="00F07E0C" w:rsidRPr="005F04AF" w:rsidRDefault="00F07E0C" w:rsidP="00817B29">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F04AF">
              <w:rPr>
                <w:rFonts w:asciiTheme="minorHAnsi" w:hAnsiTheme="minorHAnsi"/>
                <w:b/>
              </w:rPr>
              <w:t>APP</w:t>
            </w:r>
          </w:p>
        </w:tc>
      </w:tr>
      <w:tr w:rsidR="00F07E0C" w:rsidRPr="00A77A7D"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F07E0C" w:rsidRPr="00E42D73" w:rsidRDefault="00693DA4" w:rsidP="00817B29">
            <w:pPr>
              <w:spacing w:before="40" w:after="40"/>
              <w:jc w:val="center"/>
              <w:rPr>
                <w:rFonts w:asciiTheme="minorHAnsi" w:hAnsiTheme="minorHAnsi"/>
              </w:rPr>
            </w:pPr>
            <w:r>
              <w:rPr>
                <w:rFonts w:asciiTheme="minorHAnsi" w:hAnsiTheme="minorHAnsi"/>
              </w:rPr>
              <w:t>4</w:t>
            </w:r>
            <w:r w:rsidR="00B62DB4" w:rsidRPr="00E42D73">
              <w:rPr>
                <w:rFonts w:asciiTheme="minorHAnsi" w:hAnsiTheme="minorHAnsi"/>
              </w:rPr>
              <w:t>.5.1</w:t>
            </w:r>
          </w:p>
        </w:tc>
        <w:tc>
          <w:tcPr>
            <w:tcW w:w="6035" w:type="dxa"/>
            <w:vAlign w:val="center"/>
          </w:tcPr>
          <w:p w:rsidR="003853BA" w:rsidRPr="009278B8" w:rsidRDefault="00F07E0C" w:rsidP="00817B2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42D73">
              <w:rPr>
                <w:rFonts w:asciiTheme="minorHAnsi" w:hAnsiTheme="minorHAnsi"/>
              </w:rPr>
              <w:t xml:space="preserve">Have reasonable steps been taken to ensure that individuals whose information </w:t>
            </w:r>
            <w:r w:rsidR="000111B6">
              <w:rPr>
                <w:rFonts w:asciiTheme="minorHAnsi" w:hAnsiTheme="minorHAnsi"/>
              </w:rPr>
              <w:t>has</w:t>
            </w:r>
            <w:r w:rsidRPr="00E42D73">
              <w:rPr>
                <w:rFonts w:asciiTheme="minorHAnsi" w:hAnsiTheme="minorHAnsi"/>
              </w:rPr>
              <w:t xml:space="preserve"> be</w:t>
            </w:r>
            <w:r w:rsidR="000111B6">
              <w:rPr>
                <w:rFonts w:asciiTheme="minorHAnsi" w:hAnsiTheme="minorHAnsi"/>
              </w:rPr>
              <w:t>en</w:t>
            </w:r>
            <w:r w:rsidR="009278B8">
              <w:rPr>
                <w:rFonts w:asciiTheme="minorHAnsi" w:hAnsiTheme="minorHAnsi"/>
              </w:rPr>
              <w:t xml:space="preserve"> collected are made aware of</w:t>
            </w:r>
            <w:r w:rsidR="00386974">
              <w:rPr>
                <w:rFonts w:asciiTheme="minorHAnsi" w:hAnsiTheme="minorHAnsi"/>
              </w:rPr>
              <w:t xml:space="preserve"> the following</w:t>
            </w:r>
            <w:r w:rsidR="009278B8">
              <w:rPr>
                <w:rFonts w:asciiTheme="minorHAnsi" w:hAnsiTheme="minorHAnsi"/>
              </w:rPr>
              <w:t>:</w:t>
            </w:r>
          </w:p>
        </w:tc>
        <w:tc>
          <w:tcPr>
            <w:tcW w:w="709" w:type="dxa"/>
            <w:vAlign w:val="center"/>
          </w:tcPr>
          <w:p w:rsidR="00F07E0C" w:rsidRPr="00E42D73" w:rsidRDefault="00F07E0C"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F07E0C" w:rsidRPr="00E42D73" w:rsidRDefault="00F07E0C"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F07E0C" w:rsidRPr="00E42D73" w:rsidRDefault="00F07E0C"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42D73">
              <w:rPr>
                <w:rFonts w:asciiTheme="minorHAnsi" w:hAnsiTheme="minorHAnsi"/>
              </w:rPr>
              <w:t>5.1</w:t>
            </w:r>
            <w:r w:rsidR="003853BA" w:rsidRPr="00E42D73">
              <w:rPr>
                <w:rFonts w:asciiTheme="minorHAnsi" w:hAnsiTheme="minorHAnsi"/>
              </w:rPr>
              <w:t xml:space="preserve"> &amp; 5.2</w:t>
            </w:r>
          </w:p>
        </w:tc>
      </w:tr>
      <w:tr w:rsidR="00EF6893" w:rsidRPr="00A77A7D"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EF6893" w:rsidRDefault="00EF6893" w:rsidP="00817B29">
            <w:pPr>
              <w:spacing w:before="40" w:after="40"/>
              <w:jc w:val="center"/>
              <w:rPr>
                <w:rFonts w:asciiTheme="minorHAnsi" w:hAnsiTheme="minorHAnsi"/>
              </w:rPr>
            </w:pPr>
          </w:p>
        </w:tc>
        <w:tc>
          <w:tcPr>
            <w:tcW w:w="6035" w:type="dxa"/>
            <w:vAlign w:val="center"/>
          </w:tcPr>
          <w:p w:rsidR="00EF6893" w:rsidRPr="00817B29" w:rsidRDefault="009278B8" w:rsidP="002D1275">
            <w:pPr>
              <w:pStyle w:val="ListParagraph"/>
              <w:numPr>
                <w:ilvl w:val="0"/>
                <w:numId w:val="9"/>
              </w:numPr>
              <w:spacing w:before="40" w:after="40"/>
              <w:ind w:left="257" w:hanging="2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Identity and contact details of the APP entity</w:t>
            </w:r>
            <w:r w:rsidR="00476E9D" w:rsidRPr="00817B29">
              <w:rPr>
                <w:rFonts w:asciiTheme="minorHAnsi" w:hAnsiTheme="minorHAnsi"/>
              </w:rPr>
              <w:t>?</w:t>
            </w:r>
          </w:p>
        </w:tc>
        <w:tc>
          <w:tcPr>
            <w:tcW w:w="709" w:type="dxa"/>
            <w:vAlign w:val="center"/>
          </w:tcPr>
          <w:p w:rsidR="00EF6893" w:rsidRPr="00E42D73" w:rsidRDefault="00EF689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EF6893" w:rsidRPr="00E42D73" w:rsidRDefault="00EF689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EF6893" w:rsidRPr="00E42D73" w:rsidRDefault="00D8067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5.2</w:t>
            </w:r>
          </w:p>
        </w:tc>
      </w:tr>
      <w:tr w:rsidR="00EF6893" w:rsidRPr="00A77A7D"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EF6893" w:rsidRDefault="00EF6893" w:rsidP="00817B29">
            <w:pPr>
              <w:spacing w:before="40" w:after="40"/>
              <w:jc w:val="center"/>
              <w:rPr>
                <w:rFonts w:asciiTheme="minorHAnsi" w:hAnsiTheme="minorHAnsi"/>
              </w:rPr>
            </w:pPr>
          </w:p>
        </w:tc>
        <w:tc>
          <w:tcPr>
            <w:tcW w:w="6035" w:type="dxa"/>
            <w:vAlign w:val="center"/>
          </w:tcPr>
          <w:p w:rsidR="00EF6893" w:rsidRPr="00817B29" w:rsidRDefault="009278B8" w:rsidP="002D1275">
            <w:pPr>
              <w:pStyle w:val="ListParagraph"/>
              <w:numPr>
                <w:ilvl w:val="0"/>
                <w:numId w:val="9"/>
              </w:numPr>
              <w:spacing w:before="40" w:after="40"/>
              <w:ind w:left="257" w:hanging="2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The fact that the APP entity has collected the information</w:t>
            </w:r>
            <w:r w:rsidR="004F0B41" w:rsidRPr="00817B29">
              <w:rPr>
                <w:rFonts w:asciiTheme="minorHAnsi" w:hAnsiTheme="minorHAnsi"/>
              </w:rPr>
              <w:t xml:space="preserve"> for disclosure to the ANRDR</w:t>
            </w:r>
            <w:r w:rsidR="00476E9D" w:rsidRPr="00817B29">
              <w:rPr>
                <w:rFonts w:asciiTheme="minorHAnsi" w:hAnsiTheme="minorHAnsi"/>
              </w:rPr>
              <w:t>?</w:t>
            </w:r>
          </w:p>
        </w:tc>
        <w:tc>
          <w:tcPr>
            <w:tcW w:w="709" w:type="dxa"/>
            <w:vAlign w:val="center"/>
          </w:tcPr>
          <w:p w:rsidR="00EF6893" w:rsidRPr="00E42D73" w:rsidRDefault="00EF689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EF6893" w:rsidRPr="00E42D73" w:rsidRDefault="00EF689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EF6893" w:rsidRPr="00E42D73" w:rsidRDefault="00D8067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5.2</w:t>
            </w:r>
          </w:p>
        </w:tc>
      </w:tr>
      <w:tr w:rsidR="00EF6893" w:rsidRPr="00A77A7D"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EF6893" w:rsidRDefault="00EF6893" w:rsidP="00817B29">
            <w:pPr>
              <w:spacing w:before="40" w:after="40"/>
              <w:jc w:val="center"/>
              <w:rPr>
                <w:rFonts w:asciiTheme="minorHAnsi" w:hAnsiTheme="minorHAnsi"/>
              </w:rPr>
            </w:pPr>
          </w:p>
        </w:tc>
        <w:tc>
          <w:tcPr>
            <w:tcW w:w="6035" w:type="dxa"/>
            <w:vAlign w:val="center"/>
          </w:tcPr>
          <w:p w:rsidR="00EF6893" w:rsidRPr="00817B29" w:rsidRDefault="009278B8" w:rsidP="002D1275">
            <w:pPr>
              <w:pStyle w:val="ListParagraph"/>
              <w:numPr>
                <w:ilvl w:val="0"/>
                <w:numId w:val="9"/>
              </w:numPr>
              <w:spacing w:before="40" w:after="40"/>
              <w:ind w:left="257" w:hanging="2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 xml:space="preserve">If the collection is required or </w:t>
            </w:r>
            <w:r w:rsidRPr="00817B29">
              <w:rPr>
                <w:rFonts w:asciiTheme="minorHAnsi" w:hAnsiTheme="minorHAnsi"/>
                <w:lang w:val="en-AU"/>
              </w:rPr>
              <w:t>authorised</w:t>
            </w:r>
            <w:r w:rsidRPr="00817B29">
              <w:rPr>
                <w:rFonts w:asciiTheme="minorHAnsi" w:hAnsiTheme="minorHAnsi"/>
              </w:rPr>
              <w:t xml:space="preserve"> by law</w:t>
            </w:r>
            <w:r w:rsidR="00476E9D" w:rsidRPr="00817B29">
              <w:rPr>
                <w:rFonts w:asciiTheme="minorHAnsi" w:hAnsiTheme="minorHAnsi"/>
              </w:rPr>
              <w:t>*?</w:t>
            </w:r>
          </w:p>
        </w:tc>
        <w:tc>
          <w:tcPr>
            <w:tcW w:w="709" w:type="dxa"/>
            <w:vAlign w:val="center"/>
          </w:tcPr>
          <w:p w:rsidR="00EF6893" w:rsidRPr="00E42D73" w:rsidRDefault="00EF689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EF6893" w:rsidRPr="00E42D73" w:rsidRDefault="00EF689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EF6893" w:rsidRPr="00E42D73" w:rsidRDefault="00D8067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5.2</w:t>
            </w:r>
          </w:p>
        </w:tc>
      </w:tr>
      <w:tr w:rsidR="00EF6893" w:rsidRPr="00A77A7D"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EF6893" w:rsidRDefault="00EF6893" w:rsidP="00817B29">
            <w:pPr>
              <w:spacing w:before="40" w:after="40"/>
              <w:jc w:val="center"/>
              <w:rPr>
                <w:rFonts w:asciiTheme="minorHAnsi" w:hAnsiTheme="minorHAnsi"/>
              </w:rPr>
            </w:pPr>
          </w:p>
        </w:tc>
        <w:tc>
          <w:tcPr>
            <w:tcW w:w="6035" w:type="dxa"/>
            <w:vAlign w:val="center"/>
          </w:tcPr>
          <w:p w:rsidR="00EF6893" w:rsidRPr="00817B29" w:rsidRDefault="009278B8" w:rsidP="002D1275">
            <w:pPr>
              <w:pStyle w:val="ListParagraph"/>
              <w:numPr>
                <w:ilvl w:val="0"/>
                <w:numId w:val="9"/>
              </w:numPr>
              <w:spacing w:before="40" w:after="40"/>
              <w:ind w:left="257" w:hanging="2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The purpose of collecti</w:t>
            </w:r>
            <w:r w:rsidR="00386974" w:rsidRPr="00817B29">
              <w:rPr>
                <w:rFonts w:asciiTheme="minorHAnsi" w:hAnsiTheme="minorHAnsi"/>
              </w:rPr>
              <w:t>on of the information (i.e. r</w:t>
            </w:r>
            <w:r w:rsidRPr="00817B29">
              <w:rPr>
                <w:rFonts w:asciiTheme="minorHAnsi" w:hAnsiTheme="minorHAnsi"/>
              </w:rPr>
              <w:t xml:space="preserve">adiation </w:t>
            </w:r>
            <w:r w:rsidR="00386974" w:rsidRPr="00817B29">
              <w:rPr>
                <w:rFonts w:asciiTheme="minorHAnsi" w:hAnsiTheme="minorHAnsi"/>
              </w:rPr>
              <w:t>m</w:t>
            </w:r>
            <w:r w:rsidRPr="00817B29">
              <w:rPr>
                <w:rFonts w:asciiTheme="minorHAnsi" w:hAnsiTheme="minorHAnsi"/>
              </w:rPr>
              <w:t>anagement)</w:t>
            </w:r>
            <w:r w:rsidR="00476E9D" w:rsidRPr="00817B29">
              <w:rPr>
                <w:rFonts w:asciiTheme="minorHAnsi" w:hAnsiTheme="minorHAnsi"/>
              </w:rPr>
              <w:t>?</w:t>
            </w:r>
          </w:p>
        </w:tc>
        <w:tc>
          <w:tcPr>
            <w:tcW w:w="709" w:type="dxa"/>
            <w:vAlign w:val="center"/>
          </w:tcPr>
          <w:p w:rsidR="00EF6893" w:rsidRPr="00E42D73" w:rsidRDefault="00EF689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EF6893" w:rsidRPr="00E42D73" w:rsidRDefault="00EF689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EF6893" w:rsidRPr="00E42D73" w:rsidRDefault="00D8067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5.2</w:t>
            </w:r>
          </w:p>
        </w:tc>
      </w:tr>
      <w:tr w:rsidR="00EF6893" w:rsidRPr="00A77A7D"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EF6893" w:rsidRDefault="00EF6893" w:rsidP="00817B29">
            <w:pPr>
              <w:spacing w:before="40" w:after="40"/>
              <w:jc w:val="center"/>
              <w:rPr>
                <w:rFonts w:asciiTheme="minorHAnsi" w:hAnsiTheme="minorHAnsi"/>
              </w:rPr>
            </w:pPr>
          </w:p>
        </w:tc>
        <w:tc>
          <w:tcPr>
            <w:tcW w:w="6035" w:type="dxa"/>
            <w:vAlign w:val="center"/>
          </w:tcPr>
          <w:p w:rsidR="00EF6893" w:rsidRPr="00817B29" w:rsidRDefault="009278B8" w:rsidP="002D1275">
            <w:pPr>
              <w:pStyle w:val="ListParagraph"/>
              <w:numPr>
                <w:ilvl w:val="0"/>
                <w:numId w:val="9"/>
              </w:numPr>
              <w:spacing w:before="40" w:after="40"/>
              <w:ind w:left="257" w:hanging="2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Consequences to individuals for the information not being collected</w:t>
            </w:r>
            <w:r w:rsidR="00476E9D" w:rsidRPr="00817B29">
              <w:rPr>
                <w:rFonts w:asciiTheme="minorHAnsi" w:hAnsiTheme="minorHAnsi"/>
              </w:rPr>
              <w:t>?</w:t>
            </w:r>
          </w:p>
        </w:tc>
        <w:tc>
          <w:tcPr>
            <w:tcW w:w="709" w:type="dxa"/>
            <w:vAlign w:val="center"/>
          </w:tcPr>
          <w:p w:rsidR="00EF6893" w:rsidRPr="00E42D73" w:rsidRDefault="00EF689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EF6893" w:rsidRPr="00E42D73" w:rsidRDefault="00EF689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EF6893" w:rsidRPr="00E42D73" w:rsidRDefault="00D8067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5.2</w:t>
            </w:r>
          </w:p>
        </w:tc>
      </w:tr>
      <w:tr w:rsidR="00EF6893" w:rsidRPr="00A77A7D"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EF6893" w:rsidRDefault="00EF6893" w:rsidP="00817B29">
            <w:pPr>
              <w:spacing w:before="40" w:after="40"/>
              <w:jc w:val="center"/>
              <w:rPr>
                <w:rFonts w:asciiTheme="minorHAnsi" w:hAnsiTheme="minorHAnsi"/>
              </w:rPr>
            </w:pPr>
          </w:p>
        </w:tc>
        <w:tc>
          <w:tcPr>
            <w:tcW w:w="6035" w:type="dxa"/>
            <w:vAlign w:val="center"/>
          </w:tcPr>
          <w:p w:rsidR="00EF6893" w:rsidRPr="00817B29" w:rsidRDefault="009278B8" w:rsidP="002D1275">
            <w:pPr>
              <w:pStyle w:val="ListParagraph"/>
              <w:numPr>
                <w:ilvl w:val="0"/>
                <w:numId w:val="9"/>
              </w:numPr>
              <w:spacing w:before="40" w:after="40"/>
              <w:ind w:left="257" w:hanging="2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The privacy policy contains information how an individual can access and correct the information</w:t>
            </w:r>
            <w:r w:rsidR="00476E9D" w:rsidRPr="00817B29">
              <w:rPr>
                <w:rFonts w:asciiTheme="minorHAnsi" w:hAnsiTheme="minorHAnsi"/>
              </w:rPr>
              <w:t>?</w:t>
            </w:r>
          </w:p>
        </w:tc>
        <w:tc>
          <w:tcPr>
            <w:tcW w:w="709" w:type="dxa"/>
            <w:vAlign w:val="center"/>
          </w:tcPr>
          <w:p w:rsidR="00EF6893" w:rsidRPr="00E42D73" w:rsidRDefault="00EF689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EF6893" w:rsidRPr="00E42D73" w:rsidRDefault="00EF689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EF6893" w:rsidRPr="00E42D73" w:rsidRDefault="00D8067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5.2</w:t>
            </w:r>
          </w:p>
        </w:tc>
      </w:tr>
      <w:tr w:rsidR="009278B8" w:rsidRPr="00A77A7D"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9278B8" w:rsidRDefault="009278B8" w:rsidP="00817B29">
            <w:pPr>
              <w:spacing w:before="40" w:after="40"/>
              <w:jc w:val="center"/>
              <w:rPr>
                <w:rFonts w:asciiTheme="minorHAnsi" w:hAnsiTheme="minorHAnsi"/>
              </w:rPr>
            </w:pPr>
          </w:p>
        </w:tc>
        <w:tc>
          <w:tcPr>
            <w:tcW w:w="6035" w:type="dxa"/>
            <w:vAlign w:val="center"/>
          </w:tcPr>
          <w:p w:rsidR="009278B8" w:rsidRPr="00817B29" w:rsidRDefault="009278B8" w:rsidP="002D1275">
            <w:pPr>
              <w:pStyle w:val="ListParagraph"/>
              <w:numPr>
                <w:ilvl w:val="0"/>
                <w:numId w:val="9"/>
              </w:numPr>
              <w:spacing w:before="40" w:after="40"/>
              <w:ind w:left="257" w:hanging="2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That the privacy policy contains information how an individual may complain about a breach of the APPs and how it is dealt with</w:t>
            </w:r>
            <w:r w:rsidR="00476E9D" w:rsidRPr="00817B29">
              <w:rPr>
                <w:rFonts w:asciiTheme="minorHAnsi" w:hAnsiTheme="minorHAnsi"/>
              </w:rPr>
              <w:t>?</w:t>
            </w:r>
          </w:p>
        </w:tc>
        <w:tc>
          <w:tcPr>
            <w:tcW w:w="709" w:type="dxa"/>
            <w:vAlign w:val="center"/>
          </w:tcPr>
          <w:p w:rsidR="009278B8" w:rsidRPr="00E42D73" w:rsidRDefault="009278B8"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9278B8" w:rsidRPr="00E42D73" w:rsidRDefault="009278B8"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9278B8" w:rsidRPr="00E42D73" w:rsidRDefault="00D8067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5.2</w:t>
            </w:r>
          </w:p>
        </w:tc>
      </w:tr>
      <w:tr w:rsidR="009278B8" w:rsidRPr="00A77A7D"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9278B8" w:rsidRDefault="009278B8" w:rsidP="00817B29">
            <w:pPr>
              <w:spacing w:before="40" w:after="40"/>
              <w:jc w:val="center"/>
              <w:rPr>
                <w:rFonts w:asciiTheme="minorHAnsi" w:hAnsiTheme="minorHAnsi"/>
              </w:rPr>
            </w:pPr>
          </w:p>
        </w:tc>
        <w:tc>
          <w:tcPr>
            <w:tcW w:w="6035" w:type="dxa"/>
            <w:vAlign w:val="center"/>
          </w:tcPr>
          <w:p w:rsidR="009278B8" w:rsidRPr="00817B29" w:rsidRDefault="009278B8" w:rsidP="002D1275">
            <w:pPr>
              <w:pStyle w:val="ListParagraph"/>
              <w:numPr>
                <w:ilvl w:val="0"/>
                <w:numId w:val="9"/>
              </w:numPr>
              <w:spacing w:before="40" w:after="40"/>
              <w:ind w:left="257" w:hanging="2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Whether the APP entity will disclose personal</w:t>
            </w:r>
            <w:r w:rsidR="005A7C93" w:rsidRPr="00817B29">
              <w:rPr>
                <w:rFonts w:asciiTheme="minorHAnsi" w:hAnsiTheme="minorHAnsi"/>
              </w:rPr>
              <w:t xml:space="preserve"> </w:t>
            </w:r>
            <w:r w:rsidRPr="00817B29">
              <w:rPr>
                <w:rFonts w:asciiTheme="minorHAnsi" w:hAnsiTheme="minorHAnsi"/>
              </w:rPr>
              <w:t>information to any party in Australia (i.e. ANRDR)</w:t>
            </w:r>
            <w:r w:rsidR="00476E9D" w:rsidRPr="00817B29">
              <w:rPr>
                <w:rFonts w:asciiTheme="minorHAnsi" w:hAnsiTheme="minorHAnsi"/>
              </w:rPr>
              <w:t>?</w:t>
            </w:r>
          </w:p>
        </w:tc>
        <w:tc>
          <w:tcPr>
            <w:tcW w:w="709" w:type="dxa"/>
            <w:vAlign w:val="center"/>
          </w:tcPr>
          <w:p w:rsidR="009278B8" w:rsidRPr="00E42D73" w:rsidRDefault="009278B8"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9278B8" w:rsidRPr="00E42D73" w:rsidRDefault="009278B8"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9278B8" w:rsidRPr="00E42D73" w:rsidRDefault="00D8067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5.2</w:t>
            </w:r>
          </w:p>
        </w:tc>
      </w:tr>
      <w:tr w:rsidR="00F07E0C" w:rsidRPr="00A77A7D" w:rsidTr="00817B29">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F68C3F"/>
          </w:tcPr>
          <w:p w:rsidR="00F07E0C" w:rsidRPr="00E42D73" w:rsidRDefault="00476E9D" w:rsidP="002E428A">
            <w:pPr>
              <w:spacing w:before="40" w:after="40"/>
              <w:rPr>
                <w:rFonts w:asciiTheme="minorHAnsi" w:hAnsiTheme="minorHAnsi"/>
                <w:i/>
              </w:rPr>
            </w:pPr>
            <w:r>
              <w:rPr>
                <w:rFonts w:asciiTheme="minorHAnsi" w:hAnsiTheme="minorHAnsi"/>
                <w:i/>
              </w:rPr>
              <w:t xml:space="preserve">* </w:t>
            </w:r>
            <w:r w:rsidR="002E428A">
              <w:rPr>
                <w:rFonts w:asciiTheme="minorHAnsi" w:hAnsiTheme="minorHAnsi"/>
                <w:i/>
              </w:rPr>
              <w:t>Most workers monitored for radiation protection purposes are done so under the requirements of a Radiation Management Plan which is generally a legal requirement.</w:t>
            </w:r>
            <w:r>
              <w:rPr>
                <w:rFonts w:asciiTheme="minorHAnsi" w:hAnsiTheme="minorHAnsi"/>
                <w:i/>
              </w:rPr>
              <w:t xml:space="preserve"> </w:t>
            </w:r>
          </w:p>
        </w:tc>
      </w:tr>
    </w:tbl>
    <w:p w:rsidR="00053F6A" w:rsidRPr="00181B49" w:rsidRDefault="000111B6" w:rsidP="00053F6A">
      <w:r w:rsidRPr="00181B49">
        <w:lastRenderedPageBreak/>
        <w:t xml:space="preserve">The ANRDR has a range of communication tools available in its </w:t>
      </w:r>
      <w:r w:rsidR="006369CE">
        <w:t xml:space="preserve">Worker </w:t>
      </w:r>
      <w:r w:rsidRPr="00181B49">
        <w:t xml:space="preserve">Outreach </w:t>
      </w:r>
      <w:r w:rsidR="006369CE">
        <w:t>P</w:t>
      </w:r>
      <w:r w:rsidR="006369CE" w:rsidRPr="00181B49">
        <w:t xml:space="preserve">rogram </w:t>
      </w:r>
      <w:r w:rsidRPr="00181B49">
        <w:t>to assist an APP entity to engage workers and inform them that the</w:t>
      </w:r>
      <w:r w:rsidR="00985E55">
        <w:t>ir radiation dose records</w:t>
      </w:r>
      <w:r w:rsidR="00DF1A39">
        <w:t xml:space="preserve"> </w:t>
      </w:r>
      <w:r w:rsidRPr="00181B49">
        <w:t>will be disclosed to the ANRDR.</w:t>
      </w:r>
    </w:p>
    <w:p w:rsidR="00704103" w:rsidRPr="00D73630" w:rsidRDefault="00735CF6" w:rsidP="00D73630">
      <w:pPr>
        <w:pStyle w:val="Heading2"/>
        <w:keepLines w:val="0"/>
        <w:spacing w:before="240" w:line="240" w:lineRule="auto"/>
        <w:rPr>
          <w:color w:val="365F91" w:themeColor="accent1" w:themeShade="BF"/>
          <w:sz w:val="28"/>
        </w:rPr>
      </w:pPr>
      <w:bookmarkStart w:id="40" w:name="_Toc467501507"/>
      <w:bookmarkStart w:id="41" w:name="_Toc469305239"/>
      <w:r w:rsidRPr="00D73630">
        <w:rPr>
          <w:color w:val="365F91" w:themeColor="accent1" w:themeShade="BF"/>
          <w:sz w:val="28"/>
        </w:rPr>
        <w:t xml:space="preserve">APP 6 </w:t>
      </w:r>
      <w:r w:rsidR="00704103" w:rsidRPr="00D73630">
        <w:rPr>
          <w:color w:val="365F91" w:themeColor="accent1" w:themeShade="BF"/>
          <w:sz w:val="28"/>
        </w:rPr>
        <w:t>Use or Disclosure of Personal Information</w:t>
      </w:r>
      <w:bookmarkEnd w:id="40"/>
      <w:bookmarkEnd w:id="41"/>
    </w:p>
    <w:p w:rsidR="006027DD" w:rsidRPr="00181B49" w:rsidRDefault="00117311" w:rsidP="006027DD">
      <w:r w:rsidRPr="00181B49">
        <w:t>It is recommended that the Guideline for APP 6 be used to complete this section.</w:t>
      </w:r>
    </w:p>
    <w:p w:rsidR="00117311" w:rsidRPr="00817B29" w:rsidRDefault="00AA5D4B" w:rsidP="006027DD">
      <w:pPr>
        <w:rPr>
          <w:color w:val="365F91" w:themeColor="accent1" w:themeShade="BF"/>
        </w:rPr>
      </w:pPr>
      <w:hyperlink r:id="rId17" w:history="1">
        <w:r w:rsidR="00B04638" w:rsidRPr="00817B29">
          <w:rPr>
            <w:rStyle w:val="Hyperlink"/>
            <w:color w:val="365F91" w:themeColor="accent1" w:themeShade="BF"/>
          </w:rPr>
          <w:t>https://www.oaic.gov.au/agencies-and-organisations/app-guidelines/chapter-6-app-6-use-or-disclosure-of-personal-information</w:t>
        </w:r>
      </w:hyperlink>
      <w:r w:rsidR="00B04638" w:rsidRPr="00817B29">
        <w:rPr>
          <w:color w:val="365F91" w:themeColor="accent1" w:themeShade="BF"/>
        </w:rPr>
        <w:t xml:space="preserve"> </w:t>
      </w:r>
    </w:p>
    <w:p w:rsidR="006369CE" w:rsidRDefault="006369CE" w:rsidP="006027DD">
      <w:r>
        <w:t>Some of the responses relating to the ANRDR have been pre-filled for your convenience.</w:t>
      </w:r>
    </w:p>
    <w:p w:rsidR="00817B29" w:rsidRPr="00B04638" w:rsidRDefault="00817B29" w:rsidP="00817B29">
      <w:pPr>
        <w:spacing w:before="0" w:line="240" w:lineRule="auto"/>
      </w:pPr>
    </w:p>
    <w:tbl>
      <w:tblPr>
        <w:tblStyle w:val="BodyCell"/>
        <w:tblW w:w="9464" w:type="dxa"/>
        <w:tblLayout w:type="fixed"/>
        <w:tblLook w:val="06A0" w:firstRow="1" w:lastRow="0" w:firstColumn="1" w:lastColumn="0" w:noHBand="1" w:noVBand="1"/>
      </w:tblPr>
      <w:tblGrid>
        <w:gridCol w:w="877"/>
        <w:gridCol w:w="6035"/>
        <w:gridCol w:w="709"/>
        <w:gridCol w:w="709"/>
        <w:gridCol w:w="1134"/>
      </w:tblGrid>
      <w:tr w:rsidR="00704103" w:rsidRPr="00817B29" w:rsidTr="00817B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rsidR="00704103" w:rsidRPr="00817B29" w:rsidRDefault="00704103" w:rsidP="00817B29">
            <w:pPr>
              <w:spacing w:before="120" w:after="120"/>
              <w:rPr>
                <w:rFonts w:asciiTheme="minorHAnsi" w:hAnsiTheme="minorHAnsi"/>
                <w:b/>
              </w:rPr>
            </w:pPr>
            <w:r w:rsidRPr="00817B29">
              <w:rPr>
                <w:rFonts w:asciiTheme="minorHAnsi" w:hAnsiTheme="minorHAnsi"/>
                <w:b/>
              </w:rPr>
              <w:t>Use or Disclosure of Personal Information</w:t>
            </w:r>
          </w:p>
        </w:tc>
        <w:tc>
          <w:tcPr>
            <w:tcW w:w="709" w:type="dxa"/>
            <w:vAlign w:val="center"/>
          </w:tcPr>
          <w:p w:rsidR="00704103" w:rsidRPr="00817B29" w:rsidRDefault="00704103" w:rsidP="00817B29">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817B29">
              <w:rPr>
                <w:rFonts w:asciiTheme="minorHAnsi" w:hAnsiTheme="minorHAnsi"/>
                <w:b/>
              </w:rPr>
              <w:t>Y</w:t>
            </w:r>
          </w:p>
        </w:tc>
        <w:tc>
          <w:tcPr>
            <w:tcW w:w="709" w:type="dxa"/>
            <w:vAlign w:val="center"/>
          </w:tcPr>
          <w:p w:rsidR="00704103" w:rsidRPr="00817B29" w:rsidRDefault="00704103" w:rsidP="00817B29">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817B29">
              <w:rPr>
                <w:rFonts w:asciiTheme="minorHAnsi" w:hAnsiTheme="minorHAnsi"/>
                <w:b/>
              </w:rPr>
              <w:t>N</w:t>
            </w:r>
          </w:p>
        </w:tc>
        <w:tc>
          <w:tcPr>
            <w:tcW w:w="1134" w:type="dxa"/>
            <w:vAlign w:val="center"/>
          </w:tcPr>
          <w:p w:rsidR="00704103" w:rsidRPr="00817B29" w:rsidRDefault="00704103" w:rsidP="00817B29">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817B29">
              <w:rPr>
                <w:rFonts w:asciiTheme="minorHAnsi" w:hAnsiTheme="minorHAnsi"/>
                <w:b/>
              </w:rPr>
              <w:t>APP</w:t>
            </w:r>
          </w:p>
        </w:tc>
      </w:tr>
      <w:tr w:rsidR="00704103" w:rsidRPr="00817B29"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704103" w:rsidRPr="00817B29" w:rsidRDefault="00693DA4" w:rsidP="00817B29">
            <w:pPr>
              <w:spacing w:before="40" w:after="40"/>
              <w:jc w:val="center"/>
              <w:rPr>
                <w:rFonts w:asciiTheme="minorHAnsi" w:hAnsiTheme="minorHAnsi"/>
              </w:rPr>
            </w:pPr>
            <w:r w:rsidRPr="00817B29">
              <w:rPr>
                <w:rFonts w:asciiTheme="minorHAnsi" w:hAnsiTheme="minorHAnsi"/>
              </w:rPr>
              <w:t>4</w:t>
            </w:r>
            <w:r w:rsidR="00B62DB4" w:rsidRPr="00817B29">
              <w:rPr>
                <w:rFonts w:asciiTheme="minorHAnsi" w:hAnsiTheme="minorHAnsi"/>
              </w:rPr>
              <w:t>.6.1</w:t>
            </w:r>
          </w:p>
        </w:tc>
        <w:tc>
          <w:tcPr>
            <w:tcW w:w="6035" w:type="dxa"/>
            <w:vAlign w:val="center"/>
          </w:tcPr>
          <w:p w:rsidR="00704103" w:rsidRPr="00817B29" w:rsidRDefault="00086231" w:rsidP="008404B8">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 xml:space="preserve">Has the disclosure of dose records to the ANRDR been established as </w:t>
            </w:r>
            <w:r w:rsidR="008404B8">
              <w:rPr>
                <w:rFonts w:asciiTheme="minorHAnsi" w:hAnsiTheme="minorHAnsi"/>
              </w:rPr>
              <w:t xml:space="preserve">part </w:t>
            </w:r>
            <w:r w:rsidRPr="00817B29">
              <w:rPr>
                <w:rFonts w:asciiTheme="minorHAnsi" w:hAnsiTheme="minorHAnsi"/>
              </w:rPr>
              <w:t>of the primary purpose of collection?</w:t>
            </w:r>
          </w:p>
        </w:tc>
        <w:tc>
          <w:tcPr>
            <w:tcW w:w="709" w:type="dxa"/>
            <w:vAlign w:val="center"/>
          </w:tcPr>
          <w:p w:rsidR="00704103" w:rsidRPr="00817B29" w:rsidRDefault="0070410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704103" w:rsidRPr="00817B29" w:rsidRDefault="0070410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704103" w:rsidRPr="00817B29" w:rsidRDefault="00996A8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6.1</w:t>
            </w:r>
          </w:p>
        </w:tc>
      </w:tr>
      <w:tr w:rsidR="009C1302" w:rsidRPr="00817B29"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9C1302" w:rsidRPr="00817B29" w:rsidRDefault="009C1302" w:rsidP="00817B29">
            <w:pPr>
              <w:spacing w:before="40" w:after="40"/>
              <w:jc w:val="center"/>
              <w:rPr>
                <w:rFonts w:asciiTheme="minorHAnsi" w:hAnsiTheme="minorHAnsi"/>
              </w:rPr>
            </w:pPr>
            <w:r w:rsidRPr="00817B29">
              <w:rPr>
                <w:rFonts w:asciiTheme="minorHAnsi" w:hAnsiTheme="minorHAnsi"/>
              </w:rPr>
              <w:t>4.6.2</w:t>
            </w:r>
          </w:p>
        </w:tc>
        <w:tc>
          <w:tcPr>
            <w:tcW w:w="6035" w:type="dxa"/>
            <w:vAlign w:val="center"/>
          </w:tcPr>
          <w:p w:rsidR="009C1302" w:rsidRPr="00817B29" w:rsidRDefault="009C1302" w:rsidP="00817B2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 xml:space="preserve">Is the information </w:t>
            </w:r>
            <w:r w:rsidR="00D34290" w:rsidRPr="00817B29">
              <w:rPr>
                <w:rFonts w:asciiTheme="minorHAnsi" w:hAnsiTheme="minorHAnsi"/>
              </w:rPr>
              <w:t xml:space="preserve">disclosed to the ANRDR </w:t>
            </w:r>
            <w:r w:rsidRPr="00817B29">
              <w:rPr>
                <w:rFonts w:asciiTheme="minorHAnsi" w:hAnsiTheme="minorHAnsi"/>
              </w:rPr>
              <w:t>used or disclosed for a secondary purpose?</w:t>
            </w:r>
          </w:p>
        </w:tc>
        <w:tc>
          <w:tcPr>
            <w:tcW w:w="709" w:type="dxa"/>
            <w:vAlign w:val="center"/>
          </w:tcPr>
          <w:p w:rsidR="009C1302" w:rsidRPr="00817B29" w:rsidRDefault="00086231"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X</w:t>
            </w:r>
          </w:p>
        </w:tc>
        <w:tc>
          <w:tcPr>
            <w:tcW w:w="709" w:type="dxa"/>
            <w:vAlign w:val="center"/>
          </w:tcPr>
          <w:p w:rsidR="009C1302" w:rsidRPr="00817B29" w:rsidRDefault="009C1302"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9C1302" w:rsidRPr="00817B29" w:rsidRDefault="009C1302"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6.1</w:t>
            </w:r>
          </w:p>
        </w:tc>
      </w:tr>
      <w:tr w:rsidR="00AF2399" w:rsidRPr="00817B29"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AF2399" w:rsidRPr="00817B29" w:rsidRDefault="00AF2399" w:rsidP="00817B29">
            <w:pPr>
              <w:spacing w:before="40" w:after="40"/>
              <w:jc w:val="center"/>
              <w:rPr>
                <w:rFonts w:asciiTheme="minorHAnsi" w:hAnsiTheme="minorHAnsi"/>
              </w:rPr>
            </w:pPr>
            <w:r w:rsidRPr="00817B29">
              <w:rPr>
                <w:rFonts w:asciiTheme="minorHAnsi" w:hAnsiTheme="minorHAnsi"/>
              </w:rPr>
              <w:t>4.6.3</w:t>
            </w:r>
          </w:p>
        </w:tc>
        <w:tc>
          <w:tcPr>
            <w:tcW w:w="6035" w:type="dxa"/>
            <w:vAlign w:val="center"/>
          </w:tcPr>
          <w:p w:rsidR="00AF2399" w:rsidRPr="00817B29" w:rsidRDefault="00AF2399" w:rsidP="00817B2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 xml:space="preserve">Is the disclosure </w:t>
            </w:r>
            <w:r w:rsidR="00932735" w:rsidRPr="00817B29">
              <w:rPr>
                <w:rFonts w:asciiTheme="minorHAnsi" w:hAnsiTheme="minorHAnsi"/>
              </w:rPr>
              <w:t xml:space="preserve">of information from </w:t>
            </w:r>
            <w:r w:rsidR="00FE1E2A" w:rsidRPr="00817B29">
              <w:rPr>
                <w:rFonts w:asciiTheme="minorHAnsi" w:hAnsiTheme="minorHAnsi"/>
              </w:rPr>
              <w:t xml:space="preserve">the ANRDR </w:t>
            </w:r>
            <w:r w:rsidRPr="00817B29">
              <w:rPr>
                <w:rFonts w:asciiTheme="minorHAnsi" w:hAnsiTheme="minorHAnsi"/>
              </w:rPr>
              <w:t>directly related to the primary purpose?</w:t>
            </w:r>
          </w:p>
        </w:tc>
        <w:tc>
          <w:tcPr>
            <w:tcW w:w="709" w:type="dxa"/>
            <w:vAlign w:val="center"/>
          </w:tcPr>
          <w:p w:rsidR="00AF2399" w:rsidRPr="00817B29" w:rsidRDefault="00086231"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X</w:t>
            </w: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AF2399" w:rsidRPr="00817B29" w:rsidRDefault="00A120B1"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6.2</w:t>
            </w:r>
          </w:p>
        </w:tc>
      </w:tr>
      <w:tr w:rsidR="00AF2399" w:rsidRPr="00817B29"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AF2399" w:rsidRPr="00817B29" w:rsidRDefault="00AF2399" w:rsidP="00817B29">
            <w:pPr>
              <w:spacing w:before="40" w:after="40"/>
              <w:jc w:val="center"/>
              <w:rPr>
                <w:rFonts w:asciiTheme="minorHAnsi" w:hAnsiTheme="minorHAnsi"/>
              </w:rPr>
            </w:pPr>
            <w:r w:rsidRPr="00817B29">
              <w:rPr>
                <w:rFonts w:asciiTheme="minorHAnsi" w:hAnsiTheme="minorHAnsi"/>
              </w:rPr>
              <w:t>4.6.4</w:t>
            </w:r>
          </w:p>
        </w:tc>
        <w:tc>
          <w:tcPr>
            <w:tcW w:w="6035" w:type="dxa"/>
            <w:vAlign w:val="center"/>
          </w:tcPr>
          <w:p w:rsidR="00AF2399" w:rsidRPr="00817B29" w:rsidRDefault="00AF2399" w:rsidP="00817B2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Has the individual consented to the use or disclosure?</w:t>
            </w: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6.1</w:t>
            </w:r>
          </w:p>
        </w:tc>
      </w:tr>
      <w:tr w:rsidR="00AF2399" w:rsidRPr="00817B29" w:rsidTr="00735D70">
        <w:tc>
          <w:tcPr>
            <w:cnfStyle w:val="001000000000" w:firstRow="0" w:lastRow="0" w:firstColumn="1" w:lastColumn="0" w:oddVBand="0" w:evenVBand="0" w:oddHBand="0" w:evenHBand="0" w:firstRowFirstColumn="0" w:firstRowLastColumn="0" w:lastRowFirstColumn="0" w:lastRowLastColumn="0"/>
            <w:tcW w:w="877" w:type="dxa"/>
            <w:vMerge w:val="restart"/>
            <w:vAlign w:val="center"/>
          </w:tcPr>
          <w:p w:rsidR="00AF2399" w:rsidRPr="00817B29" w:rsidRDefault="00AF2399" w:rsidP="00735D70">
            <w:pPr>
              <w:spacing w:before="40" w:after="40"/>
              <w:jc w:val="center"/>
              <w:rPr>
                <w:rFonts w:asciiTheme="minorHAnsi" w:hAnsiTheme="minorHAnsi"/>
              </w:rPr>
            </w:pPr>
            <w:r w:rsidRPr="00817B29">
              <w:rPr>
                <w:rFonts w:asciiTheme="minorHAnsi" w:hAnsiTheme="minorHAnsi"/>
              </w:rPr>
              <w:t>4.6.5</w:t>
            </w:r>
          </w:p>
        </w:tc>
        <w:tc>
          <w:tcPr>
            <w:tcW w:w="6035" w:type="dxa"/>
            <w:vAlign w:val="center"/>
          </w:tcPr>
          <w:p w:rsidR="00AF2399" w:rsidRPr="00817B29" w:rsidRDefault="00173B87" w:rsidP="00817B2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If NO to 4.6.4</w:t>
            </w:r>
            <w:r w:rsidR="00E92B66" w:rsidRPr="00817B29">
              <w:rPr>
                <w:rFonts w:asciiTheme="minorHAnsi" w:hAnsiTheme="minorHAnsi"/>
              </w:rPr>
              <w:t>,</w:t>
            </w:r>
            <w:r w:rsidR="00AF2399" w:rsidRPr="00817B29">
              <w:rPr>
                <w:rFonts w:asciiTheme="minorHAnsi" w:hAnsiTheme="minorHAnsi"/>
              </w:rPr>
              <w:t xml:space="preserve"> which of the following exemptions apply</w:t>
            </w:r>
            <w:r w:rsidR="00E92B66" w:rsidRPr="00817B29">
              <w:rPr>
                <w:rFonts w:asciiTheme="minorHAnsi" w:hAnsiTheme="minorHAnsi"/>
              </w:rPr>
              <w:t>?</w:t>
            </w: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Merge w:val="restart"/>
            <w:vAlign w:val="center"/>
          </w:tcPr>
          <w:p w:rsidR="00AF2399" w:rsidRPr="00817B29" w:rsidRDefault="00AF2399" w:rsidP="00735D70">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6.2</w:t>
            </w:r>
          </w:p>
        </w:tc>
      </w:tr>
      <w:tr w:rsidR="00AF2399" w:rsidRPr="00817B29" w:rsidTr="00817B29">
        <w:tc>
          <w:tcPr>
            <w:cnfStyle w:val="001000000000" w:firstRow="0" w:lastRow="0" w:firstColumn="1" w:lastColumn="0" w:oddVBand="0" w:evenVBand="0" w:oddHBand="0" w:evenHBand="0" w:firstRowFirstColumn="0" w:firstRowLastColumn="0" w:lastRowFirstColumn="0" w:lastRowLastColumn="0"/>
            <w:tcW w:w="877" w:type="dxa"/>
            <w:vMerge/>
            <w:vAlign w:val="center"/>
          </w:tcPr>
          <w:p w:rsidR="00AF2399" w:rsidRPr="00817B29" w:rsidRDefault="00AF2399" w:rsidP="00817B29">
            <w:pPr>
              <w:spacing w:before="40" w:after="40"/>
              <w:jc w:val="center"/>
              <w:rPr>
                <w:rFonts w:asciiTheme="minorHAnsi" w:hAnsiTheme="minorHAnsi"/>
              </w:rPr>
            </w:pPr>
          </w:p>
        </w:tc>
        <w:tc>
          <w:tcPr>
            <w:tcW w:w="6035" w:type="dxa"/>
            <w:vAlign w:val="center"/>
          </w:tcPr>
          <w:p w:rsidR="00AF2399" w:rsidRPr="00817B29" w:rsidRDefault="00AF2399" w:rsidP="002D1275">
            <w:pPr>
              <w:pStyle w:val="ListParagraph"/>
              <w:numPr>
                <w:ilvl w:val="0"/>
                <w:numId w:val="9"/>
              </w:numPr>
              <w:spacing w:before="40" w:after="40"/>
              <w:ind w:left="257" w:hanging="2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 xml:space="preserve">Is the use or disclosure </w:t>
            </w:r>
            <w:r w:rsidRPr="00817B29">
              <w:rPr>
                <w:rFonts w:asciiTheme="minorHAnsi" w:hAnsiTheme="minorHAnsi"/>
                <w:lang w:val="en-AU"/>
              </w:rPr>
              <w:t>authorised</w:t>
            </w:r>
            <w:r w:rsidRPr="00817B29">
              <w:rPr>
                <w:rFonts w:asciiTheme="minorHAnsi" w:hAnsiTheme="minorHAnsi"/>
              </w:rPr>
              <w:t xml:space="preserve"> by law?</w:t>
            </w: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Merge/>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F2399" w:rsidRPr="00817B29" w:rsidTr="00817B29">
        <w:tc>
          <w:tcPr>
            <w:cnfStyle w:val="001000000000" w:firstRow="0" w:lastRow="0" w:firstColumn="1" w:lastColumn="0" w:oddVBand="0" w:evenVBand="0" w:oddHBand="0" w:evenHBand="0" w:firstRowFirstColumn="0" w:firstRowLastColumn="0" w:lastRowFirstColumn="0" w:lastRowLastColumn="0"/>
            <w:tcW w:w="877" w:type="dxa"/>
            <w:vMerge/>
            <w:vAlign w:val="center"/>
          </w:tcPr>
          <w:p w:rsidR="00AF2399" w:rsidRPr="00817B29" w:rsidRDefault="00AF2399" w:rsidP="00817B29">
            <w:pPr>
              <w:spacing w:before="40" w:after="40"/>
              <w:jc w:val="center"/>
              <w:rPr>
                <w:rFonts w:asciiTheme="minorHAnsi" w:hAnsiTheme="minorHAnsi"/>
              </w:rPr>
            </w:pPr>
          </w:p>
        </w:tc>
        <w:tc>
          <w:tcPr>
            <w:tcW w:w="6035" w:type="dxa"/>
            <w:vAlign w:val="center"/>
          </w:tcPr>
          <w:p w:rsidR="00AF2399" w:rsidRPr="00817B29" w:rsidRDefault="00AF2399" w:rsidP="002D1275">
            <w:pPr>
              <w:pStyle w:val="ListParagraph"/>
              <w:numPr>
                <w:ilvl w:val="0"/>
                <w:numId w:val="9"/>
              </w:numPr>
              <w:spacing w:before="40" w:after="40"/>
              <w:ind w:left="257" w:hanging="2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Would the individual reasonably expect the use or disclosure and is the secondary purpose related to the primary purpose of collection*?</w:t>
            </w: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Merge/>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F2399" w:rsidRPr="00817B29"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AF2399" w:rsidRPr="00817B29" w:rsidRDefault="00AF2399" w:rsidP="00817B29">
            <w:pPr>
              <w:spacing w:before="40" w:after="40"/>
              <w:jc w:val="center"/>
              <w:rPr>
                <w:rFonts w:asciiTheme="minorHAnsi" w:hAnsiTheme="minorHAnsi"/>
              </w:rPr>
            </w:pPr>
            <w:r w:rsidRPr="00817B29">
              <w:rPr>
                <w:rFonts w:asciiTheme="minorHAnsi" w:hAnsiTheme="minorHAnsi"/>
              </w:rPr>
              <w:t>4.6.6</w:t>
            </w:r>
          </w:p>
        </w:tc>
        <w:tc>
          <w:tcPr>
            <w:tcW w:w="6035" w:type="dxa"/>
            <w:vAlign w:val="center"/>
          </w:tcPr>
          <w:p w:rsidR="00AF2399" w:rsidRPr="00817B29" w:rsidRDefault="00AF2399" w:rsidP="00817B2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If the APP entity is an agency</w:t>
            </w:r>
            <w:r w:rsidR="00E92B66" w:rsidRPr="00817B29">
              <w:rPr>
                <w:rFonts w:asciiTheme="minorHAnsi" w:hAnsiTheme="minorHAnsi"/>
              </w:rPr>
              <w:t>,</w:t>
            </w:r>
            <w:r w:rsidR="009B5A57" w:rsidRPr="00817B29">
              <w:rPr>
                <w:rFonts w:asciiTheme="minorHAnsi" w:hAnsiTheme="minorHAnsi"/>
              </w:rPr>
              <w:t xml:space="preserve"> i</w:t>
            </w:r>
            <w:r w:rsidRPr="00817B29">
              <w:rPr>
                <w:rFonts w:asciiTheme="minorHAnsi" w:hAnsiTheme="minorHAnsi"/>
              </w:rPr>
              <w:t>s the personal information biometric?</w:t>
            </w: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AF2399" w:rsidRPr="00817B29" w:rsidRDefault="00A120B1"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X</w:t>
            </w:r>
          </w:p>
        </w:tc>
        <w:tc>
          <w:tcPr>
            <w:tcW w:w="1134"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6.3</w:t>
            </w:r>
          </w:p>
        </w:tc>
      </w:tr>
      <w:tr w:rsidR="00AF2399" w:rsidRPr="00817B29"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AF2399" w:rsidRPr="00817B29" w:rsidRDefault="00AF2399" w:rsidP="00817B29">
            <w:pPr>
              <w:spacing w:before="40" w:after="40"/>
              <w:jc w:val="center"/>
              <w:rPr>
                <w:rFonts w:asciiTheme="minorHAnsi" w:hAnsiTheme="minorHAnsi"/>
              </w:rPr>
            </w:pPr>
            <w:r w:rsidRPr="00817B29">
              <w:rPr>
                <w:rFonts w:asciiTheme="minorHAnsi" w:hAnsiTheme="minorHAnsi"/>
              </w:rPr>
              <w:t>4.6.7</w:t>
            </w:r>
          </w:p>
        </w:tc>
        <w:tc>
          <w:tcPr>
            <w:tcW w:w="6035" w:type="dxa"/>
            <w:vAlign w:val="center"/>
          </w:tcPr>
          <w:p w:rsidR="00AF2399" w:rsidRPr="00817B29" w:rsidRDefault="00A120B1" w:rsidP="00817B2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 xml:space="preserve">If the APP entity is an </w:t>
            </w:r>
            <w:r w:rsidR="00E92B66" w:rsidRPr="00817B29">
              <w:rPr>
                <w:rFonts w:asciiTheme="minorHAnsi" w:hAnsiTheme="minorHAnsi"/>
                <w:lang w:val="en-AU"/>
              </w:rPr>
              <w:t>organisation</w:t>
            </w:r>
            <w:r w:rsidR="00E92B66" w:rsidRPr="00817B29">
              <w:rPr>
                <w:rFonts w:asciiTheme="minorHAnsi" w:hAnsiTheme="minorHAnsi"/>
              </w:rPr>
              <w:t>,</w:t>
            </w:r>
            <w:r w:rsidRPr="00817B29">
              <w:rPr>
                <w:rFonts w:asciiTheme="minorHAnsi" w:hAnsiTheme="minorHAnsi"/>
              </w:rPr>
              <w:t xml:space="preserve"> does subsection 16B(2) </w:t>
            </w:r>
            <w:r w:rsidR="00237169" w:rsidRPr="00817B29">
              <w:rPr>
                <w:rFonts w:asciiTheme="minorHAnsi" w:hAnsiTheme="minorHAnsi"/>
              </w:rPr>
              <w:t xml:space="preserve">(permitted health situation) </w:t>
            </w:r>
            <w:r w:rsidRPr="00817B29">
              <w:rPr>
                <w:rFonts w:asciiTheme="minorHAnsi" w:hAnsiTheme="minorHAnsi"/>
              </w:rPr>
              <w:t>apply</w:t>
            </w:r>
            <w:r w:rsidR="00237169" w:rsidRPr="00817B29">
              <w:rPr>
                <w:rFonts w:asciiTheme="minorHAnsi" w:hAnsiTheme="minorHAnsi"/>
                <w:vertAlign w:val="superscript"/>
              </w:rPr>
              <w:t>^</w:t>
            </w:r>
            <w:r w:rsidRPr="00817B29">
              <w:rPr>
                <w:rFonts w:asciiTheme="minorHAnsi" w:hAnsiTheme="minorHAnsi"/>
              </w:rPr>
              <w:t>?</w:t>
            </w: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AF2399" w:rsidRPr="00817B29" w:rsidRDefault="00A120B1"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X</w:t>
            </w:r>
          </w:p>
        </w:tc>
        <w:tc>
          <w:tcPr>
            <w:tcW w:w="1134"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6.4</w:t>
            </w:r>
          </w:p>
        </w:tc>
      </w:tr>
      <w:tr w:rsidR="00AF2399" w:rsidRPr="00817B29"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AF2399" w:rsidRPr="00817B29" w:rsidRDefault="00AF2399" w:rsidP="00817B29">
            <w:pPr>
              <w:spacing w:before="40" w:after="40"/>
              <w:jc w:val="center"/>
              <w:rPr>
                <w:rFonts w:asciiTheme="minorHAnsi" w:hAnsiTheme="minorHAnsi"/>
              </w:rPr>
            </w:pPr>
            <w:r w:rsidRPr="00817B29">
              <w:rPr>
                <w:rFonts w:asciiTheme="minorHAnsi" w:hAnsiTheme="minorHAnsi"/>
              </w:rPr>
              <w:t>4.6.9</w:t>
            </w:r>
          </w:p>
        </w:tc>
        <w:tc>
          <w:tcPr>
            <w:tcW w:w="6035" w:type="dxa"/>
            <w:vAlign w:val="center"/>
          </w:tcPr>
          <w:p w:rsidR="00AF2399" w:rsidRPr="00817B29" w:rsidRDefault="00AF2399" w:rsidP="00817B2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 xml:space="preserve">Is the purpose of disclosure of information </w:t>
            </w:r>
            <w:r w:rsidR="00353A23" w:rsidRPr="00817B29">
              <w:rPr>
                <w:rFonts w:asciiTheme="minorHAnsi" w:hAnsiTheme="minorHAnsi"/>
              </w:rPr>
              <w:t xml:space="preserve">from </w:t>
            </w:r>
            <w:r w:rsidR="000E3CCD" w:rsidRPr="00817B29">
              <w:rPr>
                <w:rFonts w:asciiTheme="minorHAnsi" w:hAnsiTheme="minorHAnsi"/>
              </w:rPr>
              <w:t xml:space="preserve">the ANRDR </w:t>
            </w:r>
            <w:r w:rsidRPr="00817B29">
              <w:rPr>
                <w:rFonts w:asciiTheme="minorHAnsi" w:hAnsiTheme="minorHAnsi"/>
              </w:rPr>
              <w:t>available to workers in written form?</w:t>
            </w:r>
          </w:p>
        </w:tc>
        <w:tc>
          <w:tcPr>
            <w:tcW w:w="709" w:type="dxa"/>
            <w:vAlign w:val="center"/>
          </w:tcPr>
          <w:p w:rsidR="00AF2399" w:rsidRPr="00817B29" w:rsidRDefault="002F772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X</w:t>
            </w: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6.5</w:t>
            </w:r>
          </w:p>
        </w:tc>
      </w:tr>
      <w:tr w:rsidR="00AF2399" w:rsidRPr="00817B29"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AF2399" w:rsidRPr="00817B29" w:rsidRDefault="00655F6F" w:rsidP="00817B29">
            <w:pPr>
              <w:spacing w:before="40" w:after="40"/>
              <w:jc w:val="center"/>
              <w:rPr>
                <w:rFonts w:asciiTheme="minorHAnsi" w:hAnsiTheme="minorHAnsi"/>
              </w:rPr>
            </w:pPr>
            <w:r w:rsidRPr="00817B29">
              <w:rPr>
                <w:rFonts w:asciiTheme="minorHAnsi" w:hAnsiTheme="minorHAnsi"/>
              </w:rPr>
              <w:t>4.6.10</w:t>
            </w:r>
          </w:p>
        </w:tc>
        <w:tc>
          <w:tcPr>
            <w:tcW w:w="6035" w:type="dxa"/>
            <w:vAlign w:val="center"/>
          </w:tcPr>
          <w:p w:rsidR="00AF2399" w:rsidRPr="00817B29" w:rsidRDefault="00AF2399" w:rsidP="00817B2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 xml:space="preserve">Is personal information </w:t>
            </w:r>
            <w:r w:rsidR="00353A23" w:rsidRPr="00817B29">
              <w:rPr>
                <w:rFonts w:asciiTheme="minorHAnsi" w:hAnsiTheme="minorHAnsi"/>
              </w:rPr>
              <w:t xml:space="preserve">in the ANRDR </w:t>
            </w:r>
            <w:r w:rsidRPr="00817B29">
              <w:rPr>
                <w:rFonts w:asciiTheme="minorHAnsi" w:hAnsiTheme="minorHAnsi"/>
              </w:rPr>
              <w:t>disclosed for marketing purposes?</w:t>
            </w: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AF2399" w:rsidRPr="00817B29" w:rsidRDefault="00353A2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X</w:t>
            </w:r>
          </w:p>
        </w:tc>
        <w:tc>
          <w:tcPr>
            <w:tcW w:w="1134"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6.7</w:t>
            </w:r>
          </w:p>
        </w:tc>
      </w:tr>
      <w:tr w:rsidR="00AF2399" w:rsidRPr="00817B29" w:rsidTr="00817B29">
        <w:tc>
          <w:tcPr>
            <w:cnfStyle w:val="001000000000" w:firstRow="0" w:lastRow="0" w:firstColumn="1" w:lastColumn="0" w:oddVBand="0" w:evenVBand="0" w:oddHBand="0" w:evenHBand="0" w:firstRowFirstColumn="0" w:firstRowLastColumn="0" w:lastRowFirstColumn="0" w:lastRowLastColumn="0"/>
            <w:tcW w:w="877" w:type="dxa"/>
            <w:vAlign w:val="center"/>
          </w:tcPr>
          <w:p w:rsidR="00AF2399" w:rsidRPr="00817B29" w:rsidRDefault="00655F6F" w:rsidP="00817B29">
            <w:pPr>
              <w:spacing w:before="40" w:after="40"/>
              <w:jc w:val="center"/>
              <w:rPr>
                <w:rFonts w:asciiTheme="minorHAnsi" w:hAnsiTheme="minorHAnsi"/>
              </w:rPr>
            </w:pPr>
            <w:r w:rsidRPr="00817B29">
              <w:rPr>
                <w:rFonts w:asciiTheme="minorHAnsi" w:hAnsiTheme="minorHAnsi"/>
              </w:rPr>
              <w:t>4.6.11</w:t>
            </w:r>
          </w:p>
        </w:tc>
        <w:tc>
          <w:tcPr>
            <w:tcW w:w="6035" w:type="dxa"/>
            <w:vAlign w:val="center"/>
          </w:tcPr>
          <w:p w:rsidR="00AF2399" w:rsidRPr="00817B29" w:rsidRDefault="00AF2399" w:rsidP="00817B2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 xml:space="preserve">Are </w:t>
            </w:r>
            <w:r w:rsidR="00E92B66" w:rsidRPr="00817B29">
              <w:rPr>
                <w:rFonts w:asciiTheme="minorHAnsi" w:hAnsiTheme="minorHAnsi"/>
              </w:rPr>
              <w:t>government-</w:t>
            </w:r>
            <w:r w:rsidRPr="00817B29">
              <w:rPr>
                <w:rFonts w:asciiTheme="minorHAnsi" w:hAnsiTheme="minorHAnsi"/>
              </w:rPr>
              <w:t>related identifiers disclosed</w:t>
            </w:r>
            <w:r w:rsidR="000E3CCD" w:rsidRPr="00817B29">
              <w:rPr>
                <w:rFonts w:asciiTheme="minorHAnsi" w:hAnsiTheme="minorHAnsi"/>
              </w:rPr>
              <w:t xml:space="preserve"> by the ANRDR</w:t>
            </w:r>
            <w:r w:rsidRPr="00817B29">
              <w:rPr>
                <w:rFonts w:asciiTheme="minorHAnsi" w:hAnsiTheme="minorHAnsi"/>
              </w:rPr>
              <w:t>?</w:t>
            </w:r>
          </w:p>
        </w:tc>
        <w:tc>
          <w:tcPr>
            <w:tcW w:w="709"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AF2399" w:rsidRPr="00817B29" w:rsidRDefault="002F7723"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X</w:t>
            </w:r>
          </w:p>
        </w:tc>
        <w:tc>
          <w:tcPr>
            <w:tcW w:w="1134" w:type="dxa"/>
            <w:vAlign w:val="center"/>
          </w:tcPr>
          <w:p w:rsidR="00AF2399" w:rsidRPr="00817B29" w:rsidRDefault="00AF2399"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17B29">
              <w:rPr>
                <w:rFonts w:asciiTheme="minorHAnsi" w:hAnsiTheme="minorHAnsi"/>
              </w:rPr>
              <w:t>6.7</w:t>
            </w:r>
          </w:p>
        </w:tc>
      </w:tr>
      <w:tr w:rsidR="00AF2399" w:rsidRPr="00817B29" w:rsidTr="00817B29">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F68C3F"/>
          </w:tcPr>
          <w:p w:rsidR="00181B49" w:rsidRPr="00817B29" w:rsidRDefault="00181B49" w:rsidP="00817B29">
            <w:pPr>
              <w:spacing w:before="40" w:after="40"/>
              <w:rPr>
                <w:rFonts w:asciiTheme="minorHAnsi" w:hAnsiTheme="minorHAnsi"/>
                <w:i/>
              </w:rPr>
            </w:pPr>
            <w:r w:rsidRPr="00817B29">
              <w:rPr>
                <w:rFonts w:asciiTheme="minorHAnsi" w:hAnsiTheme="minorHAnsi"/>
                <w:i/>
              </w:rPr>
              <w:t>*</w:t>
            </w:r>
            <w:r w:rsidR="0081567B" w:rsidRPr="00817B29">
              <w:rPr>
                <w:rFonts w:asciiTheme="minorHAnsi" w:hAnsiTheme="minorHAnsi"/>
                <w:i/>
              </w:rPr>
              <w:t xml:space="preserve"> </w:t>
            </w:r>
            <w:r w:rsidRPr="00817B29">
              <w:rPr>
                <w:rFonts w:asciiTheme="minorHAnsi" w:hAnsiTheme="minorHAnsi"/>
                <w:i/>
              </w:rPr>
              <w:t>Guidelines for APP 6 describe reasonable expectations and include an example where an entity has notified the individual of the particular secondary purpose.</w:t>
            </w:r>
          </w:p>
          <w:p w:rsidR="0081567B" w:rsidRPr="00817B29" w:rsidRDefault="0081567B" w:rsidP="00817B29">
            <w:pPr>
              <w:spacing w:before="40" w:after="40"/>
              <w:rPr>
                <w:rFonts w:asciiTheme="minorHAnsi" w:hAnsiTheme="minorHAnsi"/>
                <w:i/>
              </w:rPr>
            </w:pPr>
            <w:r w:rsidRPr="00817B29">
              <w:rPr>
                <w:rFonts w:asciiTheme="minorHAnsi" w:hAnsiTheme="minorHAnsi"/>
                <w:i/>
              </w:rPr>
              <w:t xml:space="preserve">^ </w:t>
            </w:r>
            <w:r w:rsidR="00DA121E" w:rsidRPr="00817B29">
              <w:rPr>
                <w:rFonts w:asciiTheme="minorHAnsi" w:hAnsiTheme="minorHAnsi"/>
                <w:i/>
              </w:rPr>
              <w:t>16B(2) relates to a permitted health situation for the collection of health information about an individual for:</w:t>
            </w:r>
          </w:p>
          <w:p w:rsidR="00DA121E" w:rsidRPr="00817B29" w:rsidRDefault="00DA121E" w:rsidP="002D1275">
            <w:pPr>
              <w:pStyle w:val="ListParagraph"/>
              <w:numPr>
                <w:ilvl w:val="0"/>
                <w:numId w:val="10"/>
              </w:numPr>
              <w:spacing w:before="40" w:after="40"/>
              <w:ind w:left="284" w:hanging="284"/>
              <w:rPr>
                <w:rFonts w:asciiTheme="minorHAnsi" w:hAnsiTheme="minorHAnsi"/>
              </w:rPr>
            </w:pPr>
            <w:r w:rsidRPr="00817B29">
              <w:rPr>
                <w:rFonts w:asciiTheme="minorHAnsi" w:hAnsiTheme="minorHAnsi"/>
              </w:rPr>
              <w:t>Research relevant to public health or public safety</w:t>
            </w:r>
          </w:p>
          <w:p w:rsidR="00DA121E" w:rsidRPr="00817B29" w:rsidRDefault="00DA121E" w:rsidP="002D1275">
            <w:pPr>
              <w:pStyle w:val="ListParagraph"/>
              <w:numPr>
                <w:ilvl w:val="0"/>
                <w:numId w:val="10"/>
              </w:numPr>
              <w:spacing w:before="40" w:after="40"/>
              <w:ind w:left="284" w:hanging="284"/>
              <w:rPr>
                <w:rFonts w:asciiTheme="minorHAnsi" w:hAnsiTheme="minorHAnsi"/>
              </w:rPr>
            </w:pPr>
            <w:r w:rsidRPr="00817B29">
              <w:rPr>
                <w:rFonts w:asciiTheme="minorHAnsi" w:hAnsiTheme="minorHAnsi"/>
              </w:rPr>
              <w:t>The compilation or analysis of statistics relevant to public health or public safety</w:t>
            </w:r>
          </w:p>
          <w:p w:rsidR="00DA121E" w:rsidRPr="00817B29" w:rsidRDefault="00DA121E" w:rsidP="002D1275">
            <w:pPr>
              <w:pStyle w:val="ListParagraph"/>
              <w:numPr>
                <w:ilvl w:val="0"/>
                <w:numId w:val="10"/>
              </w:numPr>
              <w:spacing w:before="40" w:after="40"/>
              <w:ind w:left="284" w:hanging="284"/>
              <w:rPr>
                <w:rFonts w:asciiTheme="minorHAnsi" w:hAnsiTheme="minorHAnsi"/>
              </w:rPr>
            </w:pPr>
            <w:r w:rsidRPr="00817B29">
              <w:rPr>
                <w:rFonts w:asciiTheme="minorHAnsi" w:hAnsiTheme="minorHAnsi"/>
              </w:rPr>
              <w:t>The management, funding or monitoring of a health service</w:t>
            </w:r>
          </w:p>
        </w:tc>
      </w:tr>
    </w:tbl>
    <w:p w:rsidR="002F7D83" w:rsidRDefault="00353A23" w:rsidP="005464A2">
      <w:r>
        <w:t xml:space="preserve">The ANRDR team will work with APP entities to establish the </w:t>
      </w:r>
      <w:r w:rsidR="00522A4E">
        <w:t>disclosure of dose records to</w:t>
      </w:r>
      <w:r>
        <w:t xml:space="preserve"> the ANRDR as </w:t>
      </w:r>
      <w:r w:rsidR="00346A35">
        <w:t xml:space="preserve">part </w:t>
      </w:r>
      <w:r>
        <w:t>of the primary purpose</w:t>
      </w:r>
      <w:r w:rsidR="00522A4E">
        <w:t xml:space="preserve"> of collection by the employer.</w:t>
      </w:r>
      <w:r w:rsidR="00635FFF">
        <w:t xml:space="preserve"> The functions of the ANRDR </w:t>
      </w:r>
      <w:r w:rsidR="00B1252D">
        <w:t xml:space="preserve">align with </w:t>
      </w:r>
      <w:r w:rsidR="006A6DDD">
        <w:t>ARPANSA’</w:t>
      </w:r>
      <w:r w:rsidR="00613334">
        <w:t xml:space="preserve">s statutory objective </w:t>
      </w:r>
      <w:r w:rsidR="002F7D83" w:rsidRPr="00181B49">
        <w:t>to protect people from the harmful effects of radiation</w:t>
      </w:r>
      <w:r w:rsidR="001341E1" w:rsidRPr="00181B49">
        <w:t>.</w:t>
      </w:r>
      <w:r w:rsidR="002F7D83" w:rsidRPr="00181B49">
        <w:t xml:space="preserve"> </w:t>
      </w:r>
    </w:p>
    <w:p w:rsidR="00794234" w:rsidRPr="00817B29" w:rsidRDefault="00794234" w:rsidP="00794234">
      <w:pPr>
        <w:rPr>
          <w:spacing w:val="-2"/>
        </w:rPr>
      </w:pPr>
      <w:r w:rsidRPr="00817B29">
        <w:rPr>
          <w:spacing w:val="-2"/>
        </w:rPr>
        <w:lastRenderedPageBreak/>
        <w:t>Disclosure of dose records from the ANRDR to the individual, employer or relevant state, territory or Commonwealth regulator is one of the ANRDR’s primary functions and permitted under APP 6.2</w:t>
      </w:r>
      <w:r w:rsidR="00817B29" w:rsidRPr="00817B29">
        <w:rPr>
          <w:spacing w:val="-2"/>
        </w:rPr>
        <w:t> </w:t>
      </w:r>
      <w:r w:rsidRPr="00817B29">
        <w:rPr>
          <w:spacing w:val="-2"/>
        </w:rPr>
        <w:t>(a)(i).</w:t>
      </w:r>
    </w:p>
    <w:p w:rsidR="00794234" w:rsidRPr="00794234" w:rsidRDefault="00794234" w:rsidP="00817B29">
      <w:pPr>
        <w:keepLines/>
      </w:pPr>
      <w:r w:rsidRPr="00794234">
        <w:t>As there is no clear guidance or requirement on how dose records are classified, some organisations classify these records as sensitive (health) information while others classify them as personal information. Regardless of the classification type, the disclosure of dose records to the ANRDR is permitted as</w:t>
      </w:r>
      <w:r w:rsidR="00346A35">
        <w:t xml:space="preserve"> part of the</w:t>
      </w:r>
      <w:r w:rsidRPr="00794234">
        <w:t xml:space="preserve"> primary purpose for which this information was collected by the employer. </w:t>
      </w:r>
    </w:p>
    <w:p w:rsidR="00794234" w:rsidRPr="00794234" w:rsidRDefault="00794234" w:rsidP="00794234">
      <w:r w:rsidRPr="00794234">
        <w:t>In the event that an individual has exceeded a dose limit while working for a single employer, it is expected that the regulator will be notified of the situation by the employer. The ANRDR will capture situations where individuals have changed employers and/or jurisdictions and cumulatively exceeded a dose limit. As new employers may not be aware of the worker’s previous exposures, the ANRDR will link the records and provide feedback to the regulator. This secondary purpose is directly related to the primary purpose of the ANRDR.</w:t>
      </w:r>
    </w:p>
    <w:p w:rsidR="00794234" w:rsidRPr="00794234" w:rsidRDefault="00794234" w:rsidP="00794234">
      <w:r w:rsidRPr="00794234">
        <w:t xml:space="preserve">The ANRDR relies on the disclosure of dose records from APP entities. As the ANRDR is </w:t>
      </w:r>
      <w:r w:rsidR="00BE357B">
        <w:t xml:space="preserve">part </w:t>
      </w:r>
      <w:r w:rsidRPr="00794234">
        <w:t>of the primary purpose for the collection of dose records, the disclosure of the data to the ANRDR from an APP entity meets the requirements of APP 6.</w:t>
      </w:r>
    </w:p>
    <w:p w:rsidR="00794234" w:rsidRPr="00794234" w:rsidRDefault="00794234" w:rsidP="00794234">
      <w:r w:rsidRPr="00794234">
        <w:t>ARPANSA has a privacy policy and the ANRDR has a privacy statement that details the circumstances under which potential disclosure of information from the ANRDR may occur. These documents are publically available from the ARPANSA web site. The ANRDR privacy statement is included in section 3 of this document.</w:t>
      </w:r>
    </w:p>
    <w:p w:rsidR="00794234" w:rsidRDefault="00794234" w:rsidP="00794234">
      <w:r w:rsidRPr="00794234">
        <w:t>Sections 4.6.4 and 4.6.6 do not apply to the ANRDR under the Privacy Act (1988).</w:t>
      </w:r>
    </w:p>
    <w:p w:rsidR="00213663" w:rsidRDefault="00DF1A39" w:rsidP="005464A2">
      <w:r>
        <w:t xml:space="preserve">Individuals </w:t>
      </w:r>
      <w:r w:rsidR="00ED7E32">
        <w:t xml:space="preserve">may </w:t>
      </w:r>
      <w:r>
        <w:t xml:space="preserve">provide consent for the disclosure of </w:t>
      </w:r>
      <w:r w:rsidR="00ED7E32">
        <w:t xml:space="preserve">their </w:t>
      </w:r>
      <w:r>
        <w:t xml:space="preserve">dose history reports to an agreed third party </w:t>
      </w:r>
      <w:r w:rsidR="00ED7E32">
        <w:t xml:space="preserve">if required </w:t>
      </w:r>
      <w:r w:rsidR="00213663">
        <w:t xml:space="preserve">and the disclosure of information to the employer or regulator </w:t>
      </w:r>
      <w:r w:rsidR="00ED7E32">
        <w:t>is an extension of the employer’s obligation to report dose limit exceedances to a</w:t>
      </w:r>
      <w:r w:rsidR="00522A4E">
        <w:t xml:space="preserve"> relevant</w:t>
      </w:r>
      <w:r w:rsidR="00ED7E32">
        <w:t xml:space="preserve"> regulatory authority</w:t>
      </w:r>
      <w:r w:rsidR="00213663">
        <w:t>.</w:t>
      </w:r>
    </w:p>
    <w:p w:rsidR="00E12529" w:rsidRPr="00D73630" w:rsidRDefault="00735CF6" w:rsidP="00D73630">
      <w:pPr>
        <w:pStyle w:val="Heading2"/>
        <w:keepLines w:val="0"/>
        <w:spacing w:before="240" w:line="240" w:lineRule="auto"/>
        <w:rPr>
          <w:color w:val="365F91" w:themeColor="accent1" w:themeShade="BF"/>
          <w:sz w:val="28"/>
        </w:rPr>
      </w:pPr>
      <w:bookmarkStart w:id="42" w:name="_Toc467501508"/>
      <w:bookmarkStart w:id="43" w:name="_Toc469305240"/>
      <w:r w:rsidRPr="00D73630">
        <w:rPr>
          <w:color w:val="365F91" w:themeColor="accent1" w:themeShade="BF"/>
          <w:sz w:val="28"/>
        </w:rPr>
        <w:t xml:space="preserve">APP 7 </w:t>
      </w:r>
      <w:r w:rsidR="00E12529" w:rsidRPr="00D73630">
        <w:rPr>
          <w:color w:val="365F91" w:themeColor="accent1" w:themeShade="BF"/>
          <w:sz w:val="28"/>
        </w:rPr>
        <w:t>Direct Marketing</w:t>
      </w:r>
      <w:bookmarkEnd w:id="42"/>
      <w:bookmarkEnd w:id="43"/>
    </w:p>
    <w:p w:rsidR="00E12529" w:rsidRPr="0081567B" w:rsidRDefault="00E12529" w:rsidP="00E12529">
      <w:r w:rsidRPr="0081567B">
        <w:t xml:space="preserve">The </w:t>
      </w:r>
      <w:r w:rsidR="003564EF" w:rsidRPr="0081567B">
        <w:t xml:space="preserve">implementation of a program to disclose </w:t>
      </w:r>
      <w:r w:rsidR="00522A4E">
        <w:t>dose</w:t>
      </w:r>
      <w:r w:rsidR="003564EF" w:rsidRPr="0081567B">
        <w:t xml:space="preserve"> records to the ANRDR does</w:t>
      </w:r>
      <w:r w:rsidRPr="0081567B">
        <w:t xml:space="preserve"> not </w:t>
      </w:r>
      <w:r w:rsidR="003564EF" w:rsidRPr="0081567B">
        <w:t>require the us</w:t>
      </w:r>
      <w:r w:rsidRPr="0081567B">
        <w:t>e or disclos</w:t>
      </w:r>
      <w:r w:rsidR="003564EF" w:rsidRPr="0081567B">
        <w:t>ure of</w:t>
      </w:r>
      <w:r w:rsidRPr="0081567B">
        <w:t xml:space="preserve"> personal information for the purpose of direct marketing.</w:t>
      </w:r>
    </w:p>
    <w:p w:rsidR="00E12529" w:rsidRPr="00D73630" w:rsidRDefault="00735CF6" w:rsidP="00D73630">
      <w:pPr>
        <w:pStyle w:val="Heading2"/>
        <w:keepLines w:val="0"/>
        <w:spacing w:before="240" w:line="240" w:lineRule="auto"/>
        <w:rPr>
          <w:color w:val="365F91" w:themeColor="accent1" w:themeShade="BF"/>
          <w:sz w:val="28"/>
        </w:rPr>
      </w:pPr>
      <w:bookmarkStart w:id="44" w:name="_Toc467501509"/>
      <w:bookmarkStart w:id="45" w:name="_Toc469305241"/>
      <w:r w:rsidRPr="00D73630">
        <w:rPr>
          <w:color w:val="365F91" w:themeColor="accent1" w:themeShade="BF"/>
          <w:sz w:val="28"/>
        </w:rPr>
        <w:t xml:space="preserve">APP 8 </w:t>
      </w:r>
      <w:r w:rsidR="00E12529" w:rsidRPr="00D73630">
        <w:rPr>
          <w:color w:val="365F91" w:themeColor="accent1" w:themeShade="BF"/>
          <w:sz w:val="28"/>
        </w:rPr>
        <w:t>Cross Border</w:t>
      </w:r>
      <w:r w:rsidR="009945C5" w:rsidRPr="00D73630">
        <w:rPr>
          <w:color w:val="365F91" w:themeColor="accent1" w:themeShade="BF"/>
          <w:sz w:val="28"/>
        </w:rPr>
        <w:t xml:space="preserve"> (Overseas</w:t>
      </w:r>
      <w:r w:rsidR="006F3596" w:rsidRPr="00D73630">
        <w:rPr>
          <w:color w:val="365F91" w:themeColor="accent1" w:themeShade="BF"/>
          <w:sz w:val="28"/>
        </w:rPr>
        <w:t>)</w:t>
      </w:r>
      <w:r w:rsidR="00E12529" w:rsidRPr="00D73630">
        <w:rPr>
          <w:color w:val="365F91" w:themeColor="accent1" w:themeShade="BF"/>
          <w:sz w:val="28"/>
        </w:rPr>
        <w:t xml:space="preserve"> Disclosure of Personal Information</w:t>
      </w:r>
      <w:bookmarkEnd w:id="44"/>
      <w:bookmarkEnd w:id="45"/>
    </w:p>
    <w:p w:rsidR="00E12529" w:rsidRPr="0081567B" w:rsidRDefault="00E12529" w:rsidP="00E12529">
      <w:r w:rsidRPr="0081567B">
        <w:t>The ANRDR does not disclose</w:t>
      </w:r>
      <w:r w:rsidR="00472872" w:rsidRPr="0081567B">
        <w:t xml:space="preserve"> personal information to any individual or organisation</w:t>
      </w:r>
      <w:r w:rsidR="008E479A" w:rsidRPr="0081567B">
        <w:t xml:space="preserve"> outside of Australia</w:t>
      </w:r>
      <w:r w:rsidR="00472872" w:rsidRPr="0081567B">
        <w:t>.</w:t>
      </w:r>
    </w:p>
    <w:p w:rsidR="00E12529" w:rsidRPr="00D73630" w:rsidRDefault="00735CF6" w:rsidP="00D73630">
      <w:pPr>
        <w:pStyle w:val="Heading2"/>
        <w:keepLines w:val="0"/>
        <w:spacing w:before="240" w:line="240" w:lineRule="auto"/>
        <w:rPr>
          <w:color w:val="365F91" w:themeColor="accent1" w:themeShade="BF"/>
          <w:sz w:val="28"/>
        </w:rPr>
      </w:pPr>
      <w:bookmarkStart w:id="46" w:name="_Toc467501510"/>
      <w:bookmarkStart w:id="47" w:name="_Toc469305242"/>
      <w:r w:rsidRPr="00D73630">
        <w:rPr>
          <w:color w:val="365F91" w:themeColor="accent1" w:themeShade="BF"/>
          <w:sz w:val="28"/>
        </w:rPr>
        <w:lastRenderedPageBreak/>
        <w:t xml:space="preserve">APP 9 </w:t>
      </w:r>
      <w:r w:rsidR="00346B97" w:rsidRPr="00D73630">
        <w:rPr>
          <w:color w:val="365F91" w:themeColor="accent1" w:themeShade="BF"/>
          <w:sz w:val="28"/>
        </w:rPr>
        <w:t>Adoption, Use or Disclosure of Government Related Identifiers</w:t>
      </w:r>
      <w:bookmarkEnd w:id="46"/>
      <w:bookmarkEnd w:id="47"/>
    </w:p>
    <w:p w:rsidR="00887C55" w:rsidRDefault="00887C55" w:rsidP="0081567B">
      <w:r w:rsidRPr="00A1502A">
        <w:t>The</w:t>
      </w:r>
      <w:r>
        <w:t xml:space="preserve"> responses in this section have been pre-filled for your convenience.</w:t>
      </w:r>
    </w:p>
    <w:tbl>
      <w:tblPr>
        <w:tblStyle w:val="BodyCell"/>
        <w:tblW w:w="9464" w:type="dxa"/>
        <w:tblLayout w:type="fixed"/>
        <w:tblLook w:val="06A0" w:firstRow="1" w:lastRow="0" w:firstColumn="1" w:lastColumn="0" w:noHBand="1" w:noVBand="1"/>
      </w:tblPr>
      <w:tblGrid>
        <w:gridCol w:w="877"/>
        <w:gridCol w:w="6035"/>
        <w:gridCol w:w="709"/>
        <w:gridCol w:w="709"/>
        <w:gridCol w:w="1134"/>
      </w:tblGrid>
      <w:tr w:rsidR="00346B97" w:rsidRPr="00817B29" w:rsidTr="000A3E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rsidR="00346B97" w:rsidRPr="0082692A" w:rsidRDefault="00346B97" w:rsidP="00817B29">
            <w:pPr>
              <w:spacing w:before="120" w:after="120"/>
              <w:rPr>
                <w:rFonts w:asciiTheme="minorHAnsi" w:hAnsiTheme="minorHAnsi"/>
                <w:b/>
              </w:rPr>
            </w:pPr>
            <w:r w:rsidRPr="0082692A">
              <w:rPr>
                <w:rFonts w:asciiTheme="minorHAnsi" w:hAnsiTheme="minorHAnsi"/>
                <w:b/>
              </w:rPr>
              <w:t xml:space="preserve">Adoption, </w:t>
            </w:r>
            <w:r w:rsidR="0036404C">
              <w:rPr>
                <w:rFonts w:asciiTheme="minorHAnsi" w:hAnsiTheme="minorHAnsi"/>
                <w:b/>
              </w:rPr>
              <w:t>Use or Disclosure of Government-</w:t>
            </w:r>
            <w:r w:rsidRPr="0082692A">
              <w:rPr>
                <w:rFonts w:asciiTheme="minorHAnsi" w:hAnsiTheme="minorHAnsi"/>
                <w:b/>
              </w:rPr>
              <w:t>Related Identifiers</w:t>
            </w:r>
          </w:p>
        </w:tc>
        <w:tc>
          <w:tcPr>
            <w:tcW w:w="709" w:type="dxa"/>
            <w:vAlign w:val="center"/>
          </w:tcPr>
          <w:p w:rsidR="00346B97" w:rsidRPr="00817B29" w:rsidRDefault="00346B97" w:rsidP="00817B29">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817B29">
              <w:rPr>
                <w:rFonts w:asciiTheme="minorHAnsi" w:hAnsiTheme="minorHAnsi"/>
                <w:b/>
              </w:rPr>
              <w:t>Y</w:t>
            </w:r>
          </w:p>
        </w:tc>
        <w:tc>
          <w:tcPr>
            <w:tcW w:w="709" w:type="dxa"/>
            <w:vAlign w:val="center"/>
          </w:tcPr>
          <w:p w:rsidR="00346B97" w:rsidRPr="00817B29" w:rsidRDefault="00346B97" w:rsidP="00817B29">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817B29">
              <w:rPr>
                <w:rFonts w:asciiTheme="minorHAnsi" w:hAnsiTheme="minorHAnsi"/>
                <w:b/>
              </w:rPr>
              <w:t>N</w:t>
            </w:r>
          </w:p>
        </w:tc>
        <w:tc>
          <w:tcPr>
            <w:tcW w:w="1134" w:type="dxa"/>
            <w:vAlign w:val="center"/>
          </w:tcPr>
          <w:p w:rsidR="00346B97" w:rsidRPr="00817B29" w:rsidRDefault="00346B97" w:rsidP="00817B29">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817B29">
              <w:rPr>
                <w:rFonts w:asciiTheme="minorHAnsi" w:hAnsiTheme="minorHAnsi"/>
                <w:b/>
              </w:rPr>
              <w:t>APP</w:t>
            </w:r>
            <w:r w:rsidR="00D55016" w:rsidRPr="00817B29">
              <w:rPr>
                <w:rFonts w:asciiTheme="minorHAnsi" w:hAnsiTheme="minorHAnsi"/>
                <w:b/>
              </w:rPr>
              <w:t>*</w:t>
            </w:r>
          </w:p>
        </w:tc>
      </w:tr>
      <w:tr w:rsidR="003E77CF" w:rsidRPr="00A77A7D"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3E77CF" w:rsidRPr="0082692A" w:rsidRDefault="003E77CF" w:rsidP="00817B29">
            <w:pPr>
              <w:spacing w:before="40" w:after="40"/>
              <w:jc w:val="center"/>
              <w:rPr>
                <w:rFonts w:asciiTheme="minorHAnsi" w:hAnsiTheme="minorHAnsi"/>
              </w:rPr>
            </w:pPr>
            <w:r>
              <w:rPr>
                <w:rFonts w:asciiTheme="minorHAnsi" w:hAnsiTheme="minorHAnsi"/>
              </w:rPr>
              <w:t>4</w:t>
            </w:r>
            <w:r w:rsidRPr="0082692A">
              <w:rPr>
                <w:rFonts w:asciiTheme="minorHAnsi" w:hAnsiTheme="minorHAnsi"/>
              </w:rPr>
              <w:t>.9.1</w:t>
            </w:r>
          </w:p>
        </w:tc>
        <w:tc>
          <w:tcPr>
            <w:tcW w:w="6035" w:type="dxa"/>
            <w:vAlign w:val="center"/>
          </w:tcPr>
          <w:p w:rsidR="003E77CF" w:rsidRDefault="003E77CF" w:rsidP="00817B2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Does the implementation of the ANRDR program require the adoption of </w:t>
            </w:r>
            <w:r w:rsidR="00887C55">
              <w:rPr>
                <w:rFonts w:asciiTheme="minorHAnsi" w:hAnsiTheme="minorHAnsi"/>
              </w:rPr>
              <w:t>government-</w:t>
            </w:r>
            <w:r>
              <w:rPr>
                <w:rFonts w:asciiTheme="minorHAnsi" w:hAnsiTheme="minorHAnsi"/>
              </w:rPr>
              <w:t>related identifiers?</w:t>
            </w:r>
          </w:p>
        </w:tc>
        <w:tc>
          <w:tcPr>
            <w:tcW w:w="709" w:type="dxa"/>
            <w:vAlign w:val="center"/>
          </w:tcPr>
          <w:p w:rsidR="003E77CF" w:rsidRPr="0082692A" w:rsidRDefault="003E77CF"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3E77CF" w:rsidRDefault="003E77CF"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X</w:t>
            </w:r>
          </w:p>
        </w:tc>
        <w:tc>
          <w:tcPr>
            <w:tcW w:w="1134" w:type="dxa"/>
            <w:vAlign w:val="center"/>
          </w:tcPr>
          <w:p w:rsidR="003E77CF" w:rsidRDefault="003E77CF"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9.1</w:t>
            </w:r>
          </w:p>
        </w:tc>
      </w:tr>
      <w:tr w:rsidR="003E77CF" w:rsidRPr="00A77A7D"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3E77CF" w:rsidRPr="0082692A" w:rsidRDefault="003E77CF" w:rsidP="00817B29">
            <w:pPr>
              <w:spacing w:before="40" w:after="40"/>
              <w:jc w:val="center"/>
              <w:rPr>
                <w:rFonts w:asciiTheme="minorHAnsi" w:hAnsiTheme="minorHAnsi"/>
              </w:rPr>
            </w:pPr>
            <w:r>
              <w:rPr>
                <w:rFonts w:asciiTheme="minorHAnsi" w:hAnsiTheme="minorHAnsi"/>
              </w:rPr>
              <w:t>4</w:t>
            </w:r>
            <w:r w:rsidRPr="0082692A">
              <w:rPr>
                <w:rFonts w:asciiTheme="minorHAnsi" w:hAnsiTheme="minorHAnsi"/>
              </w:rPr>
              <w:t>.9.2</w:t>
            </w:r>
          </w:p>
        </w:tc>
        <w:tc>
          <w:tcPr>
            <w:tcW w:w="6035" w:type="dxa"/>
            <w:vAlign w:val="center"/>
          </w:tcPr>
          <w:p w:rsidR="003E77CF" w:rsidRPr="0082692A" w:rsidRDefault="003E77CF" w:rsidP="00817B2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Is the </w:t>
            </w:r>
            <w:r w:rsidRPr="0082692A">
              <w:rPr>
                <w:rFonts w:asciiTheme="minorHAnsi" w:hAnsiTheme="minorHAnsi"/>
              </w:rPr>
              <w:t xml:space="preserve">ANRDR </w:t>
            </w:r>
            <w:r>
              <w:rPr>
                <w:rFonts w:asciiTheme="minorHAnsi" w:hAnsiTheme="minorHAnsi"/>
              </w:rPr>
              <w:t>u</w:t>
            </w:r>
            <w:r w:rsidRPr="0082692A">
              <w:rPr>
                <w:rFonts w:asciiTheme="minorHAnsi" w:hAnsiTheme="minorHAnsi"/>
              </w:rPr>
              <w:t xml:space="preserve">nique </w:t>
            </w:r>
            <w:r>
              <w:rPr>
                <w:rFonts w:asciiTheme="minorHAnsi" w:hAnsiTheme="minorHAnsi"/>
              </w:rPr>
              <w:t>government identifier used by or disclosed to the APP entity?</w:t>
            </w:r>
          </w:p>
        </w:tc>
        <w:tc>
          <w:tcPr>
            <w:tcW w:w="709" w:type="dxa"/>
            <w:vAlign w:val="center"/>
          </w:tcPr>
          <w:p w:rsidR="003E77CF" w:rsidRPr="0082692A" w:rsidRDefault="003E77CF"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3E77CF" w:rsidRPr="0082692A" w:rsidRDefault="003E77CF"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X</w:t>
            </w:r>
          </w:p>
        </w:tc>
        <w:tc>
          <w:tcPr>
            <w:tcW w:w="1134" w:type="dxa"/>
            <w:vAlign w:val="center"/>
          </w:tcPr>
          <w:p w:rsidR="003E77CF" w:rsidRPr="0082692A" w:rsidRDefault="003E77CF" w:rsidP="00817B2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9.2</w:t>
            </w:r>
          </w:p>
        </w:tc>
      </w:tr>
      <w:tr w:rsidR="003E77CF" w:rsidRPr="00A77A7D" w:rsidTr="000A3E56">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F68C3F"/>
          </w:tcPr>
          <w:p w:rsidR="003E77CF" w:rsidRPr="0082692A" w:rsidRDefault="00D55016" w:rsidP="00887C55">
            <w:pPr>
              <w:spacing w:before="40" w:after="40"/>
              <w:rPr>
                <w:rFonts w:asciiTheme="minorHAnsi" w:hAnsiTheme="minorHAnsi"/>
                <w:i/>
              </w:rPr>
            </w:pPr>
            <w:r>
              <w:rPr>
                <w:rFonts w:asciiTheme="minorHAnsi" w:hAnsiTheme="minorHAnsi"/>
                <w:i/>
              </w:rPr>
              <w:t xml:space="preserve">* </w:t>
            </w:r>
            <w:r w:rsidR="003E77CF">
              <w:rPr>
                <w:rFonts w:asciiTheme="minorHAnsi" w:hAnsiTheme="minorHAnsi"/>
                <w:i/>
              </w:rPr>
              <w:t xml:space="preserve">APP 9.3 </w:t>
            </w:r>
            <w:r>
              <w:rPr>
                <w:rFonts w:asciiTheme="minorHAnsi" w:hAnsiTheme="minorHAnsi"/>
                <w:i/>
              </w:rPr>
              <w:t xml:space="preserve">relates to the adoption, use or disclosure by an </w:t>
            </w:r>
            <w:r w:rsidRPr="0036404C">
              <w:rPr>
                <w:rFonts w:asciiTheme="minorHAnsi" w:hAnsiTheme="minorHAnsi"/>
                <w:i/>
                <w:lang w:val="en-AU"/>
              </w:rPr>
              <w:t>organisation</w:t>
            </w:r>
            <w:r>
              <w:rPr>
                <w:rFonts w:asciiTheme="minorHAnsi" w:hAnsiTheme="minorHAnsi"/>
                <w:i/>
              </w:rPr>
              <w:t xml:space="preserve"> of an individual</w:t>
            </w:r>
            <w:r w:rsidR="00EA2399">
              <w:rPr>
                <w:rFonts w:asciiTheme="minorHAnsi" w:hAnsiTheme="minorHAnsi"/>
                <w:i/>
              </w:rPr>
              <w:t>’</w:t>
            </w:r>
            <w:r w:rsidR="0036404C">
              <w:rPr>
                <w:rFonts w:asciiTheme="minorHAnsi" w:hAnsiTheme="minorHAnsi"/>
                <w:i/>
              </w:rPr>
              <w:t>s government-</w:t>
            </w:r>
            <w:r>
              <w:rPr>
                <w:rFonts w:asciiTheme="minorHAnsi" w:hAnsiTheme="minorHAnsi"/>
                <w:i/>
              </w:rPr>
              <w:t>related ide</w:t>
            </w:r>
            <w:r w:rsidR="00EA2399">
              <w:rPr>
                <w:rFonts w:asciiTheme="minorHAnsi" w:hAnsiTheme="minorHAnsi"/>
                <w:i/>
              </w:rPr>
              <w:t xml:space="preserve">ntifier by a regulation. This </w:t>
            </w:r>
            <w:r w:rsidR="00887C55">
              <w:rPr>
                <w:rFonts w:asciiTheme="minorHAnsi" w:hAnsiTheme="minorHAnsi"/>
                <w:i/>
              </w:rPr>
              <w:t xml:space="preserve">does not relate to the </w:t>
            </w:r>
            <w:r w:rsidR="00EA2399">
              <w:rPr>
                <w:rFonts w:asciiTheme="minorHAnsi" w:hAnsiTheme="minorHAnsi"/>
                <w:i/>
              </w:rPr>
              <w:t xml:space="preserve">implementation of the </w:t>
            </w:r>
            <w:r w:rsidR="00887C55">
              <w:rPr>
                <w:rFonts w:asciiTheme="minorHAnsi" w:hAnsiTheme="minorHAnsi"/>
                <w:i/>
              </w:rPr>
              <w:t>ANRDR</w:t>
            </w:r>
            <w:r w:rsidR="003E77CF">
              <w:rPr>
                <w:rFonts w:asciiTheme="minorHAnsi" w:hAnsiTheme="minorHAnsi"/>
                <w:i/>
              </w:rPr>
              <w:t>.</w:t>
            </w:r>
            <w:r>
              <w:rPr>
                <w:rFonts w:asciiTheme="minorHAnsi" w:hAnsiTheme="minorHAnsi"/>
                <w:i/>
              </w:rPr>
              <w:t xml:space="preserve"> </w:t>
            </w:r>
          </w:p>
        </w:tc>
      </w:tr>
    </w:tbl>
    <w:p w:rsidR="00B94C5E" w:rsidRPr="0081567B" w:rsidRDefault="00EA6930" w:rsidP="00B94C5E">
      <w:r w:rsidRPr="0082692A">
        <w:t xml:space="preserve">A unique </w:t>
      </w:r>
      <w:r>
        <w:t xml:space="preserve">government </w:t>
      </w:r>
      <w:r w:rsidRPr="0082692A">
        <w:t xml:space="preserve">identifier is assigned to an individual the </w:t>
      </w:r>
      <w:r>
        <w:t>when their records are submitted to the ANRDR for the first time</w:t>
      </w:r>
      <w:r w:rsidR="00B94C5E" w:rsidRPr="0081567B">
        <w:t xml:space="preserve">. The identifier is used to link future uploads of dose records </w:t>
      </w:r>
      <w:r w:rsidR="00887C55">
        <w:t>to the individual’s existing record</w:t>
      </w:r>
      <w:r w:rsidR="00B94C5E" w:rsidRPr="0081567B">
        <w:t xml:space="preserve">. The identifier has no purpose </w:t>
      </w:r>
      <w:r w:rsidR="00887C55">
        <w:t xml:space="preserve">other </w:t>
      </w:r>
      <w:r w:rsidR="00B94C5E" w:rsidRPr="0081567B">
        <w:t xml:space="preserve">than </w:t>
      </w:r>
      <w:r w:rsidR="00887C55">
        <w:t>for internal ANRDR use</w:t>
      </w:r>
      <w:r w:rsidR="00B94C5E" w:rsidRPr="0081567B">
        <w:t xml:space="preserve"> and the ANRDR does not use any other existing unique</w:t>
      </w:r>
      <w:r w:rsidR="00FC0886" w:rsidRPr="0081567B">
        <w:t xml:space="preserve"> government</w:t>
      </w:r>
      <w:r w:rsidR="00B94C5E" w:rsidRPr="0081567B">
        <w:t xml:space="preserve"> identifiers.</w:t>
      </w:r>
    </w:p>
    <w:p w:rsidR="00E12529" w:rsidRDefault="00735CF6" w:rsidP="00D73630">
      <w:pPr>
        <w:pStyle w:val="Heading2"/>
        <w:keepLines w:val="0"/>
        <w:spacing w:before="240" w:line="240" w:lineRule="auto"/>
        <w:rPr>
          <w:color w:val="365F91" w:themeColor="accent1" w:themeShade="BF"/>
          <w:sz w:val="28"/>
        </w:rPr>
      </w:pPr>
      <w:bookmarkStart w:id="48" w:name="_Toc467501511"/>
      <w:bookmarkStart w:id="49" w:name="_Toc469305243"/>
      <w:r w:rsidRPr="00D73630">
        <w:rPr>
          <w:color w:val="365F91" w:themeColor="accent1" w:themeShade="BF"/>
          <w:sz w:val="28"/>
        </w:rPr>
        <w:t xml:space="preserve">APP 10 </w:t>
      </w:r>
      <w:r w:rsidR="00B94C5E" w:rsidRPr="00D73630">
        <w:rPr>
          <w:color w:val="365F91" w:themeColor="accent1" w:themeShade="BF"/>
          <w:sz w:val="28"/>
        </w:rPr>
        <w:t>Quality of Personal Information</w:t>
      </w:r>
      <w:bookmarkEnd w:id="48"/>
      <w:bookmarkEnd w:id="49"/>
    </w:p>
    <w:p w:rsidR="000A3E56" w:rsidRPr="000A3E56" w:rsidRDefault="000A3E56" w:rsidP="000A3E56">
      <w:pPr>
        <w:spacing w:before="0" w:line="240" w:lineRule="auto"/>
      </w:pPr>
    </w:p>
    <w:tbl>
      <w:tblPr>
        <w:tblStyle w:val="BodyCell"/>
        <w:tblW w:w="9464" w:type="dxa"/>
        <w:tblLayout w:type="fixed"/>
        <w:tblLook w:val="06A0" w:firstRow="1" w:lastRow="0" w:firstColumn="1" w:lastColumn="0" w:noHBand="1" w:noVBand="1"/>
      </w:tblPr>
      <w:tblGrid>
        <w:gridCol w:w="877"/>
        <w:gridCol w:w="6035"/>
        <w:gridCol w:w="709"/>
        <w:gridCol w:w="709"/>
        <w:gridCol w:w="1134"/>
      </w:tblGrid>
      <w:tr w:rsidR="00B94C5E" w:rsidRPr="000A3E56" w:rsidTr="000A3E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rsidR="00B94C5E" w:rsidRPr="0082692A" w:rsidRDefault="00B94C5E" w:rsidP="000A3E56">
            <w:pPr>
              <w:spacing w:before="120" w:after="120"/>
              <w:rPr>
                <w:rFonts w:asciiTheme="minorHAnsi" w:hAnsiTheme="minorHAnsi"/>
                <w:b/>
              </w:rPr>
            </w:pPr>
            <w:r w:rsidRPr="0082692A">
              <w:rPr>
                <w:rFonts w:asciiTheme="minorHAnsi" w:hAnsiTheme="minorHAnsi"/>
                <w:b/>
              </w:rPr>
              <w:t>Quality of Personal Information</w:t>
            </w:r>
          </w:p>
        </w:tc>
        <w:tc>
          <w:tcPr>
            <w:tcW w:w="709" w:type="dxa"/>
            <w:vAlign w:val="center"/>
          </w:tcPr>
          <w:p w:rsidR="00B94C5E" w:rsidRPr="000A3E56" w:rsidRDefault="00B94C5E" w:rsidP="000A3E5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0A3E56">
              <w:rPr>
                <w:rFonts w:asciiTheme="minorHAnsi" w:hAnsiTheme="minorHAnsi"/>
                <w:b/>
              </w:rPr>
              <w:t>Y</w:t>
            </w:r>
          </w:p>
        </w:tc>
        <w:tc>
          <w:tcPr>
            <w:tcW w:w="709" w:type="dxa"/>
            <w:vAlign w:val="center"/>
          </w:tcPr>
          <w:p w:rsidR="00B94C5E" w:rsidRPr="000A3E56" w:rsidRDefault="00B94C5E" w:rsidP="000A3E5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0A3E56">
              <w:rPr>
                <w:rFonts w:asciiTheme="minorHAnsi" w:hAnsiTheme="minorHAnsi"/>
                <w:b/>
              </w:rPr>
              <w:t>N</w:t>
            </w:r>
          </w:p>
        </w:tc>
        <w:tc>
          <w:tcPr>
            <w:tcW w:w="1134" w:type="dxa"/>
            <w:vAlign w:val="center"/>
          </w:tcPr>
          <w:p w:rsidR="00B94C5E" w:rsidRPr="000A3E56" w:rsidRDefault="00B94C5E" w:rsidP="000A3E5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0A3E56">
              <w:rPr>
                <w:rFonts w:asciiTheme="minorHAnsi" w:hAnsiTheme="minorHAnsi"/>
                <w:b/>
              </w:rPr>
              <w:t>APP</w:t>
            </w:r>
          </w:p>
        </w:tc>
      </w:tr>
      <w:tr w:rsidR="00B94C5E" w:rsidRPr="000A3E56"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B94C5E" w:rsidRPr="0082692A" w:rsidRDefault="00693DA4" w:rsidP="000A3E56">
            <w:pPr>
              <w:spacing w:before="40" w:after="40"/>
              <w:jc w:val="center"/>
              <w:rPr>
                <w:rFonts w:asciiTheme="minorHAnsi" w:hAnsiTheme="minorHAnsi"/>
              </w:rPr>
            </w:pPr>
            <w:r>
              <w:rPr>
                <w:rFonts w:asciiTheme="minorHAnsi" w:hAnsiTheme="minorHAnsi"/>
              </w:rPr>
              <w:t>4</w:t>
            </w:r>
            <w:r w:rsidR="008F3390" w:rsidRPr="0082692A">
              <w:rPr>
                <w:rFonts w:asciiTheme="minorHAnsi" w:hAnsiTheme="minorHAnsi"/>
              </w:rPr>
              <w:t>.10.1</w:t>
            </w:r>
          </w:p>
        </w:tc>
        <w:tc>
          <w:tcPr>
            <w:tcW w:w="6035" w:type="dxa"/>
            <w:vAlign w:val="center"/>
          </w:tcPr>
          <w:p w:rsidR="00B94C5E" w:rsidRPr="0082692A" w:rsidRDefault="008F3390" w:rsidP="000A3E5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2692A">
              <w:rPr>
                <w:rFonts w:asciiTheme="minorHAnsi" w:hAnsiTheme="minorHAnsi"/>
              </w:rPr>
              <w:t xml:space="preserve">Are processes in place to ensure the quality of the </w:t>
            </w:r>
            <w:r w:rsidR="000F0518">
              <w:rPr>
                <w:rFonts w:asciiTheme="minorHAnsi" w:hAnsiTheme="minorHAnsi"/>
              </w:rPr>
              <w:t>personal information</w:t>
            </w:r>
            <w:r w:rsidR="000F0518" w:rsidRPr="0082692A">
              <w:rPr>
                <w:rFonts w:asciiTheme="minorHAnsi" w:hAnsiTheme="minorHAnsi"/>
              </w:rPr>
              <w:t xml:space="preserve"> </w:t>
            </w:r>
            <w:r w:rsidR="00A84A74">
              <w:rPr>
                <w:rFonts w:asciiTheme="minorHAnsi" w:hAnsiTheme="minorHAnsi"/>
              </w:rPr>
              <w:t>collected</w:t>
            </w:r>
            <w:r w:rsidRPr="0082692A">
              <w:rPr>
                <w:rFonts w:asciiTheme="minorHAnsi" w:hAnsiTheme="minorHAnsi"/>
              </w:rPr>
              <w:t xml:space="preserve">, </w:t>
            </w:r>
            <w:r w:rsidR="00DA611D">
              <w:rPr>
                <w:rFonts w:asciiTheme="minorHAnsi" w:hAnsiTheme="minorHAnsi"/>
              </w:rPr>
              <w:t xml:space="preserve">used and disclosed </w:t>
            </w:r>
            <w:r w:rsidR="00A84A74">
              <w:rPr>
                <w:rFonts w:asciiTheme="minorHAnsi" w:hAnsiTheme="minorHAnsi"/>
              </w:rPr>
              <w:t>by</w:t>
            </w:r>
            <w:r w:rsidR="00DA611D">
              <w:rPr>
                <w:rFonts w:asciiTheme="minorHAnsi" w:hAnsiTheme="minorHAnsi"/>
              </w:rPr>
              <w:t xml:space="preserve"> </w:t>
            </w:r>
            <w:r w:rsidR="00DA611D" w:rsidRPr="0036404C">
              <w:rPr>
                <w:rFonts w:asciiTheme="minorHAnsi" w:hAnsiTheme="minorHAnsi"/>
              </w:rPr>
              <w:t xml:space="preserve">the </w:t>
            </w:r>
            <w:r w:rsidR="006808AA" w:rsidRPr="0036404C">
              <w:rPr>
                <w:rFonts w:asciiTheme="minorHAnsi" w:hAnsiTheme="minorHAnsi"/>
              </w:rPr>
              <w:t>APP entity</w:t>
            </w:r>
            <w:r w:rsidR="0000757E">
              <w:rPr>
                <w:rFonts w:asciiTheme="minorHAnsi" w:hAnsiTheme="minorHAnsi"/>
              </w:rPr>
              <w:t xml:space="preserve"> for the ANRDR</w:t>
            </w:r>
            <w:r w:rsidRPr="0082692A">
              <w:rPr>
                <w:rFonts w:asciiTheme="minorHAnsi" w:hAnsiTheme="minorHAnsi"/>
              </w:rPr>
              <w:t>?</w:t>
            </w:r>
          </w:p>
        </w:tc>
        <w:tc>
          <w:tcPr>
            <w:tcW w:w="709" w:type="dxa"/>
            <w:vAlign w:val="center"/>
          </w:tcPr>
          <w:p w:rsidR="00B94C5E" w:rsidRPr="0082692A" w:rsidRDefault="00B94C5E"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B94C5E" w:rsidRPr="0082692A" w:rsidRDefault="00B94C5E"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B94C5E" w:rsidRPr="0082692A" w:rsidRDefault="008F3390"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2692A">
              <w:rPr>
                <w:rFonts w:asciiTheme="minorHAnsi" w:hAnsiTheme="minorHAnsi"/>
              </w:rPr>
              <w:t>10.1 &amp; 10.2</w:t>
            </w:r>
          </w:p>
        </w:tc>
      </w:tr>
      <w:tr w:rsidR="00B94C5E" w:rsidRPr="00A77A7D" w:rsidTr="000A3E56">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F68C3F"/>
          </w:tcPr>
          <w:p w:rsidR="00B94C5E" w:rsidRPr="0082692A" w:rsidRDefault="0000757E" w:rsidP="00B94C5E">
            <w:pPr>
              <w:spacing w:before="40" w:after="40"/>
              <w:rPr>
                <w:rFonts w:asciiTheme="minorHAnsi" w:hAnsiTheme="minorHAnsi"/>
                <w:i/>
              </w:rPr>
            </w:pPr>
            <w:r>
              <w:rPr>
                <w:rFonts w:asciiTheme="minorHAnsi" w:hAnsiTheme="minorHAnsi"/>
                <w:i/>
              </w:rPr>
              <w:t>If you answer NO to this section you will need to complete details in the Risk Mitigation Section 6</w:t>
            </w:r>
            <w:r w:rsidR="009D1E30">
              <w:rPr>
                <w:rFonts w:asciiTheme="minorHAnsi" w:hAnsiTheme="minorHAnsi"/>
                <w:i/>
              </w:rPr>
              <w:t>.</w:t>
            </w:r>
          </w:p>
        </w:tc>
      </w:tr>
    </w:tbl>
    <w:p w:rsidR="00371190" w:rsidRPr="0081567B" w:rsidRDefault="0000757E" w:rsidP="00B94C5E">
      <w:r w:rsidRPr="0081567B">
        <w:t>Describe</w:t>
      </w:r>
      <w:r w:rsidR="00BC0425">
        <w:t xml:space="preserve"> here</w:t>
      </w:r>
      <w:r w:rsidRPr="0081567B">
        <w:t xml:space="preserve"> the relevant systems that are in place to ensure the quality of information</w:t>
      </w:r>
      <w:r w:rsidR="009D1E30" w:rsidRPr="0081567B">
        <w:t>.</w:t>
      </w:r>
    </w:p>
    <w:p w:rsidR="00B94C5E" w:rsidRDefault="00735CF6" w:rsidP="00D73630">
      <w:pPr>
        <w:pStyle w:val="Heading2"/>
        <w:keepLines w:val="0"/>
        <w:spacing w:before="240" w:line="240" w:lineRule="auto"/>
        <w:rPr>
          <w:color w:val="365F91" w:themeColor="accent1" w:themeShade="BF"/>
          <w:sz w:val="28"/>
        </w:rPr>
      </w:pPr>
      <w:bookmarkStart w:id="50" w:name="_Toc467501512"/>
      <w:bookmarkStart w:id="51" w:name="_Toc469305244"/>
      <w:r w:rsidRPr="00D73630">
        <w:rPr>
          <w:color w:val="365F91" w:themeColor="accent1" w:themeShade="BF"/>
          <w:sz w:val="28"/>
        </w:rPr>
        <w:t xml:space="preserve">APP 11 </w:t>
      </w:r>
      <w:r w:rsidR="000D0C1A" w:rsidRPr="00D73630">
        <w:rPr>
          <w:color w:val="365F91" w:themeColor="accent1" w:themeShade="BF"/>
          <w:sz w:val="28"/>
        </w:rPr>
        <w:t>Security of Personal Information</w:t>
      </w:r>
      <w:bookmarkEnd w:id="50"/>
      <w:bookmarkEnd w:id="51"/>
    </w:p>
    <w:p w:rsidR="000A3E56" w:rsidRPr="000A3E56" w:rsidRDefault="000A3E56" w:rsidP="000A3E56">
      <w:pPr>
        <w:spacing w:before="0" w:line="240" w:lineRule="auto"/>
      </w:pPr>
    </w:p>
    <w:tbl>
      <w:tblPr>
        <w:tblStyle w:val="BodyCell"/>
        <w:tblW w:w="9464" w:type="dxa"/>
        <w:tblLayout w:type="fixed"/>
        <w:tblLook w:val="06A0" w:firstRow="1" w:lastRow="0" w:firstColumn="1" w:lastColumn="0" w:noHBand="1" w:noVBand="1"/>
      </w:tblPr>
      <w:tblGrid>
        <w:gridCol w:w="877"/>
        <w:gridCol w:w="6035"/>
        <w:gridCol w:w="709"/>
        <w:gridCol w:w="709"/>
        <w:gridCol w:w="1134"/>
      </w:tblGrid>
      <w:tr w:rsidR="000D0C1A" w:rsidRPr="000A3E56" w:rsidTr="000A3E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rsidR="000D0C1A" w:rsidRPr="0082692A" w:rsidRDefault="000D0C1A" w:rsidP="000A3E56">
            <w:pPr>
              <w:spacing w:before="120" w:after="120"/>
              <w:rPr>
                <w:rFonts w:asciiTheme="minorHAnsi" w:hAnsiTheme="minorHAnsi"/>
                <w:b/>
              </w:rPr>
            </w:pPr>
            <w:r w:rsidRPr="0082692A">
              <w:rPr>
                <w:rFonts w:asciiTheme="minorHAnsi" w:hAnsiTheme="minorHAnsi"/>
                <w:b/>
              </w:rPr>
              <w:t>Security of Personal Information</w:t>
            </w:r>
          </w:p>
        </w:tc>
        <w:tc>
          <w:tcPr>
            <w:tcW w:w="709" w:type="dxa"/>
            <w:vAlign w:val="center"/>
          </w:tcPr>
          <w:p w:rsidR="000D0C1A" w:rsidRPr="000A3E56" w:rsidRDefault="000D0C1A" w:rsidP="000A3E5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0A3E56">
              <w:rPr>
                <w:rFonts w:asciiTheme="minorHAnsi" w:hAnsiTheme="minorHAnsi"/>
                <w:b/>
              </w:rPr>
              <w:t>Y</w:t>
            </w:r>
          </w:p>
        </w:tc>
        <w:tc>
          <w:tcPr>
            <w:tcW w:w="709" w:type="dxa"/>
            <w:vAlign w:val="center"/>
          </w:tcPr>
          <w:p w:rsidR="000D0C1A" w:rsidRPr="000A3E56" w:rsidRDefault="000D0C1A" w:rsidP="000A3E5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0A3E56">
              <w:rPr>
                <w:rFonts w:asciiTheme="minorHAnsi" w:hAnsiTheme="minorHAnsi"/>
                <w:b/>
              </w:rPr>
              <w:t>N</w:t>
            </w:r>
          </w:p>
        </w:tc>
        <w:tc>
          <w:tcPr>
            <w:tcW w:w="1134" w:type="dxa"/>
            <w:vAlign w:val="center"/>
          </w:tcPr>
          <w:p w:rsidR="000D0C1A" w:rsidRPr="000A3E56" w:rsidRDefault="000D0C1A" w:rsidP="000A3E5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0A3E56">
              <w:rPr>
                <w:rFonts w:asciiTheme="minorHAnsi" w:hAnsiTheme="minorHAnsi"/>
                <w:b/>
              </w:rPr>
              <w:t>APP</w:t>
            </w:r>
          </w:p>
        </w:tc>
      </w:tr>
      <w:tr w:rsidR="000D0C1A" w:rsidRPr="000A3E56"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0D0C1A" w:rsidRPr="0082692A" w:rsidRDefault="00693DA4" w:rsidP="000A3E56">
            <w:pPr>
              <w:spacing w:before="40" w:after="40"/>
              <w:jc w:val="center"/>
              <w:rPr>
                <w:rFonts w:asciiTheme="minorHAnsi" w:hAnsiTheme="minorHAnsi"/>
              </w:rPr>
            </w:pPr>
            <w:r>
              <w:rPr>
                <w:rFonts w:asciiTheme="minorHAnsi" w:hAnsiTheme="minorHAnsi"/>
              </w:rPr>
              <w:t>4</w:t>
            </w:r>
            <w:r w:rsidR="000D0C1A" w:rsidRPr="0082692A">
              <w:rPr>
                <w:rFonts w:asciiTheme="minorHAnsi" w:hAnsiTheme="minorHAnsi"/>
              </w:rPr>
              <w:t>.11.1</w:t>
            </w:r>
          </w:p>
        </w:tc>
        <w:tc>
          <w:tcPr>
            <w:tcW w:w="6035" w:type="dxa"/>
            <w:vAlign w:val="center"/>
          </w:tcPr>
          <w:p w:rsidR="000D0C1A" w:rsidRPr="0082692A" w:rsidRDefault="000D0C1A" w:rsidP="000A3E5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2692A">
              <w:rPr>
                <w:rFonts w:asciiTheme="minorHAnsi" w:hAnsiTheme="minorHAnsi"/>
              </w:rPr>
              <w:t>Are security processes in place to prot</w:t>
            </w:r>
            <w:r w:rsidR="00DA611D">
              <w:rPr>
                <w:rFonts w:asciiTheme="minorHAnsi" w:hAnsiTheme="minorHAnsi"/>
              </w:rPr>
              <w:t>ect personal information?</w:t>
            </w:r>
          </w:p>
        </w:tc>
        <w:tc>
          <w:tcPr>
            <w:tcW w:w="709" w:type="dxa"/>
            <w:vAlign w:val="center"/>
          </w:tcPr>
          <w:p w:rsidR="000D0C1A" w:rsidRPr="0082692A" w:rsidRDefault="000D0C1A"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0D0C1A" w:rsidRPr="0082692A" w:rsidRDefault="000D0C1A"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0D0C1A" w:rsidRPr="0082692A" w:rsidRDefault="0055041D"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2692A">
              <w:rPr>
                <w:rFonts w:asciiTheme="minorHAnsi" w:hAnsiTheme="minorHAnsi"/>
              </w:rPr>
              <w:t>11.1</w:t>
            </w:r>
          </w:p>
        </w:tc>
      </w:tr>
      <w:tr w:rsidR="000D0C1A" w:rsidRPr="000A3E56"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0D0C1A" w:rsidRPr="0082692A" w:rsidRDefault="00693DA4" w:rsidP="000A3E56">
            <w:pPr>
              <w:spacing w:before="40" w:after="40"/>
              <w:jc w:val="center"/>
              <w:rPr>
                <w:rFonts w:asciiTheme="minorHAnsi" w:hAnsiTheme="minorHAnsi"/>
              </w:rPr>
            </w:pPr>
            <w:r>
              <w:rPr>
                <w:rFonts w:asciiTheme="minorHAnsi" w:hAnsiTheme="minorHAnsi"/>
              </w:rPr>
              <w:t>4</w:t>
            </w:r>
            <w:r w:rsidR="000D0C1A" w:rsidRPr="0082692A">
              <w:rPr>
                <w:rFonts w:asciiTheme="minorHAnsi" w:hAnsiTheme="minorHAnsi"/>
              </w:rPr>
              <w:t>.11.2</w:t>
            </w:r>
          </w:p>
        </w:tc>
        <w:tc>
          <w:tcPr>
            <w:tcW w:w="6035" w:type="dxa"/>
            <w:vAlign w:val="center"/>
          </w:tcPr>
          <w:p w:rsidR="000D0C1A" w:rsidRPr="0082692A" w:rsidRDefault="000D0C1A" w:rsidP="000A3E5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2692A">
              <w:rPr>
                <w:rFonts w:asciiTheme="minorHAnsi" w:hAnsiTheme="minorHAnsi"/>
              </w:rPr>
              <w:t>Is</w:t>
            </w:r>
            <w:r w:rsidR="0055041D" w:rsidRPr="0082692A">
              <w:rPr>
                <w:rFonts w:asciiTheme="minorHAnsi" w:hAnsiTheme="minorHAnsi"/>
              </w:rPr>
              <w:t xml:space="preserve"> there a requirement to destroy records relating to personal information once the use or disclosure requirements are met?</w:t>
            </w:r>
          </w:p>
        </w:tc>
        <w:tc>
          <w:tcPr>
            <w:tcW w:w="709" w:type="dxa"/>
            <w:vAlign w:val="center"/>
          </w:tcPr>
          <w:p w:rsidR="000D0C1A" w:rsidRPr="0082692A" w:rsidRDefault="000D0C1A"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0D0C1A" w:rsidRPr="0082692A" w:rsidRDefault="000D0C1A"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0D0C1A" w:rsidRPr="0082692A" w:rsidRDefault="0055041D"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2692A">
              <w:rPr>
                <w:rFonts w:asciiTheme="minorHAnsi" w:hAnsiTheme="minorHAnsi"/>
              </w:rPr>
              <w:t>11.2</w:t>
            </w:r>
          </w:p>
        </w:tc>
      </w:tr>
      <w:tr w:rsidR="000D0C1A" w:rsidRPr="00A77A7D" w:rsidTr="000A3E56">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F68C3F"/>
          </w:tcPr>
          <w:p w:rsidR="000D0C1A" w:rsidRPr="0082692A" w:rsidRDefault="000D0C1A" w:rsidP="00A06709">
            <w:pPr>
              <w:spacing w:before="40" w:after="40"/>
              <w:rPr>
                <w:rFonts w:asciiTheme="minorHAnsi" w:hAnsiTheme="minorHAnsi"/>
                <w:i/>
              </w:rPr>
            </w:pPr>
          </w:p>
        </w:tc>
      </w:tr>
    </w:tbl>
    <w:p w:rsidR="003A09AC" w:rsidRPr="0081567B" w:rsidRDefault="000154F7" w:rsidP="000D0C1A">
      <w:r w:rsidRPr="0081567B">
        <w:t>Commonwealth agencies are not required to destroy records</w:t>
      </w:r>
      <w:r w:rsidR="00B777A3" w:rsidRPr="0081567B">
        <w:t>,</w:t>
      </w:r>
      <w:r w:rsidRPr="0081567B">
        <w:t xml:space="preserve"> as Commonwealth records</w:t>
      </w:r>
      <w:r w:rsidR="00B777A3" w:rsidRPr="0081567B">
        <w:t xml:space="preserve"> are exempt.</w:t>
      </w:r>
    </w:p>
    <w:p w:rsidR="003A09AC" w:rsidRPr="00D73630" w:rsidRDefault="00735CF6" w:rsidP="00D73630">
      <w:pPr>
        <w:pStyle w:val="Heading2"/>
        <w:keepLines w:val="0"/>
        <w:spacing w:before="240" w:line="240" w:lineRule="auto"/>
        <w:rPr>
          <w:color w:val="365F91" w:themeColor="accent1" w:themeShade="BF"/>
          <w:sz w:val="28"/>
        </w:rPr>
      </w:pPr>
      <w:bookmarkStart w:id="52" w:name="_Toc467501513"/>
      <w:bookmarkStart w:id="53" w:name="_Toc469305245"/>
      <w:r w:rsidRPr="00D73630">
        <w:rPr>
          <w:color w:val="365F91" w:themeColor="accent1" w:themeShade="BF"/>
          <w:sz w:val="28"/>
        </w:rPr>
        <w:t xml:space="preserve">APP 12 </w:t>
      </w:r>
      <w:r w:rsidR="003A09AC" w:rsidRPr="00D73630">
        <w:rPr>
          <w:color w:val="365F91" w:themeColor="accent1" w:themeShade="BF"/>
          <w:sz w:val="28"/>
        </w:rPr>
        <w:t>Access to Personal Information</w:t>
      </w:r>
      <w:bookmarkEnd w:id="52"/>
      <w:bookmarkEnd w:id="53"/>
    </w:p>
    <w:p w:rsidR="00FD2C55" w:rsidRDefault="00FD2C55" w:rsidP="00FD2C55">
      <w:r w:rsidRPr="00A1502A">
        <w:t>The</w:t>
      </w:r>
      <w:r>
        <w:t xml:space="preserve"> responses in this section have been pre-filled for your convenience.</w:t>
      </w:r>
    </w:p>
    <w:p w:rsidR="000A3E56" w:rsidRPr="00887C55" w:rsidRDefault="000A3E56" w:rsidP="000A3E56">
      <w:pPr>
        <w:spacing w:before="0" w:line="240" w:lineRule="auto"/>
      </w:pPr>
    </w:p>
    <w:tbl>
      <w:tblPr>
        <w:tblStyle w:val="BodyCell"/>
        <w:tblW w:w="9464" w:type="dxa"/>
        <w:tblLayout w:type="fixed"/>
        <w:tblLook w:val="06A0" w:firstRow="1" w:lastRow="0" w:firstColumn="1" w:lastColumn="0" w:noHBand="1" w:noVBand="1"/>
      </w:tblPr>
      <w:tblGrid>
        <w:gridCol w:w="877"/>
        <w:gridCol w:w="6035"/>
        <w:gridCol w:w="709"/>
        <w:gridCol w:w="709"/>
        <w:gridCol w:w="1134"/>
      </w:tblGrid>
      <w:tr w:rsidR="00436ABD" w:rsidRPr="000A3E56" w:rsidTr="000A3E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rsidR="00436ABD" w:rsidRPr="0082692A" w:rsidRDefault="000323AC" w:rsidP="000A3E56">
            <w:pPr>
              <w:spacing w:before="120" w:after="120"/>
              <w:rPr>
                <w:rFonts w:asciiTheme="minorHAnsi" w:hAnsiTheme="minorHAnsi"/>
                <w:b/>
              </w:rPr>
            </w:pPr>
            <w:r w:rsidRPr="0082692A">
              <w:rPr>
                <w:rFonts w:asciiTheme="minorHAnsi" w:hAnsiTheme="minorHAnsi"/>
                <w:b/>
              </w:rPr>
              <w:t>Access to</w:t>
            </w:r>
            <w:r w:rsidR="00436ABD" w:rsidRPr="0082692A">
              <w:rPr>
                <w:rFonts w:asciiTheme="minorHAnsi" w:hAnsiTheme="minorHAnsi"/>
                <w:b/>
              </w:rPr>
              <w:t xml:space="preserve"> Personal Information</w:t>
            </w:r>
          </w:p>
        </w:tc>
        <w:tc>
          <w:tcPr>
            <w:tcW w:w="709" w:type="dxa"/>
            <w:vAlign w:val="center"/>
          </w:tcPr>
          <w:p w:rsidR="00436ABD" w:rsidRPr="000A3E56" w:rsidRDefault="00436ABD" w:rsidP="000A3E5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0A3E56">
              <w:rPr>
                <w:rFonts w:asciiTheme="minorHAnsi" w:hAnsiTheme="minorHAnsi"/>
                <w:b/>
              </w:rPr>
              <w:t>Y</w:t>
            </w:r>
          </w:p>
        </w:tc>
        <w:tc>
          <w:tcPr>
            <w:tcW w:w="709" w:type="dxa"/>
            <w:vAlign w:val="center"/>
          </w:tcPr>
          <w:p w:rsidR="00436ABD" w:rsidRPr="000A3E56" w:rsidRDefault="00436ABD" w:rsidP="000A3E5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0A3E56">
              <w:rPr>
                <w:rFonts w:asciiTheme="minorHAnsi" w:hAnsiTheme="minorHAnsi"/>
                <w:b/>
              </w:rPr>
              <w:t>N</w:t>
            </w:r>
          </w:p>
        </w:tc>
        <w:tc>
          <w:tcPr>
            <w:tcW w:w="1134" w:type="dxa"/>
            <w:vAlign w:val="center"/>
          </w:tcPr>
          <w:p w:rsidR="00436ABD" w:rsidRPr="000A3E56" w:rsidRDefault="00436ABD" w:rsidP="000A3E5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0A3E56">
              <w:rPr>
                <w:rFonts w:asciiTheme="minorHAnsi" w:hAnsiTheme="minorHAnsi"/>
                <w:b/>
              </w:rPr>
              <w:t>APP</w:t>
            </w:r>
          </w:p>
        </w:tc>
      </w:tr>
      <w:tr w:rsidR="00436ABD" w:rsidRPr="000A3E56"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436ABD" w:rsidRPr="00933351" w:rsidRDefault="00693DA4" w:rsidP="000A3E56">
            <w:pPr>
              <w:spacing w:before="40" w:after="40"/>
              <w:jc w:val="center"/>
              <w:rPr>
                <w:rFonts w:asciiTheme="minorHAnsi" w:hAnsiTheme="minorHAnsi"/>
              </w:rPr>
            </w:pPr>
            <w:r>
              <w:rPr>
                <w:rFonts w:asciiTheme="minorHAnsi" w:hAnsiTheme="minorHAnsi"/>
              </w:rPr>
              <w:lastRenderedPageBreak/>
              <w:t>4</w:t>
            </w:r>
            <w:r w:rsidR="00436ABD" w:rsidRPr="00933351">
              <w:rPr>
                <w:rFonts w:asciiTheme="minorHAnsi" w:hAnsiTheme="minorHAnsi"/>
              </w:rPr>
              <w:t>.12.1</w:t>
            </w:r>
          </w:p>
        </w:tc>
        <w:tc>
          <w:tcPr>
            <w:tcW w:w="6035" w:type="dxa"/>
            <w:vAlign w:val="center"/>
          </w:tcPr>
          <w:p w:rsidR="00436ABD" w:rsidRPr="00933351" w:rsidRDefault="00436ABD" w:rsidP="000A3E5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351">
              <w:rPr>
                <w:rFonts w:asciiTheme="minorHAnsi" w:hAnsiTheme="minorHAnsi"/>
              </w:rPr>
              <w:t xml:space="preserve">Are processes in place for individuals to access their information </w:t>
            </w:r>
            <w:r w:rsidR="00DA611D">
              <w:rPr>
                <w:rFonts w:asciiTheme="minorHAnsi" w:hAnsiTheme="minorHAnsi"/>
              </w:rPr>
              <w:t xml:space="preserve">from the </w:t>
            </w:r>
            <w:r w:rsidR="00A84A74">
              <w:rPr>
                <w:rFonts w:asciiTheme="minorHAnsi" w:hAnsiTheme="minorHAnsi"/>
              </w:rPr>
              <w:t>ANRDR</w:t>
            </w:r>
            <w:r w:rsidR="00DA611D">
              <w:rPr>
                <w:rFonts w:asciiTheme="minorHAnsi" w:hAnsiTheme="minorHAnsi"/>
              </w:rPr>
              <w:t>?</w:t>
            </w:r>
          </w:p>
        </w:tc>
        <w:tc>
          <w:tcPr>
            <w:tcW w:w="709" w:type="dxa"/>
            <w:vAlign w:val="center"/>
          </w:tcPr>
          <w:p w:rsidR="00436ABD" w:rsidRPr="00933351" w:rsidRDefault="00A84A74"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X</w:t>
            </w:r>
          </w:p>
        </w:tc>
        <w:tc>
          <w:tcPr>
            <w:tcW w:w="709" w:type="dxa"/>
            <w:vAlign w:val="center"/>
          </w:tcPr>
          <w:p w:rsidR="00436ABD" w:rsidRPr="00933351" w:rsidRDefault="00436ABD"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436ABD" w:rsidRPr="00933351" w:rsidRDefault="00436ABD"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351">
              <w:rPr>
                <w:rFonts w:asciiTheme="minorHAnsi" w:hAnsiTheme="minorHAnsi"/>
              </w:rPr>
              <w:t>12.1</w:t>
            </w:r>
            <w:r w:rsidR="00F730BB" w:rsidRPr="00933351">
              <w:rPr>
                <w:rFonts w:asciiTheme="minorHAnsi" w:hAnsiTheme="minorHAnsi"/>
              </w:rPr>
              <w:t xml:space="preserve"> &amp; 12.4</w:t>
            </w:r>
          </w:p>
        </w:tc>
      </w:tr>
      <w:tr w:rsidR="00436ABD" w:rsidRPr="000A3E56"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436ABD" w:rsidRPr="00B323C7" w:rsidRDefault="00693DA4" w:rsidP="000A3E56">
            <w:pPr>
              <w:spacing w:before="40" w:after="40"/>
              <w:jc w:val="center"/>
              <w:rPr>
                <w:rFonts w:asciiTheme="minorHAnsi" w:hAnsiTheme="minorHAnsi"/>
              </w:rPr>
            </w:pPr>
            <w:r>
              <w:rPr>
                <w:rFonts w:asciiTheme="minorHAnsi" w:hAnsiTheme="minorHAnsi"/>
              </w:rPr>
              <w:t>4</w:t>
            </w:r>
            <w:r w:rsidR="00436ABD" w:rsidRPr="00B323C7">
              <w:rPr>
                <w:rFonts w:asciiTheme="minorHAnsi" w:hAnsiTheme="minorHAnsi"/>
              </w:rPr>
              <w:t>.12.2</w:t>
            </w:r>
          </w:p>
        </w:tc>
        <w:tc>
          <w:tcPr>
            <w:tcW w:w="6035" w:type="dxa"/>
            <w:vAlign w:val="center"/>
          </w:tcPr>
          <w:p w:rsidR="00436ABD" w:rsidRPr="00B323C7" w:rsidRDefault="00F730BB" w:rsidP="000A3E5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323C7">
              <w:rPr>
                <w:rFonts w:asciiTheme="minorHAnsi" w:hAnsiTheme="minorHAnsi"/>
              </w:rPr>
              <w:t>Do any exceptions apply to the provision of information to individuals?</w:t>
            </w:r>
          </w:p>
        </w:tc>
        <w:tc>
          <w:tcPr>
            <w:tcW w:w="709" w:type="dxa"/>
            <w:vAlign w:val="center"/>
          </w:tcPr>
          <w:p w:rsidR="00436ABD" w:rsidRPr="00B323C7" w:rsidRDefault="00436ABD"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436ABD" w:rsidRPr="00B323C7" w:rsidRDefault="00A84A74"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X</w:t>
            </w:r>
          </w:p>
        </w:tc>
        <w:tc>
          <w:tcPr>
            <w:tcW w:w="1134" w:type="dxa"/>
            <w:vAlign w:val="center"/>
          </w:tcPr>
          <w:p w:rsidR="00436ABD" w:rsidRPr="00B323C7" w:rsidRDefault="002768E7"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323C7">
              <w:rPr>
                <w:rFonts w:asciiTheme="minorHAnsi" w:hAnsiTheme="minorHAnsi"/>
              </w:rPr>
              <w:t>12.2,</w:t>
            </w:r>
            <w:r w:rsidR="00C058CE" w:rsidRPr="00B323C7">
              <w:rPr>
                <w:rFonts w:asciiTheme="minorHAnsi" w:hAnsiTheme="minorHAnsi"/>
              </w:rPr>
              <w:t xml:space="preserve"> </w:t>
            </w:r>
            <w:r w:rsidR="00F730BB" w:rsidRPr="00B323C7">
              <w:rPr>
                <w:rFonts w:asciiTheme="minorHAnsi" w:hAnsiTheme="minorHAnsi"/>
              </w:rPr>
              <w:t>12.3</w:t>
            </w:r>
            <w:r w:rsidRPr="00B323C7">
              <w:rPr>
                <w:rFonts w:asciiTheme="minorHAnsi" w:hAnsiTheme="minorHAnsi"/>
              </w:rPr>
              <w:t>, 12.5</w:t>
            </w:r>
            <w:r w:rsidR="00512E59" w:rsidRPr="00B323C7">
              <w:rPr>
                <w:rFonts w:asciiTheme="minorHAnsi" w:hAnsiTheme="minorHAnsi"/>
              </w:rPr>
              <w:t>, 12.9 &amp; 12.10</w:t>
            </w:r>
          </w:p>
        </w:tc>
      </w:tr>
      <w:tr w:rsidR="00B323C7" w:rsidRPr="000A3E56"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B323C7" w:rsidRPr="00B323C7" w:rsidRDefault="00B323C7" w:rsidP="000A3E56">
            <w:pPr>
              <w:spacing w:before="40" w:after="40"/>
              <w:jc w:val="center"/>
              <w:rPr>
                <w:rFonts w:asciiTheme="minorHAnsi" w:hAnsiTheme="minorHAnsi"/>
              </w:rPr>
            </w:pPr>
            <w:r>
              <w:rPr>
                <w:rFonts w:asciiTheme="minorHAnsi" w:hAnsiTheme="minorHAnsi"/>
              </w:rPr>
              <w:t>4.12.3</w:t>
            </w:r>
          </w:p>
        </w:tc>
        <w:tc>
          <w:tcPr>
            <w:tcW w:w="6035" w:type="dxa"/>
            <w:vAlign w:val="center"/>
          </w:tcPr>
          <w:p w:rsidR="00B323C7" w:rsidRPr="00B323C7" w:rsidRDefault="00B323C7" w:rsidP="000A3E5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Can information be provided to a mutually agreed third party?</w:t>
            </w:r>
          </w:p>
        </w:tc>
        <w:tc>
          <w:tcPr>
            <w:tcW w:w="709" w:type="dxa"/>
            <w:vAlign w:val="center"/>
          </w:tcPr>
          <w:p w:rsidR="00B323C7" w:rsidRPr="00B323C7" w:rsidRDefault="00A84A74"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X</w:t>
            </w:r>
          </w:p>
        </w:tc>
        <w:tc>
          <w:tcPr>
            <w:tcW w:w="709" w:type="dxa"/>
            <w:vAlign w:val="center"/>
          </w:tcPr>
          <w:p w:rsidR="00B323C7" w:rsidRPr="00B323C7" w:rsidRDefault="00B323C7"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B323C7" w:rsidRPr="00B323C7" w:rsidRDefault="00B323C7"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12.6</w:t>
            </w:r>
          </w:p>
        </w:tc>
      </w:tr>
      <w:tr w:rsidR="00F730BB" w:rsidRPr="000A3E56" w:rsidTr="000A3E56">
        <w:tc>
          <w:tcPr>
            <w:cnfStyle w:val="001000000000" w:firstRow="0" w:lastRow="0" w:firstColumn="1" w:lastColumn="0" w:oddVBand="0" w:evenVBand="0" w:oddHBand="0" w:evenHBand="0" w:firstRowFirstColumn="0" w:firstRowLastColumn="0" w:lastRowFirstColumn="0" w:lastRowLastColumn="0"/>
            <w:tcW w:w="877" w:type="dxa"/>
            <w:tcBorders>
              <w:bottom w:val="single" w:sz="8" w:space="0" w:color="FFFFFF" w:themeColor="background1"/>
            </w:tcBorders>
            <w:vAlign w:val="center"/>
          </w:tcPr>
          <w:p w:rsidR="00F730BB" w:rsidRPr="00B323C7" w:rsidRDefault="00B323C7" w:rsidP="000A3E56">
            <w:pPr>
              <w:spacing w:before="40" w:after="40"/>
              <w:jc w:val="center"/>
              <w:rPr>
                <w:rFonts w:asciiTheme="minorHAnsi" w:hAnsiTheme="minorHAnsi"/>
              </w:rPr>
            </w:pPr>
            <w:r>
              <w:rPr>
                <w:rFonts w:asciiTheme="minorHAnsi" w:hAnsiTheme="minorHAnsi"/>
              </w:rPr>
              <w:t>4</w:t>
            </w:r>
            <w:r w:rsidR="00F730BB" w:rsidRPr="00B323C7">
              <w:rPr>
                <w:rFonts w:asciiTheme="minorHAnsi" w:hAnsiTheme="minorHAnsi"/>
              </w:rPr>
              <w:t>.12.</w:t>
            </w:r>
            <w:r>
              <w:rPr>
                <w:rFonts w:asciiTheme="minorHAnsi" w:hAnsiTheme="minorHAnsi"/>
              </w:rPr>
              <w:t>4</w:t>
            </w:r>
          </w:p>
        </w:tc>
        <w:tc>
          <w:tcPr>
            <w:tcW w:w="6035" w:type="dxa"/>
            <w:tcBorders>
              <w:bottom w:val="single" w:sz="8" w:space="0" w:color="FFFFFF" w:themeColor="background1"/>
            </w:tcBorders>
            <w:vAlign w:val="center"/>
          </w:tcPr>
          <w:p w:rsidR="00F730BB" w:rsidRPr="00B323C7" w:rsidRDefault="002768E7" w:rsidP="000A3E5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323C7">
              <w:rPr>
                <w:rFonts w:asciiTheme="minorHAnsi" w:hAnsiTheme="minorHAnsi"/>
              </w:rPr>
              <w:t>Are any fees associated with the provision of information?</w:t>
            </w:r>
          </w:p>
        </w:tc>
        <w:tc>
          <w:tcPr>
            <w:tcW w:w="709" w:type="dxa"/>
            <w:tcBorders>
              <w:bottom w:val="single" w:sz="8" w:space="0" w:color="FFFFFF" w:themeColor="background1"/>
            </w:tcBorders>
            <w:vAlign w:val="center"/>
          </w:tcPr>
          <w:p w:rsidR="00F730BB" w:rsidRPr="00B323C7" w:rsidRDefault="00F730BB"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tcBorders>
              <w:bottom w:val="single" w:sz="8" w:space="0" w:color="FFFFFF" w:themeColor="background1"/>
            </w:tcBorders>
            <w:vAlign w:val="center"/>
          </w:tcPr>
          <w:p w:rsidR="00F730BB" w:rsidRPr="00B323C7" w:rsidRDefault="00A84A74"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X</w:t>
            </w:r>
          </w:p>
        </w:tc>
        <w:tc>
          <w:tcPr>
            <w:tcW w:w="1134" w:type="dxa"/>
            <w:tcBorders>
              <w:bottom w:val="single" w:sz="8" w:space="0" w:color="FFFFFF" w:themeColor="background1"/>
            </w:tcBorders>
            <w:vAlign w:val="center"/>
          </w:tcPr>
          <w:p w:rsidR="00F730BB" w:rsidRPr="00B323C7" w:rsidRDefault="002768E7"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323C7">
              <w:rPr>
                <w:rFonts w:asciiTheme="minorHAnsi" w:hAnsiTheme="minorHAnsi"/>
              </w:rPr>
              <w:t>12.7 &amp; 12.8</w:t>
            </w:r>
          </w:p>
        </w:tc>
      </w:tr>
      <w:tr w:rsidR="007D403A" w:rsidRPr="00A77A7D" w:rsidTr="000A3E56">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F58C3F"/>
          </w:tcPr>
          <w:p w:rsidR="007D403A" w:rsidRPr="00B323C7" w:rsidRDefault="007D403A" w:rsidP="002768E7">
            <w:pPr>
              <w:spacing w:before="40" w:after="40"/>
            </w:pPr>
          </w:p>
        </w:tc>
      </w:tr>
    </w:tbl>
    <w:p w:rsidR="00253804" w:rsidRPr="00933351" w:rsidRDefault="00C94056" w:rsidP="000D0C1A">
      <w:r>
        <w:t>The ANRDR has been established to provide free d</w:t>
      </w:r>
      <w:r w:rsidR="00A84A74">
        <w:t>ose history report</w:t>
      </w:r>
      <w:r w:rsidR="00BC0425">
        <w:t>s</w:t>
      </w:r>
      <w:r w:rsidR="00A84A74">
        <w:t xml:space="preserve"> </w:t>
      </w:r>
      <w:r>
        <w:t xml:space="preserve">to individuals or </w:t>
      </w:r>
      <w:r w:rsidR="00A84A74">
        <w:t>an agreed third party</w:t>
      </w:r>
      <w:r w:rsidR="00CA3390">
        <w:t xml:space="preserve"> </w:t>
      </w:r>
      <w:r w:rsidR="00BC0425">
        <w:t>upon request</w:t>
      </w:r>
      <w:r w:rsidR="00A84A74">
        <w:t>.</w:t>
      </w:r>
      <w:r w:rsidR="00FD2C55">
        <w:t xml:space="preserve"> </w:t>
      </w:r>
      <w:r>
        <w:t>N</w:t>
      </w:r>
      <w:r w:rsidR="002768E7" w:rsidRPr="00933351">
        <w:t>o exceptions apply to the disclosure of information to the individual</w:t>
      </w:r>
      <w:r w:rsidR="00CA3390">
        <w:t>.</w:t>
      </w:r>
    </w:p>
    <w:p w:rsidR="00B94C5E" w:rsidRPr="00D73630" w:rsidRDefault="00735CF6" w:rsidP="00D73630">
      <w:pPr>
        <w:pStyle w:val="Heading2"/>
        <w:keepLines w:val="0"/>
        <w:spacing w:before="240" w:line="240" w:lineRule="auto"/>
        <w:rPr>
          <w:color w:val="365F91" w:themeColor="accent1" w:themeShade="BF"/>
          <w:sz w:val="28"/>
        </w:rPr>
      </w:pPr>
      <w:bookmarkStart w:id="54" w:name="_Toc467501514"/>
      <w:bookmarkStart w:id="55" w:name="_Toc469305246"/>
      <w:r w:rsidRPr="00D73630">
        <w:rPr>
          <w:color w:val="365F91" w:themeColor="accent1" w:themeShade="BF"/>
          <w:sz w:val="28"/>
        </w:rPr>
        <w:t xml:space="preserve">APP 13 </w:t>
      </w:r>
      <w:r w:rsidR="00512E59" w:rsidRPr="00D73630">
        <w:rPr>
          <w:color w:val="365F91" w:themeColor="accent1" w:themeShade="BF"/>
          <w:sz w:val="28"/>
        </w:rPr>
        <w:t>Correction of Personal Information</w:t>
      </w:r>
      <w:bookmarkEnd w:id="54"/>
      <w:bookmarkEnd w:id="55"/>
    </w:p>
    <w:p w:rsidR="00CA3390" w:rsidRDefault="00CA3390" w:rsidP="00FD2C55">
      <w:r w:rsidRPr="00BB6A14">
        <w:t>Some of the responses relating to the ANRDR have been pre-filled for your convenience.</w:t>
      </w:r>
    </w:p>
    <w:p w:rsidR="00735D70" w:rsidRPr="00CA3390" w:rsidRDefault="00735D70" w:rsidP="00735D70">
      <w:pPr>
        <w:spacing w:before="0" w:line="240" w:lineRule="auto"/>
      </w:pPr>
    </w:p>
    <w:tbl>
      <w:tblPr>
        <w:tblStyle w:val="BodyCell"/>
        <w:tblW w:w="9464" w:type="dxa"/>
        <w:tblLayout w:type="fixed"/>
        <w:tblLook w:val="06A0" w:firstRow="1" w:lastRow="0" w:firstColumn="1" w:lastColumn="0" w:noHBand="1" w:noVBand="1"/>
      </w:tblPr>
      <w:tblGrid>
        <w:gridCol w:w="877"/>
        <w:gridCol w:w="6035"/>
        <w:gridCol w:w="709"/>
        <w:gridCol w:w="709"/>
        <w:gridCol w:w="1134"/>
      </w:tblGrid>
      <w:tr w:rsidR="000323AC" w:rsidRPr="00A77A7D" w:rsidTr="000A3E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rsidR="000323AC" w:rsidRPr="00933351" w:rsidRDefault="000323AC" w:rsidP="000A3E56">
            <w:pPr>
              <w:spacing w:before="40" w:after="40"/>
              <w:rPr>
                <w:rFonts w:asciiTheme="minorHAnsi" w:hAnsiTheme="minorHAnsi"/>
                <w:b/>
              </w:rPr>
            </w:pPr>
            <w:r w:rsidRPr="00933351">
              <w:rPr>
                <w:rFonts w:asciiTheme="minorHAnsi" w:hAnsiTheme="minorHAnsi"/>
                <w:b/>
              </w:rPr>
              <w:t>Correction of Personal Information</w:t>
            </w:r>
          </w:p>
        </w:tc>
        <w:tc>
          <w:tcPr>
            <w:tcW w:w="709" w:type="dxa"/>
            <w:vAlign w:val="center"/>
          </w:tcPr>
          <w:p w:rsidR="000323AC" w:rsidRPr="000A3E56" w:rsidRDefault="000323AC" w:rsidP="000A3E56">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0A3E56">
              <w:rPr>
                <w:rFonts w:asciiTheme="minorHAnsi" w:hAnsiTheme="minorHAnsi"/>
                <w:b/>
              </w:rPr>
              <w:t>Y</w:t>
            </w:r>
          </w:p>
        </w:tc>
        <w:tc>
          <w:tcPr>
            <w:tcW w:w="709" w:type="dxa"/>
            <w:vAlign w:val="center"/>
          </w:tcPr>
          <w:p w:rsidR="000323AC" w:rsidRPr="000A3E56" w:rsidRDefault="000323AC" w:rsidP="000A3E56">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0A3E56">
              <w:rPr>
                <w:rFonts w:asciiTheme="minorHAnsi" w:hAnsiTheme="minorHAnsi"/>
                <w:b/>
              </w:rPr>
              <w:t>N</w:t>
            </w:r>
          </w:p>
        </w:tc>
        <w:tc>
          <w:tcPr>
            <w:tcW w:w="1134" w:type="dxa"/>
            <w:vAlign w:val="center"/>
          </w:tcPr>
          <w:p w:rsidR="000323AC" w:rsidRPr="000A3E56" w:rsidRDefault="000323AC" w:rsidP="000A3E56">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0A3E56">
              <w:rPr>
                <w:rFonts w:asciiTheme="minorHAnsi" w:hAnsiTheme="minorHAnsi"/>
                <w:b/>
              </w:rPr>
              <w:t>APP</w:t>
            </w:r>
          </w:p>
        </w:tc>
      </w:tr>
      <w:tr w:rsidR="000323AC" w:rsidRPr="00A77A7D"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0323AC" w:rsidRPr="00933351" w:rsidRDefault="00272002" w:rsidP="000A3E56">
            <w:pPr>
              <w:spacing w:before="40" w:after="40"/>
              <w:jc w:val="center"/>
              <w:rPr>
                <w:rFonts w:asciiTheme="minorHAnsi" w:hAnsiTheme="minorHAnsi"/>
              </w:rPr>
            </w:pPr>
            <w:r>
              <w:rPr>
                <w:rFonts w:asciiTheme="minorHAnsi" w:hAnsiTheme="minorHAnsi"/>
              </w:rPr>
              <w:t>4</w:t>
            </w:r>
            <w:r w:rsidR="000323AC" w:rsidRPr="00933351">
              <w:rPr>
                <w:rFonts w:asciiTheme="minorHAnsi" w:hAnsiTheme="minorHAnsi"/>
              </w:rPr>
              <w:t>.13.1</w:t>
            </w:r>
          </w:p>
        </w:tc>
        <w:tc>
          <w:tcPr>
            <w:tcW w:w="6035" w:type="dxa"/>
            <w:vAlign w:val="center"/>
          </w:tcPr>
          <w:p w:rsidR="000323AC" w:rsidRPr="00933351" w:rsidRDefault="000323AC" w:rsidP="000A3E5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351">
              <w:rPr>
                <w:rFonts w:asciiTheme="minorHAnsi" w:hAnsiTheme="minorHAnsi"/>
              </w:rPr>
              <w:t>Are individuals able to request changes</w:t>
            </w:r>
            <w:r w:rsidR="00BC0425">
              <w:rPr>
                <w:rFonts w:asciiTheme="minorHAnsi" w:hAnsiTheme="minorHAnsi"/>
              </w:rPr>
              <w:t xml:space="preserve"> from the </w:t>
            </w:r>
            <w:r w:rsidR="00794234">
              <w:rPr>
                <w:rFonts w:asciiTheme="minorHAnsi" w:hAnsiTheme="minorHAnsi"/>
              </w:rPr>
              <w:t xml:space="preserve">APP entity </w:t>
            </w:r>
            <w:r w:rsidRPr="00933351">
              <w:rPr>
                <w:rFonts w:asciiTheme="minorHAnsi" w:hAnsiTheme="minorHAnsi"/>
              </w:rPr>
              <w:t>to personal information</w:t>
            </w:r>
            <w:r w:rsidR="00A84A74">
              <w:rPr>
                <w:rFonts w:asciiTheme="minorHAnsi" w:hAnsiTheme="minorHAnsi"/>
              </w:rPr>
              <w:t xml:space="preserve"> submitted to the ANRDR</w:t>
            </w:r>
            <w:r w:rsidRPr="00933351">
              <w:rPr>
                <w:rFonts w:asciiTheme="minorHAnsi" w:hAnsiTheme="minorHAnsi"/>
              </w:rPr>
              <w:t>?</w:t>
            </w:r>
          </w:p>
        </w:tc>
        <w:tc>
          <w:tcPr>
            <w:tcW w:w="709" w:type="dxa"/>
            <w:vAlign w:val="center"/>
          </w:tcPr>
          <w:p w:rsidR="000323AC" w:rsidRPr="00933351" w:rsidRDefault="000323AC"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0323AC" w:rsidRPr="00933351" w:rsidRDefault="000323AC"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0323AC" w:rsidRPr="00933351" w:rsidRDefault="000323AC"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351">
              <w:rPr>
                <w:rFonts w:asciiTheme="minorHAnsi" w:hAnsiTheme="minorHAnsi"/>
              </w:rPr>
              <w:t>13.1</w:t>
            </w:r>
            <w:r w:rsidR="00E77720" w:rsidRPr="00933351">
              <w:rPr>
                <w:rFonts w:asciiTheme="minorHAnsi" w:hAnsiTheme="minorHAnsi"/>
              </w:rPr>
              <w:t>,</w:t>
            </w:r>
            <w:r w:rsidR="006C7891" w:rsidRPr="00933351">
              <w:rPr>
                <w:rFonts w:asciiTheme="minorHAnsi" w:hAnsiTheme="minorHAnsi"/>
              </w:rPr>
              <w:t xml:space="preserve"> 13.3</w:t>
            </w:r>
            <w:r w:rsidR="00E77720" w:rsidRPr="00933351">
              <w:rPr>
                <w:rFonts w:asciiTheme="minorHAnsi" w:hAnsiTheme="minorHAnsi"/>
              </w:rPr>
              <w:t xml:space="preserve"> &amp; 13.5</w:t>
            </w:r>
          </w:p>
        </w:tc>
      </w:tr>
      <w:tr w:rsidR="00C94056" w:rsidRPr="00A77A7D"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C94056" w:rsidRPr="00933351" w:rsidRDefault="00C94056" w:rsidP="000A3E56">
            <w:pPr>
              <w:spacing w:before="40" w:after="40"/>
              <w:jc w:val="center"/>
              <w:rPr>
                <w:rFonts w:asciiTheme="minorHAnsi" w:hAnsiTheme="minorHAnsi"/>
              </w:rPr>
            </w:pPr>
            <w:r>
              <w:rPr>
                <w:rFonts w:asciiTheme="minorHAnsi" w:hAnsiTheme="minorHAnsi"/>
              </w:rPr>
              <w:t>4</w:t>
            </w:r>
            <w:r w:rsidRPr="00933351">
              <w:rPr>
                <w:rFonts w:asciiTheme="minorHAnsi" w:hAnsiTheme="minorHAnsi"/>
              </w:rPr>
              <w:t>.13.2</w:t>
            </w:r>
          </w:p>
        </w:tc>
        <w:tc>
          <w:tcPr>
            <w:tcW w:w="6035" w:type="dxa"/>
            <w:vAlign w:val="center"/>
          </w:tcPr>
          <w:p w:rsidR="00C94056" w:rsidRPr="00933351" w:rsidRDefault="00C94056" w:rsidP="000A3E5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Can the individual request a correction to personal information already in the ANRDR</w:t>
            </w:r>
            <w:r w:rsidR="00C51892">
              <w:rPr>
                <w:rFonts w:asciiTheme="minorHAnsi" w:hAnsiTheme="minorHAnsi"/>
              </w:rPr>
              <w:t xml:space="preserve"> directly from the ANRDR</w:t>
            </w:r>
            <w:r>
              <w:rPr>
                <w:rFonts w:asciiTheme="minorHAnsi" w:hAnsiTheme="minorHAnsi"/>
              </w:rPr>
              <w:t>?</w:t>
            </w:r>
          </w:p>
        </w:tc>
        <w:tc>
          <w:tcPr>
            <w:tcW w:w="709"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X</w:t>
            </w:r>
          </w:p>
        </w:tc>
        <w:tc>
          <w:tcPr>
            <w:tcW w:w="709"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94056" w:rsidRPr="00A77A7D"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C94056" w:rsidRPr="00933351" w:rsidRDefault="00C94056" w:rsidP="000A3E56">
            <w:pPr>
              <w:spacing w:before="40" w:after="40"/>
              <w:jc w:val="center"/>
              <w:rPr>
                <w:rFonts w:asciiTheme="minorHAnsi" w:hAnsiTheme="minorHAnsi"/>
              </w:rPr>
            </w:pPr>
            <w:r>
              <w:rPr>
                <w:rFonts w:asciiTheme="minorHAnsi" w:hAnsiTheme="minorHAnsi"/>
              </w:rPr>
              <w:t>4</w:t>
            </w:r>
            <w:r w:rsidRPr="00933351">
              <w:rPr>
                <w:rFonts w:asciiTheme="minorHAnsi" w:hAnsiTheme="minorHAnsi"/>
              </w:rPr>
              <w:t>.13.3</w:t>
            </w:r>
          </w:p>
        </w:tc>
        <w:tc>
          <w:tcPr>
            <w:tcW w:w="6035" w:type="dxa"/>
            <w:vAlign w:val="center"/>
          </w:tcPr>
          <w:p w:rsidR="00C94056" w:rsidRPr="00933351" w:rsidRDefault="00C94056" w:rsidP="000A3E5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351">
              <w:rPr>
                <w:rFonts w:asciiTheme="minorHAnsi" w:hAnsiTheme="minorHAnsi"/>
              </w:rPr>
              <w:t xml:space="preserve">Do processes exist to review personal information </w:t>
            </w:r>
            <w:r>
              <w:rPr>
                <w:rFonts w:asciiTheme="minorHAnsi" w:hAnsiTheme="minorHAnsi"/>
              </w:rPr>
              <w:t xml:space="preserve">submitted to the ANRDR </w:t>
            </w:r>
            <w:r w:rsidRPr="00933351">
              <w:rPr>
                <w:rFonts w:asciiTheme="minorHAnsi" w:hAnsiTheme="minorHAnsi"/>
              </w:rPr>
              <w:t>for accuracy?</w:t>
            </w:r>
          </w:p>
        </w:tc>
        <w:tc>
          <w:tcPr>
            <w:tcW w:w="709"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351">
              <w:rPr>
                <w:rFonts w:asciiTheme="minorHAnsi" w:hAnsiTheme="minorHAnsi"/>
              </w:rPr>
              <w:t>13.1 &amp; 13.3</w:t>
            </w:r>
          </w:p>
        </w:tc>
      </w:tr>
      <w:tr w:rsidR="00C94056" w:rsidRPr="00A77A7D"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C94056" w:rsidRPr="00933351" w:rsidRDefault="00C94056" w:rsidP="000A3E56">
            <w:pPr>
              <w:spacing w:before="40" w:after="40"/>
              <w:jc w:val="center"/>
              <w:rPr>
                <w:rFonts w:asciiTheme="minorHAnsi" w:hAnsiTheme="minorHAnsi"/>
              </w:rPr>
            </w:pPr>
            <w:r>
              <w:rPr>
                <w:rFonts w:asciiTheme="minorHAnsi" w:hAnsiTheme="minorHAnsi"/>
              </w:rPr>
              <w:t>4</w:t>
            </w:r>
            <w:r w:rsidRPr="00933351">
              <w:rPr>
                <w:rFonts w:asciiTheme="minorHAnsi" w:hAnsiTheme="minorHAnsi"/>
              </w:rPr>
              <w:t>.13.4</w:t>
            </w:r>
          </w:p>
        </w:tc>
        <w:tc>
          <w:tcPr>
            <w:tcW w:w="6035" w:type="dxa"/>
            <w:vAlign w:val="center"/>
          </w:tcPr>
          <w:p w:rsidR="00C94056" w:rsidRPr="00794234" w:rsidRDefault="00C94056" w:rsidP="000A3E5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94234">
              <w:rPr>
                <w:rFonts w:asciiTheme="minorHAnsi" w:hAnsiTheme="minorHAnsi"/>
              </w:rPr>
              <w:t xml:space="preserve">Is the APP entity able to correct information </w:t>
            </w:r>
            <w:r w:rsidR="00BC0425" w:rsidRPr="00794234">
              <w:rPr>
                <w:rFonts w:asciiTheme="minorHAnsi" w:hAnsiTheme="minorHAnsi"/>
              </w:rPr>
              <w:t xml:space="preserve">that has been </w:t>
            </w:r>
            <w:r w:rsidRPr="00794234">
              <w:rPr>
                <w:rFonts w:asciiTheme="minorHAnsi" w:hAnsiTheme="minorHAnsi"/>
              </w:rPr>
              <w:t>disclosed to the ANRDR?</w:t>
            </w:r>
          </w:p>
        </w:tc>
        <w:tc>
          <w:tcPr>
            <w:tcW w:w="709" w:type="dxa"/>
            <w:vAlign w:val="center"/>
          </w:tcPr>
          <w:p w:rsidR="00C94056" w:rsidRPr="00933351" w:rsidRDefault="00880503"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X</w:t>
            </w:r>
          </w:p>
        </w:tc>
        <w:tc>
          <w:tcPr>
            <w:tcW w:w="709"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351">
              <w:rPr>
                <w:rFonts w:asciiTheme="minorHAnsi" w:hAnsiTheme="minorHAnsi"/>
              </w:rPr>
              <w:t>13.2</w:t>
            </w:r>
          </w:p>
        </w:tc>
      </w:tr>
      <w:tr w:rsidR="00C94056" w:rsidRPr="00A77A7D"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C94056" w:rsidRPr="00933351" w:rsidRDefault="00C94056" w:rsidP="000A3E56">
            <w:pPr>
              <w:spacing w:before="40" w:after="40"/>
              <w:jc w:val="center"/>
              <w:rPr>
                <w:rFonts w:asciiTheme="minorHAnsi" w:hAnsiTheme="minorHAnsi"/>
              </w:rPr>
            </w:pPr>
            <w:r>
              <w:rPr>
                <w:rFonts w:asciiTheme="minorHAnsi" w:hAnsiTheme="minorHAnsi"/>
              </w:rPr>
              <w:t>4</w:t>
            </w:r>
            <w:r w:rsidRPr="00933351">
              <w:rPr>
                <w:rFonts w:asciiTheme="minorHAnsi" w:hAnsiTheme="minorHAnsi"/>
              </w:rPr>
              <w:t>.13.5</w:t>
            </w:r>
          </w:p>
        </w:tc>
        <w:tc>
          <w:tcPr>
            <w:tcW w:w="6035" w:type="dxa"/>
            <w:vAlign w:val="center"/>
          </w:tcPr>
          <w:p w:rsidR="00C94056" w:rsidRPr="00794234" w:rsidRDefault="00C94056" w:rsidP="000A3E5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94234">
              <w:rPr>
                <w:rFonts w:asciiTheme="minorHAnsi" w:hAnsiTheme="minorHAnsi"/>
              </w:rPr>
              <w:t xml:space="preserve">Do any circumstances exist where the APP entity cannot correct personal information </w:t>
            </w:r>
            <w:r w:rsidR="00A832BC" w:rsidRPr="00794234">
              <w:rPr>
                <w:rFonts w:asciiTheme="minorHAnsi" w:hAnsiTheme="minorHAnsi"/>
              </w:rPr>
              <w:t xml:space="preserve">it holds </w:t>
            </w:r>
            <w:r w:rsidRPr="00794234">
              <w:rPr>
                <w:rFonts w:asciiTheme="minorHAnsi" w:hAnsiTheme="minorHAnsi"/>
              </w:rPr>
              <w:t>on request?</w:t>
            </w:r>
          </w:p>
        </w:tc>
        <w:tc>
          <w:tcPr>
            <w:tcW w:w="709"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351">
              <w:rPr>
                <w:rFonts w:asciiTheme="minorHAnsi" w:hAnsiTheme="minorHAnsi"/>
              </w:rPr>
              <w:t>13.3 &amp; 13.4</w:t>
            </w:r>
          </w:p>
        </w:tc>
      </w:tr>
      <w:tr w:rsidR="00C94056" w:rsidRPr="00A77A7D" w:rsidTr="000A3E56">
        <w:tc>
          <w:tcPr>
            <w:cnfStyle w:val="001000000000" w:firstRow="0" w:lastRow="0" w:firstColumn="1" w:lastColumn="0" w:oddVBand="0" w:evenVBand="0" w:oddHBand="0" w:evenHBand="0" w:firstRowFirstColumn="0" w:firstRowLastColumn="0" w:lastRowFirstColumn="0" w:lastRowLastColumn="0"/>
            <w:tcW w:w="877" w:type="dxa"/>
            <w:vAlign w:val="center"/>
          </w:tcPr>
          <w:p w:rsidR="00C94056" w:rsidRPr="00933351" w:rsidRDefault="00C94056" w:rsidP="000A3E56">
            <w:pPr>
              <w:spacing w:before="40" w:after="40"/>
              <w:jc w:val="center"/>
              <w:rPr>
                <w:rFonts w:asciiTheme="minorHAnsi" w:hAnsiTheme="minorHAnsi"/>
              </w:rPr>
            </w:pPr>
            <w:r>
              <w:rPr>
                <w:rFonts w:asciiTheme="minorHAnsi" w:hAnsiTheme="minorHAnsi"/>
              </w:rPr>
              <w:t>4.13.6</w:t>
            </w:r>
          </w:p>
        </w:tc>
        <w:tc>
          <w:tcPr>
            <w:tcW w:w="6035" w:type="dxa"/>
            <w:vAlign w:val="center"/>
          </w:tcPr>
          <w:p w:rsidR="00C94056" w:rsidRPr="00933351" w:rsidRDefault="00C94056" w:rsidP="000A3E5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351">
              <w:rPr>
                <w:rFonts w:asciiTheme="minorHAnsi" w:hAnsiTheme="minorHAnsi"/>
              </w:rPr>
              <w:t>Are corrections fee-free and available within 30 days?</w:t>
            </w:r>
          </w:p>
        </w:tc>
        <w:tc>
          <w:tcPr>
            <w:tcW w:w="709"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09"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vAlign w:val="center"/>
          </w:tcPr>
          <w:p w:rsidR="00C94056" w:rsidRPr="00933351" w:rsidRDefault="00C94056" w:rsidP="000A3E5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351">
              <w:rPr>
                <w:rFonts w:asciiTheme="minorHAnsi" w:hAnsiTheme="minorHAnsi"/>
              </w:rPr>
              <w:t>13.5</w:t>
            </w:r>
          </w:p>
        </w:tc>
      </w:tr>
      <w:tr w:rsidR="00C94056" w:rsidRPr="00A77A7D" w:rsidTr="000A3E56">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F68C3F"/>
          </w:tcPr>
          <w:p w:rsidR="00C94056" w:rsidRPr="00933351" w:rsidRDefault="00880503" w:rsidP="000A3E56">
            <w:pPr>
              <w:spacing w:before="40" w:after="40"/>
              <w:rPr>
                <w:rFonts w:asciiTheme="minorHAnsi" w:hAnsiTheme="minorHAnsi"/>
                <w:i/>
              </w:rPr>
            </w:pPr>
            <w:r>
              <w:rPr>
                <w:rFonts w:asciiTheme="minorHAnsi" w:hAnsiTheme="minorHAnsi"/>
                <w:i/>
              </w:rPr>
              <w:t>If you answer NO to 4.13.1 you will need to complete details in the Risk Mitigation Section 6.</w:t>
            </w:r>
          </w:p>
        </w:tc>
      </w:tr>
    </w:tbl>
    <w:p w:rsidR="002955FA" w:rsidRDefault="002955FA" w:rsidP="00B94C5E">
      <w:r w:rsidRPr="00794234">
        <w:t>ARPANSA recommends that the APP entity has a process in place for workers to update their personal</w:t>
      </w:r>
      <w:r>
        <w:t xml:space="preserve"> details in the case where a worker has identified that </w:t>
      </w:r>
      <w:r w:rsidR="000930DF">
        <w:t>the employer maintains incorrect personal information or</w:t>
      </w:r>
      <w:r>
        <w:t xml:space="preserve"> if there is a change in a person’</w:t>
      </w:r>
      <w:r w:rsidR="000930DF">
        <w:t>s circumstances that results in a change of personal information.</w:t>
      </w:r>
    </w:p>
    <w:p w:rsidR="00FE131C" w:rsidRDefault="00880503" w:rsidP="00B94C5E">
      <w:r w:rsidRPr="00315477">
        <w:t xml:space="preserve">The ANRDR </w:t>
      </w:r>
      <w:r w:rsidR="000930DF">
        <w:t>makes available</w:t>
      </w:r>
      <w:r w:rsidRPr="00315477">
        <w:t xml:space="preserve"> a personal information correction </w:t>
      </w:r>
      <w:r w:rsidR="000930DF">
        <w:t>form through which an individual</w:t>
      </w:r>
      <w:r w:rsidR="000930DF" w:rsidRPr="00315477">
        <w:t xml:space="preserve"> </w:t>
      </w:r>
      <w:r w:rsidR="000930DF">
        <w:t>may request</w:t>
      </w:r>
      <w:r w:rsidRPr="00315477">
        <w:t xml:space="preserve"> to </w:t>
      </w:r>
      <w:r w:rsidR="000930DF">
        <w:t>have the</w:t>
      </w:r>
      <w:r w:rsidR="00A832BC">
        <w:t>ir</w:t>
      </w:r>
      <w:r w:rsidR="000930DF">
        <w:t xml:space="preserve"> personal</w:t>
      </w:r>
      <w:r w:rsidRPr="00315477">
        <w:t xml:space="preserve"> information that is already contained in the ANRDR</w:t>
      </w:r>
      <w:r w:rsidR="000930DF">
        <w:t xml:space="preserve"> </w:t>
      </w:r>
      <w:r w:rsidR="00A832BC">
        <w:t xml:space="preserve">to be </w:t>
      </w:r>
      <w:r w:rsidR="000930DF">
        <w:t>corrected</w:t>
      </w:r>
      <w:r w:rsidRPr="00315477">
        <w:t xml:space="preserve">. The </w:t>
      </w:r>
      <w:r w:rsidRPr="00794234">
        <w:t xml:space="preserve">ANRDR regularly reviews personal information contained in the ANRDR for quality and works with the APP </w:t>
      </w:r>
      <w:r w:rsidR="000930DF" w:rsidRPr="00261D2E">
        <w:t>entities</w:t>
      </w:r>
      <w:r w:rsidR="000930DF" w:rsidRPr="00794234">
        <w:t xml:space="preserve"> to correct information</w:t>
      </w:r>
      <w:r w:rsidRPr="00794234">
        <w:t xml:space="preserve"> when errors </w:t>
      </w:r>
      <w:r w:rsidR="00070E81">
        <w:t xml:space="preserve">or changes </w:t>
      </w:r>
      <w:r w:rsidRPr="00794234">
        <w:t>have been identified.</w:t>
      </w:r>
    </w:p>
    <w:p w:rsidR="00B4515E" w:rsidRPr="00D73630" w:rsidRDefault="00B4515E" w:rsidP="00753831">
      <w:pPr>
        <w:pStyle w:val="Heading1"/>
      </w:pPr>
      <w:bookmarkStart w:id="56" w:name="_Toc467501515"/>
      <w:bookmarkStart w:id="57" w:name="_Toc469305247"/>
      <w:r w:rsidRPr="00D73630">
        <w:t>Privacy Risk Mitigation</w:t>
      </w:r>
      <w:bookmarkEnd w:id="56"/>
      <w:bookmarkEnd w:id="57"/>
    </w:p>
    <w:p w:rsidR="00A1502A" w:rsidRDefault="00B4515E" w:rsidP="00FF3C4B">
      <w:pPr>
        <w:rPr>
          <w:rFonts w:eastAsiaTheme="majorEastAsia" w:cstheme="majorBidi"/>
          <w:b/>
          <w:bCs/>
          <w:sz w:val="32"/>
          <w:szCs w:val="28"/>
        </w:rPr>
      </w:pPr>
      <w:r w:rsidRPr="00FF3C4B">
        <w:t xml:space="preserve">Any risks identified in </w:t>
      </w:r>
      <w:r w:rsidR="0088281D">
        <w:t>the PIA</w:t>
      </w:r>
      <w:r w:rsidRPr="00FF3C4B">
        <w:t xml:space="preserve"> need to be addressed here.</w:t>
      </w:r>
      <w:r w:rsidR="00522D89">
        <w:t xml:space="preserve"> This table may be amended as required.</w:t>
      </w:r>
    </w:p>
    <w:tbl>
      <w:tblPr>
        <w:tblStyle w:val="LightList-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1704"/>
        <w:gridCol w:w="3668"/>
        <w:gridCol w:w="3678"/>
      </w:tblGrid>
      <w:tr w:rsidR="0088281D" w:rsidRPr="0088281D" w:rsidTr="00FF3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A1502A" w:rsidRPr="00A1502A" w:rsidRDefault="00A1502A" w:rsidP="00FF3C4B">
            <w:pPr>
              <w:jc w:val="center"/>
            </w:pPr>
            <w:r w:rsidRPr="00A1502A">
              <w:lastRenderedPageBreak/>
              <w:t>APP</w:t>
            </w:r>
            <w:r>
              <w:t xml:space="preserve"> number</w:t>
            </w:r>
            <w:r w:rsidRPr="00A1502A">
              <w:t xml:space="preserve"> and clause</w:t>
            </w:r>
          </w:p>
        </w:tc>
        <w:tc>
          <w:tcPr>
            <w:tcW w:w="4022" w:type="dxa"/>
          </w:tcPr>
          <w:p w:rsidR="00A1502A" w:rsidRDefault="00A1502A" w:rsidP="00FF3C4B">
            <w:pPr>
              <w:jc w:val="center"/>
              <w:cnfStyle w:val="100000000000" w:firstRow="1" w:lastRow="0" w:firstColumn="0" w:lastColumn="0" w:oddVBand="0" w:evenVBand="0" w:oddHBand="0" w:evenHBand="0" w:firstRowFirstColumn="0" w:firstRowLastColumn="0" w:lastRowFirstColumn="0" w:lastRowLastColumn="0"/>
            </w:pPr>
            <w:r>
              <w:t>Risk identified</w:t>
            </w:r>
          </w:p>
        </w:tc>
        <w:tc>
          <w:tcPr>
            <w:tcW w:w="4023" w:type="dxa"/>
          </w:tcPr>
          <w:p w:rsidR="00A1502A" w:rsidRDefault="00A1502A" w:rsidP="00FF3C4B">
            <w:pPr>
              <w:jc w:val="center"/>
              <w:cnfStyle w:val="100000000000" w:firstRow="1" w:lastRow="0" w:firstColumn="0" w:lastColumn="0" w:oddVBand="0" w:evenVBand="0" w:oddHBand="0" w:evenHBand="0" w:firstRowFirstColumn="0" w:firstRowLastColumn="0" w:lastRowFirstColumn="0" w:lastRowLastColumn="0"/>
            </w:pPr>
            <w:r>
              <w:t>Mitigation strategy</w:t>
            </w:r>
          </w:p>
        </w:tc>
      </w:tr>
      <w:tr w:rsidR="00A1502A" w:rsidRPr="00A1502A" w:rsidTr="00FF3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tcPr>
          <w:p w:rsidR="00A1502A" w:rsidRDefault="00A1502A" w:rsidP="00FF3C4B"/>
        </w:tc>
        <w:tc>
          <w:tcPr>
            <w:tcW w:w="4022" w:type="dxa"/>
            <w:tcBorders>
              <w:top w:val="none" w:sz="0" w:space="0" w:color="auto"/>
              <w:bottom w:val="none" w:sz="0" w:space="0" w:color="auto"/>
            </w:tcBorders>
          </w:tcPr>
          <w:p w:rsidR="00A1502A" w:rsidRDefault="00A1502A" w:rsidP="00FF3C4B">
            <w:pPr>
              <w:cnfStyle w:val="000000100000" w:firstRow="0" w:lastRow="0" w:firstColumn="0" w:lastColumn="0" w:oddVBand="0" w:evenVBand="0" w:oddHBand="1" w:evenHBand="0" w:firstRowFirstColumn="0" w:firstRowLastColumn="0" w:lastRowFirstColumn="0" w:lastRowLastColumn="0"/>
            </w:pPr>
          </w:p>
        </w:tc>
        <w:tc>
          <w:tcPr>
            <w:tcW w:w="4023" w:type="dxa"/>
            <w:tcBorders>
              <w:top w:val="none" w:sz="0" w:space="0" w:color="auto"/>
              <w:bottom w:val="none" w:sz="0" w:space="0" w:color="auto"/>
              <w:right w:val="none" w:sz="0" w:space="0" w:color="auto"/>
            </w:tcBorders>
          </w:tcPr>
          <w:p w:rsidR="00A1502A" w:rsidRDefault="00A1502A" w:rsidP="00FF3C4B">
            <w:pPr>
              <w:cnfStyle w:val="000000100000" w:firstRow="0" w:lastRow="0" w:firstColumn="0" w:lastColumn="0" w:oddVBand="0" w:evenVBand="0" w:oddHBand="1" w:evenHBand="0" w:firstRowFirstColumn="0" w:firstRowLastColumn="0" w:lastRowFirstColumn="0" w:lastRowLastColumn="0"/>
            </w:pPr>
          </w:p>
        </w:tc>
      </w:tr>
      <w:tr w:rsidR="00A1502A" w:rsidRPr="00A1502A" w:rsidTr="00FF3C4B">
        <w:tc>
          <w:tcPr>
            <w:cnfStyle w:val="001000000000" w:firstRow="0" w:lastRow="0" w:firstColumn="1" w:lastColumn="0" w:oddVBand="0" w:evenVBand="0" w:oddHBand="0" w:evenHBand="0" w:firstRowFirstColumn="0" w:firstRowLastColumn="0" w:lastRowFirstColumn="0" w:lastRowLastColumn="0"/>
            <w:tcW w:w="1809" w:type="dxa"/>
          </w:tcPr>
          <w:p w:rsidR="00A1502A" w:rsidRPr="00FF3C4B" w:rsidRDefault="00A1502A" w:rsidP="00FF3C4B">
            <w:pPr>
              <w:rPr>
                <w:b w:val="0"/>
                <w:bCs w:val="0"/>
              </w:rPr>
            </w:pPr>
          </w:p>
        </w:tc>
        <w:tc>
          <w:tcPr>
            <w:tcW w:w="4022" w:type="dxa"/>
          </w:tcPr>
          <w:p w:rsidR="00A1502A" w:rsidRPr="00FF3C4B" w:rsidRDefault="00A1502A" w:rsidP="00FF3C4B">
            <w:pPr>
              <w:cnfStyle w:val="000000000000" w:firstRow="0" w:lastRow="0" w:firstColumn="0" w:lastColumn="0" w:oddVBand="0" w:evenVBand="0" w:oddHBand="0" w:evenHBand="0" w:firstRowFirstColumn="0" w:firstRowLastColumn="0" w:lastRowFirstColumn="0" w:lastRowLastColumn="0"/>
            </w:pPr>
          </w:p>
        </w:tc>
        <w:tc>
          <w:tcPr>
            <w:tcW w:w="4023" w:type="dxa"/>
          </w:tcPr>
          <w:p w:rsidR="00A1502A" w:rsidRPr="00FF3C4B" w:rsidRDefault="00A1502A" w:rsidP="00FF3C4B">
            <w:pPr>
              <w:cnfStyle w:val="000000000000" w:firstRow="0" w:lastRow="0" w:firstColumn="0" w:lastColumn="0" w:oddVBand="0" w:evenVBand="0" w:oddHBand="0" w:evenHBand="0" w:firstRowFirstColumn="0" w:firstRowLastColumn="0" w:lastRowFirstColumn="0" w:lastRowLastColumn="0"/>
            </w:pPr>
          </w:p>
        </w:tc>
      </w:tr>
      <w:tr w:rsidR="00A1502A" w:rsidRPr="00A1502A" w:rsidTr="00FF3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tcPr>
          <w:p w:rsidR="00A1502A" w:rsidRPr="00FF3C4B" w:rsidRDefault="00A1502A" w:rsidP="00FF3C4B">
            <w:pPr>
              <w:rPr>
                <w:b w:val="0"/>
                <w:bCs w:val="0"/>
              </w:rPr>
            </w:pPr>
          </w:p>
        </w:tc>
        <w:tc>
          <w:tcPr>
            <w:tcW w:w="4022" w:type="dxa"/>
            <w:tcBorders>
              <w:top w:val="none" w:sz="0" w:space="0" w:color="auto"/>
              <w:bottom w:val="none" w:sz="0" w:space="0" w:color="auto"/>
            </w:tcBorders>
          </w:tcPr>
          <w:p w:rsidR="00A1502A" w:rsidRPr="00FF3C4B" w:rsidRDefault="00A1502A" w:rsidP="00FF3C4B">
            <w:pPr>
              <w:cnfStyle w:val="000000100000" w:firstRow="0" w:lastRow="0" w:firstColumn="0" w:lastColumn="0" w:oddVBand="0" w:evenVBand="0" w:oddHBand="1" w:evenHBand="0" w:firstRowFirstColumn="0" w:firstRowLastColumn="0" w:lastRowFirstColumn="0" w:lastRowLastColumn="0"/>
            </w:pPr>
          </w:p>
        </w:tc>
        <w:tc>
          <w:tcPr>
            <w:tcW w:w="4023" w:type="dxa"/>
            <w:tcBorders>
              <w:top w:val="none" w:sz="0" w:space="0" w:color="auto"/>
              <w:bottom w:val="none" w:sz="0" w:space="0" w:color="auto"/>
              <w:right w:val="none" w:sz="0" w:space="0" w:color="auto"/>
            </w:tcBorders>
          </w:tcPr>
          <w:p w:rsidR="00A1502A" w:rsidRPr="00FF3C4B" w:rsidRDefault="00A1502A" w:rsidP="00FF3C4B">
            <w:pPr>
              <w:cnfStyle w:val="000000100000" w:firstRow="0" w:lastRow="0" w:firstColumn="0" w:lastColumn="0" w:oddVBand="0" w:evenVBand="0" w:oddHBand="1" w:evenHBand="0" w:firstRowFirstColumn="0" w:firstRowLastColumn="0" w:lastRowFirstColumn="0" w:lastRowLastColumn="0"/>
            </w:pPr>
          </w:p>
        </w:tc>
      </w:tr>
      <w:tr w:rsidR="00A1502A" w:rsidRPr="00A1502A" w:rsidTr="00FF3C4B">
        <w:tc>
          <w:tcPr>
            <w:cnfStyle w:val="001000000000" w:firstRow="0" w:lastRow="0" w:firstColumn="1" w:lastColumn="0" w:oddVBand="0" w:evenVBand="0" w:oddHBand="0" w:evenHBand="0" w:firstRowFirstColumn="0" w:firstRowLastColumn="0" w:lastRowFirstColumn="0" w:lastRowLastColumn="0"/>
            <w:tcW w:w="1809" w:type="dxa"/>
          </w:tcPr>
          <w:p w:rsidR="00A1502A" w:rsidRPr="00FF3C4B" w:rsidRDefault="00A1502A" w:rsidP="00FF3C4B">
            <w:pPr>
              <w:rPr>
                <w:b w:val="0"/>
                <w:bCs w:val="0"/>
              </w:rPr>
            </w:pPr>
          </w:p>
        </w:tc>
        <w:tc>
          <w:tcPr>
            <w:tcW w:w="4022" w:type="dxa"/>
          </w:tcPr>
          <w:p w:rsidR="00A1502A" w:rsidRPr="00FF3C4B" w:rsidRDefault="00A1502A" w:rsidP="00FF3C4B">
            <w:pPr>
              <w:cnfStyle w:val="000000000000" w:firstRow="0" w:lastRow="0" w:firstColumn="0" w:lastColumn="0" w:oddVBand="0" w:evenVBand="0" w:oddHBand="0" w:evenHBand="0" w:firstRowFirstColumn="0" w:firstRowLastColumn="0" w:lastRowFirstColumn="0" w:lastRowLastColumn="0"/>
            </w:pPr>
          </w:p>
        </w:tc>
        <w:tc>
          <w:tcPr>
            <w:tcW w:w="4023" w:type="dxa"/>
          </w:tcPr>
          <w:p w:rsidR="00A1502A" w:rsidRPr="00FF3C4B" w:rsidRDefault="00A1502A" w:rsidP="00FF3C4B">
            <w:pPr>
              <w:cnfStyle w:val="000000000000" w:firstRow="0" w:lastRow="0" w:firstColumn="0" w:lastColumn="0" w:oddVBand="0" w:evenVBand="0" w:oddHBand="0" w:evenHBand="0" w:firstRowFirstColumn="0" w:firstRowLastColumn="0" w:lastRowFirstColumn="0" w:lastRowLastColumn="0"/>
            </w:pPr>
          </w:p>
        </w:tc>
      </w:tr>
      <w:tr w:rsidR="00A1502A" w:rsidRPr="00A1502A" w:rsidTr="00FF3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tcPr>
          <w:p w:rsidR="00A1502A" w:rsidRPr="00FF3C4B" w:rsidRDefault="00A1502A" w:rsidP="00FF3C4B">
            <w:pPr>
              <w:rPr>
                <w:b w:val="0"/>
                <w:bCs w:val="0"/>
              </w:rPr>
            </w:pPr>
          </w:p>
        </w:tc>
        <w:tc>
          <w:tcPr>
            <w:tcW w:w="4022" w:type="dxa"/>
            <w:tcBorders>
              <w:top w:val="none" w:sz="0" w:space="0" w:color="auto"/>
              <w:bottom w:val="none" w:sz="0" w:space="0" w:color="auto"/>
            </w:tcBorders>
          </w:tcPr>
          <w:p w:rsidR="00A1502A" w:rsidRPr="00FF3C4B" w:rsidRDefault="00A1502A" w:rsidP="00FF3C4B">
            <w:pPr>
              <w:cnfStyle w:val="000000100000" w:firstRow="0" w:lastRow="0" w:firstColumn="0" w:lastColumn="0" w:oddVBand="0" w:evenVBand="0" w:oddHBand="1" w:evenHBand="0" w:firstRowFirstColumn="0" w:firstRowLastColumn="0" w:lastRowFirstColumn="0" w:lastRowLastColumn="0"/>
            </w:pPr>
          </w:p>
        </w:tc>
        <w:tc>
          <w:tcPr>
            <w:tcW w:w="4023" w:type="dxa"/>
            <w:tcBorders>
              <w:top w:val="none" w:sz="0" w:space="0" w:color="auto"/>
              <w:bottom w:val="none" w:sz="0" w:space="0" w:color="auto"/>
              <w:right w:val="none" w:sz="0" w:space="0" w:color="auto"/>
            </w:tcBorders>
          </w:tcPr>
          <w:p w:rsidR="00A1502A" w:rsidRPr="00FF3C4B" w:rsidRDefault="00A1502A" w:rsidP="00FF3C4B">
            <w:pPr>
              <w:cnfStyle w:val="000000100000" w:firstRow="0" w:lastRow="0" w:firstColumn="0" w:lastColumn="0" w:oddVBand="0" w:evenVBand="0" w:oddHBand="1" w:evenHBand="0" w:firstRowFirstColumn="0" w:firstRowLastColumn="0" w:lastRowFirstColumn="0" w:lastRowLastColumn="0"/>
            </w:pPr>
          </w:p>
        </w:tc>
      </w:tr>
      <w:tr w:rsidR="00A1502A" w:rsidRPr="00A1502A" w:rsidTr="00FF3C4B">
        <w:tc>
          <w:tcPr>
            <w:cnfStyle w:val="001000000000" w:firstRow="0" w:lastRow="0" w:firstColumn="1" w:lastColumn="0" w:oddVBand="0" w:evenVBand="0" w:oddHBand="0" w:evenHBand="0" w:firstRowFirstColumn="0" w:firstRowLastColumn="0" w:lastRowFirstColumn="0" w:lastRowLastColumn="0"/>
            <w:tcW w:w="1809" w:type="dxa"/>
          </w:tcPr>
          <w:p w:rsidR="00A1502A" w:rsidRPr="00FF3C4B" w:rsidRDefault="00A1502A" w:rsidP="00FF3C4B">
            <w:pPr>
              <w:rPr>
                <w:b w:val="0"/>
                <w:bCs w:val="0"/>
              </w:rPr>
            </w:pPr>
          </w:p>
        </w:tc>
        <w:tc>
          <w:tcPr>
            <w:tcW w:w="4022" w:type="dxa"/>
          </w:tcPr>
          <w:p w:rsidR="00A1502A" w:rsidRPr="00FF3C4B" w:rsidRDefault="00A1502A" w:rsidP="00FF3C4B">
            <w:pPr>
              <w:cnfStyle w:val="000000000000" w:firstRow="0" w:lastRow="0" w:firstColumn="0" w:lastColumn="0" w:oddVBand="0" w:evenVBand="0" w:oddHBand="0" w:evenHBand="0" w:firstRowFirstColumn="0" w:firstRowLastColumn="0" w:lastRowFirstColumn="0" w:lastRowLastColumn="0"/>
            </w:pPr>
          </w:p>
        </w:tc>
        <w:tc>
          <w:tcPr>
            <w:tcW w:w="4023" w:type="dxa"/>
          </w:tcPr>
          <w:p w:rsidR="00A1502A" w:rsidRPr="00FF3C4B" w:rsidRDefault="00A1502A" w:rsidP="00FF3C4B">
            <w:pPr>
              <w:cnfStyle w:val="000000000000" w:firstRow="0" w:lastRow="0" w:firstColumn="0" w:lastColumn="0" w:oddVBand="0" w:evenVBand="0" w:oddHBand="0" w:evenHBand="0" w:firstRowFirstColumn="0" w:firstRowLastColumn="0" w:lastRowFirstColumn="0" w:lastRowLastColumn="0"/>
            </w:pPr>
          </w:p>
        </w:tc>
      </w:tr>
      <w:tr w:rsidR="00A1502A" w:rsidRPr="00A1502A" w:rsidTr="00FF3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tcPr>
          <w:p w:rsidR="00A1502A" w:rsidRPr="00FF3C4B" w:rsidRDefault="00A1502A" w:rsidP="00FF3C4B">
            <w:pPr>
              <w:rPr>
                <w:b w:val="0"/>
                <w:bCs w:val="0"/>
              </w:rPr>
            </w:pPr>
          </w:p>
        </w:tc>
        <w:tc>
          <w:tcPr>
            <w:tcW w:w="4022" w:type="dxa"/>
            <w:tcBorders>
              <w:top w:val="none" w:sz="0" w:space="0" w:color="auto"/>
              <w:bottom w:val="none" w:sz="0" w:space="0" w:color="auto"/>
            </w:tcBorders>
          </w:tcPr>
          <w:p w:rsidR="00A1502A" w:rsidRPr="00FF3C4B" w:rsidRDefault="00A1502A" w:rsidP="00FF3C4B">
            <w:pPr>
              <w:cnfStyle w:val="000000100000" w:firstRow="0" w:lastRow="0" w:firstColumn="0" w:lastColumn="0" w:oddVBand="0" w:evenVBand="0" w:oddHBand="1" w:evenHBand="0" w:firstRowFirstColumn="0" w:firstRowLastColumn="0" w:lastRowFirstColumn="0" w:lastRowLastColumn="0"/>
            </w:pPr>
          </w:p>
        </w:tc>
        <w:tc>
          <w:tcPr>
            <w:tcW w:w="4023" w:type="dxa"/>
            <w:tcBorders>
              <w:top w:val="none" w:sz="0" w:space="0" w:color="auto"/>
              <w:bottom w:val="none" w:sz="0" w:space="0" w:color="auto"/>
              <w:right w:val="none" w:sz="0" w:space="0" w:color="auto"/>
            </w:tcBorders>
          </w:tcPr>
          <w:p w:rsidR="00A1502A" w:rsidRPr="00FF3C4B" w:rsidRDefault="00A1502A" w:rsidP="00FF3C4B">
            <w:pPr>
              <w:cnfStyle w:val="000000100000" w:firstRow="0" w:lastRow="0" w:firstColumn="0" w:lastColumn="0" w:oddVBand="0" w:evenVBand="0" w:oddHBand="1" w:evenHBand="0" w:firstRowFirstColumn="0" w:firstRowLastColumn="0" w:lastRowFirstColumn="0" w:lastRowLastColumn="0"/>
            </w:pPr>
          </w:p>
        </w:tc>
      </w:tr>
    </w:tbl>
    <w:p w:rsidR="002A2554" w:rsidRPr="00D73630" w:rsidRDefault="002A2554" w:rsidP="00753831">
      <w:pPr>
        <w:pStyle w:val="Heading1"/>
      </w:pPr>
      <w:bookmarkStart w:id="58" w:name="_Toc467501516"/>
      <w:bookmarkStart w:id="59" w:name="_Toc469305248"/>
      <w:r w:rsidRPr="00D73630">
        <w:t>Conclusion</w:t>
      </w:r>
      <w:bookmarkEnd w:id="58"/>
      <w:bookmarkEnd w:id="59"/>
    </w:p>
    <w:p w:rsidR="00F2497A" w:rsidRDefault="00880503" w:rsidP="002A2554">
      <w:pPr>
        <w:rPr>
          <w:b/>
        </w:rPr>
      </w:pPr>
      <w:r>
        <w:rPr>
          <w:b/>
        </w:rPr>
        <w:t>The conclusion of the PIA to be added here</w:t>
      </w:r>
      <w:r w:rsidR="00F2497A">
        <w:rPr>
          <w:b/>
        </w:rPr>
        <w:t xml:space="preserve"> and some extracts from the ANRDR PIA is included for reference</w:t>
      </w:r>
      <w:r>
        <w:rPr>
          <w:b/>
        </w:rPr>
        <w:t>.</w:t>
      </w:r>
    </w:p>
    <w:p w:rsidR="00880503" w:rsidRPr="00880503" w:rsidRDefault="00880503" w:rsidP="002A2554">
      <w:pPr>
        <w:rPr>
          <w:b/>
        </w:rPr>
      </w:pPr>
      <w:r>
        <w:rPr>
          <w:b/>
        </w:rPr>
        <w:t xml:space="preserve">This </w:t>
      </w:r>
      <w:r w:rsidR="00F2497A">
        <w:rPr>
          <w:b/>
        </w:rPr>
        <w:t xml:space="preserve">section </w:t>
      </w:r>
      <w:r>
        <w:rPr>
          <w:b/>
        </w:rPr>
        <w:t xml:space="preserve">should include the preferred method for the disclosure of radiation </w:t>
      </w:r>
      <w:r w:rsidR="004859D8">
        <w:rPr>
          <w:b/>
        </w:rPr>
        <w:t xml:space="preserve">dose </w:t>
      </w:r>
      <w:r>
        <w:rPr>
          <w:b/>
        </w:rPr>
        <w:t>records to the ANRDR.</w:t>
      </w:r>
    </w:p>
    <w:p w:rsidR="002A2554" w:rsidRPr="00FF3C4B" w:rsidRDefault="00D96DE2" w:rsidP="002A2554">
      <w:r w:rsidRPr="00FF3C4B">
        <w:t xml:space="preserve">Personal information </w:t>
      </w:r>
      <w:r w:rsidR="008F05BE" w:rsidRPr="00FF3C4B">
        <w:t xml:space="preserve">is </w:t>
      </w:r>
      <w:r w:rsidRPr="00FF3C4B">
        <w:t xml:space="preserve">disclosed to the ANRDR </w:t>
      </w:r>
      <w:r w:rsidR="008F05BE" w:rsidRPr="00FF3C4B">
        <w:t xml:space="preserve">by </w:t>
      </w:r>
      <w:r w:rsidR="00880503" w:rsidRPr="00FF3C4B">
        <w:t xml:space="preserve">the APP entity </w:t>
      </w:r>
      <w:r w:rsidRPr="00FF3C4B">
        <w:t xml:space="preserve">so </w:t>
      </w:r>
      <w:r w:rsidR="008F05BE" w:rsidRPr="00FF3C4B">
        <w:t xml:space="preserve">that </w:t>
      </w:r>
      <w:r w:rsidRPr="00FF3C4B">
        <w:t xml:space="preserve">an individual can track their occupational radiation exposure </w:t>
      </w:r>
      <w:r w:rsidR="00172E6F" w:rsidRPr="00FF3C4B">
        <w:t xml:space="preserve">incurred </w:t>
      </w:r>
      <w:r w:rsidRPr="00FF3C4B">
        <w:t xml:space="preserve">over the course of their </w:t>
      </w:r>
      <w:r w:rsidR="00172E6F" w:rsidRPr="00FF3C4B">
        <w:t xml:space="preserve">career, </w:t>
      </w:r>
      <w:r w:rsidRPr="00FF3C4B">
        <w:t xml:space="preserve">regardless of </w:t>
      </w:r>
      <w:r w:rsidR="00172E6F" w:rsidRPr="00FF3C4B">
        <w:t>where in Australia they have worked</w:t>
      </w:r>
      <w:r w:rsidR="00864281">
        <w:t>, or for whom</w:t>
      </w:r>
      <w:r w:rsidRPr="00FF3C4B">
        <w:t>.</w:t>
      </w:r>
      <w:r w:rsidR="00172E6F" w:rsidRPr="00FF3C4B">
        <w:t xml:space="preserve"> This information is </w:t>
      </w:r>
      <w:r w:rsidR="00213663">
        <w:t xml:space="preserve">stored and </w:t>
      </w:r>
      <w:r w:rsidR="00172E6F" w:rsidRPr="00FF3C4B">
        <w:t>maintained by ARPANSA in accordance with the APPs defined in the Privacy Act.</w:t>
      </w:r>
      <w:r w:rsidR="009E0DC8">
        <w:t xml:space="preserve"> ARPANSA recommends that e</w:t>
      </w:r>
      <w:r w:rsidR="00522D89">
        <w:t xml:space="preserve">ach APP entity complete their own </w:t>
      </w:r>
      <w:r w:rsidR="009E0DC8">
        <w:t>PIA to demonstrate compliance with the APPs.</w:t>
      </w:r>
    </w:p>
    <w:p w:rsidR="00D96DE2" w:rsidRPr="00FF3C4B" w:rsidRDefault="003774DE" w:rsidP="002A2554">
      <w:r w:rsidRPr="00FF3C4B">
        <w:t xml:space="preserve">ARPANSA’s </w:t>
      </w:r>
      <w:r w:rsidR="00D96DE2" w:rsidRPr="00FF3C4B">
        <w:t>assessment against the APPs show</w:t>
      </w:r>
      <w:r w:rsidRPr="00FF3C4B">
        <w:t>s</w:t>
      </w:r>
      <w:r w:rsidR="00D96DE2" w:rsidRPr="00FF3C4B">
        <w:t xml:space="preserve"> that the </w:t>
      </w:r>
      <w:r w:rsidRPr="00FF3C4B">
        <w:t>disclosure of personal information to</w:t>
      </w:r>
      <w:r w:rsidR="00D96DE2" w:rsidRPr="00FF3C4B">
        <w:t xml:space="preserve"> the ANRDR </w:t>
      </w:r>
      <w:r w:rsidRPr="00FF3C4B">
        <w:t xml:space="preserve">by </w:t>
      </w:r>
      <w:r w:rsidR="00D96DE2" w:rsidRPr="00FF3C4B">
        <w:t xml:space="preserve">APP entities can be achieved via a number of methods. The simplest </w:t>
      </w:r>
      <w:r w:rsidRPr="00FF3C4B">
        <w:t>method</w:t>
      </w:r>
      <w:r w:rsidR="00D96DE2" w:rsidRPr="00FF3C4B">
        <w:t xml:space="preserve"> is for an APP entity to </w:t>
      </w:r>
      <w:r w:rsidRPr="00FF3C4B">
        <w:t>enter into a service agreement with ARPANSA</w:t>
      </w:r>
      <w:r w:rsidR="00043CA2" w:rsidRPr="00FF3C4B">
        <w:t xml:space="preserve"> while ensuring that </w:t>
      </w:r>
      <w:r w:rsidR="00D96DE2" w:rsidRPr="00FF3C4B">
        <w:t xml:space="preserve">the disclosure </w:t>
      </w:r>
      <w:r w:rsidR="00043CA2" w:rsidRPr="00FF3C4B">
        <w:t xml:space="preserve">is communicated </w:t>
      </w:r>
      <w:r w:rsidR="00D96DE2" w:rsidRPr="00FF3C4B">
        <w:t>to their employees</w:t>
      </w:r>
      <w:r w:rsidR="00043CA2" w:rsidRPr="00FF3C4B">
        <w:t xml:space="preserve"> and</w:t>
      </w:r>
      <w:r w:rsidR="00D96DE2" w:rsidRPr="00FF3C4B">
        <w:t xml:space="preserve"> their privacy policy </w:t>
      </w:r>
      <w:r w:rsidR="00043CA2" w:rsidRPr="00FF3C4B">
        <w:t>is updated accordingly.</w:t>
      </w:r>
    </w:p>
    <w:p w:rsidR="008836EC" w:rsidRDefault="00D96DE2">
      <w:r w:rsidRPr="00FF3C4B">
        <w:t>Alternatively</w:t>
      </w:r>
      <w:r w:rsidR="00043CA2" w:rsidRPr="00FF3C4B">
        <w:t>,</w:t>
      </w:r>
      <w:r w:rsidRPr="00FF3C4B">
        <w:t xml:space="preserve"> APP entities may </w:t>
      </w:r>
      <w:r w:rsidR="00043CA2" w:rsidRPr="00FF3C4B">
        <w:t>make the disclosure of data to the ANRDR a legal requirement by amending their RMPs</w:t>
      </w:r>
      <w:r w:rsidRPr="00FF3C4B">
        <w:t>, request</w:t>
      </w:r>
      <w:r w:rsidR="00043CA2" w:rsidRPr="00FF3C4B">
        <w:t>ing a</w:t>
      </w:r>
      <w:r w:rsidRPr="00FF3C4B">
        <w:t xml:space="preserve"> licence condition </w:t>
      </w:r>
      <w:r w:rsidR="00043CA2" w:rsidRPr="00FF3C4B">
        <w:t xml:space="preserve">amendment </w:t>
      </w:r>
      <w:r w:rsidRPr="00FF3C4B">
        <w:t>or work</w:t>
      </w:r>
      <w:r w:rsidR="004C5AF6">
        <w:t>ing</w:t>
      </w:r>
      <w:r w:rsidRPr="00FF3C4B">
        <w:t xml:space="preserve"> with </w:t>
      </w:r>
      <w:r w:rsidR="005B568B">
        <w:t>ARPANSA</w:t>
      </w:r>
      <w:r w:rsidRPr="00FF3C4B">
        <w:t xml:space="preserve"> </w:t>
      </w:r>
      <w:r w:rsidR="00043CA2" w:rsidRPr="00FF3C4B">
        <w:t xml:space="preserve">and </w:t>
      </w:r>
      <w:r w:rsidR="005B568B">
        <w:t xml:space="preserve">the </w:t>
      </w:r>
      <w:r w:rsidR="00043CA2" w:rsidRPr="00FF3C4B">
        <w:t xml:space="preserve">relevant regulatory authority </w:t>
      </w:r>
      <w:r w:rsidRPr="00FF3C4B">
        <w:t xml:space="preserve">to </w:t>
      </w:r>
      <w:r w:rsidR="00D80EDD" w:rsidRPr="00FF3C4B">
        <w:t xml:space="preserve">amend </w:t>
      </w:r>
      <w:r w:rsidRPr="00FF3C4B">
        <w:t>relevant code</w:t>
      </w:r>
      <w:r w:rsidR="00D80EDD" w:rsidRPr="00FF3C4B">
        <w:t>s</w:t>
      </w:r>
      <w:r w:rsidRPr="00FF3C4B">
        <w:t>, guides, standards or legislation.</w:t>
      </w:r>
      <w:bookmarkEnd w:id="31"/>
    </w:p>
    <w:p w:rsidR="004C007C" w:rsidRPr="00D73630" w:rsidRDefault="004C007C" w:rsidP="00753831">
      <w:pPr>
        <w:pStyle w:val="Heading1"/>
      </w:pPr>
      <w:bookmarkStart w:id="60" w:name="_Toc469305249"/>
      <w:r w:rsidRPr="00D73630">
        <w:t>References</w:t>
      </w:r>
      <w:bookmarkEnd w:id="60"/>
    </w:p>
    <w:p w:rsidR="004C007C" w:rsidRDefault="004C007C" w:rsidP="00735D70">
      <w:r>
        <w:t>Frasch G, Petrova K, Anatschkowa E</w:t>
      </w:r>
      <w:r w:rsidR="002D1275">
        <w:t>,</w:t>
      </w:r>
      <w:r>
        <w:t xml:space="preserve"> </w:t>
      </w:r>
      <w:r w:rsidRPr="00735D70">
        <w:t>Dose Registry in Europe: National Databases and International Statistics</w:t>
      </w:r>
      <w:r>
        <w:t xml:space="preserve">, </w:t>
      </w:r>
      <w:r w:rsidRPr="00735D70">
        <w:rPr>
          <w:i/>
        </w:rPr>
        <w:t>Radiation Protection Dosimetry</w:t>
      </w:r>
      <w:r>
        <w:t xml:space="preserve"> (2001), 96 (1-3), p</w:t>
      </w:r>
      <w:r w:rsidR="002D1275">
        <w:t>p</w:t>
      </w:r>
      <w:r>
        <w:t xml:space="preserve"> 273-275</w:t>
      </w:r>
      <w:r w:rsidR="002D1275">
        <w:t>.</w:t>
      </w:r>
    </w:p>
    <w:p w:rsidR="00735D70" w:rsidRDefault="00735D70" w:rsidP="00735D70">
      <w:r>
        <w:lastRenderedPageBreak/>
        <w:t>International Atomic Energy Agency (IAEA, 2014)</w:t>
      </w:r>
      <w:r w:rsidR="002D1275">
        <w:t>,</w:t>
      </w:r>
      <w:r>
        <w:t xml:space="preserve"> Radiation Protection and Safety of Radiation Sources: International Basic Safety Standards, General Safety Requirements Part 3 (No. GSR Part 3), Vienna, IAEA.</w:t>
      </w:r>
    </w:p>
    <w:p w:rsidR="004C007C" w:rsidRPr="004C007C" w:rsidRDefault="004C007C" w:rsidP="00735D70">
      <w:r>
        <w:t>Zielinski JM, Shilnikova NS, Krewski D</w:t>
      </w:r>
      <w:r w:rsidR="002D1275">
        <w:t>,</w:t>
      </w:r>
      <w:r>
        <w:t xml:space="preserve"> Canadian Dose Registry of radiation workers: overview of research from 1951 through 2007, </w:t>
      </w:r>
      <w:r w:rsidRPr="00735D70">
        <w:rPr>
          <w:i/>
        </w:rPr>
        <w:t>Int. J. Occ. Med. Environ. Health</w:t>
      </w:r>
      <w:r>
        <w:t xml:space="preserve"> (2008), 21(4), p</w:t>
      </w:r>
      <w:r w:rsidR="002D1275">
        <w:t>p</w:t>
      </w:r>
      <w:r>
        <w:t xml:space="preserve"> 269-275</w:t>
      </w:r>
      <w:r w:rsidR="002D1275">
        <w:t>.</w:t>
      </w:r>
    </w:p>
    <w:sectPr w:rsidR="004C007C" w:rsidRPr="004C007C" w:rsidSect="00F319BE">
      <w:footerReference w:type="default" r:id="rId18"/>
      <w:headerReference w:type="first" r:id="rId19"/>
      <w:footerReference w:type="first" r:id="rId20"/>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95E" w:rsidRDefault="00C1795E" w:rsidP="006904DD">
      <w:r>
        <w:separator/>
      </w:r>
    </w:p>
  </w:endnote>
  <w:endnote w:type="continuationSeparator" w:id="0">
    <w:p w:rsidR="00C1795E" w:rsidRDefault="00C1795E" w:rsidP="0069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5E" w:rsidRPr="005432E0" w:rsidRDefault="00C1795E" w:rsidP="009062CA">
    <w:pPr>
      <w:pStyle w:val="Footer"/>
      <w:pBdr>
        <w:top w:val="single" w:sz="4" w:space="4" w:color="365F91" w:themeColor="accent1" w:themeShade="BF"/>
      </w:pBdr>
      <w:tabs>
        <w:tab w:val="clear" w:pos="4513"/>
      </w:tabs>
      <w:rPr>
        <w:sz w:val="20"/>
      </w:rPr>
    </w:pPr>
    <w:r w:rsidRPr="005432E0">
      <w:rPr>
        <w:sz w:val="20"/>
      </w:rPr>
      <w:t>ANRDR Privacy Impact Assessment Template</w:t>
    </w:r>
    <w:r w:rsidRPr="005432E0">
      <w:rPr>
        <w:sz w:val="20"/>
      </w:rPr>
      <w:tab/>
      <w:t xml:space="preserve">Page </w:t>
    </w:r>
    <w:r w:rsidRPr="005432E0">
      <w:rPr>
        <w:sz w:val="20"/>
      </w:rPr>
      <w:fldChar w:fldCharType="begin"/>
    </w:r>
    <w:r w:rsidRPr="005432E0">
      <w:rPr>
        <w:sz w:val="20"/>
      </w:rPr>
      <w:instrText xml:space="preserve"> PAGE   \* MERGEFORMAT </w:instrText>
    </w:r>
    <w:r w:rsidRPr="005432E0">
      <w:rPr>
        <w:sz w:val="20"/>
      </w:rPr>
      <w:fldChar w:fldCharType="separate"/>
    </w:r>
    <w:r w:rsidR="00AA5D4B">
      <w:rPr>
        <w:noProof/>
        <w:sz w:val="20"/>
      </w:rPr>
      <w:t>3</w:t>
    </w:r>
    <w:r w:rsidRPr="005432E0">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5E" w:rsidRPr="0051612D" w:rsidRDefault="00C1795E" w:rsidP="00F319BE">
    <w:pPr>
      <w:tabs>
        <w:tab w:val="right" w:pos="9072"/>
      </w:tabs>
      <w:spacing w:before="0" w:line="240" w:lineRule="auto"/>
      <w:rPr>
        <w:b/>
        <w:sz w:val="20"/>
        <w:szCs w:val="20"/>
      </w:rPr>
    </w:pPr>
    <w:r w:rsidRPr="0051612D">
      <w:rPr>
        <w:b/>
        <w:sz w:val="20"/>
        <w:szCs w:val="20"/>
      </w:rPr>
      <w:t>Email:</w:t>
    </w:r>
    <w:r w:rsidRPr="0051612D">
      <w:rPr>
        <w:sz w:val="20"/>
        <w:szCs w:val="20"/>
      </w:rPr>
      <w:t xml:space="preserve"> </w:t>
    </w:r>
    <w:hyperlink r:id="rId1" w:history="1">
      <w:r w:rsidRPr="0051612D">
        <w:rPr>
          <w:rStyle w:val="Hyperlink"/>
          <w:color w:val="365F91" w:themeColor="accent1" w:themeShade="BF"/>
          <w:sz w:val="20"/>
          <w:szCs w:val="20"/>
        </w:rPr>
        <w:t>info@arpansa.gov.au</w:t>
      </w:r>
    </w:hyperlink>
    <w:r w:rsidRPr="0051612D">
      <w:rPr>
        <w:sz w:val="20"/>
        <w:szCs w:val="20"/>
      </w:rPr>
      <w:tab/>
      <w:t>619 Lower Plenty Road</w:t>
    </w:r>
    <w:r w:rsidRPr="0051612D">
      <w:rPr>
        <w:sz w:val="20"/>
        <w:szCs w:val="20"/>
      </w:rPr>
      <w:br/>
    </w:r>
    <w:r w:rsidRPr="0051612D">
      <w:rPr>
        <w:b/>
        <w:sz w:val="20"/>
        <w:szCs w:val="20"/>
      </w:rPr>
      <w:t xml:space="preserve">Web: </w:t>
    </w:r>
    <w:hyperlink r:id="rId2" w:history="1">
      <w:r w:rsidRPr="0051612D">
        <w:rPr>
          <w:rStyle w:val="Hyperlink"/>
          <w:color w:val="365F91" w:themeColor="accent1" w:themeShade="BF"/>
          <w:sz w:val="20"/>
          <w:szCs w:val="20"/>
        </w:rPr>
        <w:t>www.arpansa.gov.au</w:t>
      </w:r>
    </w:hyperlink>
    <w:r w:rsidRPr="0051612D">
      <w:rPr>
        <w:sz w:val="20"/>
        <w:szCs w:val="20"/>
      </w:rPr>
      <w:tab/>
      <w:t>YALLAMBIE   VIC   3085</w:t>
    </w:r>
    <w:r w:rsidRPr="0051612D">
      <w:rPr>
        <w:sz w:val="20"/>
        <w:szCs w:val="20"/>
      </w:rPr>
      <w:br/>
    </w:r>
    <w:r w:rsidRPr="0051612D">
      <w:rPr>
        <w:b/>
        <w:sz w:val="20"/>
        <w:szCs w:val="20"/>
      </w:rPr>
      <w:t>Freecall:</w:t>
    </w:r>
    <w:r w:rsidRPr="0051612D">
      <w:rPr>
        <w:sz w:val="20"/>
        <w:szCs w:val="20"/>
      </w:rPr>
      <w:t xml:space="preserve"> 1800 022 333 (a free call from fixed phones in Australia)</w:t>
    </w:r>
    <w:r w:rsidRPr="0051612D">
      <w:rPr>
        <w:sz w:val="20"/>
        <w:szCs w:val="20"/>
      </w:rPr>
      <w:tab/>
    </w:r>
    <w:r w:rsidRPr="0051612D">
      <w:rPr>
        <w:b/>
        <w:sz w:val="20"/>
        <w:szCs w:val="20"/>
      </w:rPr>
      <w:t>Phone</w:t>
    </w:r>
    <w:r w:rsidRPr="0051612D">
      <w:rPr>
        <w:sz w:val="20"/>
        <w:szCs w:val="20"/>
      </w:rPr>
      <w:t xml:space="preserve"> :  +61 3  9433 2211</w:t>
    </w:r>
    <w:r w:rsidRPr="0051612D">
      <w:rPr>
        <w:sz w:val="20"/>
        <w:szCs w:val="20"/>
      </w:rPr>
      <w:br/>
    </w:r>
    <w:r w:rsidRPr="0051612D">
      <w:rPr>
        <w:b/>
        <w:sz w:val="20"/>
        <w:szCs w:val="20"/>
      </w:rPr>
      <w:t>ABN No</w:t>
    </w:r>
    <w:r w:rsidRPr="0051612D">
      <w:rPr>
        <w:sz w:val="20"/>
        <w:szCs w:val="20"/>
      </w:rPr>
      <w:t>: 613 211 951 55</w:t>
    </w:r>
    <w:r w:rsidRPr="0051612D">
      <w:rPr>
        <w:sz w:val="20"/>
        <w:szCs w:val="20"/>
      </w:rPr>
      <w:tab/>
    </w:r>
    <w:r w:rsidRPr="0051612D">
      <w:rPr>
        <w:b/>
        <w:sz w:val="20"/>
        <w:szCs w:val="20"/>
      </w:rPr>
      <w:t>Fax</w:t>
    </w:r>
    <w:r w:rsidRPr="0051612D">
      <w:rPr>
        <w:sz w:val="20"/>
        <w:szCs w:val="20"/>
      </w:rPr>
      <w:t>:  +61 3  9432 1835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95E" w:rsidRDefault="00C1795E" w:rsidP="006904DD">
      <w:r>
        <w:separator/>
      </w:r>
    </w:p>
  </w:footnote>
  <w:footnote w:type="continuationSeparator" w:id="0">
    <w:p w:rsidR="00C1795E" w:rsidRDefault="00C1795E" w:rsidP="00690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5E" w:rsidRDefault="00C1795E">
    <w:pPr>
      <w:pStyle w:val="Header"/>
    </w:pPr>
    <w:r>
      <w:rPr>
        <w:noProof/>
        <w:lang w:eastAsia="en-AU"/>
      </w:rPr>
      <w:drawing>
        <wp:inline distT="0" distB="0" distL="0" distR="0" wp14:anchorId="7431161E" wp14:editId="1A2A6B92">
          <wp:extent cx="5759450" cy="7664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PNSA_strip_blue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7AC49FA"/>
    <w:lvl w:ilvl="0">
      <w:start w:val="1"/>
      <w:numFmt w:val="decimal"/>
      <w:pStyle w:val="ListNumber"/>
      <w:lvlText w:val="%1."/>
      <w:lvlJc w:val="left"/>
      <w:pPr>
        <w:tabs>
          <w:tab w:val="num" w:pos="360"/>
        </w:tabs>
        <w:ind w:left="360" w:hanging="360"/>
      </w:pPr>
    </w:lvl>
  </w:abstractNum>
  <w:abstractNum w:abstractNumId="1" w15:restartNumberingAfterBreak="0">
    <w:nsid w:val="06105196"/>
    <w:multiLevelType w:val="hybridMultilevel"/>
    <w:tmpl w:val="BEAE924E"/>
    <w:lvl w:ilvl="0" w:tplc="2B2CA72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E451D"/>
    <w:multiLevelType w:val="hybridMultilevel"/>
    <w:tmpl w:val="79BEE414"/>
    <w:lvl w:ilvl="0" w:tplc="9146B1AE">
      <w:start w:val="1"/>
      <w:numFmt w:val="lowerLetter"/>
      <w:pStyle w:val="LetterLis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4" w15:restartNumberingAfterBreak="0">
    <w:nsid w:val="1D352FF3"/>
    <w:multiLevelType w:val="multilevel"/>
    <w:tmpl w:val="3ECA2D40"/>
    <w:lvl w:ilvl="0">
      <w:start w:val="1"/>
      <w:numFmt w:val="decimal"/>
      <w:pStyle w:val="Heading1"/>
      <w:lvlText w:val="%1."/>
      <w:lvlJc w:val="left"/>
      <w:pPr>
        <w:ind w:left="737" w:hanging="737"/>
      </w:pPr>
      <w:rPr>
        <w:rFonts w:ascii="Calibri" w:hAnsi="Calibri" w:hint="default"/>
        <w:b/>
        <w:i w:val="0"/>
        <w:color w:val="365F91" w:themeColor="accent1" w:themeShade="BF"/>
        <w:sz w:val="36"/>
      </w:rPr>
    </w:lvl>
    <w:lvl w:ilvl="1">
      <w:start w:val="1"/>
      <w:numFmt w:val="decimal"/>
      <w:pStyle w:val="Heading2"/>
      <w:lvlText w:val="%1.%2"/>
      <w:lvlJc w:val="left"/>
      <w:pPr>
        <w:ind w:left="737" w:hanging="737"/>
      </w:pPr>
      <w:rPr>
        <w:rFonts w:ascii="Calibri" w:hAnsi="Calibri" w:hint="default"/>
        <w:b/>
        <w:i w:val="0"/>
        <w:color w:val="365F91" w:themeColor="accent1" w:themeShade="BF"/>
        <w:sz w:val="28"/>
      </w:rPr>
    </w:lvl>
    <w:lvl w:ilvl="2">
      <w:start w:val="1"/>
      <w:numFmt w:val="decimal"/>
      <w:lvlText w:val="%1.%2.%3"/>
      <w:lvlJc w:val="left"/>
      <w:pPr>
        <w:ind w:left="7514" w:hanging="851"/>
      </w:pPr>
      <w:rPr>
        <w:rFonts w:hint="default"/>
      </w:rPr>
    </w:lvl>
    <w:lvl w:ilvl="3">
      <w:start w:val="1"/>
      <w:numFmt w:val="decimal"/>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F53467"/>
    <w:multiLevelType w:val="hybridMultilevel"/>
    <w:tmpl w:val="D7EAD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E31851"/>
    <w:multiLevelType w:val="hybridMultilevel"/>
    <w:tmpl w:val="10FE2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656EA"/>
    <w:multiLevelType w:val="multilevel"/>
    <w:tmpl w:val="6A9087EA"/>
    <w:lvl w:ilvl="0">
      <w:start w:val="1"/>
      <w:numFmt w:val="upperLetter"/>
      <w:pStyle w:val="AppendixHeading1"/>
      <w:lvlText w:val="Appendix %1:"/>
      <w:lvlJc w:val="left"/>
      <w:pPr>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ind w:left="720" w:hanging="720"/>
      </w:pPr>
      <w:rPr>
        <w:rFonts w:hint="default"/>
      </w:rPr>
    </w:lvl>
    <w:lvl w:ilvl="2">
      <w:start w:val="1"/>
      <w:numFmt w:val="decimal"/>
      <w:pStyle w:val="AppendixHeading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F52ACD"/>
    <w:multiLevelType w:val="multilevel"/>
    <w:tmpl w:val="FC0E5B2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75F22347"/>
    <w:multiLevelType w:val="multilevel"/>
    <w:tmpl w:val="0C09001D"/>
    <w:styleLink w:val="ListLet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4"/>
  </w:num>
  <w:num w:numId="3">
    <w:abstractNumId w:val="7"/>
  </w:num>
  <w:num w:numId="4">
    <w:abstractNumId w:val="0"/>
  </w:num>
  <w:num w:numId="5">
    <w:abstractNumId w:val="9"/>
  </w:num>
  <w:num w:numId="6">
    <w:abstractNumId w:val="2"/>
  </w:num>
  <w:num w:numId="7">
    <w:abstractNumId w:val="3"/>
  </w:num>
  <w:num w:numId="8">
    <w:abstractNumId w:val="1"/>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47"/>
    <w:rsid w:val="00000F34"/>
    <w:rsid w:val="00001A64"/>
    <w:rsid w:val="0000757E"/>
    <w:rsid w:val="00010CB3"/>
    <w:rsid w:val="000111B6"/>
    <w:rsid w:val="00012255"/>
    <w:rsid w:val="000126A0"/>
    <w:rsid w:val="000136AB"/>
    <w:rsid w:val="000146F8"/>
    <w:rsid w:val="000154F7"/>
    <w:rsid w:val="000159DE"/>
    <w:rsid w:val="00015F5E"/>
    <w:rsid w:val="0001691C"/>
    <w:rsid w:val="000169A5"/>
    <w:rsid w:val="000177F5"/>
    <w:rsid w:val="00020588"/>
    <w:rsid w:val="00020EFC"/>
    <w:rsid w:val="000223D0"/>
    <w:rsid w:val="00022EF5"/>
    <w:rsid w:val="00027449"/>
    <w:rsid w:val="000278C0"/>
    <w:rsid w:val="000279E7"/>
    <w:rsid w:val="000306DB"/>
    <w:rsid w:val="00030979"/>
    <w:rsid w:val="000322B9"/>
    <w:rsid w:val="000323AC"/>
    <w:rsid w:val="000332C4"/>
    <w:rsid w:val="00033DD9"/>
    <w:rsid w:val="0003419D"/>
    <w:rsid w:val="000347EC"/>
    <w:rsid w:val="00036A89"/>
    <w:rsid w:val="00037F11"/>
    <w:rsid w:val="0004063D"/>
    <w:rsid w:val="00041EAC"/>
    <w:rsid w:val="00042E9E"/>
    <w:rsid w:val="00043CA2"/>
    <w:rsid w:val="00043EBF"/>
    <w:rsid w:val="0004410A"/>
    <w:rsid w:val="000444F5"/>
    <w:rsid w:val="0004475E"/>
    <w:rsid w:val="00044FC8"/>
    <w:rsid w:val="000459F8"/>
    <w:rsid w:val="00045D2E"/>
    <w:rsid w:val="00046653"/>
    <w:rsid w:val="000466B2"/>
    <w:rsid w:val="000473F4"/>
    <w:rsid w:val="000527F2"/>
    <w:rsid w:val="000539FD"/>
    <w:rsid w:val="00053F6A"/>
    <w:rsid w:val="000545F7"/>
    <w:rsid w:val="000547F2"/>
    <w:rsid w:val="00054F2B"/>
    <w:rsid w:val="00054F70"/>
    <w:rsid w:val="00055311"/>
    <w:rsid w:val="00060403"/>
    <w:rsid w:val="00060B3A"/>
    <w:rsid w:val="00061125"/>
    <w:rsid w:val="000613C5"/>
    <w:rsid w:val="00062142"/>
    <w:rsid w:val="000642A6"/>
    <w:rsid w:val="000677B8"/>
    <w:rsid w:val="00067B51"/>
    <w:rsid w:val="00070E81"/>
    <w:rsid w:val="00071DE6"/>
    <w:rsid w:val="00072541"/>
    <w:rsid w:val="00072999"/>
    <w:rsid w:val="00073CF7"/>
    <w:rsid w:val="000762E1"/>
    <w:rsid w:val="00076849"/>
    <w:rsid w:val="000768A8"/>
    <w:rsid w:val="00080476"/>
    <w:rsid w:val="00080682"/>
    <w:rsid w:val="00082368"/>
    <w:rsid w:val="000827E4"/>
    <w:rsid w:val="00083059"/>
    <w:rsid w:val="00083B46"/>
    <w:rsid w:val="00084703"/>
    <w:rsid w:val="00086231"/>
    <w:rsid w:val="00087E70"/>
    <w:rsid w:val="000904A7"/>
    <w:rsid w:val="00091394"/>
    <w:rsid w:val="00092348"/>
    <w:rsid w:val="000930DF"/>
    <w:rsid w:val="00093963"/>
    <w:rsid w:val="00094AC8"/>
    <w:rsid w:val="00094D9D"/>
    <w:rsid w:val="000950A7"/>
    <w:rsid w:val="00095B92"/>
    <w:rsid w:val="00096474"/>
    <w:rsid w:val="00097265"/>
    <w:rsid w:val="000A0131"/>
    <w:rsid w:val="000A1B63"/>
    <w:rsid w:val="000A2184"/>
    <w:rsid w:val="000A3E56"/>
    <w:rsid w:val="000A527D"/>
    <w:rsid w:val="000A57FC"/>
    <w:rsid w:val="000A5B08"/>
    <w:rsid w:val="000A5C56"/>
    <w:rsid w:val="000A62D0"/>
    <w:rsid w:val="000A6FA5"/>
    <w:rsid w:val="000A7CA0"/>
    <w:rsid w:val="000B138B"/>
    <w:rsid w:val="000B2705"/>
    <w:rsid w:val="000B28A3"/>
    <w:rsid w:val="000B3E1F"/>
    <w:rsid w:val="000B401D"/>
    <w:rsid w:val="000B5140"/>
    <w:rsid w:val="000B58A0"/>
    <w:rsid w:val="000B6460"/>
    <w:rsid w:val="000C0A2A"/>
    <w:rsid w:val="000C0D6C"/>
    <w:rsid w:val="000C1FD1"/>
    <w:rsid w:val="000C5165"/>
    <w:rsid w:val="000C561C"/>
    <w:rsid w:val="000C56C0"/>
    <w:rsid w:val="000C5BEE"/>
    <w:rsid w:val="000C6769"/>
    <w:rsid w:val="000C6FD9"/>
    <w:rsid w:val="000C716F"/>
    <w:rsid w:val="000C7680"/>
    <w:rsid w:val="000C79D4"/>
    <w:rsid w:val="000D0C1A"/>
    <w:rsid w:val="000D0F07"/>
    <w:rsid w:val="000D15E3"/>
    <w:rsid w:val="000D3474"/>
    <w:rsid w:val="000D3FF6"/>
    <w:rsid w:val="000D414D"/>
    <w:rsid w:val="000D478E"/>
    <w:rsid w:val="000D4796"/>
    <w:rsid w:val="000D4D37"/>
    <w:rsid w:val="000D5A65"/>
    <w:rsid w:val="000D679A"/>
    <w:rsid w:val="000D67FC"/>
    <w:rsid w:val="000D74C5"/>
    <w:rsid w:val="000E0854"/>
    <w:rsid w:val="000E0DCE"/>
    <w:rsid w:val="000E1317"/>
    <w:rsid w:val="000E1E54"/>
    <w:rsid w:val="000E239C"/>
    <w:rsid w:val="000E2ED1"/>
    <w:rsid w:val="000E3CCD"/>
    <w:rsid w:val="000E4388"/>
    <w:rsid w:val="000E524C"/>
    <w:rsid w:val="000E54D2"/>
    <w:rsid w:val="000E5660"/>
    <w:rsid w:val="000E6464"/>
    <w:rsid w:val="000E676B"/>
    <w:rsid w:val="000E6DAD"/>
    <w:rsid w:val="000E71ED"/>
    <w:rsid w:val="000E74F9"/>
    <w:rsid w:val="000F0518"/>
    <w:rsid w:val="000F0A28"/>
    <w:rsid w:val="000F2C69"/>
    <w:rsid w:val="000F39D7"/>
    <w:rsid w:val="000F5541"/>
    <w:rsid w:val="000F5798"/>
    <w:rsid w:val="00100A0B"/>
    <w:rsid w:val="001025B4"/>
    <w:rsid w:val="001026C1"/>
    <w:rsid w:val="001061E5"/>
    <w:rsid w:val="00106A6D"/>
    <w:rsid w:val="00106C90"/>
    <w:rsid w:val="00106F65"/>
    <w:rsid w:val="00107FEF"/>
    <w:rsid w:val="0011152A"/>
    <w:rsid w:val="00112111"/>
    <w:rsid w:val="00113CE2"/>
    <w:rsid w:val="00113DE7"/>
    <w:rsid w:val="0011632D"/>
    <w:rsid w:val="001163D5"/>
    <w:rsid w:val="00116C96"/>
    <w:rsid w:val="00116E57"/>
    <w:rsid w:val="00117311"/>
    <w:rsid w:val="00117712"/>
    <w:rsid w:val="00120631"/>
    <w:rsid w:val="00120F7C"/>
    <w:rsid w:val="001217EA"/>
    <w:rsid w:val="0012181F"/>
    <w:rsid w:val="00121FAE"/>
    <w:rsid w:val="00122C18"/>
    <w:rsid w:val="0012396F"/>
    <w:rsid w:val="00123AEC"/>
    <w:rsid w:val="00124FC9"/>
    <w:rsid w:val="0012501E"/>
    <w:rsid w:val="0012577A"/>
    <w:rsid w:val="00125797"/>
    <w:rsid w:val="00126800"/>
    <w:rsid w:val="00127157"/>
    <w:rsid w:val="00127617"/>
    <w:rsid w:val="001309E7"/>
    <w:rsid w:val="001314A1"/>
    <w:rsid w:val="00132C84"/>
    <w:rsid w:val="00133FA3"/>
    <w:rsid w:val="001341E1"/>
    <w:rsid w:val="00134A1A"/>
    <w:rsid w:val="00136D7B"/>
    <w:rsid w:val="00136ECD"/>
    <w:rsid w:val="00137407"/>
    <w:rsid w:val="00137B85"/>
    <w:rsid w:val="001405A1"/>
    <w:rsid w:val="00141522"/>
    <w:rsid w:val="00141C36"/>
    <w:rsid w:val="0014301C"/>
    <w:rsid w:val="001465C3"/>
    <w:rsid w:val="00147646"/>
    <w:rsid w:val="001504AA"/>
    <w:rsid w:val="00150A1C"/>
    <w:rsid w:val="00150C59"/>
    <w:rsid w:val="00150D05"/>
    <w:rsid w:val="001527ED"/>
    <w:rsid w:val="00152CAF"/>
    <w:rsid w:val="001534CA"/>
    <w:rsid w:val="001536EC"/>
    <w:rsid w:val="00153A46"/>
    <w:rsid w:val="00153A7E"/>
    <w:rsid w:val="00153BB0"/>
    <w:rsid w:val="0015418A"/>
    <w:rsid w:val="001555A7"/>
    <w:rsid w:val="00160220"/>
    <w:rsid w:val="00161191"/>
    <w:rsid w:val="00162308"/>
    <w:rsid w:val="00163A3B"/>
    <w:rsid w:val="00163AF1"/>
    <w:rsid w:val="00165141"/>
    <w:rsid w:val="0016608F"/>
    <w:rsid w:val="001676F8"/>
    <w:rsid w:val="00167C6D"/>
    <w:rsid w:val="00167CE9"/>
    <w:rsid w:val="00170F71"/>
    <w:rsid w:val="0017239C"/>
    <w:rsid w:val="00172E6F"/>
    <w:rsid w:val="00172E90"/>
    <w:rsid w:val="00173B87"/>
    <w:rsid w:val="00173BE6"/>
    <w:rsid w:val="0017559E"/>
    <w:rsid w:val="00175661"/>
    <w:rsid w:val="001769CB"/>
    <w:rsid w:val="00176B78"/>
    <w:rsid w:val="00181B49"/>
    <w:rsid w:val="0018262C"/>
    <w:rsid w:val="00183AC7"/>
    <w:rsid w:val="0018469C"/>
    <w:rsid w:val="001850C6"/>
    <w:rsid w:val="001864C3"/>
    <w:rsid w:val="001868D4"/>
    <w:rsid w:val="001879F2"/>
    <w:rsid w:val="001906F9"/>
    <w:rsid w:val="00192182"/>
    <w:rsid w:val="001927C8"/>
    <w:rsid w:val="00192B16"/>
    <w:rsid w:val="00192E71"/>
    <w:rsid w:val="00193159"/>
    <w:rsid w:val="00194E11"/>
    <w:rsid w:val="00195129"/>
    <w:rsid w:val="0019520E"/>
    <w:rsid w:val="00195322"/>
    <w:rsid w:val="001954D8"/>
    <w:rsid w:val="00196FEA"/>
    <w:rsid w:val="001976F4"/>
    <w:rsid w:val="001A08D4"/>
    <w:rsid w:val="001A1BA0"/>
    <w:rsid w:val="001A38A6"/>
    <w:rsid w:val="001A39A1"/>
    <w:rsid w:val="001A687C"/>
    <w:rsid w:val="001B1BCD"/>
    <w:rsid w:val="001B3D1C"/>
    <w:rsid w:val="001B42D5"/>
    <w:rsid w:val="001B51D1"/>
    <w:rsid w:val="001B594E"/>
    <w:rsid w:val="001B6633"/>
    <w:rsid w:val="001B6A27"/>
    <w:rsid w:val="001B76FA"/>
    <w:rsid w:val="001B7871"/>
    <w:rsid w:val="001C4477"/>
    <w:rsid w:val="001D0841"/>
    <w:rsid w:val="001D0D08"/>
    <w:rsid w:val="001D10E6"/>
    <w:rsid w:val="001D226A"/>
    <w:rsid w:val="001D226C"/>
    <w:rsid w:val="001D2CE1"/>
    <w:rsid w:val="001D2CE8"/>
    <w:rsid w:val="001D372E"/>
    <w:rsid w:val="001D4F20"/>
    <w:rsid w:val="001D5840"/>
    <w:rsid w:val="001D6CF6"/>
    <w:rsid w:val="001D7270"/>
    <w:rsid w:val="001D7447"/>
    <w:rsid w:val="001D786F"/>
    <w:rsid w:val="001E10F3"/>
    <w:rsid w:val="001E2560"/>
    <w:rsid w:val="001E2A93"/>
    <w:rsid w:val="001E3196"/>
    <w:rsid w:val="001E4426"/>
    <w:rsid w:val="001E4B2D"/>
    <w:rsid w:val="001E4B49"/>
    <w:rsid w:val="001E4BC2"/>
    <w:rsid w:val="001E4D86"/>
    <w:rsid w:val="001E4E3B"/>
    <w:rsid w:val="001E4F88"/>
    <w:rsid w:val="001E500D"/>
    <w:rsid w:val="001E5DCD"/>
    <w:rsid w:val="001E629C"/>
    <w:rsid w:val="001E6607"/>
    <w:rsid w:val="001E71AB"/>
    <w:rsid w:val="001E77A7"/>
    <w:rsid w:val="001F0165"/>
    <w:rsid w:val="001F05EC"/>
    <w:rsid w:val="001F1B88"/>
    <w:rsid w:val="001F4C3E"/>
    <w:rsid w:val="001F4DBA"/>
    <w:rsid w:val="001F6DD8"/>
    <w:rsid w:val="001F7994"/>
    <w:rsid w:val="00201BF8"/>
    <w:rsid w:val="00201F8E"/>
    <w:rsid w:val="00202213"/>
    <w:rsid w:val="00202E22"/>
    <w:rsid w:val="00203E66"/>
    <w:rsid w:val="00204BB6"/>
    <w:rsid w:val="00205189"/>
    <w:rsid w:val="00205A88"/>
    <w:rsid w:val="002071EC"/>
    <w:rsid w:val="002077C5"/>
    <w:rsid w:val="0021045A"/>
    <w:rsid w:val="00210C13"/>
    <w:rsid w:val="002113EE"/>
    <w:rsid w:val="0021189E"/>
    <w:rsid w:val="00212DD9"/>
    <w:rsid w:val="002133A3"/>
    <w:rsid w:val="00213663"/>
    <w:rsid w:val="00215CDE"/>
    <w:rsid w:val="002167BF"/>
    <w:rsid w:val="00216AAC"/>
    <w:rsid w:val="00223625"/>
    <w:rsid w:val="00223E07"/>
    <w:rsid w:val="00224A20"/>
    <w:rsid w:val="00224B49"/>
    <w:rsid w:val="00225570"/>
    <w:rsid w:val="00230769"/>
    <w:rsid w:val="002313EB"/>
    <w:rsid w:val="0023160E"/>
    <w:rsid w:val="00231C65"/>
    <w:rsid w:val="00232320"/>
    <w:rsid w:val="00232A8B"/>
    <w:rsid w:val="002338AB"/>
    <w:rsid w:val="00234358"/>
    <w:rsid w:val="002343BD"/>
    <w:rsid w:val="002349B9"/>
    <w:rsid w:val="00234D95"/>
    <w:rsid w:val="00235324"/>
    <w:rsid w:val="0023537F"/>
    <w:rsid w:val="0023623F"/>
    <w:rsid w:val="00236C27"/>
    <w:rsid w:val="00237169"/>
    <w:rsid w:val="00240D24"/>
    <w:rsid w:val="00241499"/>
    <w:rsid w:val="00242F53"/>
    <w:rsid w:val="00243E03"/>
    <w:rsid w:val="00244639"/>
    <w:rsid w:val="002449B1"/>
    <w:rsid w:val="00246B99"/>
    <w:rsid w:val="00246FC9"/>
    <w:rsid w:val="00247818"/>
    <w:rsid w:val="002508A7"/>
    <w:rsid w:val="00250C5F"/>
    <w:rsid w:val="00251288"/>
    <w:rsid w:val="002521F9"/>
    <w:rsid w:val="0025291D"/>
    <w:rsid w:val="00253804"/>
    <w:rsid w:val="00253D16"/>
    <w:rsid w:val="00255298"/>
    <w:rsid w:val="00255482"/>
    <w:rsid w:val="002560A8"/>
    <w:rsid w:val="00256914"/>
    <w:rsid w:val="00256F30"/>
    <w:rsid w:val="0026011A"/>
    <w:rsid w:val="0026034B"/>
    <w:rsid w:val="00260880"/>
    <w:rsid w:val="00260EFD"/>
    <w:rsid w:val="002615A0"/>
    <w:rsid w:val="00261702"/>
    <w:rsid w:val="00261D2E"/>
    <w:rsid w:val="002621FC"/>
    <w:rsid w:val="002639C6"/>
    <w:rsid w:val="00265EA4"/>
    <w:rsid w:val="00266E20"/>
    <w:rsid w:val="00266F45"/>
    <w:rsid w:val="00267FC8"/>
    <w:rsid w:val="00270D10"/>
    <w:rsid w:val="00272002"/>
    <w:rsid w:val="0027458C"/>
    <w:rsid w:val="00274C3E"/>
    <w:rsid w:val="002768E7"/>
    <w:rsid w:val="00276D3B"/>
    <w:rsid w:val="00277C7D"/>
    <w:rsid w:val="0028435F"/>
    <w:rsid w:val="00284591"/>
    <w:rsid w:val="002857E7"/>
    <w:rsid w:val="002858CE"/>
    <w:rsid w:val="00285E5E"/>
    <w:rsid w:val="002861D9"/>
    <w:rsid w:val="0029141E"/>
    <w:rsid w:val="00292CAD"/>
    <w:rsid w:val="00293B7D"/>
    <w:rsid w:val="00293C00"/>
    <w:rsid w:val="00293D5A"/>
    <w:rsid w:val="002955FA"/>
    <w:rsid w:val="002956BD"/>
    <w:rsid w:val="0029692C"/>
    <w:rsid w:val="00297F1E"/>
    <w:rsid w:val="002A00D1"/>
    <w:rsid w:val="002A04E6"/>
    <w:rsid w:val="002A0CAA"/>
    <w:rsid w:val="002A1173"/>
    <w:rsid w:val="002A19D6"/>
    <w:rsid w:val="002A19F4"/>
    <w:rsid w:val="002A1A6B"/>
    <w:rsid w:val="002A1FF2"/>
    <w:rsid w:val="002A2554"/>
    <w:rsid w:val="002A282F"/>
    <w:rsid w:val="002A2EDB"/>
    <w:rsid w:val="002A3584"/>
    <w:rsid w:val="002A548E"/>
    <w:rsid w:val="002A5607"/>
    <w:rsid w:val="002A601F"/>
    <w:rsid w:val="002A6334"/>
    <w:rsid w:val="002A634F"/>
    <w:rsid w:val="002A6C42"/>
    <w:rsid w:val="002A7CA3"/>
    <w:rsid w:val="002B007D"/>
    <w:rsid w:val="002B0A03"/>
    <w:rsid w:val="002B0CDB"/>
    <w:rsid w:val="002B11CD"/>
    <w:rsid w:val="002B2644"/>
    <w:rsid w:val="002B58EF"/>
    <w:rsid w:val="002C1595"/>
    <w:rsid w:val="002C1596"/>
    <w:rsid w:val="002C4670"/>
    <w:rsid w:val="002C46E9"/>
    <w:rsid w:val="002C56A6"/>
    <w:rsid w:val="002C6487"/>
    <w:rsid w:val="002C7DF0"/>
    <w:rsid w:val="002D0E7D"/>
    <w:rsid w:val="002D1275"/>
    <w:rsid w:val="002D59AF"/>
    <w:rsid w:val="002D6C45"/>
    <w:rsid w:val="002D7B4D"/>
    <w:rsid w:val="002E012C"/>
    <w:rsid w:val="002E0E71"/>
    <w:rsid w:val="002E373A"/>
    <w:rsid w:val="002E428A"/>
    <w:rsid w:val="002E48C2"/>
    <w:rsid w:val="002E4B53"/>
    <w:rsid w:val="002E6061"/>
    <w:rsid w:val="002E664B"/>
    <w:rsid w:val="002F1AF9"/>
    <w:rsid w:val="002F231D"/>
    <w:rsid w:val="002F279B"/>
    <w:rsid w:val="002F34B0"/>
    <w:rsid w:val="002F3530"/>
    <w:rsid w:val="002F3F38"/>
    <w:rsid w:val="002F4606"/>
    <w:rsid w:val="002F4B75"/>
    <w:rsid w:val="002F5C9C"/>
    <w:rsid w:val="002F61DB"/>
    <w:rsid w:val="002F62FD"/>
    <w:rsid w:val="002F7723"/>
    <w:rsid w:val="002F7917"/>
    <w:rsid w:val="002F7D83"/>
    <w:rsid w:val="002F7F74"/>
    <w:rsid w:val="00301586"/>
    <w:rsid w:val="00301683"/>
    <w:rsid w:val="003017FF"/>
    <w:rsid w:val="00301FFE"/>
    <w:rsid w:val="003022E1"/>
    <w:rsid w:val="00302612"/>
    <w:rsid w:val="003044A8"/>
    <w:rsid w:val="003049F7"/>
    <w:rsid w:val="00304F67"/>
    <w:rsid w:val="00307301"/>
    <w:rsid w:val="0031177D"/>
    <w:rsid w:val="00312A06"/>
    <w:rsid w:val="0031301A"/>
    <w:rsid w:val="00313C4F"/>
    <w:rsid w:val="00314148"/>
    <w:rsid w:val="00315477"/>
    <w:rsid w:val="003168CA"/>
    <w:rsid w:val="00316AE2"/>
    <w:rsid w:val="003201BD"/>
    <w:rsid w:val="00321E3D"/>
    <w:rsid w:val="00322A98"/>
    <w:rsid w:val="00322AE9"/>
    <w:rsid w:val="0032313A"/>
    <w:rsid w:val="003231E7"/>
    <w:rsid w:val="00323C3D"/>
    <w:rsid w:val="00324CD5"/>
    <w:rsid w:val="00326887"/>
    <w:rsid w:val="003268EF"/>
    <w:rsid w:val="00327348"/>
    <w:rsid w:val="00330678"/>
    <w:rsid w:val="003306FF"/>
    <w:rsid w:val="00330DCF"/>
    <w:rsid w:val="00330F6A"/>
    <w:rsid w:val="0033131B"/>
    <w:rsid w:val="003320DF"/>
    <w:rsid w:val="00333256"/>
    <w:rsid w:val="0033335F"/>
    <w:rsid w:val="003341C3"/>
    <w:rsid w:val="003369FD"/>
    <w:rsid w:val="00340167"/>
    <w:rsid w:val="003406A8"/>
    <w:rsid w:val="003413C6"/>
    <w:rsid w:val="00342175"/>
    <w:rsid w:val="00342FD1"/>
    <w:rsid w:val="00343707"/>
    <w:rsid w:val="00344E6B"/>
    <w:rsid w:val="00346255"/>
    <w:rsid w:val="00346480"/>
    <w:rsid w:val="00346A35"/>
    <w:rsid w:val="00346B97"/>
    <w:rsid w:val="00347797"/>
    <w:rsid w:val="003506C3"/>
    <w:rsid w:val="00350E55"/>
    <w:rsid w:val="00353A23"/>
    <w:rsid w:val="003564EF"/>
    <w:rsid w:val="0035798C"/>
    <w:rsid w:val="003605C8"/>
    <w:rsid w:val="00360A69"/>
    <w:rsid w:val="0036295B"/>
    <w:rsid w:val="0036404C"/>
    <w:rsid w:val="00365CDB"/>
    <w:rsid w:val="00366B6E"/>
    <w:rsid w:val="003671B4"/>
    <w:rsid w:val="003706C5"/>
    <w:rsid w:val="00371190"/>
    <w:rsid w:val="00371449"/>
    <w:rsid w:val="00371F87"/>
    <w:rsid w:val="0037246B"/>
    <w:rsid w:val="00372562"/>
    <w:rsid w:val="00372570"/>
    <w:rsid w:val="00372A64"/>
    <w:rsid w:val="00372BA1"/>
    <w:rsid w:val="0037306A"/>
    <w:rsid w:val="00373591"/>
    <w:rsid w:val="0037376D"/>
    <w:rsid w:val="00374782"/>
    <w:rsid w:val="00374A15"/>
    <w:rsid w:val="00375CF2"/>
    <w:rsid w:val="0037621D"/>
    <w:rsid w:val="00376546"/>
    <w:rsid w:val="0037659D"/>
    <w:rsid w:val="0037710C"/>
    <w:rsid w:val="003774DE"/>
    <w:rsid w:val="00380AAD"/>
    <w:rsid w:val="003851B0"/>
    <w:rsid w:val="003853BA"/>
    <w:rsid w:val="00385C88"/>
    <w:rsid w:val="003866CF"/>
    <w:rsid w:val="00386974"/>
    <w:rsid w:val="0038711E"/>
    <w:rsid w:val="003876E8"/>
    <w:rsid w:val="00387A70"/>
    <w:rsid w:val="00387F39"/>
    <w:rsid w:val="0039001D"/>
    <w:rsid w:val="00390095"/>
    <w:rsid w:val="00393F4D"/>
    <w:rsid w:val="00394859"/>
    <w:rsid w:val="00397D94"/>
    <w:rsid w:val="003A09AC"/>
    <w:rsid w:val="003A1277"/>
    <w:rsid w:val="003A172A"/>
    <w:rsid w:val="003A17B3"/>
    <w:rsid w:val="003A30B8"/>
    <w:rsid w:val="003A4FA1"/>
    <w:rsid w:val="003A6CF2"/>
    <w:rsid w:val="003A7264"/>
    <w:rsid w:val="003A74EE"/>
    <w:rsid w:val="003A7F0C"/>
    <w:rsid w:val="003B190B"/>
    <w:rsid w:val="003B24EE"/>
    <w:rsid w:val="003B2709"/>
    <w:rsid w:val="003B2E5A"/>
    <w:rsid w:val="003B4402"/>
    <w:rsid w:val="003B445C"/>
    <w:rsid w:val="003B447C"/>
    <w:rsid w:val="003B5C7C"/>
    <w:rsid w:val="003B5D8D"/>
    <w:rsid w:val="003B75E6"/>
    <w:rsid w:val="003B7E08"/>
    <w:rsid w:val="003C08A8"/>
    <w:rsid w:val="003C278F"/>
    <w:rsid w:val="003C2AD4"/>
    <w:rsid w:val="003C4C5A"/>
    <w:rsid w:val="003D1179"/>
    <w:rsid w:val="003D2C76"/>
    <w:rsid w:val="003D3D42"/>
    <w:rsid w:val="003D437E"/>
    <w:rsid w:val="003D4CA4"/>
    <w:rsid w:val="003D681A"/>
    <w:rsid w:val="003D6BC2"/>
    <w:rsid w:val="003E09AC"/>
    <w:rsid w:val="003E0F13"/>
    <w:rsid w:val="003E27B5"/>
    <w:rsid w:val="003E2CE4"/>
    <w:rsid w:val="003E37D5"/>
    <w:rsid w:val="003E5040"/>
    <w:rsid w:val="003E512C"/>
    <w:rsid w:val="003E56F1"/>
    <w:rsid w:val="003E5FFD"/>
    <w:rsid w:val="003E6596"/>
    <w:rsid w:val="003E6C56"/>
    <w:rsid w:val="003E77CF"/>
    <w:rsid w:val="003E795D"/>
    <w:rsid w:val="003F0BE9"/>
    <w:rsid w:val="003F0E0B"/>
    <w:rsid w:val="003F1600"/>
    <w:rsid w:val="003F17CF"/>
    <w:rsid w:val="003F3F17"/>
    <w:rsid w:val="003F4AD7"/>
    <w:rsid w:val="003F4C54"/>
    <w:rsid w:val="003F4CFB"/>
    <w:rsid w:val="003F5A14"/>
    <w:rsid w:val="003F6386"/>
    <w:rsid w:val="003F7707"/>
    <w:rsid w:val="003F7B69"/>
    <w:rsid w:val="0040050D"/>
    <w:rsid w:val="00400CCC"/>
    <w:rsid w:val="00400E62"/>
    <w:rsid w:val="004014BA"/>
    <w:rsid w:val="00402593"/>
    <w:rsid w:val="00402BCA"/>
    <w:rsid w:val="00403D88"/>
    <w:rsid w:val="004045C6"/>
    <w:rsid w:val="004058FC"/>
    <w:rsid w:val="00406E4C"/>
    <w:rsid w:val="00406E86"/>
    <w:rsid w:val="00407443"/>
    <w:rsid w:val="004078E2"/>
    <w:rsid w:val="00407C36"/>
    <w:rsid w:val="0041001C"/>
    <w:rsid w:val="004114B8"/>
    <w:rsid w:val="00412244"/>
    <w:rsid w:val="0041363D"/>
    <w:rsid w:val="004141B6"/>
    <w:rsid w:val="004145BA"/>
    <w:rsid w:val="00414C03"/>
    <w:rsid w:val="00415ABA"/>
    <w:rsid w:val="00416C86"/>
    <w:rsid w:val="00421142"/>
    <w:rsid w:val="004211F7"/>
    <w:rsid w:val="0042366A"/>
    <w:rsid w:val="0042395C"/>
    <w:rsid w:val="00424109"/>
    <w:rsid w:val="0042419F"/>
    <w:rsid w:val="0042486A"/>
    <w:rsid w:val="00424B1C"/>
    <w:rsid w:val="00424F80"/>
    <w:rsid w:val="00425C3E"/>
    <w:rsid w:val="00425D94"/>
    <w:rsid w:val="00427602"/>
    <w:rsid w:val="004307E8"/>
    <w:rsid w:val="004319E9"/>
    <w:rsid w:val="0043205D"/>
    <w:rsid w:val="00433AEC"/>
    <w:rsid w:val="00434094"/>
    <w:rsid w:val="004340BE"/>
    <w:rsid w:val="004355AB"/>
    <w:rsid w:val="0043573C"/>
    <w:rsid w:val="00436171"/>
    <w:rsid w:val="00436ABD"/>
    <w:rsid w:val="00436F63"/>
    <w:rsid w:val="00437F2C"/>
    <w:rsid w:val="00440033"/>
    <w:rsid w:val="00440A84"/>
    <w:rsid w:val="0044162B"/>
    <w:rsid w:val="0044243B"/>
    <w:rsid w:val="00442C64"/>
    <w:rsid w:val="00443315"/>
    <w:rsid w:val="00443BA9"/>
    <w:rsid w:val="00443D0E"/>
    <w:rsid w:val="00444480"/>
    <w:rsid w:val="00445040"/>
    <w:rsid w:val="00445D26"/>
    <w:rsid w:val="00446294"/>
    <w:rsid w:val="0044679E"/>
    <w:rsid w:val="004479D2"/>
    <w:rsid w:val="00447FC3"/>
    <w:rsid w:val="00450161"/>
    <w:rsid w:val="00450EC5"/>
    <w:rsid w:val="00451D1F"/>
    <w:rsid w:val="00452363"/>
    <w:rsid w:val="004528F6"/>
    <w:rsid w:val="00452BB0"/>
    <w:rsid w:val="004535F5"/>
    <w:rsid w:val="00454F24"/>
    <w:rsid w:val="00457E18"/>
    <w:rsid w:val="00461685"/>
    <w:rsid w:val="0046179B"/>
    <w:rsid w:val="00462EAA"/>
    <w:rsid w:val="00463C0A"/>
    <w:rsid w:val="00465DA8"/>
    <w:rsid w:val="0046630F"/>
    <w:rsid w:val="00466894"/>
    <w:rsid w:val="00466F57"/>
    <w:rsid w:val="00470388"/>
    <w:rsid w:val="00471FF0"/>
    <w:rsid w:val="00472872"/>
    <w:rsid w:val="004744A2"/>
    <w:rsid w:val="00474773"/>
    <w:rsid w:val="00474BE1"/>
    <w:rsid w:val="00474DB7"/>
    <w:rsid w:val="004750A4"/>
    <w:rsid w:val="004755C8"/>
    <w:rsid w:val="00476E9D"/>
    <w:rsid w:val="004773B8"/>
    <w:rsid w:val="00481289"/>
    <w:rsid w:val="00482C48"/>
    <w:rsid w:val="00482EEF"/>
    <w:rsid w:val="0048332B"/>
    <w:rsid w:val="00483B25"/>
    <w:rsid w:val="00484234"/>
    <w:rsid w:val="0048444C"/>
    <w:rsid w:val="00484AA4"/>
    <w:rsid w:val="004859D8"/>
    <w:rsid w:val="004915A4"/>
    <w:rsid w:val="00491C59"/>
    <w:rsid w:val="00492F05"/>
    <w:rsid w:val="00496178"/>
    <w:rsid w:val="00496245"/>
    <w:rsid w:val="0049631D"/>
    <w:rsid w:val="00496981"/>
    <w:rsid w:val="00496F62"/>
    <w:rsid w:val="00497E25"/>
    <w:rsid w:val="004A0479"/>
    <w:rsid w:val="004A0661"/>
    <w:rsid w:val="004A1792"/>
    <w:rsid w:val="004A3306"/>
    <w:rsid w:val="004A46EA"/>
    <w:rsid w:val="004A4AEA"/>
    <w:rsid w:val="004A4CEE"/>
    <w:rsid w:val="004A6AE6"/>
    <w:rsid w:val="004B01FA"/>
    <w:rsid w:val="004B239C"/>
    <w:rsid w:val="004B2AB7"/>
    <w:rsid w:val="004B3C54"/>
    <w:rsid w:val="004B4882"/>
    <w:rsid w:val="004B4A6A"/>
    <w:rsid w:val="004B58E2"/>
    <w:rsid w:val="004B794B"/>
    <w:rsid w:val="004C007C"/>
    <w:rsid w:val="004C1F72"/>
    <w:rsid w:val="004C2699"/>
    <w:rsid w:val="004C2BC9"/>
    <w:rsid w:val="004C303D"/>
    <w:rsid w:val="004C3662"/>
    <w:rsid w:val="004C389A"/>
    <w:rsid w:val="004C3B04"/>
    <w:rsid w:val="004C3CE3"/>
    <w:rsid w:val="004C4D86"/>
    <w:rsid w:val="004C5AF6"/>
    <w:rsid w:val="004C609B"/>
    <w:rsid w:val="004C7079"/>
    <w:rsid w:val="004C7752"/>
    <w:rsid w:val="004D061C"/>
    <w:rsid w:val="004D1AA7"/>
    <w:rsid w:val="004D282B"/>
    <w:rsid w:val="004D41A5"/>
    <w:rsid w:val="004D4826"/>
    <w:rsid w:val="004D48DD"/>
    <w:rsid w:val="004D5368"/>
    <w:rsid w:val="004D5CD1"/>
    <w:rsid w:val="004D6C83"/>
    <w:rsid w:val="004D77BD"/>
    <w:rsid w:val="004E02FA"/>
    <w:rsid w:val="004E03C0"/>
    <w:rsid w:val="004E12DB"/>
    <w:rsid w:val="004E1B66"/>
    <w:rsid w:val="004E1FD9"/>
    <w:rsid w:val="004E2732"/>
    <w:rsid w:val="004E2B3E"/>
    <w:rsid w:val="004E42DA"/>
    <w:rsid w:val="004E4D3F"/>
    <w:rsid w:val="004E5217"/>
    <w:rsid w:val="004E60DC"/>
    <w:rsid w:val="004E6592"/>
    <w:rsid w:val="004E781B"/>
    <w:rsid w:val="004F0B41"/>
    <w:rsid w:val="004F2259"/>
    <w:rsid w:val="004F2699"/>
    <w:rsid w:val="004F2D25"/>
    <w:rsid w:val="004F3033"/>
    <w:rsid w:val="004F3BD6"/>
    <w:rsid w:val="004F55E7"/>
    <w:rsid w:val="004F58CD"/>
    <w:rsid w:val="004F5B82"/>
    <w:rsid w:val="004F5E22"/>
    <w:rsid w:val="004F61EF"/>
    <w:rsid w:val="004F69D1"/>
    <w:rsid w:val="004F6FFA"/>
    <w:rsid w:val="00504115"/>
    <w:rsid w:val="00504538"/>
    <w:rsid w:val="00504CF9"/>
    <w:rsid w:val="00504E9C"/>
    <w:rsid w:val="0050510F"/>
    <w:rsid w:val="00507063"/>
    <w:rsid w:val="00507067"/>
    <w:rsid w:val="00507815"/>
    <w:rsid w:val="00507A71"/>
    <w:rsid w:val="00507F25"/>
    <w:rsid w:val="00510060"/>
    <w:rsid w:val="0051064E"/>
    <w:rsid w:val="0051104C"/>
    <w:rsid w:val="0051219F"/>
    <w:rsid w:val="00512846"/>
    <w:rsid w:val="00512E59"/>
    <w:rsid w:val="00515061"/>
    <w:rsid w:val="0051514C"/>
    <w:rsid w:val="00515E0C"/>
    <w:rsid w:val="0051612D"/>
    <w:rsid w:val="00516C5C"/>
    <w:rsid w:val="005213F8"/>
    <w:rsid w:val="00521EF9"/>
    <w:rsid w:val="00522043"/>
    <w:rsid w:val="00522987"/>
    <w:rsid w:val="00522A4E"/>
    <w:rsid w:val="00522D89"/>
    <w:rsid w:val="0052315D"/>
    <w:rsid w:val="00523579"/>
    <w:rsid w:val="005237C5"/>
    <w:rsid w:val="00524824"/>
    <w:rsid w:val="00525264"/>
    <w:rsid w:val="00527E9B"/>
    <w:rsid w:val="005302B1"/>
    <w:rsid w:val="00530D00"/>
    <w:rsid w:val="00531C6E"/>
    <w:rsid w:val="00532C83"/>
    <w:rsid w:val="0053392C"/>
    <w:rsid w:val="00533C10"/>
    <w:rsid w:val="00534731"/>
    <w:rsid w:val="00534DEC"/>
    <w:rsid w:val="005356CE"/>
    <w:rsid w:val="00535F1E"/>
    <w:rsid w:val="00536F3B"/>
    <w:rsid w:val="00536FB7"/>
    <w:rsid w:val="00540294"/>
    <w:rsid w:val="005408CC"/>
    <w:rsid w:val="0054141F"/>
    <w:rsid w:val="00542E70"/>
    <w:rsid w:val="005432E0"/>
    <w:rsid w:val="00543696"/>
    <w:rsid w:val="005447AD"/>
    <w:rsid w:val="00545375"/>
    <w:rsid w:val="005464A2"/>
    <w:rsid w:val="00546B0A"/>
    <w:rsid w:val="0055041D"/>
    <w:rsid w:val="00551525"/>
    <w:rsid w:val="00551A0E"/>
    <w:rsid w:val="00552D24"/>
    <w:rsid w:val="005549CB"/>
    <w:rsid w:val="00555C79"/>
    <w:rsid w:val="00556248"/>
    <w:rsid w:val="00556885"/>
    <w:rsid w:val="00560CF7"/>
    <w:rsid w:val="00560F4F"/>
    <w:rsid w:val="00563187"/>
    <w:rsid w:val="00564114"/>
    <w:rsid w:val="00564824"/>
    <w:rsid w:val="00564E9E"/>
    <w:rsid w:val="00565727"/>
    <w:rsid w:val="005663BC"/>
    <w:rsid w:val="0057021D"/>
    <w:rsid w:val="00570690"/>
    <w:rsid w:val="005716BE"/>
    <w:rsid w:val="00571F1B"/>
    <w:rsid w:val="005743B5"/>
    <w:rsid w:val="0057471B"/>
    <w:rsid w:val="005755B9"/>
    <w:rsid w:val="00576090"/>
    <w:rsid w:val="00576741"/>
    <w:rsid w:val="00576836"/>
    <w:rsid w:val="005769CD"/>
    <w:rsid w:val="00577E3E"/>
    <w:rsid w:val="00577FB8"/>
    <w:rsid w:val="00581904"/>
    <w:rsid w:val="00581F20"/>
    <w:rsid w:val="00582156"/>
    <w:rsid w:val="00582C56"/>
    <w:rsid w:val="0058377F"/>
    <w:rsid w:val="0058582F"/>
    <w:rsid w:val="005864EF"/>
    <w:rsid w:val="00586AC3"/>
    <w:rsid w:val="005874D8"/>
    <w:rsid w:val="00590304"/>
    <w:rsid w:val="00590548"/>
    <w:rsid w:val="00590847"/>
    <w:rsid w:val="00590D77"/>
    <w:rsid w:val="00591359"/>
    <w:rsid w:val="00592A7F"/>
    <w:rsid w:val="00593A91"/>
    <w:rsid w:val="00594647"/>
    <w:rsid w:val="005949DB"/>
    <w:rsid w:val="005950E8"/>
    <w:rsid w:val="005963E7"/>
    <w:rsid w:val="00596AEE"/>
    <w:rsid w:val="005976D9"/>
    <w:rsid w:val="0059775F"/>
    <w:rsid w:val="005A0358"/>
    <w:rsid w:val="005A3703"/>
    <w:rsid w:val="005A5D75"/>
    <w:rsid w:val="005A6141"/>
    <w:rsid w:val="005A7C08"/>
    <w:rsid w:val="005A7C93"/>
    <w:rsid w:val="005B025C"/>
    <w:rsid w:val="005B076B"/>
    <w:rsid w:val="005B117B"/>
    <w:rsid w:val="005B16A9"/>
    <w:rsid w:val="005B2C9F"/>
    <w:rsid w:val="005B3E5A"/>
    <w:rsid w:val="005B5320"/>
    <w:rsid w:val="005B568B"/>
    <w:rsid w:val="005B7159"/>
    <w:rsid w:val="005B7333"/>
    <w:rsid w:val="005C308A"/>
    <w:rsid w:val="005C328C"/>
    <w:rsid w:val="005C4A10"/>
    <w:rsid w:val="005C56D3"/>
    <w:rsid w:val="005D0140"/>
    <w:rsid w:val="005D1E36"/>
    <w:rsid w:val="005D2010"/>
    <w:rsid w:val="005D47CA"/>
    <w:rsid w:val="005D4972"/>
    <w:rsid w:val="005D5ED3"/>
    <w:rsid w:val="005D6628"/>
    <w:rsid w:val="005D6CFF"/>
    <w:rsid w:val="005D7EA9"/>
    <w:rsid w:val="005E015C"/>
    <w:rsid w:val="005E1C5C"/>
    <w:rsid w:val="005E2EAC"/>
    <w:rsid w:val="005E4CA3"/>
    <w:rsid w:val="005E519F"/>
    <w:rsid w:val="005E53C3"/>
    <w:rsid w:val="005E62B3"/>
    <w:rsid w:val="005E766A"/>
    <w:rsid w:val="005E7A5F"/>
    <w:rsid w:val="005E7D61"/>
    <w:rsid w:val="005F0073"/>
    <w:rsid w:val="005F042C"/>
    <w:rsid w:val="005F04AF"/>
    <w:rsid w:val="005F1B2D"/>
    <w:rsid w:val="005F1C17"/>
    <w:rsid w:val="005F2886"/>
    <w:rsid w:val="005F2E74"/>
    <w:rsid w:val="005F3EEE"/>
    <w:rsid w:val="005F40CC"/>
    <w:rsid w:val="005F70FD"/>
    <w:rsid w:val="005F7384"/>
    <w:rsid w:val="0060081D"/>
    <w:rsid w:val="00600BB8"/>
    <w:rsid w:val="00601113"/>
    <w:rsid w:val="00601587"/>
    <w:rsid w:val="0060194D"/>
    <w:rsid w:val="00601ADD"/>
    <w:rsid w:val="006027DD"/>
    <w:rsid w:val="006035FA"/>
    <w:rsid w:val="00604902"/>
    <w:rsid w:val="00604B4A"/>
    <w:rsid w:val="00606F95"/>
    <w:rsid w:val="00607097"/>
    <w:rsid w:val="006070CA"/>
    <w:rsid w:val="00607E96"/>
    <w:rsid w:val="006100B5"/>
    <w:rsid w:val="006102AA"/>
    <w:rsid w:val="00610B60"/>
    <w:rsid w:val="00613334"/>
    <w:rsid w:val="00615967"/>
    <w:rsid w:val="0061598A"/>
    <w:rsid w:val="006169B7"/>
    <w:rsid w:val="00616DF1"/>
    <w:rsid w:val="00616F33"/>
    <w:rsid w:val="006178BB"/>
    <w:rsid w:val="0062074D"/>
    <w:rsid w:val="00621549"/>
    <w:rsid w:val="00622551"/>
    <w:rsid w:val="00623ECF"/>
    <w:rsid w:val="0062587B"/>
    <w:rsid w:val="0062605A"/>
    <w:rsid w:val="006263D5"/>
    <w:rsid w:val="006264D7"/>
    <w:rsid w:val="00626D99"/>
    <w:rsid w:val="00631142"/>
    <w:rsid w:val="00632EA7"/>
    <w:rsid w:val="00635F98"/>
    <w:rsid w:val="00635FFF"/>
    <w:rsid w:val="006369CE"/>
    <w:rsid w:val="00636A3E"/>
    <w:rsid w:val="006371AD"/>
    <w:rsid w:val="00640942"/>
    <w:rsid w:val="00641988"/>
    <w:rsid w:val="00642752"/>
    <w:rsid w:val="006438C9"/>
    <w:rsid w:val="00643F3A"/>
    <w:rsid w:val="00644428"/>
    <w:rsid w:val="00645F76"/>
    <w:rsid w:val="00646440"/>
    <w:rsid w:val="0064670B"/>
    <w:rsid w:val="00646B13"/>
    <w:rsid w:val="006476BB"/>
    <w:rsid w:val="00647963"/>
    <w:rsid w:val="006479A5"/>
    <w:rsid w:val="00652412"/>
    <w:rsid w:val="00652B90"/>
    <w:rsid w:val="00654FCA"/>
    <w:rsid w:val="006557DE"/>
    <w:rsid w:val="00655F6F"/>
    <w:rsid w:val="0065622C"/>
    <w:rsid w:val="00657F55"/>
    <w:rsid w:val="00660AFD"/>
    <w:rsid w:val="00660C68"/>
    <w:rsid w:val="006628D9"/>
    <w:rsid w:val="00662EE8"/>
    <w:rsid w:val="00663778"/>
    <w:rsid w:val="006648C1"/>
    <w:rsid w:val="00665399"/>
    <w:rsid w:val="006659AD"/>
    <w:rsid w:val="00665AED"/>
    <w:rsid w:val="00666DAC"/>
    <w:rsid w:val="00667481"/>
    <w:rsid w:val="00667C66"/>
    <w:rsid w:val="00670FEB"/>
    <w:rsid w:val="00671557"/>
    <w:rsid w:val="006716CD"/>
    <w:rsid w:val="00676914"/>
    <w:rsid w:val="00680064"/>
    <w:rsid w:val="006808AA"/>
    <w:rsid w:val="0068159D"/>
    <w:rsid w:val="00683356"/>
    <w:rsid w:val="00683E5A"/>
    <w:rsid w:val="00684244"/>
    <w:rsid w:val="006847BF"/>
    <w:rsid w:val="006852A2"/>
    <w:rsid w:val="006904DD"/>
    <w:rsid w:val="00691A11"/>
    <w:rsid w:val="00692829"/>
    <w:rsid w:val="00693DA4"/>
    <w:rsid w:val="00695112"/>
    <w:rsid w:val="00695560"/>
    <w:rsid w:val="00695A43"/>
    <w:rsid w:val="00695AE8"/>
    <w:rsid w:val="00695AF7"/>
    <w:rsid w:val="00695CC0"/>
    <w:rsid w:val="00696ED9"/>
    <w:rsid w:val="006A012E"/>
    <w:rsid w:val="006A0F63"/>
    <w:rsid w:val="006A2D00"/>
    <w:rsid w:val="006A2D99"/>
    <w:rsid w:val="006A3ACC"/>
    <w:rsid w:val="006A3D2F"/>
    <w:rsid w:val="006A5D6D"/>
    <w:rsid w:val="006A6590"/>
    <w:rsid w:val="006A6A72"/>
    <w:rsid w:val="006A6C19"/>
    <w:rsid w:val="006A6DDD"/>
    <w:rsid w:val="006B012C"/>
    <w:rsid w:val="006B0197"/>
    <w:rsid w:val="006B1FC6"/>
    <w:rsid w:val="006B2FC9"/>
    <w:rsid w:val="006B4E81"/>
    <w:rsid w:val="006B55E4"/>
    <w:rsid w:val="006B6C28"/>
    <w:rsid w:val="006B7037"/>
    <w:rsid w:val="006B7983"/>
    <w:rsid w:val="006B7F4E"/>
    <w:rsid w:val="006C0F09"/>
    <w:rsid w:val="006C0FBF"/>
    <w:rsid w:val="006C1899"/>
    <w:rsid w:val="006C2CE3"/>
    <w:rsid w:val="006C4555"/>
    <w:rsid w:val="006C62C5"/>
    <w:rsid w:val="006C62D1"/>
    <w:rsid w:val="006C6EBE"/>
    <w:rsid w:val="006C7383"/>
    <w:rsid w:val="006C7891"/>
    <w:rsid w:val="006C7959"/>
    <w:rsid w:val="006D0407"/>
    <w:rsid w:val="006D070E"/>
    <w:rsid w:val="006D3181"/>
    <w:rsid w:val="006D3991"/>
    <w:rsid w:val="006D4502"/>
    <w:rsid w:val="006D49EE"/>
    <w:rsid w:val="006D4E63"/>
    <w:rsid w:val="006D4F1E"/>
    <w:rsid w:val="006D5CFD"/>
    <w:rsid w:val="006D60E3"/>
    <w:rsid w:val="006D757D"/>
    <w:rsid w:val="006E001F"/>
    <w:rsid w:val="006E1882"/>
    <w:rsid w:val="006E18F0"/>
    <w:rsid w:val="006E296B"/>
    <w:rsid w:val="006E30DE"/>
    <w:rsid w:val="006E327A"/>
    <w:rsid w:val="006E3A3F"/>
    <w:rsid w:val="006E43A8"/>
    <w:rsid w:val="006E4A97"/>
    <w:rsid w:val="006E6285"/>
    <w:rsid w:val="006F289F"/>
    <w:rsid w:val="006F2E9A"/>
    <w:rsid w:val="006F2FF8"/>
    <w:rsid w:val="006F308C"/>
    <w:rsid w:val="006F3596"/>
    <w:rsid w:val="00700349"/>
    <w:rsid w:val="007028FE"/>
    <w:rsid w:val="00702969"/>
    <w:rsid w:val="00702EA8"/>
    <w:rsid w:val="00703857"/>
    <w:rsid w:val="00703A0D"/>
    <w:rsid w:val="00703B3D"/>
    <w:rsid w:val="00703CCB"/>
    <w:rsid w:val="00704103"/>
    <w:rsid w:val="00705069"/>
    <w:rsid w:val="007051D8"/>
    <w:rsid w:val="00707E70"/>
    <w:rsid w:val="00710778"/>
    <w:rsid w:val="00711E01"/>
    <w:rsid w:val="007123AA"/>
    <w:rsid w:val="007144C6"/>
    <w:rsid w:val="00714F49"/>
    <w:rsid w:val="00714F7B"/>
    <w:rsid w:val="007151DC"/>
    <w:rsid w:val="00716329"/>
    <w:rsid w:val="00717676"/>
    <w:rsid w:val="00721568"/>
    <w:rsid w:val="0072159F"/>
    <w:rsid w:val="00721A4B"/>
    <w:rsid w:val="0072222D"/>
    <w:rsid w:val="00722DBD"/>
    <w:rsid w:val="00723294"/>
    <w:rsid w:val="007234AD"/>
    <w:rsid w:val="007235AC"/>
    <w:rsid w:val="007251DB"/>
    <w:rsid w:val="007253FC"/>
    <w:rsid w:val="00727F0D"/>
    <w:rsid w:val="007311FF"/>
    <w:rsid w:val="00733C03"/>
    <w:rsid w:val="00735B20"/>
    <w:rsid w:val="00735CF6"/>
    <w:rsid w:val="00735D70"/>
    <w:rsid w:val="00735FC0"/>
    <w:rsid w:val="00736526"/>
    <w:rsid w:val="007365BB"/>
    <w:rsid w:val="00736EF9"/>
    <w:rsid w:val="00736F74"/>
    <w:rsid w:val="00741BFF"/>
    <w:rsid w:val="00742082"/>
    <w:rsid w:val="00742B77"/>
    <w:rsid w:val="00742DEF"/>
    <w:rsid w:val="007434AC"/>
    <w:rsid w:val="00743751"/>
    <w:rsid w:val="00743CB7"/>
    <w:rsid w:val="00744661"/>
    <w:rsid w:val="007454CB"/>
    <w:rsid w:val="0074763E"/>
    <w:rsid w:val="00750B3E"/>
    <w:rsid w:val="007522FF"/>
    <w:rsid w:val="00753831"/>
    <w:rsid w:val="0075424E"/>
    <w:rsid w:val="007546B3"/>
    <w:rsid w:val="0075474B"/>
    <w:rsid w:val="00754E2D"/>
    <w:rsid w:val="00755D21"/>
    <w:rsid w:val="00755D4B"/>
    <w:rsid w:val="00756BF8"/>
    <w:rsid w:val="00760F60"/>
    <w:rsid w:val="00761352"/>
    <w:rsid w:val="0076137E"/>
    <w:rsid w:val="00762B2F"/>
    <w:rsid w:val="007631F6"/>
    <w:rsid w:val="00764472"/>
    <w:rsid w:val="00764893"/>
    <w:rsid w:val="0076717F"/>
    <w:rsid w:val="0076747C"/>
    <w:rsid w:val="007674AC"/>
    <w:rsid w:val="007710EC"/>
    <w:rsid w:val="00771FAD"/>
    <w:rsid w:val="007734D2"/>
    <w:rsid w:val="00773709"/>
    <w:rsid w:val="007739EA"/>
    <w:rsid w:val="00773A6E"/>
    <w:rsid w:val="00773C01"/>
    <w:rsid w:val="00774E33"/>
    <w:rsid w:val="00776152"/>
    <w:rsid w:val="00776D6A"/>
    <w:rsid w:val="00777882"/>
    <w:rsid w:val="00780DA3"/>
    <w:rsid w:val="00783F5A"/>
    <w:rsid w:val="00785CBE"/>
    <w:rsid w:val="007866CE"/>
    <w:rsid w:val="0078672A"/>
    <w:rsid w:val="00787507"/>
    <w:rsid w:val="007879BC"/>
    <w:rsid w:val="007904D2"/>
    <w:rsid w:val="00790B9A"/>
    <w:rsid w:val="007918F9"/>
    <w:rsid w:val="007921FC"/>
    <w:rsid w:val="00793D93"/>
    <w:rsid w:val="00793F93"/>
    <w:rsid w:val="00794234"/>
    <w:rsid w:val="00795CA4"/>
    <w:rsid w:val="007960E6"/>
    <w:rsid w:val="0079611D"/>
    <w:rsid w:val="007961E7"/>
    <w:rsid w:val="007A130A"/>
    <w:rsid w:val="007A17A1"/>
    <w:rsid w:val="007A2641"/>
    <w:rsid w:val="007A2694"/>
    <w:rsid w:val="007A2AC1"/>
    <w:rsid w:val="007A4471"/>
    <w:rsid w:val="007A4665"/>
    <w:rsid w:val="007A4B2B"/>
    <w:rsid w:val="007A4BDD"/>
    <w:rsid w:val="007A6CBD"/>
    <w:rsid w:val="007B1783"/>
    <w:rsid w:val="007B1D02"/>
    <w:rsid w:val="007B25C1"/>
    <w:rsid w:val="007B278D"/>
    <w:rsid w:val="007B29E8"/>
    <w:rsid w:val="007B2A14"/>
    <w:rsid w:val="007B604F"/>
    <w:rsid w:val="007B6F7E"/>
    <w:rsid w:val="007B7216"/>
    <w:rsid w:val="007B747C"/>
    <w:rsid w:val="007C0CC2"/>
    <w:rsid w:val="007C1CE8"/>
    <w:rsid w:val="007C2287"/>
    <w:rsid w:val="007C2F0D"/>
    <w:rsid w:val="007C2F79"/>
    <w:rsid w:val="007C4039"/>
    <w:rsid w:val="007C682F"/>
    <w:rsid w:val="007C6D88"/>
    <w:rsid w:val="007C6FCE"/>
    <w:rsid w:val="007C7ACA"/>
    <w:rsid w:val="007D0422"/>
    <w:rsid w:val="007D0539"/>
    <w:rsid w:val="007D403A"/>
    <w:rsid w:val="007D4566"/>
    <w:rsid w:val="007D4A3B"/>
    <w:rsid w:val="007D52B6"/>
    <w:rsid w:val="007D5965"/>
    <w:rsid w:val="007D5BAA"/>
    <w:rsid w:val="007D730C"/>
    <w:rsid w:val="007D7B69"/>
    <w:rsid w:val="007E051D"/>
    <w:rsid w:val="007E1E08"/>
    <w:rsid w:val="007E1F4C"/>
    <w:rsid w:val="007E2C2E"/>
    <w:rsid w:val="007E2FA8"/>
    <w:rsid w:val="007E31A7"/>
    <w:rsid w:val="007E5040"/>
    <w:rsid w:val="007E6314"/>
    <w:rsid w:val="007E689E"/>
    <w:rsid w:val="007E719F"/>
    <w:rsid w:val="007E774B"/>
    <w:rsid w:val="007E79FB"/>
    <w:rsid w:val="007F14A7"/>
    <w:rsid w:val="007F496E"/>
    <w:rsid w:val="007F60FA"/>
    <w:rsid w:val="007F7E2E"/>
    <w:rsid w:val="007F7E97"/>
    <w:rsid w:val="00801074"/>
    <w:rsid w:val="0080119D"/>
    <w:rsid w:val="00802FAD"/>
    <w:rsid w:val="00803AA9"/>
    <w:rsid w:val="0080404B"/>
    <w:rsid w:val="00804375"/>
    <w:rsid w:val="00805F64"/>
    <w:rsid w:val="008065A2"/>
    <w:rsid w:val="00807F78"/>
    <w:rsid w:val="00810E8C"/>
    <w:rsid w:val="00811582"/>
    <w:rsid w:val="00813B0C"/>
    <w:rsid w:val="008154F2"/>
    <w:rsid w:val="0081567B"/>
    <w:rsid w:val="008166DA"/>
    <w:rsid w:val="00817089"/>
    <w:rsid w:val="00817633"/>
    <w:rsid w:val="00817912"/>
    <w:rsid w:val="00817B29"/>
    <w:rsid w:val="008207D7"/>
    <w:rsid w:val="008207E0"/>
    <w:rsid w:val="00820F1E"/>
    <w:rsid w:val="008226DE"/>
    <w:rsid w:val="008226E4"/>
    <w:rsid w:val="0082494E"/>
    <w:rsid w:val="0082692A"/>
    <w:rsid w:val="0082791B"/>
    <w:rsid w:val="00831172"/>
    <w:rsid w:val="00831966"/>
    <w:rsid w:val="00831DC1"/>
    <w:rsid w:val="00835676"/>
    <w:rsid w:val="00837600"/>
    <w:rsid w:val="008404B8"/>
    <w:rsid w:val="0084082C"/>
    <w:rsid w:val="00840BC8"/>
    <w:rsid w:val="00840F0F"/>
    <w:rsid w:val="008435DC"/>
    <w:rsid w:val="00844405"/>
    <w:rsid w:val="0084529D"/>
    <w:rsid w:val="00845A99"/>
    <w:rsid w:val="00845B50"/>
    <w:rsid w:val="0084668B"/>
    <w:rsid w:val="00846E7B"/>
    <w:rsid w:val="00846FA1"/>
    <w:rsid w:val="008475A0"/>
    <w:rsid w:val="008476E5"/>
    <w:rsid w:val="00847CCE"/>
    <w:rsid w:val="00851234"/>
    <w:rsid w:val="008526BD"/>
    <w:rsid w:val="008534CB"/>
    <w:rsid w:val="008542E0"/>
    <w:rsid w:val="00855398"/>
    <w:rsid w:val="008558B1"/>
    <w:rsid w:val="00856D53"/>
    <w:rsid w:val="00857133"/>
    <w:rsid w:val="00857C67"/>
    <w:rsid w:val="00860D62"/>
    <w:rsid w:val="0086108A"/>
    <w:rsid w:val="0086195F"/>
    <w:rsid w:val="00863772"/>
    <w:rsid w:val="008638E6"/>
    <w:rsid w:val="00864281"/>
    <w:rsid w:val="00864644"/>
    <w:rsid w:val="00865AF1"/>
    <w:rsid w:val="0086610A"/>
    <w:rsid w:val="00866693"/>
    <w:rsid w:val="008675BD"/>
    <w:rsid w:val="008708E6"/>
    <w:rsid w:val="00871B45"/>
    <w:rsid w:val="00871C6B"/>
    <w:rsid w:val="00873D24"/>
    <w:rsid w:val="00876953"/>
    <w:rsid w:val="00876E1C"/>
    <w:rsid w:val="00880503"/>
    <w:rsid w:val="0088057B"/>
    <w:rsid w:val="0088230C"/>
    <w:rsid w:val="0088281D"/>
    <w:rsid w:val="008836EC"/>
    <w:rsid w:val="00883F38"/>
    <w:rsid w:val="00884C21"/>
    <w:rsid w:val="008855FD"/>
    <w:rsid w:val="00886523"/>
    <w:rsid w:val="00887C55"/>
    <w:rsid w:val="00890CB7"/>
    <w:rsid w:val="00892F0F"/>
    <w:rsid w:val="008948B8"/>
    <w:rsid w:val="008957E4"/>
    <w:rsid w:val="00897E3F"/>
    <w:rsid w:val="008A05F1"/>
    <w:rsid w:val="008A1F04"/>
    <w:rsid w:val="008A3319"/>
    <w:rsid w:val="008A45C2"/>
    <w:rsid w:val="008A4FCF"/>
    <w:rsid w:val="008A5095"/>
    <w:rsid w:val="008A564E"/>
    <w:rsid w:val="008A6A5C"/>
    <w:rsid w:val="008B16B1"/>
    <w:rsid w:val="008B18A0"/>
    <w:rsid w:val="008B2939"/>
    <w:rsid w:val="008B4406"/>
    <w:rsid w:val="008B4D8A"/>
    <w:rsid w:val="008B6F91"/>
    <w:rsid w:val="008B72C5"/>
    <w:rsid w:val="008B73EF"/>
    <w:rsid w:val="008B77A2"/>
    <w:rsid w:val="008B7EE2"/>
    <w:rsid w:val="008C2D94"/>
    <w:rsid w:val="008C5100"/>
    <w:rsid w:val="008C5254"/>
    <w:rsid w:val="008D0B7C"/>
    <w:rsid w:val="008D19EE"/>
    <w:rsid w:val="008D1B3E"/>
    <w:rsid w:val="008D2C4C"/>
    <w:rsid w:val="008D2C5F"/>
    <w:rsid w:val="008D337F"/>
    <w:rsid w:val="008D3F8E"/>
    <w:rsid w:val="008D42CE"/>
    <w:rsid w:val="008D5394"/>
    <w:rsid w:val="008D61C2"/>
    <w:rsid w:val="008D68C0"/>
    <w:rsid w:val="008E0B71"/>
    <w:rsid w:val="008E0EF3"/>
    <w:rsid w:val="008E0F66"/>
    <w:rsid w:val="008E1305"/>
    <w:rsid w:val="008E2AB1"/>
    <w:rsid w:val="008E3020"/>
    <w:rsid w:val="008E401B"/>
    <w:rsid w:val="008E479A"/>
    <w:rsid w:val="008E53D8"/>
    <w:rsid w:val="008E5E2E"/>
    <w:rsid w:val="008E66EB"/>
    <w:rsid w:val="008E6819"/>
    <w:rsid w:val="008F00FB"/>
    <w:rsid w:val="008F0462"/>
    <w:rsid w:val="008F05BE"/>
    <w:rsid w:val="008F0645"/>
    <w:rsid w:val="008F3390"/>
    <w:rsid w:val="008F5AAD"/>
    <w:rsid w:val="008F70D7"/>
    <w:rsid w:val="008F71F8"/>
    <w:rsid w:val="008F7F99"/>
    <w:rsid w:val="00900BB1"/>
    <w:rsid w:val="00900EC7"/>
    <w:rsid w:val="00901DF0"/>
    <w:rsid w:val="00903469"/>
    <w:rsid w:val="00905D4C"/>
    <w:rsid w:val="009062CA"/>
    <w:rsid w:val="009104F2"/>
    <w:rsid w:val="0091224D"/>
    <w:rsid w:val="00912954"/>
    <w:rsid w:val="009152AB"/>
    <w:rsid w:val="00917621"/>
    <w:rsid w:val="00917A4E"/>
    <w:rsid w:val="0092056E"/>
    <w:rsid w:val="009218C5"/>
    <w:rsid w:val="0092381B"/>
    <w:rsid w:val="0092428A"/>
    <w:rsid w:val="009246F6"/>
    <w:rsid w:val="0092673D"/>
    <w:rsid w:val="00927513"/>
    <w:rsid w:val="009278B8"/>
    <w:rsid w:val="00932735"/>
    <w:rsid w:val="0093303B"/>
    <w:rsid w:val="00933229"/>
    <w:rsid w:val="00933351"/>
    <w:rsid w:val="009338FE"/>
    <w:rsid w:val="00933A52"/>
    <w:rsid w:val="009362A9"/>
    <w:rsid w:val="00936CCF"/>
    <w:rsid w:val="00936DC1"/>
    <w:rsid w:val="00937260"/>
    <w:rsid w:val="00937847"/>
    <w:rsid w:val="009379C9"/>
    <w:rsid w:val="0094045F"/>
    <w:rsid w:val="009405D4"/>
    <w:rsid w:val="0094083C"/>
    <w:rsid w:val="00941768"/>
    <w:rsid w:val="00942F49"/>
    <w:rsid w:val="00943B70"/>
    <w:rsid w:val="00943E65"/>
    <w:rsid w:val="00944A2E"/>
    <w:rsid w:val="00945086"/>
    <w:rsid w:val="0094700D"/>
    <w:rsid w:val="00947915"/>
    <w:rsid w:val="00947DE9"/>
    <w:rsid w:val="00947F8B"/>
    <w:rsid w:val="009510BE"/>
    <w:rsid w:val="0095251D"/>
    <w:rsid w:val="009527E2"/>
    <w:rsid w:val="009546C6"/>
    <w:rsid w:val="00955669"/>
    <w:rsid w:val="00955AD5"/>
    <w:rsid w:val="00956247"/>
    <w:rsid w:val="00957279"/>
    <w:rsid w:val="00960BA5"/>
    <w:rsid w:val="0096264F"/>
    <w:rsid w:val="00964133"/>
    <w:rsid w:val="009649DD"/>
    <w:rsid w:val="00966E22"/>
    <w:rsid w:val="009670F2"/>
    <w:rsid w:val="00967C2D"/>
    <w:rsid w:val="00970821"/>
    <w:rsid w:val="00970A11"/>
    <w:rsid w:val="00971249"/>
    <w:rsid w:val="009720C9"/>
    <w:rsid w:val="00972A9D"/>
    <w:rsid w:val="009733C7"/>
    <w:rsid w:val="00973C03"/>
    <w:rsid w:val="00974560"/>
    <w:rsid w:val="0097626F"/>
    <w:rsid w:val="009768DC"/>
    <w:rsid w:val="00976C25"/>
    <w:rsid w:val="00976FF7"/>
    <w:rsid w:val="00977637"/>
    <w:rsid w:val="009809B7"/>
    <w:rsid w:val="00981728"/>
    <w:rsid w:val="00982959"/>
    <w:rsid w:val="0098313B"/>
    <w:rsid w:val="009832FC"/>
    <w:rsid w:val="00983C2B"/>
    <w:rsid w:val="00983C7C"/>
    <w:rsid w:val="009850FA"/>
    <w:rsid w:val="009853C1"/>
    <w:rsid w:val="00985E55"/>
    <w:rsid w:val="00986205"/>
    <w:rsid w:val="00986B91"/>
    <w:rsid w:val="0099023B"/>
    <w:rsid w:val="009902D3"/>
    <w:rsid w:val="00990784"/>
    <w:rsid w:val="00990ACC"/>
    <w:rsid w:val="00991338"/>
    <w:rsid w:val="00992E62"/>
    <w:rsid w:val="009931B5"/>
    <w:rsid w:val="0099415A"/>
    <w:rsid w:val="009945C5"/>
    <w:rsid w:val="00995578"/>
    <w:rsid w:val="009956A2"/>
    <w:rsid w:val="00996A83"/>
    <w:rsid w:val="00997A84"/>
    <w:rsid w:val="00997B1C"/>
    <w:rsid w:val="009A19F4"/>
    <w:rsid w:val="009A1A7D"/>
    <w:rsid w:val="009A28D5"/>
    <w:rsid w:val="009A2D95"/>
    <w:rsid w:val="009A51B1"/>
    <w:rsid w:val="009A5CEE"/>
    <w:rsid w:val="009A71A5"/>
    <w:rsid w:val="009A7A49"/>
    <w:rsid w:val="009B0FE7"/>
    <w:rsid w:val="009B1CF4"/>
    <w:rsid w:val="009B24B1"/>
    <w:rsid w:val="009B3BC2"/>
    <w:rsid w:val="009B3BD6"/>
    <w:rsid w:val="009B3E3E"/>
    <w:rsid w:val="009B4833"/>
    <w:rsid w:val="009B562B"/>
    <w:rsid w:val="009B5A57"/>
    <w:rsid w:val="009B5B6F"/>
    <w:rsid w:val="009B680F"/>
    <w:rsid w:val="009B7904"/>
    <w:rsid w:val="009B7EF6"/>
    <w:rsid w:val="009C0F76"/>
    <w:rsid w:val="009C1302"/>
    <w:rsid w:val="009C19B8"/>
    <w:rsid w:val="009C2384"/>
    <w:rsid w:val="009C3139"/>
    <w:rsid w:val="009C3370"/>
    <w:rsid w:val="009C3607"/>
    <w:rsid w:val="009C3BCD"/>
    <w:rsid w:val="009C4BA5"/>
    <w:rsid w:val="009C4D5B"/>
    <w:rsid w:val="009D0D8D"/>
    <w:rsid w:val="009D1E30"/>
    <w:rsid w:val="009D2828"/>
    <w:rsid w:val="009D2FDF"/>
    <w:rsid w:val="009D5312"/>
    <w:rsid w:val="009D5E13"/>
    <w:rsid w:val="009D747F"/>
    <w:rsid w:val="009E00F2"/>
    <w:rsid w:val="009E0DC8"/>
    <w:rsid w:val="009E105C"/>
    <w:rsid w:val="009E1E6B"/>
    <w:rsid w:val="009E3EFC"/>
    <w:rsid w:val="009E6226"/>
    <w:rsid w:val="009E68C4"/>
    <w:rsid w:val="009E6A93"/>
    <w:rsid w:val="009E75C2"/>
    <w:rsid w:val="009E7C2B"/>
    <w:rsid w:val="009F1011"/>
    <w:rsid w:val="009F1206"/>
    <w:rsid w:val="009F12BD"/>
    <w:rsid w:val="009F3364"/>
    <w:rsid w:val="009F5867"/>
    <w:rsid w:val="009F5CD9"/>
    <w:rsid w:val="00A01169"/>
    <w:rsid w:val="00A01391"/>
    <w:rsid w:val="00A01623"/>
    <w:rsid w:val="00A01B8B"/>
    <w:rsid w:val="00A02F8C"/>
    <w:rsid w:val="00A030CA"/>
    <w:rsid w:val="00A03412"/>
    <w:rsid w:val="00A0366B"/>
    <w:rsid w:val="00A03A4C"/>
    <w:rsid w:val="00A03A85"/>
    <w:rsid w:val="00A056A2"/>
    <w:rsid w:val="00A06709"/>
    <w:rsid w:val="00A067A8"/>
    <w:rsid w:val="00A06BE1"/>
    <w:rsid w:val="00A0706D"/>
    <w:rsid w:val="00A1047F"/>
    <w:rsid w:val="00A1063F"/>
    <w:rsid w:val="00A10F5F"/>
    <w:rsid w:val="00A11501"/>
    <w:rsid w:val="00A120B1"/>
    <w:rsid w:val="00A1229D"/>
    <w:rsid w:val="00A146CE"/>
    <w:rsid w:val="00A1502A"/>
    <w:rsid w:val="00A16C5C"/>
    <w:rsid w:val="00A17F1F"/>
    <w:rsid w:val="00A206B2"/>
    <w:rsid w:val="00A220DD"/>
    <w:rsid w:val="00A2354E"/>
    <w:rsid w:val="00A24AC8"/>
    <w:rsid w:val="00A2654C"/>
    <w:rsid w:val="00A2692A"/>
    <w:rsid w:val="00A27115"/>
    <w:rsid w:val="00A272D8"/>
    <w:rsid w:val="00A31057"/>
    <w:rsid w:val="00A31D2F"/>
    <w:rsid w:val="00A32FCB"/>
    <w:rsid w:val="00A34E00"/>
    <w:rsid w:val="00A3737B"/>
    <w:rsid w:val="00A37BF7"/>
    <w:rsid w:val="00A402A9"/>
    <w:rsid w:val="00A410ED"/>
    <w:rsid w:val="00A4162E"/>
    <w:rsid w:val="00A43587"/>
    <w:rsid w:val="00A442E1"/>
    <w:rsid w:val="00A44A70"/>
    <w:rsid w:val="00A44C41"/>
    <w:rsid w:val="00A45FE5"/>
    <w:rsid w:val="00A4601D"/>
    <w:rsid w:val="00A4613E"/>
    <w:rsid w:val="00A46864"/>
    <w:rsid w:val="00A47513"/>
    <w:rsid w:val="00A476B2"/>
    <w:rsid w:val="00A51C8A"/>
    <w:rsid w:val="00A52931"/>
    <w:rsid w:val="00A54528"/>
    <w:rsid w:val="00A54CA3"/>
    <w:rsid w:val="00A568D2"/>
    <w:rsid w:val="00A568DF"/>
    <w:rsid w:val="00A569BA"/>
    <w:rsid w:val="00A576D7"/>
    <w:rsid w:val="00A603B7"/>
    <w:rsid w:val="00A60673"/>
    <w:rsid w:val="00A6093E"/>
    <w:rsid w:val="00A61947"/>
    <w:rsid w:val="00A61D77"/>
    <w:rsid w:val="00A62E0A"/>
    <w:rsid w:val="00A63D2C"/>
    <w:rsid w:val="00A66979"/>
    <w:rsid w:val="00A670BB"/>
    <w:rsid w:val="00A716C6"/>
    <w:rsid w:val="00A71766"/>
    <w:rsid w:val="00A71D45"/>
    <w:rsid w:val="00A71D67"/>
    <w:rsid w:val="00A76E61"/>
    <w:rsid w:val="00A77A7D"/>
    <w:rsid w:val="00A77CD2"/>
    <w:rsid w:val="00A77D14"/>
    <w:rsid w:val="00A77F70"/>
    <w:rsid w:val="00A8023D"/>
    <w:rsid w:val="00A8122A"/>
    <w:rsid w:val="00A81949"/>
    <w:rsid w:val="00A81BE3"/>
    <w:rsid w:val="00A82009"/>
    <w:rsid w:val="00A828E8"/>
    <w:rsid w:val="00A832BC"/>
    <w:rsid w:val="00A83720"/>
    <w:rsid w:val="00A837DB"/>
    <w:rsid w:val="00A840E2"/>
    <w:rsid w:val="00A84A74"/>
    <w:rsid w:val="00A84BEC"/>
    <w:rsid w:val="00A84D26"/>
    <w:rsid w:val="00A853A8"/>
    <w:rsid w:val="00A8550C"/>
    <w:rsid w:val="00A8636B"/>
    <w:rsid w:val="00A90730"/>
    <w:rsid w:val="00A9085B"/>
    <w:rsid w:val="00A90F16"/>
    <w:rsid w:val="00A918F0"/>
    <w:rsid w:val="00A91E42"/>
    <w:rsid w:val="00A944F8"/>
    <w:rsid w:val="00A94EF4"/>
    <w:rsid w:val="00A95966"/>
    <w:rsid w:val="00A96255"/>
    <w:rsid w:val="00A96496"/>
    <w:rsid w:val="00A9754D"/>
    <w:rsid w:val="00AA0E9B"/>
    <w:rsid w:val="00AA118D"/>
    <w:rsid w:val="00AA2111"/>
    <w:rsid w:val="00AA2D5B"/>
    <w:rsid w:val="00AA358F"/>
    <w:rsid w:val="00AA48E3"/>
    <w:rsid w:val="00AA52D9"/>
    <w:rsid w:val="00AA5952"/>
    <w:rsid w:val="00AA5B62"/>
    <w:rsid w:val="00AA5D4B"/>
    <w:rsid w:val="00AA6264"/>
    <w:rsid w:val="00AA6779"/>
    <w:rsid w:val="00AA7597"/>
    <w:rsid w:val="00AA76AE"/>
    <w:rsid w:val="00AB051A"/>
    <w:rsid w:val="00AB18B7"/>
    <w:rsid w:val="00AB23AE"/>
    <w:rsid w:val="00AB36DF"/>
    <w:rsid w:val="00AB53B7"/>
    <w:rsid w:val="00AB6CBE"/>
    <w:rsid w:val="00AB7AD0"/>
    <w:rsid w:val="00AC1C02"/>
    <w:rsid w:val="00AC2407"/>
    <w:rsid w:val="00AC58EC"/>
    <w:rsid w:val="00AC7495"/>
    <w:rsid w:val="00AD0CAB"/>
    <w:rsid w:val="00AD1170"/>
    <w:rsid w:val="00AD24ED"/>
    <w:rsid w:val="00AD2C02"/>
    <w:rsid w:val="00AD3393"/>
    <w:rsid w:val="00AD5992"/>
    <w:rsid w:val="00AD5BCC"/>
    <w:rsid w:val="00AE0A4F"/>
    <w:rsid w:val="00AE0AEF"/>
    <w:rsid w:val="00AE0C87"/>
    <w:rsid w:val="00AE10A6"/>
    <w:rsid w:val="00AE1611"/>
    <w:rsid w:val="00AE1D9C"/>
    <w:rsid w:val="00AE41C3"/>
    <w:rsid w:val="00AE4A97"/>
    <w:rsid w:val="00AE54C4"/>
    <w:rsid w:val="00AE6B06"/>
    <w:rsid w:val="00AE6E78"/>
    <w:rsid w:val="00AE7391"/>
    <w:rsid w:val="00AE780E"/>
    <w:rsid w:val="00AE79B8"/>
    <w:rsid w:val="00AF0C23"/>
    <w:rsid w:val="00AF2399"/>
    <w:rsid w:val="00AF3415"/>
    <w:rsid w:val="00AF3CF7"/>
    <w:rsid w:val="00AF4433"/>
    <w:rsid w:val="00AF5952"/>
    <w:rsid w:val="00AF5BDA"/>
    <w:rsid w:val="00B023C0"/>
    <w:rsid w:val="00B02F63"/>
    <w:rsid w:val="00B0424A"/>
    <w:rsid w:val="00B04638"/>
    <w:rsid w:val="00B05434"/>
    <w:rsid w:val="00B05725"/>
    <w:rsid w:val="00B05B37"/>
    <w:rsid w:val="00B05C60"/>
    <w:rsid w:val="00B0623A"/>
    <w:rsid w:val="00B06AA7"/>
    <w:rsid w:val="00B10FEB"/>
    <w:rsid w:val="00B1175D"/>
    <w:rsid w:val="00B12166"/>
    <w:rsid w:val="00B1252D"/>
    <w:rsid w:val="00B1268F"/>
    <w:rsid w:val="00B12D49"/>
    <w:rsid w:val="00B130A4"/>
    <w:rsid w:val="00B130D6"/>
    <w:rsid w:val="00B14197"/>
    <w:rsid w:val="00B1539B"/>
    <w:rsid w:val="00B15519"/>
    <w:rsid w:val="00B15742"/>
    <w:rsid w:val="00B17791"/>
    <w:rsid w:val="00B17ED3"/>
    <w:rsid w:val="00B202F3"/>
    <w:rsid w:val="00B20DAB"/>
    <w:rsid w:val="00B21821"/>
    <w:rsid w:val="00B2207B"/>
    <w:rsid w:val="00B224FF"/>
    <w:rsid w:val="00B22589"/>
    <w:rsid w:val="00B2354C"/>
    <w:rsid w:val="00B24EBF"/>
    <w:rsid w:val="00B26CDD"/>
    <w:rsid w:val="00B30E44"/>
    <w:rsid w:val="00B30E78"/>
    <w:rsid w:val="00B323C7"/>
    <w:rsid w:val="00B333FC"/>
    <w:rsid w:val="00B350D0"/>
    <w:rsid w:val="00B35272"/>
    <w:rsid w:val="00B35606"/>
    <w:rsid w:val="00B36FA2"/>
    <w:rsid w:val="00B37EA9"/>
    <w:rsid w:val="00B41770"/>
    <w:rsid w:val="00B42187"/>
    <w:rsid w:val="00B42771"/>
    <w:rsid w:val="00B43E14"/>
    <w:rsid w:val="00B43EFE"/>
    <w:rsid w:val="00B44959"/>
    <w:rsid w:val="00B4515E"/>
    <w:rsid w:val="00B45214"/>
    <w:rsid w:val="00B466C5"/>
    <w:rsid w:val="00B46DFC"/>
    <w:rsid w:val="00B47CAB"/>
    <w:rsid w:val="00B516CE"/>
    <w:rsid w:val="00B52AE0"/>
    <w:rsid w:val="00B53EAC"/>
    <w:rsid w:val="00B552BF"/>
    <w:rsid w:val="00B5537A"/>
    <w:rsid w:val="00B55BC4"/>
    <w:rsid w:val="00B56D65"/>
    <w:rsid w:val="00B56F7E"/>
    <w:rsid w:val="00B57092"/>
    <w:rsid w:val="00B5730C"/>
    <w:rsid w:val="00B6010E"/>
    <w:rsid w:val="00B61C26"/>
    <w:rsid w:val="00B62647"/>
    <w:rsid w:val="00B62DB4"/>
    <w:rsid w:val="00B63054"/>
    <w:rsid w:val="00B648FB"/>
    <w:rsid w:val="00B64F75"/>
    <w:rsid w:val="00B66741"/>
    <w:rsid w:val="00B66B5A"/>
    <w:rsid w:val="00B66BB3"/>
    <w:rsid w:val="00B67FA8"/>
    <w:rsid w:val="00B704DD"/>
    <w:rsid w:val="00B704E9"/>
    <w:rsid w:val="00B717A7"/>
    <w:rsid w:val="00B72966"/>
    <w:rsid w:val="00B72F80"/>
    <w:rsid w:val="00B76D47"/>
    <w:rsid w:val="00B777A3"/>
    <w:rsid w:val="00B809D9"/>
    <w:rsid w:val="00B810BE"/>
    <w:rsid w:val="00B81B00"/>
    <w:rsid w:val="00B834F9"/>
    <w:rsid w:val="00B8373D"/>
    <w:rsid w:val="00B8468F"/>
    <w:rsid w:val="00B848A8"/>
    <w:rsid w:val="00B86CD8"/>
    <w:rsid w:val="00B90078"/>
    <w:rsid w:val="00B905F2"/>
    <w:rsid w:val="00B924F6"/>
    <w:rsid w:val="00B93AB5"/>
    <w:rsid w:val="00B93D80"/>
    <w:rsid w:val="00B946DD"/>
    <w:rsid w:val="00B94742"/>
    <w:rsid w:val="00B9495A"/>
    <w:rsid w:val="00B9499E"/>
    <w:rsid w:val="00B94C5E"/>
    <w:rsid w:val="00B967FD"/>
    <w:rsid w:val="00B96B93"/>
    <w:rsid w:val="00B977DB"/>
    <w:rsid w:val="00BA034E"/>
    <w:rsid w:val="00BA0C93"/>
    <w:rsid w:val="00BA29EB"/>
    <w:rsid w:val="00BA2CA6"/>
    <w:rsid w:val="00BA6F3A"/>
    <w:rsid w:val="00BA701E"/>
    <w:rsid w:val="00BB1417"/>
    <w:rsid w:val="00BB26CD"/>
    <w:rsid w:val="00BB43AC"/>
    <w:rsid w:val="00BB5EB8"/>
    <w:rsid w:val="00BB6817"/>
    <w:rsid w:val="00BB6DDB"/>
    <w:rsid w:val="00BB7B0F"/>
    <w:rsid w:val="00BB7C99"/>
    <w:rsid w:val="00BC038E"/>
    <w:rsid w:val="00BC0425"/>
    <w:rsid w:val="00BC0E63"/>
    <w:rsid w:val="00BC154B"/>
    <w:rsid w:val="00BC2316"/>
    <w:rsid w:val="00BC2F29"/>
    <w:rsid w:val="00BC4510"/>
    <w:rsid w:val="00BC6870"/>
    <w:rsid w:val="00BC7328"/>
    <w:rsid w:val="00BD421E"/>
    <w:rsid w:val="00BD5DB5"/>
    <w:rsid w:val="00BD5E0F"/>
    <w:rsid w:val="00BD65EA"/>
    <w:rsid w:val="00BD7729"/>
    <w:rsid w:val="00BD7F9E"/>
    <w:rsid w:val="00BE0F38"/>
    <w:rsid w:val="00BE1E17"/>
    <w:rsid w:val="00BE357B"/>
    <w:rsid w:val="00BE393E"/>
    <w:rsid w:val="00BE431F"/>
    <w:rsid w:val="00BE63EB"/>
    <w:rsid w:val="00BF07DE"/>
    <w:rsid w:val="00BF0F33"/>
    <w:rsid w:val="00BF13DE"/>
    <w:rsid w:val="00BF2483"/>
    <w:rsid w:val="00BF455D"/>
    <w:rsid w:val="00BF5D14"/>
    <w:rsid w:val="00BF77B4"/>
    <w:rsid w:val="00C01F5A"/>
    <w:rsid w:val="00C024AF"/>
    <w:rsid w:val="00C024E3"/>
    <w:rsid w:val="00C037A1"/>
    <w:rsid w:val="00C03D98"/>
    <w:rsid w:val="00C041D9"/>
    <w:rsid w:val="00C054E8"/>
    <w:rsid w:val="00C055BE"/>
    <w:rsid w:val="00C058CE"/>
    <w:rsid w:val="00C06F85"/>
    <w:rsid w:val="00C077EE"/>
    <w:rsid w:val="00C07B92"/>
    <w:rsid w:val="00C1225B"/>
    <w:rsid w:val="00C12835"/>
    <w:rsid w:val="00C14DC8"/>
    <w:rsid w:val="00C15AA8"/>
    <w:rsid w:val="00C15C6C"/>
    <w:rsid w:val="00C16445"/>
    <w:rsid w:val="00C16A08"/>
    <w:rsid w:val="00C16FAF"/>
    <w:rsid w:val="00C17485"/>
    <w:rsid w:val="00C1795E"/>
    <w:rsid w:val="00C17CD9"/>
    <w:rsid w:val="00C2061D"/>
    <w:rsid w:val="00C22177"/>
    <w:rsid w:val="00C23112"/>
    <w:rsid w:val="00C23DFA"/>
    <w:rsid w:val="00C24039"/>
    <w:rsid w:val="00C2560C"/>
    <w:rsid w:val="00C25C7D"/>
    <w:rsid w:val="00C262E4"/>
    <w:rsid w:val="00C271B1"/>
    <w:rsid w:val="00C276FA"/>
    <w:rsid w:val="00C27CB2"/>
    <w:rsid w:val="00C302AB"/>
    <w:rsid w:val="00C309C3"/>
    <w:rsid w:val="00C30A71"/>
    <w:rsid w:val="00C322F9"/>
    <w:rsid w:val="00C34263"/>
    <w:rsid w:val="00C34614"/>
    <w:rsid w:val="00C35F38"/>
    <w:rsid w:val="00C3666A"/>
    <w:rsid w:val="00C36D55"/>
    <w:rsid w:val="00C37B3A"/>
    <w:rsid w:val="00C41A5A"/>
    <w:rsid w:val="00C41C00"/>
    <w:rsid w:val="00C444C7"/>
    <w:rsid w:val="00C44958"/>
    <w:rsid w:val="00C44BCE"/>
    <w:rsid w:val="00C45A7B"/>
    <w:rsid w:val="00C46F99"/>
    <w:rsid w:val="00C47560"/>
    <w:rsid w:val="00C50B07"/>
    <w:rsid w:val="00C51892"/>
    <w:rsid w:val="00C51B73"/>
    <w:rsid w:val="00C523F7"/>
    <w:rsid w:val="00C52761"/>
    <w:rsid w:val="00C52866"/>
    <w:rsid w:val="00C54181"/>
    <w:rsid w:val="00C5428C"/>
    <w:rsid w:val="00C55258"/>
    <w:rsid w:val="00C55D01"/>
    <w:rsid w:val="00C60AAF"/>
    <w:rsid w:val="00C61527"/>
    <w:rsid w:val="00C61FA2"/>
    <w:rsid w:val="00C637ED"/>
    <w:rsid w:val="00C64107"/>
    <w:rsid w:val="00C6527B"/>
    <w:rsid w:val="00C666EE"/>
    <w:rsid w:val="00C66809"/>
    <w:rsid w:val="00C6704B"/>
    <w:rsid w:val="00C677C0"/>
    <w:rsid w:val="00C71021"/>
    <w:rsid w:val="00C718EF"/>
    <w:rsid w:val="00C72EA7"/>
    <w:rsid w:val="00C7466D"/>
    <w:rsid w:val="00C7482C"/>
    <w:rsid w:val="00C74861"/>
    <w:rsid w:val="00C74F65"/>
    <w:rsid w:val="00C75B91"/>
    <w:rsid w:val="00C75CB8"/>
    <w:rsid w:val="00C800A4"/>
    <w:rsid w:val="00C80565"/>
    <w:rsid w:val="00C81C2A"/>
    <w:rsid w:val="00C81D12"/>
    <w:rsid w:val="00C831FB"/>
    <w:rsid w:val="00C8337E"/>
    <w:rsid w:val="00C834C5"/>
    <w:rsid w:val="00C84397"/>
    <w:rsid w:val="00C85760"/>
    <w:rsid w:val="00C85D7A"/>
    <w:rsid w:val="00C8624E"/>
    <w:rsid w:val="00C86714"/>
    <w:rsid w:val="00C8705D"/>
    <w:rsid w:val="00C870FA"/>
    <w:rsid w:val="00C871CC"/>
    <w:rsid w:val="00C87958"/>
    <w:rsid w:val="00C9000C"/>
    <w:rsid w:val="00C903FE"/>
    <w:rsid w:val="00C912D2"/>
    <w:rsid w:val="00C9140E"/>
    <w:rsid w:val="00C91FFA"/>
    <w:rsid w:val="00C92B3D"/>
    <w:rsid w:val="00C9320B"/>
    <w:rsid w:val="00C93567"/>
    <w:rsid w:val="00C9361A"/>
    <w:rsid w:val="00C94056"/>
    <w:rsid w:val="00C94C09"/>
    <w:rsid w:val="00C95225"/>
    <w:rsid w:val="00C954E2"/>
    <w:rsid w:val="00C96306"/>
    <w:rsid w:val="00C975AE"/>
    <w:rsid w:val="00CA003D"/>
    <w:rsid w:val="00CA00E7"/>
    <w:rsid w:val="00CA3390"/>
    <w:rsid w:val="00CA33E1"/>
    <w:rsid w:val="00CA3FA0"/>
    <w:rsid w:val="00CA4CD2"/>
    <w:rsid w:val="00CA4F5D"/>
    <w:rsid w:val="00CA628E"/>
    <w:rsid w:val="00CA678D"/>
    <w:rsid w:val="00CA6DC1"/>
    <w:rsid w:val="00CA788C"/>
    <w:rsid w:val="00CB0174"/>
    <w:rsid w:val="00CB0ED6"/>
    <w:rsid w:val="00CB10A6"/>
    <w:rsid w:val="00CB1A69"/>
    <w:rsid w:val="00CB2491"/>
    <w:rsid w:val="00CB25B1"/>
    <w:rsid w:val="00CB384C"/>
    <w:rsid w:val="00CB3A5C"/>
    <w:rsid w:val="00CB4577"/>
    <w:rsid w:val="00CB457E"/>
    <w:rsid w:val="00CB5CDF"/>
    <w:rsid w:val="00CB651B"/>
    <w:rsid w:val="00CB7F4F"/>
    <w:rsid w:val="00CC0448"/>
    <w:rsid w:val="00CC0C07"/>
    <w:rsid w:val="00CC10F3"/>
    <w:rsid w:val="00CC1584"/>
    <w:rsid w:val="00CC168C"/>
    <w:rsid w:val="00CC279A"/>
    <w:rsid w:val="00CC27A0"/>
    <w:rsid w:val="00CC3FC2"/>
    <w:rsid w:val="00CC521D"/>
    <w:rsid w:val="00CC5284"/>
    <w:rsid w:val="00CC530C"/>
    <w:rsid w:val="00CC6707"/>
    <w:rsid w:val="00CC6B4E"/>
    <w:rsid w:val="00CD0CEC"/>
    <w:rsid w:val="00CD104C"/>
    <w:rsid w:val="00CD269D"/>
    <w:rsid w:val="00CD37D7"/>
    <w:rsid w:val="00CD51BD"/>
    <w:rsid w:val="00CD6199"/>
    <w:rsid w:val="00CD64BE"/>
    <w:rsid w:val="00CD6764"/>
    <w:rsid w:val="00CD7D72"/>
    <w:rsid w:val="00CD7EAD"/>
    <w:rsid w:val="00CD7F49"/>
    <w:rsid w:val="00CE1002"/>
    <w:rsid w:val="00CE114E"/>
    <w:rsid w:val="00CE3AD2"/>
    <w:rsid w:val="00CE5094"/>
    <w:rsid w:val="00CE5C58"/>
    <w:rsid w:val="00CE5DE4"/>
    <w:rsid w:val="00CE786E"/>
    <w:rsid w:val="00CF0394"/>
    <w:rsid w:val="00CF1616"/>
    <w:rsid w:val="00CF4C08"/>
    <w:rsid w:val="00CF5C7C"/>
    <w:rsid w:val="00CF63B3"/>
    <w:rsid w:val="00CF7B57"/>
    <w:rsid w:val="00D006F4"/>
    <w:rsid w:val="00D008C6"/>
    <w:rsid w:val="00D00D3D"/>
    <w:rsid w:val="00D0131B"/>
    <w:rsid w:val="00D02702"/>
    <w:rsid w:val="00D02D25"/>
    <w:rsid w:val="00D034F7"/>
    <w:rsid w:val="00D04E0D"/>
    <w:rsid w:val="00D050C9"/>
    <w:rsid w:val="00D05DC7"/>
    <w:rsid w:val="00D06907"/>
    <w:rsid w:val="00D078AC"/>
    <w:rsid w:val="00D10B3C"/>
    <w:rsid w:val="00D1110B"/>
    <w:rsid w:val="00D111C2"/>
    <w:rsid w:val="00D1147E"/>
    <w:rsid w:val="00D13094"/>
    <w:rsid w:val="00D13FDE"/>
    <w:rsid w:val="00D1503D"/>
    <w:rsid w:val="00D15ACA"/>
    <w:rsid w:val="00D2125D"/>
    <w:rsid w:val="00D22792"/>
    <w:rsid w:val="00D24A6B"/>
    <w:rsid w:val="00D26DD9"/>
    <w:rsid w:val="00D3020C"/>
    <w:rsid w:val="00D30A37"/>
    <w:rsid w:val="00D320D3"/>
    <w:rsid w:val="00D33A1E"/>
    <w:rsid w:val="00D33C75"/>
    <w:rsid w:val="00D34035"/>
    <w:rsid w:val="00D34290"/>
    <w:rsid w:val="00D34470"/>
    <w:rsid w:val="00D35864"/>
    <w:rsid w:val="00D3644A"/>
    <w:rsid w:val="00D36A3B"/>
    <w:rsid w:val="00D36CCD"/>
    <w:rsid w:val="00D3778F"/>
    <w:rsid w:val="00D40279"/>
    <w:rsid w:val="00D413F7"/>
    <w:rsid w:val="00D50915"/>
    <w:rsid w:val="00D514CC"/>
    <w:rsid w:val="00D520F2"/>
    <w:rsid w:val="00D53643"/>
    <w:rsid w:val="00D53973"/>
    <w:rsid w:val="00D53FC8"/>
    <w:rsid w:val="00D5421E"/>
    <w:rsid w:val="00D54421"/>
    <w:rsid w:val="00D54ED3"/>
    <w:rsid w:val="00D55016"/>
    <w:rsid w:val="00D55BE2"/>
    <w:rsid w:val="00D55E90"/>
    <w:rsid w:val="00D57BA2"/>
    <w:rsid w:val="00D60C0C"/>
    <w:rsid w:val="00D60CD1"/>
    <w:rsid w:val="00D60E77"/>
    <w:rsid w:val="00D61328"/>
    <w:rsid w:val="00D62663"/>
    <w:rsid w:val="00D63725"/>
    <w:rsid w:val="00D638D1"/>
    <w:rsid w:val="00D6445F"/>
    <w:rsid w:val="00D65556"/>
    <w:rsid w:val="00D65E81"/>
    <w:rsid w:val="00D67D51"/>
    <w:rsid w:val="00D72167"/>
    <w:rsid w:val="00D72A27"/>
    <w:rsid w:val="00D72AD9"/>
    <w:rsid w:val="00D7339D"/>
    <w:rsid w:val="00D73630"/>
    <w:rsid w:val="00D7380D"/>
    <w:rsid w:val="00D73F48"/>
    <w:rsid w:val="00D73FC2"/>
    <w:rsid w:val="00D74A9F"/>
    <w:rsid w:val="00D74C31"/>
    <w:rsid w:val="00D74D50"/>
    <w:rsid w:val="00D756F2"/>
    <w:rsid w:val="00D75C20"/>
    <w:rsid w:val="00D76905"/>
    <w:rsid w:val="00D77464"/>
    <w:rsid w:val="00D8011F"/>
    <w:rsid w:val="00D80673"/>
    <w:rsid w:val="00D80A58"/>
    <w:rsid w:val="00D80EDD"/>
    <w:rsid w:val="00D81397"/>
    <w:rsid w:val="00D823E2"/>
    <w:rsid w:val="00D82E31"/>
    <w:rsid w:val="00D87833"/>
    <w:rsid w:val="00D91A66"/>
    <w:rsid w:val="00D92439"/>
    <w:rsid w:val="00D93199"/>
    <w:rsid w:val="00D94FD5"/>
    <w:rsid w:val="00D95780"/>
    <w:rsid w:val="00D96DE2"/>
    <w:rsid w:val="00D9715F"/>
    <w:rsid w:val="00DA0DD1"/>
    <w:rsid w:val="00DA121E"/>
    <w:rsid w:val="00DA3074"/>
    <w:rsid w:val="00DA347D"/>
    <w:rsid w:val="00DA3829"/>
    <w:rsid w:val="00DA4390"/>
    <w:rsid w:val="00DA580E"/>
    <w:rsid w:val="00DA5DC3"/>
    <w:rsid w:val="00DA611D"/>
    <w:rsid w:val="00DB099C"/>
    <w:rsid w:val="00DB0A67"/>
    <w:rsid w:val="00DB0AB7"/>
    <w:rsid w:val="00DB19D1"/>
    <w:rsid w:val="00DB2DA0"/>
    <w:rsid w:val="00DB454B"/>
    <w:rsid w:val="00DB4841"/>
    <w:rsid w:val="00DB5935"/>
    <w:rsid w:val="00DB73FA"/>
    <w:rsid w:val="00DB7679"/>
    <w:rsid w:val="00DC052A"/>
    <w:rsid w:val="00DC0B0A"/>
    <w:rsid w:val="00DC0E49"/>
    <w:rsid w:val="00DC2FE8"/>
    <w:rsid w:val="00DC4977"/>
    <w:rsid w:val="00DC4BA1"/>
    <w:rsid w:val="00DC6817"/>
    <w:rsid w:val="00DC6B0C"/>
    <w:rsid w:val="00DC6E1B"/>
    <w:rsid w:val="00DC7188"/>
    <w:rsid w:val="00DC793D"/>
    <w:rsid w:val="00DD0C46"/>
    <w:rsid w:val="00DD19AF"/>
    <w:rsid w:val="00DD1E1B"/>
    <w:rsid w:val="00DD1ED7"/>
    <w:rsid w:val="00DD1FF7"/>
    <w:rsid w:val="00DD49AF"/>
    <w:rsid w:val="00DD5CC4"/>
    <w:rsid w:val="00DD5D7B"/>
    <w:rsid w:val="00DD64A6"/>
    <w:rsid w:val="00DD7C0C"/>
    <w:rsid w:val="00DE0756"/>
    <w:rsid w:val="00DE1357"/>
    <w:rsid w:val="00DE2D71"/>
    <w:rsid w:val="00DE2DA2"/>
    <w:rsid w:val="00DE3556"/>
    <w:rsid w:val="00DE35F4"/>
    <w:rsid w:val="00DE4687"/>
    <w:rsid w:val="00DE5E1B"/>
    <w:rsid w:val="00DE66DF"/>
    <w:rsid w:val="00DF011A"/>
    <w:rsid w:val="00DF092C"/>
    <w:rsid w:val="00DF12C5"/>
    <w:rsid w:val="00DF1303"/>
    <w:rsid w:val="00DF1A39"/>
    <w:rsid w:val="00DF2817"/>
    <w:rsid w:val="00DF30CD"/>
    <w:rsid w:val="00DF3120"/>
    <w:rsid w:val="00DF37AA"/>
    <w:rsid w:val="00DF3837"/>
    <w:rsid w:val="00DF4F8E"/>
    <w:rsid w:val="00DF5156"/>
    <w:rsid w:val="00DF66AE"/>
    <w:rsid w:val="00DF7671"/>
    <w:rsid w:val="00E002CB"/>
    <w:rsid w:val="00E01D8D"/>
    <w:rsid w:val="00E0563F"/>
    <w:rsid w:val="00E06408"/>
    <w:rsid w:val="00E06DE6"/>
    <w:rsid w:val="00E0708C"/>
    <w:rsid w:val="00E1159D"/>
    <w:rsid w:val="00E11686"/>
    <w:rsid w:val="00E11D09"/>
    <w:rsid w:val="00E11FBC"/>
    <w:rsid w:val="00E12529"/>
    <w:rsid w:val="00E13450"/>
    <w:rsid w:val="00E14A5F"/>
    <w:rsid w:val="00E17C4E"/>
    <w:rsid w:val="00E20820"/>
    <w:rsid w:val="00E21C98"/>
    <w:rsid w:val="00E225E4"/>
    <w:rsid w:val="00E22792"/>
    <w:rsid w:val="00E22B3C"/>
    <w:rsid w:val="00E23687"/>
    <w:rsid w:val="00E23BB8"/>
    <w:rsid w:val="00E23C46"/>
    <w:rsid w:val="00E24009"/>
    <w:rsid w:val="00E24452"/>
    <w:rsid w:val="00E25208"/>
    <w:rsid w:val="00E25F81"/>
    <w:rsid w:val="00E26ED8"/>
    <w:rsid w:val="00E270BB"/>
    <w:rsid w:val="00E27ECB"/>
    <w:rsid w:val="00E305F1"/>
    <w:rsid w:val="00E306CF"/>
    <w:rsid w:val="00E30B84"/>
    <w:rsid w:val="00E32396"/>
    <w:rsid w:val="00E32AF4"/>
    <w:rsid w:val="00E342B4"/>
    <w:rsid w:val="00E349B2"/>
    <w:rsid w:val="00E34B8E"/>
    <w:rsid w:val="00E36832"/>
    <w:rsid w:val="00E36A83"/>
    <w:rsid w:val="00E36D3D"/>
    <w:rsid w:val="00E406AE"/>
    <w:rsid w:val="00E40E54"/>
    <w:rsid w:val="00E40FE9"/>
    <w:rsid w:val="00E4121E"/>
    <w:rsid w:val="00E41ABD"/>
    <w:rsid w:val="00E41FB8"/>
    <w:rsid w:val="00E42D73"/>
    <w:rsid w:val="00E44156"/>
    <w:rsid w:val="00E4424B"/>
    <w:rsid w:val="00E44276"/>
    <w:rsid w:val="00E45140"/>
    <w:rsid w:val="00E47D89"/>
    <w:rsid w:val="00E47E89"/>
    <w:rsid w:val="00E52F0A"/>
    <w:rsid w:val="00E53213"/>
    <w:rsid w:val="00E5348A"/>
    <w:rsid w:val="00E54167"/>
    <w:rsid w:val="00E54C13"/>
    <w:rsid w:val="00E604EA"/>
    <w:rsid w:val="00E60F7A"/>
    <w:rsid w:val="00E61232"/>
    <w:rsid w:val="00E61E2C"/>
    <w:rsid w:val="00E629A9"/>
    <w:rsid w:val="00E62D5E"/>
    <w:rsid w:val="00E636A6"/>
    <w:rsid w:val="00E7203B"/>
    <w:rsid w:val="00E72D03"/>
    <w:rsid w:val="00E72D21"/>
    <w:rsid w:val="00E72F69"/>
    <w:rsid w:val="00E73267"/>
    <w:rsid w:val="00E749D8"/>
    <w:rsid w:val="00E75497"/>
    <w:rsid w:val="00E75EC5"/>
    <w:rsid w:val="00E760BD"/>
    <w:rsid w:val="00E77720"/>
    <w:rsid w:val="00E778F6"/>
    <w:rsid w:val="00E808A3"/>
    <w:rsid w:val="00E80F9E"/>
    <w:rsid w:val="00E833AF"/>
    <w:rsid w:val="00E8381A"/>
    <w:rsid w:val="00E84484"/>
    <w:rsid w:val="00E87C03"/>
    <w:rsid w:val="00E905B0"/>
    <w:rsid w:val="00E90A06"/>
    <w:rsid w:val="00E91F1F"/>
    <w:rsid w:val="00E92B66"/>
    <w:rsid w:val="00E92C25"/>
    <w:rsid w:val="00E93C87"/>
    <w:rsid w:val="00E93F43"/>
    <w:rsid w:val="00E94089"/>
    <w:rsid w:val="00E94D6B"/>
    <w:rsid w:val="00E950B8"/>
    <w:rsid w:val="00E96EF4"/>
    <w:rsid w:val="00E972C4"/>
    <w:rsid w:val="00E9738D"/>
    <w:rsid w:val="00E97807"/>
    <w:rsid w:val="00E97E54"/>
    <w:rsid w:val="00EA2249"/>
    <w:rsid w:val="00EA2399"/>
    <w:rsid w:val="00EA4BF4"/>
    <w:rsid w:val="00EA4E6A"/>
    <w:rsid w:val="00EA51B5"/>
    <w:rsid w:val="00EA63E0"/>
    <w:rsid w:val="00EA647D"/>
    <w:rsid w:val="00EA6930"/>
    <w:rsid w:val="00EB177C"/>
    <w:rsid w:val="00EB2D15"/>
    <w:rsid w:val="00EB4098"/>
    <w:rsid w:val="00EB5144"/>
    <w:rsid w:val="00EB5738"/>
    <w:rsid w:val="00EC2267"/>
    <w:rsid w:val="00EC5059"/>
    <w:rsid w:val="00EC5D67"/>
    <w:rsid w:val="00EC6096"/>
    <w:rsid w:val="00EC6E0E"/>
    <w:rsid w:val="00EC797E"/>
    <w:rsid w:val="00EC79AE"/>
    <w:rsid w:val="00ED0BA6"/>
    <w:rsid w:val="00ED234B"/>
    <w:rsid w:val="00ED3116"/>
    <w:rsid w:val="00ED3B29"/>
    <w:rsid w:val="00ED4CCE"/>
    <w:rsid w:val="00ED4DCD"/>
    <w:rsid w:val="00ED52E1"/>
    <w:rsid w:val="00ED5AD8"/>
    <w:rsid w:val="00ED7026"/>
    <w:rsid w:val="00ED7E32"/>
    <w:rsid w:val="00EE0796"/>
    <w:rsid w:val="00EE1D15"/>
    <w:rsid w:val="00EE1F49"/>
    <w:rsid w:val="00EE3141"/>
    <w:rsid w:val="00EE34E1"/>
    <w:rsid w:val="00EE3BC6"/>
    <w:rsid w:val="00EE3F14"/>
    <w:rsid w:val="00EE409F"/>
    <w:rsid w:val="00EE4B50"/>
    <w:rsid w:val="00EE5046"/>
    <w:rsid w:val="00EE6740"/>
    <w:rsid w:val="00EE69CD"/>
    <w:rsid w:val="00EF0F15"/>
    <w:rsid w:val="00EF12B7"/>
    <w:rsid w:val="00EF48C2"/>
    <w:rsid w:val="00EF4A0D"/>
    <w:rsid w:val="00EF4EE9"/>
    <w:rsid w:val="00EF5E3F"/>
    <w:rsid w:val="00EF6371"/>
    <w:rsid w:val="00EF64D6"/>
    <w:rsid w:val="00EF6893"/>
    <w:rsid w:val="00EF6AEE"/>
    <w:rsid w:val="00EF7115"/>
    <w:rsid w:val="00EF74DD"/>
    <w:rsid w:val="00EF7550"/>
    <w:rsid w:val="00EF7B80"/>
    <w:rsid w:val="00F01144"/>
    <w:rsid w:val="00F01156"/>
    <w:rsid w:val="00F0150C"/>
    <w:rsid w:val="00F0375C"/>
    <w:rsid w:val="00F03C05"/>
    <w:rsid w:val="00F03E82"/>
    <w:rsid w:val="00F044C6"/>
    <w:rsid w:val="00F0471D"/>
    <w:rsid w:val="00F07C43"/>
    <w:rsid w:val="00F07E0C"/>
    <w:rsid w:val="00F07E8D"/>
    <w:rsid w:val="00F108F4"/>
    <w:rsid w:val="00F1136B"/>
    <w:rsid w:val="00F12AA2"/>
    <w:rsid w:val="00F12E5C"/>
    <w:rsid w:val="00F1463C"/>
    <w:rsid w:val="00F14D17"/>
    <w:rsid w:val="00F15668"/>
    <w:rsid w:val="00F16A6F"/>
    <w:rsid w:val="00F17588"/>
    <w:rsid w:val="00F2000F"/>
    <w:rsid w:val="00F2153D"/>
    <w:rsid w:val="00F21698"/>
    <w:rsid w:val="00F237A4"/>
    <w:rsid w:val="00F24003"/>
    <w:rsid w:val="00F24082"/>
    <w:rsid w:val="00F2497A"/>
    <w:rsid w:val="00F2709F"/>
    <w:rsid w:val="00F2729E"/>
    <w:rsid w:val="00F30312"/>
    <w:rsid w:val="00F30D64"/>
    <w:rsid w:val="00F312A2"/>
    <w:rsid w:val="00F319BE"/>
    <w:rsid w:val="00F332F2"/>
    <w:rsid w:val="00F33566"/>
    <w:rsid w:val="00F3386A"/>
    <w:rsid w:val="00F370C6"/>
    <w:rsid w:val="00F40BE0"/>
    <w:rsid w:val="00F41E02"/>
    <w:rsid w:val="00F425E1"/>
    <w:rsid w:val="00F43559"/>
    <w:rsid w:val="00F43766"/>
    <w:rsid w:val="00F43FA4"/>
    <w:rsid w:val="00F44573"/>
    <w:rsid w:val="00F44C4A"/>
    <w:rsid w:val="00F45768"/>
    <w:rsid w:val="00F463B8"/>
    <w:rsid w:val="00F4772C"/>
    <w:rsid w:val="00F47EC8"/>
    <w:rsid w:val="00F501D6"/>
    <w:rsid w:val="00F50861"/>
    <w:rsid w:val="00F50E25"/>
    <w:rsid w:val="00F50E45"/>
    <w:rsid w:val="00F51A24"/>
    <w:rsid w:val="00F53394"/>
    <w:rsid w:val="00F5402A"/>
    <w:rsid w:val="00F574B2"/>
    <w:rsid w:val="00F60131"/>
    <w:rsid w:val="00F60943"/>
    <w:rsid w:val="00F6224D"/>
    <w:rsid w:val="00F6251C"/>
    <w:rsid w:val="00F6349E"/>
    <w:rsid w:val="00F65490"/>
    <w:rsid w:val="00F65686"/>
    <w:rsid w:val="00F65FD6"/>
    <w:rsid w:val="00F66DAE"/>
    <w:rsid w:val="00F72F87"/>
    <w:rsid w:val="00F730BB"/>
    <w:rsid w:val="00F74933"/>
    <w:rsid w:val="00F7589B"/>
    <w:rsid w:val="00F76FD0"/>
    <w:rsid w:val="00F77314"/>
    <w:rsid w:val="00F77D6B"/>
    <w:rsid w:val="00F77E77"/>
    <w:rsid w:val="00F8183A"/>
    <w:rsid w:val="00F83D61"/>
    <w:rsid w:val="00F85BE9"/>
    <w:rsid w:val="00F86076"/>
    <w:rsid w:val="00F87557"/>
    <w:rsid w:val="00F87D7B"/>
    <w:rsid w:val="00F87FAA"/>
    <w:rsid w:val="00F905CE"/>
    <w:rsid w:val="00F90A63"/>
    <w:rsid w:val="00F90B2C"/>
    <w:rsid w:val="00F91E9F"/>
    <w:rsid w:val="00F92FBD"/>
    <w:rsid w:val="00F93471"/>
    <w:rsid w:val="00F9363D"/>
    <w:rsid w:val="00F93DAA"/>
    <w:rsid w:val="00F95074"/>
    <w:rsid w:val="00F96726"/>
    <w:rsid w:val="00F97E55"/>
    <w:rsid w:val="00FA0B78"/>
    <w:rsid w:val="00FA1611"/>
    <w:rsid w:val="00FA16AE"/>
    <w:rsid w:val="00FA1C0F"/>
    <w:rsid w:val="00FA21A0"/>
    <w:rsid w:val="00FA21DC"/>
    <w:rsid w:val="00FA6B04"/>
    <w:rsid w:val="00FA7016"/>
    <w:rsid w:val="00FA723B"/>
    <w:rsid w:val="00FB0B85"/>
    <w:rsid w:val="00FB1294"/>
    <w:rsid w:val="00FB221C"/>
    <w:rsid w:val="00FB24BA"/>
    <w:rsid w:val="00FB2EE4"/>
    <w:rsid w:val="00FB2FEA"/>
    <w:rsid w:val="00FB3C36"/>
    <w:rsid w:val="00FB405A"/>
    <w:rsid w:val="00FB4893"/>
    <w:rsid w:val="00FB5FB5"/>
    <w:rsid w:val="00FB6007"/>
    <w:rsid w:val="00FB679E"/>
    <w:rsid w:val="00FB6EB3"/>
    <w:rsid w:val="00FC0886"/>
    <w:rsid w:val="00FC0D56"/>
    <w:rsid w:val="00FC0E39"/>
    <w:rsid w:val="00FC2448"/>
    <w:rsid w:val="00FC2FEE"/>
    <w:rsid w:val="00FC41BA"/>
    <w:rsid w:val="00FC47AA"/>
    <w:rsid w:val="00FD039B"/>
    <w:rsid w:val="00FD0590"/>
    <w:rsid w:val="00FD0E6B"/>
    <w:rsid w:val="00FD2856"/>
    <w:rsid w:val="00FD2C55"/>
    <w:rsid w:val="00FD30B1"/>
    <w:rsid w:val="00FD4853"/>
    <w:rsid w:val="00FD51BC"/>
    <w:rsid w:val="00FD5E16"/>
    <w:rsid w:val="00FD5E98"/>
    <w:rsid w:val="00FD6C35"/>
    <w:rsid w:val="00FD6C43"/>
    <w:rsid w:val="00FD708A"/>
    <w:rsid w:val="00FD76CB"/>
    <w:rsid w:val="00FD786F"/>
    <w:rsid w:val="00FD78B8"/>
    <w:rsid w:val="00FD7F71"/>
    <w:rsid w:val="00FE0C88"/>
    <w:rsid w:val="00FE1198"/>
    <w:rsid w:val="00FE131C"/>
    <w:rsid w:val="00FE1E00"/>
    <w:rsid w:val="00FE1E2A"/>
    <w:rsid w:val="00FE25CE"/>
    <w:rsid w:val="00FE262A"/>
    <w:rsid w:val="00FE3C5E"/>
    <w:rsid w:val="00FE471F"/>
    <w:rsid w:val="00FE63E1"/>
    <w:rsid w:val="00FE71FB"/>
    <w:rsid w:val="00FF0A40"/>
    <w:rsid w:val="00FF0F18"/>
    <w:rsid w:val="00FF18C9"/>
    <w:rsid w:val="00FF1DF1"/>
    <w:rsid w:val="00FF3AEE"/>
    <w:rsid w:val="00FF3C4B"/>
    <w:rsid w:val="00FF43C9"/>
    <w:rsid w:val="00FF4B9D"/>
    <w:rsid w:val="00FF5216"/>
    <w:rsid w:val="00FF5DB4"/>
    <w:rsid w:val="00FF6413"/>
    <w:rsid w:val="00FF798E"/>
    <w:rsid w:val="00FF7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4CDEC171-4362-476D-8336-6DCB6422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831"/>
    <w:pPr>
      <w:spacing w:before="200" w:after="0"/>
    </w:pPr>
  </w:style>
  <w:style w:type="paragraph" w:styleId="Heading1">
    <w:name w:val="heading 1"/>
    <w:basedOn w:val="Normal"/>
    <w:next w:val="Normal"/>
    <w:link w:val="Heading1Char"/>
    <w:uiPriority w:val="9"/>
    <w:qFormat/>
    <w:rsid w:val="00D73630"/>
    <w:pPr>
      <w:keepNext/>
      <w:numPr>
        <w:numId w:val="2"/>
      </w:numPr>
      <w:outlineLvl w:val="0"/>
    </w:pPr>
    <w:rPr>
      <w:rFonts w:eastAsiaTheme="majorEastAsia"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D04E0D"/>
    <w:pPr>
      <w:keepNext/>
      <w:keepLines/>
      <w:numPr>
        <w:ilvl w:val="1"/>
        <w:numId w:val="2"/>
      </w:numP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F3364"/>
    <w:pPr>
      <w:keepNext/>
      <w:keepLines/>
      <w:outlineLvl w:val="2"/>
    </w:pPr>
    <w:rPr>
      <w:rFonts w:eastAsiaTheme="majorEastAsia" w:cstheme="majorBidi"/>
      <w:bCs/>
      <w:i/>
      <w:color w:val="000000" w:themeColor="text1"/>
    </w:rPr>
  </w:style>
  <w:style w:type="paragraph" w:styleId="Heading4">
    <w:name w:val="heading 4"/>
    <w:basedOn w:val="Normal"/>
    <w:next w:val="Normal"/>
    <w:link w:val="Heading4Char"/>
    <w:uiPriority w:val="9"/>
    <w:unhideWhenUsed/>
    <w:qFormat/>
    <w:rsid w:val="009F3364"/>
    <w:pPr>
      <w:keepNext/>
      <w:keepLines/>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937847"/>
    <w:pPr>
      <w:keepNext/>
      <w:keepLines/>
      <w:numPr>
        <w:ilvl w:val="4"/>
        <w:numId w:val="1"/>
      </w:numPr>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37847"/>
    <w:pPr>
      <w:keepNext/>
      <w:keepLines/>
      <w:numPr>
        <w:ilvl w:val="5"/>
        <w:numId w:val="1"/>
      </w:numPr>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37847"/>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7847"/>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37847"/>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630"/>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rsid w:val="00D04E0D"/>
    <w:rPr>
      <w:rFonts w:eastAsiaTheme="majorEastAsia" w:cstheme="majorBidi"/>
      <w:b/>
      <w:bCs/>
      <w:sz w:val="24"/>
      <w:szCs w:val="26"/>
    </w:rPr>
  </w:style>
  <w:style w:type="character" w:customStyle="1" w:styleId="Heading3Char">
    <w:name w:val="Heading 3 Char"/>
    <w:basedOn w:val="DefaultParagraphFont"/>
    <w:link w:val="Heading3"/>
    <w:uiPriority w:val="9"/>
    <w:rsid w:val="009F3364"/>
    <w:rPr>
      <w:rFonts w:ascii="Arial" w:eastAsiaTheme="majorEastAsia" w:hAnsi="Arial" w:cstheme="majorBidi"/>
      <w:bCs/>
      <w:i/>
      <w:color w:val="000000" w:themeColor="text1"/>
    </w:rPr>
  </w:style>
  <w:style w:type="character" w:customStyle="1" w:styleId="Heading4Char">
    <w:name w:val="Heading 4 Char"/>
    <w:basedOn w:val="DefaultParagraphFont"/>
    <w:link w:val="Heading4"/>
    <w:uiPriority w:val="9"/>
    <w:rsid w:val="009F3364"/>
    <w:rPr>
      <w:rFonts w:ascii="Arial" w:eastAsiaTheme="majorEastAsia" w:hAnsi="Arial" w:cstheme="majorBidi"/>
      <w:bCs/>
      <w:i/>
      <w:iCs/>
    </w:rPr>
  </w:style>
  <w:style w:type="character" w:customStyle="1" w:styleId="Heading5Char">
    <w:name w:val="Heading 5 Char"/>
    <w:basedOn w:val="DefaultParagraphFont"/>
    <w:link w:val="Heading5"/>
    <w:uiPriority w:val="9"/>
    <w:semiHidden/>
    <w:rsid w:val="009378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378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378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784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3784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D4826"/>
    <w:pPr>
      <w:numPr>
        <w:numId w:val="8"/>
      </w:numPr>
      <w:spacing w:before="80"/>
    </w:pPr>
  </w:style>
  <w:style w:type="paragraph" w:customStyle="1" w:styleId="AppendixHeading1">
    <w:name w:val="Appendix Heading 1"/>
    <w:basedOn w:val="Normal"/>
    <w:qFormat/>
    <w:rsid w:val="00C14DC8"/>
    <w:pPr>
      <w:numPr>
        <w:numId w:val="3"/>
      </w:numPr>
    </w:pPr>
    <w:rPr>
      <w:b/>
      <w:sz w:val="30"/>
    </w:rPr>
  </w:style>
  <w:style w:type="paragraph" w:customStyle="1" w:styleId="AppendixHeading2">
    <w:name w:val="Appendix Heading 2"/>
    <w:basedOn w:val="Normal"/>
    <w:qFormat/>
    <w:rsid w:val="00C14DC8"/>
    <w:pPr>
      <w:numPr>
        <w:ilvl w:val="1"/>
        <w:numId w:val="3"/>
      </w:numPr>
      <w:spacing w:before="240" w:after="240"/>
    </w:pPr>
    <w:rPr>
      <w:b/>
      <w:sz w:val="24"/>
    </w:rPr>
  </w:style>
  <w:style w:type="paragraph" w:customStyle="1" w:styleId="AppendixHeading3">
    <w:name w:val="Appendix Heading 3"/>
    <w:basedOn w:val="Normal"/>
    <w:qFormat/>
    <w:rsid w:val="00C14DC8"/>
    <w:pPr>
      <w:numPr>
        <w:ilvl w:val="2"/>
        <w:numId w:val="3"/>
      </w:numPr>
      <w:spacing w:before="240" w:after="240"/>
    </w:pPr>
    <w:rPr>
      <w:i/>
    </w:rPr>
  </w:style>
  <w:style w:type="paragraph" w:styleId="TOCHeading">
    <w:name w:val="TOC Heading"/>
    <w:basedOn w:val="Heading1"/>
    <w:next w:val="Normal"/>
    <w:uiPriority w:val="39"/>
    <w:semiHidden/>
    <w:unhideWhenUsed/>
    <w:qFormat/>
    <w:rsid w:val="00C14DC8"/>
    <w:pPr>
      <w:keepLines/>
      <w:numPr>
        <w:numId w:val="0"/>
      </w:numPr>
      <w:spacing w:before="480"/>
      <w:outlineLvl w:val="9"/>
    </w:pPr>
    <w:rPr>
      <w:rFonts w:asciiTheme="majorHAnsi" w:hAnsiTheme="majorHAnsi"/>
      <w:sz w:val="28"/>
      <w:lang w:val="en-US"/>
    </w:rPr>
  </w:style>
  <w:style w:type="paragraph" w:styleId="TOC1">
    <w:name w:val="toc 1"/>
    <w:basedOn w:val="Normal"/>
    <w:next w:val="Normal"/>
    <w:autoRedefine/>
    <w:uiPriority w:val="39"/>
    <w:unhideWhenUsed/>
    <w:rsid w:val="009062CA"/>
    <w:pPr>
      <w:tabs>
        <w:tab w:val="left" w:pos="440"/>
        <w:tab w:val="right" w:leader="dot" w:pos="9060"/>
      </w:tabs>
      <w:spacing w:before="120"/>
    </w:pPr>
    <w:rPr>
      <w:b/>
      <w:color w:val="365F91" w:themeColor="accent1" w:themeShade="BF"/>
    </w:rPr>
  </w:style>
  <w:style w:type="paragraph" w:styleId="TOC2">
    <w:name w:val="toc 2"/>
    <w:basedOn w:val="Normal"/>
    <w:next w:val="Normal"/>
    <w:autoRedefine/>
    <w:uiPriority w:val="39"/>
    <w:unhideWhenUsed/>
    <w:rsid w:val="009062CA"/>
    <w:pPr>
      <w:tabs>
        <w:tab w:val="left" w:pos="993"/>
        <w:tab w:val="right" w:leader="dot" w:pos="9060"/>
      </w:tabs>
      <w:spacing w:before="120" w:after="60"/>
      <w:ind w:left="992" w:hanging="567"/>
    </w:pPr>
    <w:rPr>
      <w:noProof/>
    </w:rPr>
  </w:style>
  <w:style w:type="paragraph" w:styleId="TOC3">
    <w:name w:val="toc 3"/>
    <w:basedOn w:val="Normal"/>
    <w:next w:val="Normal"/>
    <w:autoRedefine/>
    <w:uiPriority w:val="39"/>
    <w:unhideWhenUsed/>
    <w:rsid w:val="00C14DC8"/>
    <w:pPr>
      <w:spacing w:after="100"/>
      <w:ind w:left="440"/>
    </w:pPr>
  </w:style>
  <w:style w:type="character" w:styleId="Hyperlink">
    <w:name w:val="Hyperlink"/>
    <w:basedOn w:val="DefaultParagraphFont"/>
    <w:uiPriority w:val="99"/>
    <w:unhideWhenUsed/>
    <w:rsid w:val="00C14DC8"/>
    <w:rPr>
      <w:color w:val="0000FF" w:themeColor="hyperlink"/>
      <w:u w:val="single"/>
    </w:rPr>
  </w:style>
  <w:style w:type="paragraph" w:styleId="BalloonText">
    <w:name w:val="Balloon Text"/>
    <w:basedOn w:val="Normal"/>
    <w:link w:val="BalloonTextChar"/>
    <w:uiPriority w:val="99"/>
    <w:semiHidden/>
    <w:unhideWhenUsed/>
    <w:rsid w:val="00C14DC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DC8"/>
    <w:rPr>
      <w:rFonts w:ascii="Tahoma" w:hAnsi="Tahoma" w:cs="Tahoma"/>
      <w:sz w:val="16"/>
      <w:szCs w:val="16"/>
    </w:rPr>
  </w:style>
  <w:style w:type="paragraph" w:customStyle="1" w:styleId="ContentsHeadingOther">
    <w:name w:val="Contents Heading (+Other)"/>
    <w:basedOn w:val="Normal"/>
    <w:next w:val="Normal"/>
    <w:qFormat/>
    <w:rsid w:val="00D60C0C"/>
    <w:pPr>
      <w:spacing w:before="360" w:after="240"/>
      <w:jc w:val="center"/>
    </w:pPr>
    <w:rPr>
      <w:b/>
      <w:sz w:val="32"/>
    </w:rPr>
  </w:style>
  <w:style w:type="table" w:styleId="TableGrid">
    <w:name w:val="Table Grid"/>
    <w:basedOn w:val="TableNormal"/>
    <w:uiPriority w:val="59"/>
    <w:rsid w:val="008F0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1">
    <w:name w:val="Table Normal1"/>
    <w:qFormat/>
    <w:rsid w:val="005D1E36"/>
    <w:pPr>
      <w:keepNext/>
      <w:widowControl w:val="0"/>
      <w:spacing w:before="60" w:after="60" w:line="240" w:lineRule="auto"/>
    </w:pPr>
    <w:rPr>
      <w:rFonts w:ascii="Arial" w:hAnsi="Arial"/>
      <w:sz w:val="20"/>
    </w:rPr>
  </w:style>
  <w:style w:type="paragraph" w:styleId="Caption">
    <w:name w:val="caption"/>
    <w:basedOn w:val="Normal"/>
    <w:next w:val="Normal"/>
    <w:unhideWhenUsed/>
    <w:qFormat/>
    <w:rsid w:val="00C903FE"/>
    <w:pPr>
      <w:spacing w:before="240" w:line="240" w:lineRule="auto"/>
    </w:pPr>
    <w:rPr>
      <w:bCs/>
      <w:color w:val="365F91" w:themeColor="accent1" w:themeShade="BF"/>
      <w:szCs w:val="18"/>
    </w:rPr>
  </w:style>
  <w:style w:type="character" w:styleId="CommentReference">
    <w:name w:val="annotation reference"/>
    <w:basedOn w:val="DefaultParagraphFont"/>
    <w:uiPriority w:val="99"/>
    <w:semiHidden/>
    <w:unhideWhenUsed/>
    <w:rsid w:val="00FA21DC"/>
    <w:rPr>
      <w:sz w:val="16"/>
      <w:szCs w:val="16"/>
    </w:rPr>
  </w:style>
  <w:style w:type="paragraph" w:styleId="CommentText">
    <w:name w:val="annotation text"/>
    <w:basedOn w:val="Normal"/>
    <w:link w:val="CommentTextChar"/>
    <w:uiPriority w:val="99"/>
    <w:semiHidden/>
    <w:unhideWhenUsed/>
    <w:rsid w:val="00FA21DC"/>
    <w:pPr>
      <w:spacing w:line="240" w:lineRule="auto"/>
    </w:pPr>
    <w:rPr>
      <w:sz w:val="20"/>
      <w:szCs w:val="20"/>
    </w:rPr>
  </w:style>
  <w:style w:type="character" w:customStyle="1" w:styleId="CommentTextChar">
    <w:name w:val="Comment Text Char"/>
    <w:basedOn w:val="DefaultParagraphFont"/>
    <w:link w:val="CommentText"/>
    <w:uiPriority w:val="99"/>
    <w:semiHidden/>
    <w:rsid w:val="00FA21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A21DC"/>
    <w:rPr>
      <w:b/>
      <w:bCs/>
    </w:rPr>
  </w:style>
  <w:style w:type="character" w:customStyle="1" w:styleId="CommentSubjectChar">
    <w:name w:val="Comment Subject Char"/>
    <w:basedOn w:val="CommentTextChar"/>
    <w:link w:val="CommentSubject"/>
    <w:uiPriority w:val="99"/>
    <w:semiHidden/>
    <w:rsid w:val="00FA21DC"/>
    <w:rPr>
      <w:rFonts w:ascii="Arial" w:hAnsi="Arial"/>
      <w:b/>
      <w:bCs/>
      <w:sz w:val="20"/>
      <w:szCs w:val="20"/>
    </w:rPr>
  </w:style>
  <w:style w:type="paragraph" w:customStyle="1" w:styleId="PlainText1">
    <w:name w:val="Plain Text1"/>
    <w:basedOn w:val="Normal"/>
    <w:rsid w:val="0072222D"/>
    <w:pPr>
      <w:spacing w:before="0" w:line="240" w:lineRule="auto"/>
    </w:pPr>
    <w:rPr>
      <w:rFonts w:ascii="Georgia" w:eastAsia="Times New Roman" w:hAnsi="Georgia" w:cs="Times New Roman"/>
      <w:sz w:val="24"/>
      <w:szCs w:val="20"/>
      <w:lang w:eastAsia="en-AU"/>
    </w:rPr>
  </w:style>
  <w:style w:type="paragraph" w:customStyle="1" w:styleId="CopyrightNoticeHeading">
    <w:name w:val="Copyright Notice Heading"/>
    <w:basedOn w:val="Normal"/>
    <w:rsid w:val="0072222D"/>
    <w:pPr>
      <w:spacing w:before="0" w:line="240" w:lineRule="atLeast"/>
    </w:pPr>
    <w:rPr>
      <w:rFonts w:eastAsia="Times New Roman" w:cs="Times New Roman"/>
      <w:b/>
      <w:snapToGrid w:val="0"/>
      <w:color w:val="000000"/>
      <w:sz w:val="24"/>
      <w:szCs w:val="20"/>
      <w:lang w:eastAsia="en-AU"/>
    </w:rPr>
  </w:style>
  <w:style w:type="paragraph" w:styleId="Header">
    <w:name w:val="header"/>
    <w:basedOn w:val="Normal"/>
    <w:link w:val="HeaderChar"/>
    <w:uiPriority w:val="99"/>
    <w:unhideWhenUsed/>
    <w:rsid w:val="0044629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46294"/>
    <w:rPr>
      <w:rFonts w:ascii="Arial" w:hAnsi="Arial"/>
    </w:rPr>
  </w:style>
  <w:style w:type="paragraph" w:styleId="Footer">
    <w:name w:val="footer"/>
    <w:basedOn w:val="Normal"/>
    <w:link w:val="FooterChar"/>
    <w:uiPriority w:val="99"/>
    <w:unhideWhenUsed/>
    <w:rsid w:val="0044629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46294"/>
    <w:rPr>
      <w:rFonts w:ascii="Arial" w:hAnsi="Arial"/>
    </w:rPr>
  </w:style>
  <w:style w:type="character" w:styleId="PageNumber">
    <w:name w:val="page number"/>
    <w:basedOn w:val="DefaultParagraphFont"/>
    <w:rsid w:val="00EC79AE"/>
  </w:style>
  <w:style w:type="paragraph" w:customStyle="1" w:styleId="LetterList">
    <w:name w:val="Letter List"/>
    <w:basedOn w:val="Normal"/>
    <w:qFormat/>
    <w:rsid w:val="007234AD"/>
    <w:pPr>
      <w:numPr>
        <w:numId w:val="6"/>
      </w:numPr>
    </w:pPr>
  </w:style>
  <w:style w:type="paragraph" w:customStyle="1" w:styleId="Plaintext-appendicesetc">
    <w:name w:val="Plain text - appendices etc"/>
    <w:basedOn w:val="PlainText1"/>
    <w:rsid w:val="00D60C0C"/>
    <w:rPr>
      <w:sz w:val="22"/>
    </w:rPr>
  </w:style>
  <w:style w:type="paragraph" w:customStyle="1" w:styleId="Reference">
    <w:name w:val="Reference"/>
    <w:basedOn w:val="Plaintext-appendicesetc"/>
    <w:qFormat/>
    <w:rsid w:val="00D60C0C"/>
    <w:pPr>
      <w:spacing w:before="120" w:after="120"/>
      <w:ind w:left="425" w:hanging="425"/>
    </w:pPr>
    <w:rPr>
      <w:rFonts w:ascii="Arial" w:hAnsi="Arial"/>
    </w:rPr>
  </w:style>
  <w:style w:type="paragraph" w:styleId="List">
    <w:name w:val="List"/>
    <w:basedOn w:val="Normal"/>
    <w:uiPriority w:val="99"/>
    <w:unhideWhenUsed/>
    <w:rsid w:val="00507067"/>
    <w:pPr>
      <w:ind w:left="283" w:hanging="283"/>
      <w:contextualSpacing/>
    </w:pPr>
  </w:style>
  <w:style w:type="paragraph" w:styleId="ListNumber">
    <w:name w:val="List Number"/>
    <w:basedOn w:val="Normal"/>
    <w:uiPriority w:val="99"/>
    <w:unhideWhenUsed/>
    <w:rsid w:val="00507067"/>
    <w:pPr>
      <w:numPr>
        <w:numId w:val="4"/>
      </w:numPr>
      <w:contextualSpacing/>
    </w:pPr>
  </w:style>
  <w:style w:type="paragraph" w:styleId="List2">
    <w:name w:val="List 2"/>
    <w:basedOn w:val="Normal"/>
    <w:uiPriority w:val="99"/>
    <w:unhideWhenUsed/>
    <w:rsid w:val="00507067"/>
    <w:pPr>
      <w:ind w:left="566" w:hanging="283"/>
      <w:contextualSpacing/>
    </w:pPr>
  </w:style>
  <w:style w:type="numbering" w:customStyle="1" w:styleId="ListLetter">
    <w:name w:val="List Letter"/>
    <w:basedOn w:val="NoList"/>
    <w:uiPriority w:val="99"/>
    <w:rsid w:val="00507067"/>
    <w:pPr>
      <w:numPr>
        <w:numId w:val="5"/>
      </w:numPr>
    </w:pPr>
  </w:style>
  <w:style w:type="paragraph" w:customStyle="1" w:styleId="RPSTitle">
    <w:name w:val="RPS Title"/>
    <w:basedOn w:val="Normal"/>
    <w:next w:val="Title"/>
    <w:rsid w:val="00314148"/>
    <w:pPr>
      <w:spacing w:before="0" w:line="240" w:lineRule="auto"/>
      <w:jc w:val="right"/>
    </w:pPr>
    <w:rPr>
      <w:rFonts w:ascii="Arial Black" w:eastAsia="Times New Roman" w:hAnsi="Arial Black" w:cs="Times New Roman"/>
      <w:sz w:val="48"/>
      <w:szCs w:val="20"/>
    </w:rPr>
  </w:style>
  <w:style w:type="paragraph" w:styleId="Title">
    <w:name w:val="Title"/>
    <w:basedOn w:val="Normal"/>
    <w:link w:val="TitleChar"/>
    <w:qFormat/>
    <w:rsid w:val="00314148"/>
    <w:pPr>
      <w:spacing w:before="240" w:after="60" w:line="240" w:lineRule="auto"/>
      <w:jc w:val="center"/>
      <w:outlineLvl w:val="0"/>
    </w:pPr>
    <w:rPr>
      <w:rFonts w:eastAsia="Times New Roman" w:cs="Times New Roman"/>
      <w:b/>
      <w:kern w:val="28"/>
      <w:sz w:val="32"/>
      <w:szCs w:val="20"/>
    </w:rPr>
  </w:style>
  <w:style w:type="character" w:customStyle="1" w:styleId="TitleChar">
    <w:name w:val="Title Char"/>
    <w:basedOn w:val="DefaultParagraphFont"/>
    <w:link w:val="Title"/>
    <w:rsid w:val="00314148"/>
    <w:rPr>
      <w:rFonts w:ascii="Arial" w:eastAsia="Times New Roman" w:hAnsi="Arial" w:cs="Times New Roman"/>
      <w:b/>
      <w:kern w:val="28"/>
      <w:sz w:val="32"/>
      <w:szCs w:val="20"/>
    </w:rPr>
  </w:style>
  <w:style w:type="paragraph" w:customStyle="1" w:styleId="RPSTitlePubNo">
    <w:name w:val="RPS Title Pub No"/>
    <w:basedOn w:val="Normal"/>
    <w:rsid w:val="00314148"/>
    <w:pPr>
      <w:spacing w:before="0" w:line="240" w:lineRule="auto"/>
      <w:jc w:val="right"/>
    </w:pPr>
    <w:rPr>
      <w:rFonts w:ascii="Arial Black" w:eastAsia="Times New Roman" w:hAnsi="Arial Black" w:cs="Times New Roman"/>
      <w:sz w:val="32"/>
      <w:szCs w:val="20"/>
    </w:rPr>
  </w:style>
  <w:style w:type="paragraph" w:customStyle="1" w:styleId="RPSTitlePageText">
    <w:name w:val="RPS Title Page Text"/>
    <w:basedOn w:val="Normal"/>
    <w:rsid w:val="00314148"/>
    <w:pPr>
      <w:spacing w:before="0" w:line="240" w:lineRule="auto"/>
      <w:jc w:val="right"/>
    </w:pPr>
    <w:rPr>
      <w:rFonts w:ascii="Georgia" w:eastAsia="Times New Roman" w:hAnsi="Georgia" w:cs="Times New Roman"/>
      <w:sz w:val="24"/>
      <w:szCs w:val="20"/>
    </w:rPr>
  </w:style>
  <w:style w:type="paragraph" w:customStyle="1" w:styleId="RPSContentsHeading">
    <w:name w:val="RPS Contents Heading"/>
    <w:basedOn w:val="Normal"/>
    <w:rsid w:val="00314148"/>
    <w:pPr>
      <w:spacing w:before="0" w:line="240" w:lineRule="auto"/>
    </w:pPr>
    <w:rPr>
      <w:rFonts w:ascii="Georgia" w:eastAsia="Times New Roman" w:hAnsi="Georgia" w:cs="Times New Roman"/>
      <w:b/>
      <w:sz w:val="36"/>
      <w:szCs w:val="20"/>
    </w:rPr>
  </w:style>
  <w:style w:type="paragraph" w:styleId="NormalWeb">
    <w:name w:val="Normal (Web)"/>
    <w:basedOn w:val="Normal"/>
    <w:uiPriority w:val="99"/>
    <w:semiHidden/>
    <w:unhideWhenUsed/>
    <w:rsid w:val="003437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P3184330">
    <w:name w:val="SP.3.184330"/>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paragraph" w:customStyle="1" w:styleId="SP3184325">
    <w:name w:val="SP.3.184325"/>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character" w:customStyle="1" w:styleId="SC3176190">
    <w:name w:val="SC.3.176190"/>
    <w:uiPriority w:val="99"/>
    <w:rsid w:val="0080404B"/>
    <w:rPr>
      <w:color w:val="000000"/>
      <w:sz w:val="21"/>
      <w:szCs w:val="21"/>
    </w:rPr>
  </w:style>
  <w:style w:type="paragraph" w:customStyle="1" w:styleId="SP3184332">
    <w:name w:val="SP.3.184332"/>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character" w:customStyle="1" w:styleId="SC3176141">
    <w:name w:val="SC.3.176141"/>
    <w:uiPriority w:val="99"/>
    <w:rsid w:val="0080404B"/>
    <w:rPr>
      <w:color w:val="000000"/>
      <w:sz w:val="18"/>
      <w:szCs w:val="18"/>
    </w:rPr>
  </w:style>
  <w:style w:type="paragraph" w:customStyle="1" w:styleId="SP3184371">
    <w:name w:val="SP.3.184371"/>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paragraph" w:customStyle="1" w:styleId="Figurenormal">
    <w:name w:val="Figure normal"/>
    <w:basedOn w:val="Normal"/>
    <w:qFormat/>
    <w:rsid w:val="006D5CFD"/>
    <w:pPr>
      <w:spacing w:before="60" w:after="60" w:line="240" w:lineRule="auto"/>
      <w:jc w:val="center"/>
    </w:pPr>
    <w:rPr>
      <w:sz w:val="20"/>
    </w:rPr>
  </w:style>
  <w:style w:type="paragraph" w:styleId="Revision">
    <w:name w:val="Revision"/>
    <w:hidden/>
    <w:uiPriority w:val="99"/>
    <w:semiHidden/>
    <w:rsid w:val="001E4F88"/>
    <w:pPr>
      <w:spacing w:after="0" w:line="240" w:lineRule="auto"/>
    </w:pPr>
    <w:rPr>
      <w:rFonts w:ascii="Arial" w:hAnsi="Arial"/>
    </w:rPr>
  </w:style>
  <w:style w:type="character" w:styleId="FollowedHyperlink">
    <w:name w:val="FollowedHyperlink"/>
    <w:basedOn w:val="DefaultParagraphFont"/>
    <w:uiPriority w:val="99"/>
    <w:semiHidden/>
    <w:unhideWhenUsed/>
    <w:rsid w:val="0042419F"/>
    <w:rPr>
      <w:color w:val="800080" w:themeColor="followedHyperlink"/>
      <w:u w:val="single"/>
    </w:rPr>
  </w:style>
  <w:style w:type="paragraph" w:customStyle="1" w:styleId="SP3184321">
    <w:name w:val="SP.3.184321"/>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paragraph" w:customStyle="1" w:styleId="SP3184324">
    <w:name w:val="SP.3.184324"/>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paragraph" w:customStyle="1" w:styleId="SP3184326">
    <w:name w:val="SP.3.184326"/>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paragraph" w:customStyle="1" w:styleId="SP3184334">
    <w:name w:val="SP.3.184334"/>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character" w:customStyle="1" w:styleId="SC3176191">
    <w:name w:val="SC.3.176191"/>
    <w:uiPriority w:val="99"/>
    <w:rsid w:val="00D24A6B"/>
    <w:rPr>
      <w:color w:val="000000"/>
      <w:sz w:val="12"/>
      <w:szCs w:val="12"/>
    </w:rPr>
  </w:style>
  <w:style w:type="character" w:customStyle="1" w:styleId="SC3176196">
    <w:name w:val="SC.3.176196"/>
    <w:uiPriority w:val="99"/>
    <w:rsid w:val="00D24A6B"/>
    <w:rPr>
      <w:color w:val="000000"/>
      <w:sz w:val="13"/>
      <w:szCs w:val="13"/>
    </w:rPr>
  </w:style>
  <w:style w:type="paragraph" w:customStyle="1" w:styleId="SP3184346">
    <w:name w:val="SP.3.184346"/>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paragraph" w:customStyle="1" w:styleId="SP3184348">
    <w:name w:val="SP.3.184348"/>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paragraph" w:customStyle="1" w:styleId="SP3184347">
    <w:name w:val="SP.3.184347"/>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character" w:customStyle="1" w:styleId="SC3176189">
    <w:name w:val="SC.3.176189"/>
    <w:uiPriority w:val="99"/>
    <w:rsid w:val="003F1600"/>
    <w:rPr>
      <w:color w:val="000000"/>
      <w:sz w:val="21"/>
      <w:szCs w:val="21"/>
    </w:rPr>
  </w:style>
  <w:style w:type="paragraph" w:customStyle="1" w:styleId="SP3184364">
    <w:name w:val="SP.3.184364"/>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character" w:customStyle="1" w:styleId="SC3176209">
    <w:name w:val="SC.3.176209"/>
    <w:uiPriority w:val="99"/>
    <w:rsid w:val="00AE0AEF"/>
    <w:rPr>
      <w:b/>
      <w:bCs/>
      <w:color w:val="000000"/>
      <w:sz w:val="25"/>
      <w:szCs w:val="25"/>
    </w:rPr>
  </w:style>
  <w:style w:type="character" w:customStyle="1" w:styleId="SC3176199">
    <w:name w:val="SC.3.176199"/>
    <w:uiPriority w:val="99"/>
    <w:rsid w:val="00AE0AEF"/>
    <w:rPr>
      <w:color w:val="000000"/>
      <w:sz w:val="13"/>
      <w:szCs w:val="13"/>
    </w:rPr>
  </w:style>
  <w:style w:type="paragraph" w:customStyle="1" w:styleId="SP3184333">
    <w:name w:val="SP.3.184333"/>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paragraph" w:styleId="FootnoteText">
    <w:name w:val="footnote text"/>
    <w:basedOn w:val="Normal"/>
    <w:link w:val="FootnoteTextChar"/>
    <w:uiPriority w:val="99"/>
    <w:unhideWhenUsed/>
    <w:rsid w:val="00DC6817"/>
    <w:pPr>
      <w:spacing w:before="0" w:line="240" w:lineRule="auto"/>
    </w:pPr>
    <w:rPr>
      <w:sz w:val="20"/>
      <w:szCs w:val="20"/>
    </w:rPr>
  </w:style>
  <w:style w:type="character" w:customStyle="1" w:styleId="FootnoteTextChar">
    <w:name w:val="Footnote Text Char"/>
    <w:basedOn w:val="DefaultParagraphFont"/>
    <w:link w:val="FootnoteText"/>
    <w:uiPriority w:val="99"/>
    <w:rsid w:val="00DC6817"/>
    <w:rPr>
      <w:rFonts w:ascii="Arial" w:hAnsi="Arial"/>
      <w:sz w:val="20"/>
      <w:szCs w:val="20"/>
    </w:rPr>
  </w:style>
  <w:style w:type="character" w:styleId="FootnoteReference">
    <w:name w:val="footnote reference"/>
    <w:basedOn w:val="DefaultParagraphFont"/>
    <w:uiPriority w:val="99"/>
    <w:semiHidden/>
    <w:unhideWhenUsed/>
    <w:rsid w:val="00DC6817"/>
    <w:rPr>
      <w:vertAlign w:val="superscript"/>
    </w:rPr>
  </w:style>
  <w:style w:type="paragraph" w:styleId="TOC4">
    <w:name w:val="toc 4"/>
    <w:basedOn w:val="Normal"/>
    <w:next w:val="Normal"/>
    <w:autoRedefine/>
    <w:uiPriority w:val="39"/>
    <w:unhideWhenUsed/>
    <w:rsid w:val="0021189E"/>
    <w:pPr>
      <w:spacing w:after="100"/>
      <w:ind w:left="660"/>
    </w:pPr>
  </w:style>
  <w:style w:type="paragraph" w:customStyle="1" w:styleId="SP3184322">
    <w:name w:val="SP.3.184322"/>
    <w:basedOn w:val="Normal"/>
    <w:uiPriority w:val="99"/>
    <w:rsid w:val="00DF66AE"/>
    <w:pPr>
      <w:autoSpaceDE w:val="0"/>
      <w:autoSpaceDN w:val="0"/>
      <w:adjustRightInd w:val="0"/>
      <w:spacing w:before="0" w:line="240" w:lineRule="auto"/>
    </w:pPr>
    <w:rPr>
      <w:rFonts w:ascii="Times New Roman" w:hAnsi="Times New Roman" w:cs="Times New Roman"/>
      <w:sz w:val="24"/>
      <w:szCs w:val="24"/>
    </w:rPr>
  </w:style>
  <w:style w:type="paragraph" w:customStyle="1" w:styleId="RPSSchedAnnexTextCharChar">
    <w:name w:val="RPS Sched/Annex Text Char Char"/>
    <w:basedOn w:val="Normal"/>
    <w:next w:val="Normal"/>
    <w:uiPriority w:val="99"/>
    <w:rsid w:val="00D55E90"/>
    <w:pPr>
      <w:autoSpaceDE w:val="0"/>
      <w:autoSpaceDN w:val="0"/>
      <w:adjustRightInd w:val="0"/>
      <w:spacing w:before="0" w:line="240" w:lineRule="auto"/>
    </w:pPr>
    <w:rPr>
      <w:rFonts w:ascii="Georgia" w:hAnsi="Georgia"/>
      <w:sz w:val="24"/>
      <w:szCs w:val="24"/>
    </w:rPr>
  </w:style>
  <w:style w:type="character" w:customStyle="1" w:styleId="st1">
    <w:name w:val="st1"/>
    <w:basedOn w:val="DefaultParagraphFont"/>
    <w:rsid w:val="00705069"/>
  </w:style>
  <w:style w:type="table" w:customStyle="1" w:styleId="TableGrid1">
    <w:name w:val="Table Grid1"/>
    <w:basedOn w:val="TableNormal"/>
    <w:next w:val="TableGrid"/>
    <w:uiPriority w:val="59"/>
    <w:rsid w:val="00AC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D5E1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9D5E13"/>
    <w:rPr>
      <w:rFonts w:ascii="Arial" w:hAnsi="Arial"/>
      <w:sz w:val="20"/>
      <w:szCs w:val="20"/>
    </w:rPr>
  </w:style>
  <w:style w:type="character" w:styleId="EndnoteReference">
    <w:name w:val="endnote reference"/>
    <w:basedOn w:val="DefaultParagraphFont"/>
    <w:uiPriority w:val="99"/>
    <w:semiHidden/>
    <w:unhideWhenUsed/>
    <w:rsid w:val="009D5E13"/>
    <w:rPr>
      <w:vertAlign w:val="superscript"/>
    </w:rPr>
  </w:style>
  <w:style w:type="paragraph" w:styleId="Bibliography">
    <w:name w:val="Bibliography"/>
    <w:basedOn w:val="Normal"/>
    <w:next w:val="Normal"/>
    <w:uiPriority w:val="37"/>
    <w:unhideWhenUsed/>
    <w:rsid w:val="009D5E13"/>
  </w:style>
  <w:style w:type="character" w:styleId="Emphasis">
    <w:name w:val="Emphasis"/>
    <w:basedOn w:val="DefaultParagraphFont"/>
    <w:uiPriority w:val="20"/>
    <w:qFormat/>
    <w:rsid w:val="0044243B"/>
    <w:rPr>
      <w:i/>
      <w:iCs/>
    </w:rPr>
  </w:style>
  <w:style w:type="paragraph" w:styleId="NoSpacing">
    <w:name w:val="No Spacing"/>
    <w:link w:val="NoSpacingChar"/>
    <w:uiPriority w:val="1"/>
    <w:qFormat/>
    <w:rsid w:val="00504538"/>
    <w:pPr>
      <w:spacing w:after="0" w:line="240" w:lineRule="auto"/>
    </w:pPr>
    <w:rPr>
      <w:rFonts w:ascii="Calibri" w:eastAsia="Calibri" w:hAnsi="Calibri" w:cs="Times New Roman"/>
    </w:rPr>
  </w:style>
  <w:style w:type="character" w:customStyle="1" w:styleId="normalchar">
    <w:name w:val="normal_char"/>
    <w:basedOn w:val="DefaultParagraphFont"/>
    <w:uiPriority w:val="99"/>
    <w:rsid w:val="00082368"/>
    <w:rPr>
      <w:rFonts w:ascii="Times New Roman" w:hAnsi="Times New Roman" w:cs="Times New Roman" w:hint="default"/>
      <w:color w:val="auto"/>
    </w:rPr>
  </w:style>
  <w:style w:type="paragraph" w:styleId="TOC5">
    <w:name w:val="toc 5"/>
    <w:basedOn w:val="Normal"/>
    <w:next w:val="Normal"/>
    <w:autoRedefine/>
    <w:uiPriority w:val="39"/>
    <w:unhideWhenUsed/>
    <w:rsid w:val="00B05434"/>
    <w:pPr>
      <w:spacing w:before="0" w:after="100"/>
      <w:ind w:left="880"/>
    </w:pPr>
    <w:rPr>
      <w:rFonts w:eastAsiaTheme="minorEastAsia"/>
      <w:lang w:eastAsia="en-AU"/>
    </w:rPr>
  </w:style>
  <w:style w:type="paragraph" w:styleId="TOC6">
    <w:name w:val="toc 6"/>
    <w:basedOn w:val="Normal"/>
    <w:next w:val="Normal"/>
    <w:autoRedefine/>
    <w:uiPriority w:val="39"/>
    <w:unhideWhenUsed/>
    <w:rsid w:val="00B05434"/>
    <w:pPr>
      <w:spacing w:before="0" w:after="100"/>
      <w:ind w:left="1100"/>
    </w:pPr>
    <w:rPr>
      <w:rFonts w:eastAsiaTheme="minorEastAsia"/>
      <w:lang w:eastAsia="en-AU"/>
    </w:rPr>
  </w:style>
  <w:style w:type="paragraph" w:styleId="TOC7">
    <w:name w:val="toc 7"/>
    <w:basedOn w:val="Normal"/>
    <w:next w:val="Normal"/>
    <w:autoRedefine/>
    <w:uiPriority w:val="39"/>
    <w:unhideWhenUsed/>
    <w:rsid w:val="00B05434"/>
    <w:pPr>
      <w:spacing w:before="0" w:after="100"/>
      <w:ind w:left="1320"/>
    </w:pPr>
    <w:rPr>
      <w:rFonts w:eastAsiaTheme="minorEastAsia"/>
      <w:lang w:eastAsia="en-AU"/>
    </w:rPr>
  </w:style>
  <w:style w:type="paragraph" w:styleId="TOC8">
    <w:name w:val="toc 8"/>
    <w:basedOn w:val="Normal"/>
    <w:next w:val="Normal"/>
    <w:autoRedefine/>
    <w:uiPriority w:val="39"/>
    <w:unhideWhenUsed/>
    <w:rsid w:val="00B05434"/>
    <w:pPr>
      <w:spacing w:before="0" w:after="100"/>
      <w:ind w:left="1540"/>
    </w:pPr>
    <w:rPr>
      <w:rFonts w:eastAsiaTheme="minorEastAsia"/>
      <w:lang w:eastAsia="en-AU"/>
    </w:rPr>
  </w:style>
  <w:style w:type="paragraph" w:styleId="TOC9">
    <w:name w:val="toc 9"/>
    <w:basedOn w:val="Normal"/>
    <w:next w:val="Normal"/>
    <w:autoRedefine/>
    <w:uiPriority w:val="39"/>
    <w:unhideWhenUsed/>
    <w:rsid w:val="00B05434"/>
    <w:pPr>
      <w:spacing w:before="0" w:after="100"/>
      <w:ind w:left="1760"/>
    </w:pPr>
    <w:rPr>
      <w:rFonts w:eastAsiaTheme="minorEastAsia"/>
      <w:lang w:eastAsia="en-AU"/>
    </w:rPr>
  </w:style>
  <w:style w:type="character" w:customStyle="1" w:styleId="srch-url">
    <w:name w:val="srch-url"/>
    <w:basedOn w:val="DefaultParagraphFont"/>
    <w:rsid w:val="001F6DD8"/>
  </w:style>
  <w:style w:type="paragraph" w:customStyle="1" w:styleId="SupplementaryMaterial">
    <w:name w:val="Supplementary Material"/>
    <w:basedOn w:val="ContentsHeadingOther"/>
    <w:qFormat/>
    <w:rsid w:val="000B2705"/>
    <w:pPr>
      <w:jc w:val="left"/>
    </w:pPr>
  </w:style>
  <w:style w:type="paragraph" w:customStyle="1" w:styleId="NumberLevel1">
    <w:name w:val="Number Level 1"/>
    <w:basedOn w:val="Normal"/>
    <w:link w:val="NumberLevel1Char"/>
    <w:rsid w:val="008D0B7C"/>
    <w:pPr>
      <w:numPr>
        <w:numId w:val="7"/>
      </w:numPr>
      <w:spacing w:before="140" w:after="140" w:line="280" w:lineRule="atLeast"/>
    </w:pPr>
    <w:rPr>
      <w:rFonts w:eastAsia="Times New Roman" w:cs="Arial"/>
      <w:lang w:eastAsia="en-AU"/>
    </w:rPr>
  </w:style>
  <w:style w:type="paragraph" w:customStyle="1" w:styleId="NumberLevel2">
    <w:name w:val="Number Level 2"/>
    <w:basedOn w:val="Normal"/>
    <w:rsid w:val="008D0B7C"/>
    <w:pPr>
      <w:numPr>
        <w:ilvl w:val="1"/>
        <w:numId w:val="7"/>
      </w:numPr>
      <w:spacing w:before="140" w:after="140" w:line="280" w:lineRule="atLeast"/>
    </w:pPr>
    <w:rPr>
      <w:rFonts w:eastAsia="Times New Roman" w:cs="Arial"/>
      <w:lang w:eastAsia="en-AU"/>
    </w:rPr>
  </w:style>
  <w:style w:type="paragraph" w:customStyle="1" w:styleId="NumberLevel3">
    <w:name w:val="Number Level 3"/>
    <w:basedOn w:val="Normal"/>
    <w:rsid w:val="008D0B7C"/>
    <w:pPr>
      <w:numPr>
        <w:ilvl w:val="2"/>
        <w:numId w:val="7"/>
      </w:numPr>
      <w:spacing w:before="140" w:after="140" w:line="280" w:lineRule="atLeast"/>
    </w:pPr>
    <w:rPr>
      <w:rFonts w:eastAsia="Times New Roman" w:cs="Arial"/>
      <w:lang w:eastAsia="en-AU"/>
    </w:rPr>
  </w:style>
  <w:style w:type="paragraph" w:customStyle="1" w:styleId="NumberLevel4">
    <w:name w:val="Number Level 4"/>
    <w:basedOn w:val="Normal"/>
    <w:rsid w:val="008D0B7C"/>
    <w:pPr>
      <w:numPr>
        <w:ilvl w:val="3"/>
        <w:numId w:val="7"/>
      </w:numPr>
      <w:spacing w:before="0" w:after="140" w:line="280" w:lineRule="atLeast"/>
    </w:pPr>
    <w:rPr>
      <w:rFonts w:eastAsia="Times New Roman" w:cs="Arial"/>
      <w:lang w:eastAsia="en-AU"/>
    </w:rPr>
  </w:style>
  <w:style w:type="paragraph" w:customStyle="1" w:styleId="NumberLevel5">
    <w:name w:val="Number Level 5"/>
    <w:basedOn w:val="Normal"/>
    <w:semiHidden/>
    <w:rsid w:val="008D0B7C"/>
    <w:pPr>
      <w:numPr>
        <w:ilvl w:val="4"/>
        <w:numId w:val="7"/>
      </w:numPr>
      <w:spacing w:before="0" w:after="140" w:line="280" w:lineRule="atLeast"/>
    </w:pPr>
    <w:rPr>
      <w:rFonts w:eastAsia="Times New Roman" w:cs="Arial"/>
      <w:lang w:eastAsia="en-AU"/>
    </w:rPr>
  </w:style>
  <w:style w:type="paragraph" w:customStyle="1" w:styleId="NumberLevel6">
    <w:name w:val="Number Level 6"/>
    <w:basedOn w:val="NumberLevel5"/>
    <w:semiHidden/>
    <w:rsid w:val="008D0B7C"/>
    <w:pPr>
      <w:numPr>
        <w:ilvl w:val="5"/>
      </w:numPr>
    </w:pPr>
  </w:style>
  <w:style w:type="paragraph" w:customStyle="1" w:styleId="NumberLevel7">
    <w:name w:val="Number Level 7"/>
    <w:basedOn w:val="NumberLevel6"/>
    <w:semiHidden/>
    <w:rsid w:val="008D0B7C"/>
    <w:pPr>
      <w:numPr>
        <w:ilvl w:val="6"/>
      </w:numPr>
    </w:pPr>
  </w:style>
  <w:style w:type="paragraph" w:customStyle="1" w:styleId="NumberLevel8">
    <w:name w:val="Number Level 8"/>
    <w:basedOn w:val="NumberLevel7"/>
    <w:semiHidden/>
    <w:rsid w:val="008D0B7C"/>
    <w:pPr>
      <w:numPr>
        <w:ilvl w:val="7"/>
      </w:numPr>
    </w:pPr>
  </w:style>
  <w:style w:type="paragraph" w:customStyle="1" w:styleId="NumberLevel9">
    <w:name w:val="Number Level 9"/>
    <w:basedOn w:val="NumberLevel8"/>
    <w:semiHidden/>
    <w:rsid w:val="008D0B7C"/>
    <w:pPr>
      <w:numPr>
        <w:ilvl w:val="8"/>
      </w:numPr>
    </w:pPr>
  </w:style>
  <w:style w:type="character" w:customStyle="1" w:styleId="NumberLevel1Char">
    <w:name w:val="Number Level 1 Char"/>
    <w:basedOn w:val="DefaultParagraphFont"/>
    <w:link w:val="NumberLevel1"/>
    <w:rsid w:val="008D0B7C"/>
    <w:rPr>
      <w:rFonts w:eastAsia="Times New Roman" w:cs="Arial"/>
      <w:lang w:eastAsia="en-AU"/>
    </w:rPr>
  </w:style>
  <w:style w:type="character" w:styleId="IntenseEmphasis">
    <w:name w:val="Intense Emphasis"/>
    <w:basedOn w:val="DefaultParagraphFont"/>
    <w:uiPriority w:val="21"/>
    <w:qFormat/>
    <w:rsid w:val="002A1A6B"/>
    <w:rPr>
      <w:bCs/>
      <w:i/>
      <w:iCs/>
      <w:color w:val="4F81BD" w:themeColor="accent1"/>
    </w:rPr>
  </w:style>
  <w:style w:type="table" w:styleId="LightList-Accent1">
    <w:name w:val="Light List Accent 1"/>
    <w:basedOn w:val="TableNormal"/>
    <w:uiPriority w:val="61"/>
    <w:rsid w:val="00C3461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
    <w:name w:val="st"/>
    <w:basedOn w:val="DefaultParagraphFont"/>
    <w:rsid w:val="008A6A5C"/>
  </w:style>
  <w:style w:type="paragraph" w:customStyle="1" w:styleId="subsection">
    <w:name w:val="subsection"/>
    <w:aliases w:val="ss"/>
    <w:basedOn w:val="Normal"/>
    <w:link w:val="subsectionChar"/>
    <w:rsid w:val="008E0EF3"/>
    <w:pPr>
      <w:tabs>
        <w:tab w:val="right" w:pos="1021"/>
      </w:tabs>
      <w:spacing w:before="18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8E0EF3"/>
    <w:pPr>
      <w:tabs>
        <w:tab w:val="right" w:pos="1531"/>
      </w:tabs>
      <w:spacing w:before="4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8E0EF3"/>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8E0EF3"/>
    <w:rPr>
      <w:rFonts w:ascii="Times New Roman" w:eastAsia="Times New Roman" w:hAnsi="Times New Roman" w:cs="Times New Roman"/>
      <w:szCs w:val="20"/>
      <w:lang w:eastAsia="en-AU"/>
    </w:rPr>
  </w:style>
  <w:style w:type="table" w:customStyle="1" w:styleId="BodyCell">
    <w:name w:val="Body Cell"/>
    <w:basedOn w:val="TableNormal"/>
    <w:uiPriority w:val="99"/>
    <w:rsid w:val="000B28A3"/>
    <w:pPr>
      <w:spacing w:after="0" w:line="240" w:lineRule="auto"/>
    </w:pPr>
    <w:rPr>
      <w:rFonts w:asciiTheme="majorHAnsi" w:eastAsia="Times" w:hAnsiTheme="majorHAnsi"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rPr>
        <w:rFonts w:asciiTheme="majorHAnsi" w:hAnsiTheme="majorHAnsi"/>
        <w:color w:val="auto"/>
        <w:sz w:val="20"/>
      </w:rPr>
      <w:tblPr/>
      <w:tcPr>
        <w:shd w:val="clear" w:color="auto" w:fill="D9D9D9" w:themeFill="background1" w:themeFillShade="D9"/>
      </w:tcPr>
    </w:tblStylePr>
    <w:tblStylePr w:type="lastRow">
      <w:rPr>
        <w:rFonts w:asciiTheme="majorHAnsi" w:hAnsiTheme="majorHAnsi"/>
        <w:sz w:val="20"/>
      </w:rPr>
      <w:tblPr/>
      <w:tcPr>
        <w:shd w:val="clear" w:color="auto" w:fill="D9D9D9" w:themeFill="background1" w:themeFillShade="D9"/>
      </w:tcPr>
    </w:tblStylePr>
    <w:tblStylePr w:type="firstCol">
      <w:rPr>
        <w:rFonts w:asciiTheme="majorHAnsi" w:hAnsiTheme="majorHAnsi"/>
        <w:sz w:val="20"/>
      </w:rPr>
    </w:tblStylePr>
    <w:tblStylePr w:type="band1Vert">
      <w:rPr>
        <w:rFonts w:asciiTheme="majorHAnsi" w:hAnsiTheme="majorHAnsi"/>
        <w:sz w:val="20"/>
      </w:rPr>
      <w:tblPr/>
      <w:tcPr>
        <w:shd w:val="clear" w:color="auto" w:fill="D9D9D9" w:themeFill="background1" w:themeFillShade="D9"/>
      </w:tcPr>
    </w:tblStylePr>
    <w:tblStylePr w:type="band2Vert">
      <w:rPr>
        <w:rFonts w:asciiTheme="majorHAnsi" w:hAnsiTheme="majorHAnsi"/>
        <w:sz w:val="20"/>
      </w:rPr>
      <w:tblPr/>
      <w:tcPr>
        <w:shd w:val="clear" w:color="auto" w:fill="F2F2F2" w:themeFill="background1" w:themeFillShade="F2"/>
      </w:tcPr>
    </w:tblStylePr>
    <w:tblStylePr w:type="band1Horz">
      <w:rPr>
        <w:rFonts w:asciiTheme="majorHAnsi" w:hAnsiTheme="majorHAnsi"/>
        <w:sz w:val="20"/>
      </w:rPr>
      <w:tblPr/>
      <w:tcPr>
        <w:shd w:val="clear" w:color="auto" w:fill="D9D9D9" w:themeFill="background1" w:themeFillShade="D9"/>
      </w:tcPr>
    </w:tblStylePr>
    <w:tblStylePr w:type="nwCell">
      <w:rPr>
        <w:rFonts w:asciiTheme="majorHAnsi" w:hAnsiTheme="majorHAnsi"/>
        <w:color w:val="FFFFFF" w:themeColor="background1"/>
        <w:sz w:val="20"/>
      </w:rPr>
      <w:tblPr/>
      <w:tcPr>
        <w:shd w:val="clear" w:color="auto" w:fill="314797"/>
      </w:tcPr>
    </w:tblStylePr>
  </w:style>
  <w:style w:type="character" w:customStyle="1" w:styleId="NoSpacingChar">
    <w:name w:val="No Spacing Char"/>
    <w:basedOn w:val="DefaultParagraphFont"/>
    <w:link w:val="NoSpacing"/>
    <w:uiPriority w:val="1"/>
    <w:rsid w:val="00A603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1183">
      <w:bodyDiv w:val="1"/>
      <w:marLeft w:val="0"/>
      <w:marRight w:val="0"/>
      <w:marTop w:val="0"/>
      <w:marBottom w:val="0"/>
      <w:divBdr>
        <w:top w:val="none" w:sz="0" w:space="0" w:color="auto"/>
        <w:left w:val="none" w:sz="0" w:space="0" w:color="auto"/>
        <w:bottom w:val="none" w:sz="0" w:space="0" w:color="auto"/>
        <w:right w:val="none" w:sz="0" w:space="0" w:color="auto"/>
      </w:divBdr>
      <w:divsChild>
        <w:div w:id="488247918">
          <w:marLeft w:val="0"/>
          <w:marRight w:val="0"/>
          <w:marTop w:val="0"/>
          <w:marBottom w:val="0"/>
          <w:divBdr>
            <w:top w:val="none" w:sz="0" w:space="0" w:color="auto"/>
            <w:left w:val="none" w:sz="0" w:space="0" w:color="auto"/>
            <w:bottom w:val="none" w:sz="0" w:space="0" w:color="auto"/>
            <w:right w:val="none" w:sz="0" w:space="0" w:color="auto"/>
          </w:divBdr>
          <w:divsChild>
            <w:div w:id="1446660178">
              <w:marLeft w:val="0"/>
              <w:marRight w:val="0"/>
              <w:marTop w:val="0"/>
              <w:marBottom w:val="0"/>
              <w:divBdr>
                <w:top w:val="none" w:sz="0" w:space="0" w:color="auto"/>
                <w:left w:val="none" w:sz="0" w:space="0" w:color="auto"/>
                <w:bottom w:val="none" w:sz="0" w:space="0" w:color="auto"/>
                <w:right w:val="none" w:sz="0" w:space="0" w:color="auto"/>
              </w:divBdr>
              <w:divsChild>
                <w:div w:id="10756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812">
      <w:bodyDiv w:val="1"/>
      <w:marLeft w:val="0"/>
      <w:marRight w:val="0"/>
      <w:marTop w:val="0"/>
      <w:marBottom w:val="0"/>
      <w:divBdr>
        <w:top w:val="none" w:sz="0" w:space="0" w:color="auto"/>
        <w:left w:val="none" w:sz="0" w:space="0" w:color="auto"/>
        <w:bottom w:val="none" w:sz="0" w:space="0" w:color="auto"/>
        <w:right w:val="none" w:sz="0" w:space="0" w:color="auto"/>
      </w:divBdr>
    </w:div>
    <w:div w:id="317611353">
      <w:bodyDiv w:val="1"/>
      <w:marLeft w:val="0"/>
      <w:marRight w:val="0"/>
      <w:marTop w:val="0"/>
      <w:marBottom w:val="0"/>
      <w:divBdr>
        <w:top w:val="none" w:sz="0" w:space="0" w:color="auto"/>
        <w:left w:val="none" w:sz="0" w:space="0" w:color="auto"/>
        <w:bottom w:val="none" w:sz="0" w:space="0" w:color="auto"/>
        <w:right w:val="none" w:sz="0" w:space="0" w:color="auto"/>
      </w:divBdr>
    </w:div>
    <w:div w:id="331301207">
      <w:bodyDiv w:val="1"/>
      <w:marLeft w:val="0"/>
      <w:marRight w:val="0"/>
      <w:marTop w:val="0"/>
      <w:marBottom w:val="0"/>
      <w:divBdr>
        <w:top w:val="none" w:sz="0" w:space="0" w:color="auto"/>
        <w:left w:val="none" w:sz="0" w:space="0" w:color="auto"/>
        <w:bottom w:val="none" w:sz="0" w:space="0" w:color="auto"/>
        <w:right w:val="none" w:sz="0" w:space="0" w:color="auto"/>
      </w:divBdr>
    </w:div>
    <w:div w:id="356660347">
      <w:bodyDiv w:val="1"/>
      <w:marLeft w:val="0"/>
      <w:marRight w:val="0"/>
      <w:marTop w:val="0"/>
      <w:marBottom w:val="0"/>
      <w:divBdr>
        <w:top w:val="none" w:sz="0" w:space="0" w:color="auto"/>
        <w:left w:val="none" w:sz="0" w:space="0" w:color="auto"/>
        <w:bottom w:val="none" w:sz="0" w:space="0" w:color="auto"/>
        <w:right w:val="none" w:sz="0" w:space="0" w:color="auto"/>
      </w:divBdr>
    </w:div>
    <w:div w:id="369571194">
      <w:bodyDiv w:val="1"/>
      <w:marLeft w:val="0"/>
      <w:marRight w:val="0"/>
      <w:marTop w:val="0"/>
      <w:marBottom w:val="0"/>
      <w:divBdr>
        <w:top w:val="none" w:sz="0" w:space="0" w:color="auto"/>
        <w:left w:val="none" w:sz="0" w:space="0" w:color="auto"/>
        <w:bottom w:val="none" w:sz="0" w:space="0" w:color="auto"/>
        <w:right w:val="none" w:sz="0" w:space="0" w:color="auto"/>
      </w:divBdr>
    </w:div>
    <w:div w:id="527455172">
      <w:bodyDiv w:val="1"/>
      <w:marLeft w:val="0"/>
      <w:marRight w:val="0"/>
      <w:marTop w:val="0"/>
      <w:marBottom w:val="0"/>
      <w:divBdr>
        <w:top w:val="none" w:sz="0" w:space="0" w:color="auto"/>
        <w:left w:val="none" w:sz="0" w:space="0" w:color="auto"/>
        <w:bottom w:val="none" w:sz="0" w:space="0" w:color="auto"/>
        <w:right w:val="none" w:sz="0" w:space="0" w:color="auto"/>
      </w:divBdr>
      <w:divsChild>
        <w:div w:id="1203713258">
          <w:marLeft w:val="547"/>
          <w:marRight w:val="0"/>
          <w:marTop w:val="0"/>
          <w:marBottom w:val="0"/>
          <w:divBdr>
            <w:top w:val="none" w:sz="0" w:space="0" w:color="auto"/>
            <w:left w:val="none" w:sz="0" w:space="0" w:color="auto"/>
            <w:bottom w:val="none" w:sz="0" w:space="0" w:color="auto"/>
            <w:right w:val="none" w:sz="0" w:space="0" w:color="auto"/>
          </w:divBdr>
        </w:div>
      </w:divsChild>
    </w:div>
    <w:div w:id="537358740">
      <w:bodyDiv w:val="1"/>
      <w:marLeft w:val="0"/>
      <w:marRight w:val="0"/>
      <w:marTop w:val="0"/>
      <w:marBottom w:val="0"/>
      <w:divBdr>
        <w:top w:val="none" w:sz="0" w:space="0" w:color="auto"/>
        <w:left w:val="none" w:sz="0" w:space="0" w:color="auto"/>
        <w:bottom w:val="none" w:sz="0" w:space="0" w:color="auto"/>
        <w:right w:val="none" w:sz="0" w:space="0" w:color="auto"/>
      </w:divBdr>
    </w:div>
    <w:div w:id="756024456">
      <w:bodyDiv w:val="1"/>
      <w:marLeft w:val="0"/>
      <w:marRight w:val="0"/>
      <w:marTop w:val="0"/>
      <w:marBottom w:val="0"/>
      <w:divBdr>
        <w:top w:val="none" w:sz="0" w:space="0" w:color="auto"/>
        <w:left w:val="none" w:sz="0" w:space="0" w:color="auto"/>
        <w:bottom w:val="none" w:sz="0" w:space="0" w:color="auto"/>
        <w:right w:val="none" w:sz="0" w:space="0" w:color="auto"/>
      </w:divBdr>
    </w:div>
    <w:div w:id="795172830">
      <w:bodyDiv w:val="1"/>
      <w:marLeft w:val="0"/>
      <w:marRight w:val="0"/>
      <w:marTop w:val="0"/>
      <w:marBottom w:val="0"/>
      <w:divBdr>
        <w:top w:val="none" w:sz="0" w:space="0" w:color="auto"/>
        <w:left w:val="none" w:sz="0" w:space="0" w:color="auto"/>
        <w:bottom w:val="none" w:sz="0" w:space="0" w:color="auto"/>
        <w:right w:val="none" w:sz="0" w:space="0" w:color="auto"/>
      </w:divBdr>
    </w:div>
    <w:div w:id="816530228">
      <w:bodyDiv w:val="1"/>
      <w:marLeft w:val="0"/>
      <w:marRight w:val="0"/>
      <w:marTop w:val="0"/>
      <w:marBottom w:val="0"/>
      <w:divBdr>
        <w:top w:val="none" w:sz="0" w:space="0" w:color="auto"/>
        <w:left w:val="none" w:sz="0" w:space="0" w:color="auto"/>
        <w:bottom w:val="none" w:sz="0" w:space="0" w:color="auto"/>
        <w:right w:val="none" w:sz="0" w:space="0" w:color="auto"/>
      </w:divBdr>
    </w:div>
    <w:div w:id="889340852">
      <w:bodyDiv w:val="1"/>
      <w:marLeft w:val="0"/>
      <w:marRight w:val="0"/>
      <w:marTop w:val="0"/>
      <w:marBottom w:val="0"/>
      <w:divBdr>
        <w:top w:val="none" w:sz="0" w:space="0" w:color="auto"/>
        <w:left w:val="none" w:sz="0" w:space="0" w:color="auto"/>
        <w:bottom w:val="none" w:sz="0" w:space="0" w:color="auto"/>
        <w:right w:val="none" w:sz="0" w:space="0" w:color="auto"/>
      </w:divBdr>
    </w:div>
    <w:div w:id="1613324502">
      <w:bodyDiv w:val="1"/>
      <w:marLeft w:val="0"/>
      <w:marRight w:val="0"/>
      <w:marTop w:val="0"/>
      <w:marBottom w:val="0"/>
      <w:divBdr>
        <w:top w:val="none" w:sz="0" w:space="0" w:color="auto"/>
        <w:left w:val="none" w:sz="0" w:space="0" w:color="auto"/>
        <w:bottom w:val="none" w:sz="0" w:space="0" w:color="auto"/>
        <w:right w:val="none" w:sz="0" w:space="0" w:color="auto"/>
      </w:divBdr>
    </w:div>
    <w:div w:id="1671131397">
      <w:bodyDiv w:val="1"/>
      <w:marLeft w:val="0"/>
      <w:marRight w:val="0"/>
      <w:marTop w:val="0"/>
      <w:marBottom w:val="0"/>
      <w:divBdr>
        <w:top w:val="none" w:sz="0" w:space="0" w:color="auto"/>
        <w:left w:val="none" w:sz="0" w:space="0" w:color="auto"/>
        <w:bottom w:val="none" w:sz="0" w:space="0" w:color="auto"/>
        <w:right w:val="none" w:sz="0" w:space="0" w:color="auto"/>
      </w:divBdr>
      <w:divsChild>
        <w:div w:id="1406027276">
          <w:marLeft w:val="0"/>
          <w:marRight w:val="0"/>
          <w:marTop w:val="0"/>
          <w:marBottom w:val="0"/>
          <w:divBdr>
            <w:top w:val="none" w:sz="0" w:space="0" w:color="auto"/>
            <w:left w:val="none" w:sz="0" w:space="0" w:color="auto"/>
            <w:bottom w:val="none" w:sz="0" w:space="0" w:color="auto"/>
            <w:right w:val="none" w:sz="0" w:space="0" w:color="auto"/>
          </w:divBdr>
          <w:divsChild>
            <w:div w:id="1749420315">
              <w:marLeft w:val="0"/>
              <w:marRight w:val="0"/>
              <w:marTop w:val="0"/>
              <w:marBottom w:val="0"/>
              <w:divBdr>
                <w:top w:val="none" w:sz="0" w:space="0" w:color="auto"/>
                <w:left w:val="none" w:sz="0" w:space="0" w:color="auto"/>
                <w:bottom w:val="none" w:sz="0" w:space="0" w:color="auto"/>
                <w:right w:val="none" w:sz="0" w:space="0" w:color="auto"/>
              </w:divBdr>
              <w:divsChild>
                <w:div w:id="15842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88424">
      <w:bodyDiv w:val="1"/>
      <w:marLeft w:val="0"/>
      <w:marRight w:val="0"/>
      <w:marTop w:val="0"/>
      <w:marBottom w:val="0"/>
      <w:divBdr>
        <w:top w:val="none" w:sz="0" w:space="0" w:color="auto"/>
        <w:left w:val="none" w:sz="0" w:space="0" w:color="auto"/>
        <w:bottom w:val="none" w:sz="0" w:space="0" w:color="auto"/>
        <w:right w:val="none" w:sz="0" w:space="0" w:color="auto"/>
      </w:divBdr>
    </w:div>
    <w:div w:id="1832986571">
      <w:bodyDiv w:val="1"/>
      <w:marLeft w:val="0"/>
      <w:marRight w:val="0"/>
      <w:marTop w:val="0"/>
      <w:marBottom w:val="0"/>
      <w:divBdr>
        <w:top w:val="none" w:sz="0" w:space="0" w:color="auto"/>
        <w:left w:val="none" w:sz="0" w:space="0" w:color="auto"/>
        <w:bottom w:val="none" w:sz="0" w:space="0" w:color="auto"/>
        <w:right w:val="none" w:sz="0" w:space="0" w:color="auto"/>
      </w:divBdr>
    </w:div>
    <w:div w:id="1843423480">
      <w:bodyDiv w:val="1"/>
      <w:marLeft w:val="0"/>
      <w:marRight w:val="0"/>
      <w:marTop w:val="0"/>
      <w:marBottom w:val="0"/>
      <w:divBdr>
        <w:top w:val="none" w:sz="0" w:space="0" w:color="auto"/>
        <w:left w:val="none" w:sz="0" w:space="0" w:color="auto"/>
        <w:bottom w:val="none" w:sz="0" w:space="0" w:color="auto"/>
        <w:right w:val="none" w:sz="0" w:space="0" w:color="auto"/>
      </w:divBdr>
    </w:div>
    <w:div w:id="1849826190">
      <w:bodyDiv w:val="1"/>
      <w:marLeft w:val="0"/>
      <w:marRight w:val="0"/>
      <w:marTop w:val="0"/>
      <w:marBottom w:val="0"/>
      <w:divBdr>
        <w:top w:val="none" w:sz="0" w:space="0" w:color="auto"/>
        <w:left w:val="none" w:sz="0" w:space="0" w:color="auto"/>
        <w:bottom w:val="none" w:sz="0" w:space="0" w:color="auto"/>
        <w:right w:val="none" w:sz="0" w:space="0" w:color="auto"/>
      </w:divBdr>
      <w:divsChild>
        <w:div w:id="625737741">
          <w:marLeft w:val="547"/>
          <w:marRight w:val="0"/>
          <w:marTop w:val="0"/>
          <w:marBottom w:val="0"/>
          <w:divBdr>
            <w:top w:val="none" w:sz="0" w:space="0" w:color="auto"/>
            <w:left w:val="none" w:sz="0" w:space="0" w:color="auto"/>
            <w:bottom w:val="none" w:sz="0" w:space="0" w:color="auto"/>
            <w:right w:val="none" w:sz="0" w:space="0" w:color="auto"/>
          </w:divBdr>
        </w:div>
      </w:divsChild>
    </w:div>
    <w:div w:id="194425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pansa.gov.au/AboutUs/privacypolicy.cf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oaic.gov.au/agencies-and-organisations/app-guidelines/chapter-6-app-6-use-or-disclosure-of-personal-information" TargetMode="External"/><Relationship Id="rId17" Type="http://schemas.openxmlformats.org/officeDocument/2006/relationships/hyperlink" Target="https://www.oaic.gov.au/agencies-and-organisations/app-guidelines/chapter-6-app-6-use-or-disclosure-of-personal-information" TargetMode="External"/><Relationship Id="rId2" Type="http://schemas.openxmlformats.org/officeDocument/2006/relationships/customXml" Target="../customXml/item2.xml"/><Relationship Id="rId16" Type="http://schemas.openxmlformats.org/officeDocument/2006/relationships/hyperlink" Target="https://www.oaic.gov.au/agencies-and-organisations/app-guidelin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oaic.gov.au/individuals/privacy-fact-sheets/general/privacy-fact-sheet-17-australian-privacy-principles" TargetMode="External"/><Relationship Id="rId10" Type="http://schemas.openxmlformats.org/officeDocument/2006/relationships/hyperlink" Target="https://www.legislation.gov.au/Series/C2004A03712"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oaic.gov.au/individuals/privacy-fact-sheets/general/privacy-fact-sheet-17-australian-privacy-principles" TargetMode="External"/><Relationship Id="rId14" Type="http://schemas.openxmlformats.org/officeDocument/2006/relationships/hyperlink" Target="http://www.arpansa.gov.au/services/ANRDR/PrivacyStatement.cf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rpansa.gov.au" TargetMode="External"/><Relationship Id="rId1" Type="http://schemas.openxmlformats.org/officeDocument/2006/relationships/hyperlink" Target="mailto:info@arpans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b:Source>
    <b:Tag>BMH01</b:Tag>
    <b:SourceType>JournalArticle</b:SourceType>
    <b:Guid>{7DAC717B-8A6D-4D5A-B61F-36878CB7A1F0}</b:Guid>
    <b:Title>The Measurement of Radiation Levels in Australian Zircon Milling Plants</b:Title>
    <b:Year>2001</b:Year>
    <b:Author>
      <b:Author>
        <b:NameList>
          <b:Person>
            <b:Last>Hartley</b:Last>
            <b:First>B.</b:First>
            <b:Middle>M.</b:Middle>
          </b:Person>
        </b:NameList>
      </b:Author>
    </b:Author>
    <b:JournalName>Health Physics Society</b:JournalName>
    <b:Pages>16-23</b:Pages>
    <b:RefOrder>1</b:RefOrder>
  </b:Source>
  <b:Source>
    <b:Tag>Ser05</b:Tag>
    <b:SourceType>JournalArticle</b:SourceType>
    <b:Guid>{09A58CCE-B8FA-4A0F-85D1-0CFFD04045FD}</b:Guid>
    <b:Author>
      <b:Author>
        <b:NameList>
          <b:Person>
            <b:Last>Righi</b:Last>
            <b:First>Serena</b:First>
          </b:Person>
          <b:Person>
            <b:Last>Andretta</b:Last>
            <b:First>Massimo</b:First>
          </b:Person>
          <b:Person>
            <b:Last>Bruzzi</b:Last>
            <b:First>Luigi</b:First>
          </b:Person>
        </b:NameList>
      </b:Author>
    </b:Author>
    <b:Title>Assessment of the Radiological Impacts of a Zircon Sands Processing Plant</b:Title>
    <b:JournalName>Journal of Enviornmental Radioactivity</b:JournalName>
    <b:Year>2005</b:Year>
    <b:Pages>237-250</b:Pages>
    <b:Issue>82</b:Issue>
    <b:RefOrder>2</b:RefOrder>
  </b:Source>
  <b:Source>
    <b:Tag>Hew90</b:Tag>
    <b:SourceType>JournalArticle</b:SourceType>
    <b:Guid>{78CAF4FB-B8B5-48D8-AE99-C5117452D629}</b:Guid>
    <b:Title>Radiation Research Priorities in the Mineral Sands Industry</b:Title>
    <b:Year>1990</b:Year>
    <b:Author>
      <b:Author>
        <b:NameList>
          <b:Person>
            <b:Last>Hewson</b:Last>
            <b:Middle>S</b:Middle>
            <b:First>G</b:First>
          </b:Person>
          <b:Person>
            <b:Last>Hartley</b:Last>
            <b:Middle>M</b:Middle>
            <b:First>B</b:First>
          </b:Person>
        </b:NameList>
      </b:Author>
    </b:Author>
    <b:JournalName>Journal of Radiological Protection</b:JournalName>
    <b:Pages>221-229</b:Pages>
    <b:Volume>10</b:Volume>
    <b:Issue>3</b:Issue>
    <b:RefOrder>3</b:RefOrder>
  </b:Source>
  <b:Source>
    <b:Tag>Mar94</b:Tag>
    <b:SourceType>JournalArticle</b:SourceType>
    <b:Guid>{A072F3BD-6F3C-4D13-99E5-1DFB84CCB64C}</b:Guid>
    <b:Title>Radiation Doses and Associated Parameters in the Western Australian Mineral Sands Industry 1986 to 1993</b:Title>
    <b:JournalName>Radiation Protection in Australia</b:JournalName>
    <b:Year>1994</b:Year>
    <b:Pages>60-66</b:Pages>
    <b:Author>
      <b:Author>
        <b:NameList>
          <b:Person>
            <b:Last>Marshman</b:Last>
            <b:Middle>W</b:Middle>
            <b:First>I</b:First>
          </b:Person>
          <b:Person>
            <b:Last>Hewson</b:Last>
            <b:Middle>S</b:Middle>
            <b:First>G</b:First>
          </b:Person>
        </b:NameList>
      </b:Author>
    </b:Author>
    <b:Volume>12</b:Volume>
    <b:Issue>2</b:Issue>
    <b:RefOrder>4</b:RefOrder>
  </b:Source>
  <b:Source>
    <b:Tag>Hew901</b:Tag>
    <b:SourceType>JournalArticle</b:SourceType>
    <b:Guid>{95DC2285-DAE1-435C-9885-0BC47CF9280A}</b:Guid>
    <b:Title>Radiation Exposure Status of Mineral Sands Industry Workers (1983-1988)</b:Title>
    <b:JournalName>Radiation Protection in Australia</b:JournalName>
    <b:Year>1990</b:Year>
    <b:Pages>3-12</b:Pages>
    <b:Author>
      <b:Author>
        <b:NameList>
          <b:Person>
            <b:Last>Hewson</b:Last>
            <b:Middle>S</b:Middle>
            <b:First>G</b:First>
          </b:Person>
        </b:NameList>
      </b:Author>
    </b:Author>
    <b:Volume>8</b:Volume>
    <b:Issue>1</b:Issue>
    <b:RefOrder>5</b:RefOrder>
  </b:Source>
  <b:Source>
    <b:Tag>Ale93</b:Tag>
    <b:SourceType>JournalArticle</b:SourceType>
    <b:Guid>{47F235CC-2F90-46D6-8E3C-AF7A65F182C6}</b:Guid>
    <b:Title>The Radiological Impact of Past and Present Practices of the Mineral Sands Industry in Queensland</b:Title>
    <b:JournalName>Radation Protection in Australia</b:JournalName>
    <b:Year>1993</b:Year>
    <b:Pages>80-84</b:Pages>
    <b:Author>
      <b:Author>
        <b:NameList>
          <b:Person>
            <b:Last>Alexander</b:Last>
            <b:Middle>G</b:Middle>
            <b:First>E</b:First>
          </b:Person>
          <b:Person>
            <b:Last>Stewart</b:Last>
            <b:Middle>D</b:Middle>
            <b:First>N</b:First>
          </b:Person>
          <b:Person>
            <b:Last>Wallace</b:Last>
            <b:Middle>J</b:Middle>
            <b:First>B</b:First>
          </b:Person>
        </b:NameList>
      </b:Author>
    </b:Author>
    <b:Volume>11</b:Volume>
    <b:Issue>3</b:Issue>
    <b:RefOrder>6</b:RefOrder>
  </b:Source>
  <b:Source>
    <b:Tag>Cas90</b:Tag>
    <b:SourceType>ConferenceProceedings</b:SourceType>
    <b:Guid>{34F3A9F4-EF26-4E00-A44D-110ADEF772CD}</b:Guid>
    <b:Title>Dose Reduction Through Engineering and Process Control: Current Practice and Future Options</b:Title>
    <b:Year>1990</b:Year>
    <b:Pages>247-253</b:Pages>
    <b:Author>
      <b:Author>
        <b:NameList>
          <b:Person>
            <b:Last>Cassidy</b:Last>
            <b:Middle>W</b:Middle>
            <b:First>Peter</b:First>
          </b:Person>
        </b:NameList>
      </b:Author>
    </b:Author>
    <b:ConferenceName>Minesafe International 1990</b:ConferenceName>
    <b:City>Perth, Western Australia</b:City>
    <b:Publisher>Chamber of Minerals and Energy of Western Australia</b:Publisher>
    <b:RefOrder>7</b:RefOrder>
  </b:Source>
  <b:Source>
    <b:Tag>Hew97</b:Tag>
    <b:SourceType>JournalArticle</b:SourceType>
    <b:Guid>{EB74CA95-3F5F-4681-B7C5-D07768269FE3}</b:Guid>
    <b:Title>Inhalation and Retention of Thorium Dusts by Mineral Sands Workers</b:Title>
    <b:Pages>92-98</b:Pages>
    <b:Year>1997</b:Year>
    <b:JournalName>Annals of Occupational Hygiene</b:JournalName>
    <b:Author>
      <b:Author>
        <b:NameList>
          <b:Person>
            <b:Last>Hewson</b:Last>
            <b:Middle>S</b:Middle>
            <b:First>G</b:First>
          </b:Person>
        </b:NameList>
      </b:Author>
    </b:Author>
    <b:Volume>41</b:Volume>
    <b:Issue>Supplement 1</b:Issue>
    <b:RefOrder>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4AC5F3-86EE-4ABF-9AB3-9460BA66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5366</Words>
  <Characters>30592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Privacy Impact Assessment Template</vt:lpstr>
    </vt:vector>
  </TitlesOfParts>
  <Company>ARPANSA</Company>
  <LinksUpToDate>false</LinksUpToDate>
  <CharactersWithSpaces>35887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Impact Assessment Template</dc:title>
  <dc:subject>Implementation of Submission of Dose Records to the Australian National Radiation Dose Register.</dc:subject>
  <dc:creator>Australian Radiation Protection And Nuclear Safety Agency</dc:creator>
  <cp:lastModifiedBy>Lisa Sforcina</cp:lastModifiedBy>
  <cp:revision>3</cp:revision>
  <cp:lastPrinted>2017-05-11T02:39:00Z</cp:lastPrinted>
  <dcterms:created xsi:type="dcterms:W3CDTF">2017-07-13T01:29:00Z</dcterms:created>
  <dcterms:modified xsi:type="dcterms:W3CDTF">2017-07-13T01:30:00Z</dcterms:modified>
</cp:coreProperties>
</file>