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BE4B3" w14:textId="65A5600C" w:rsidR="008D443A" w:rsidRDefault="004D4B89" w:rsidP="0026652C">
      <w:bookmarkStart w:id="0" w:name="im2"/>
      <w:r>
        <w:rPr>
          <w:noProof/>
          <w:lang w:eastAsia="en-AU"/>
        </w:rPr>
        <w:drawing>
          <wp:inline distT="0" distB="0" distL="0" distR="0" wp14:anchorId="7A603F0E" wp14:editId="72DB544C">
            <wp:extent cx="5939790" cy="70929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8">
                      <a:extLst>
                        <a:ext uri="{28A0092B-C50C-407E-A947-70E740481C1C}">
                          <a14:useLocalDpi xmlns:a14="http://schemas.microsoft.com/office/drawing/2010/main" val="0"/>
                        </a:ext>
                      </a:extLst>
                    </a:blip>
                    <a:stretch>
                      <a:fillRect/>
                    </a:stretch>
                  </pic:blipFill>
                  <pic:spPr>
                    <a:xfrm>
                      <a:off x="0" y="0"/>
                      <a:ext cx="5939790" cy="709295"/>
                    </a:xfrm>
                    <a:prstGeom prst="rect">
                      <a:avLst/>
                    </a:prstGeom>
                  </pic:spPr>
                </pic:pic>
              </a:graphicData>
            </a:graphic>
          </wp:inline>
        </w:drawing>
      </w:r>
    </w:p>
    <w:p w14:paraId="0DF19B18" w14:textId="77777777" w:rsidR="00B11AAC" w:rsidRDefault="00B11AAC" w:rsidP="0026652C"/>
    <w:p w14:paraId="08D7A923" w14:textId="77777777" w:rsidR="006303F4" w:rsidRDefault="006303F4" w:rsidP="0026652C"/>
    <w:p w14:paraId="548046C8" w14:textId="77777777" w:rsidR="005F256B" w:rsidRDefault="005F256B" w:rsidP="0026652C"/>
    <w:p w14:paraId="42D8D0AE" w14:textId="77777777" w:rsidR="003D2CA6" w:rsidRDefault="003D2CA6" w:rsidP="0026652C">
      <w:pPr>
        <w:pStyle w:val="Title"/>
      </w:pPr>
      <w:bookmarkStart w:id="1" w:name="_Toc492399336"/>
    </w:p>
    <w:p w14:paraId="5CEF361B" w14:textId="77777777" w:rsidR="003D2CA6" w:rsidRDefault="003D2CA6" w:rsidP="0026652C">
      <w:pPr>
        <w:pStyle w:val="Title"/>
      </w:pPr>
    </w:p>
    <w:p w14:paraId="5D942921" w14:textId="77777777" w:rsidR="003D2CA6" w:rsidRDefault="003D2CA6" w:rsidP="0026652C">
      <w:pPr>
        <w:pStyle w:val="Title"/>
      </w:pPr>
    </w:p>
    <w:p w14:paraId="64C71350" w14:textId="77777777" w:rsidR="003D2CA6" w:rsidRDefault="003D2CA6" w:rsidP="0026652C">
      <w:pPr>
        <w:pStyle w:val="Title"/>
      </w:pPr>
    </w:p>
    <w:p w14:paraId="06FE7016" w14:textId="3936C8E3" w:rsidR="003D2CA6" w:rsidRDefault="00B11AAC" w:rsidP="0026652C">
      <w:pPr>
        <w:pStyle w:val="Title"/>
      </w:pPr>
      <w:r w:rsidRPr="00F233E8">
        <w:rPr>
          <w:b w:val="0"/>
        </w:rPr>
        <w:t>INSPECTION MANUAL</w:t>
      </w:r>
      <w:bookmarkEnd w:id="1"/>
    </w:p>
    <w:p w14:paraId="47AC6EBC" w14:textId="77777777" w:rsidR="003D2CA6" w:rsidRDefault="003D2CA6" w:rsidP="0026652C">
      <w:pPr>
        <w:pStyle w:val="Title"/>
      </w:pPr>
    </w:p>
    <w:p w14:paraId="639053C7" w14:textId="77777777" w:rsidR="003D2CA6" w:rsidRDefault="003D2CA6" w:rsidP="0026652C">
      <w:pPr>
        <w:pStyle w:val="Title"/>
      </w:pPr>
    </w:p>
    <w:p w14:paraId="33AAC1C6" w14:textId="77777777" w:rsidR="003D2CA6" w:rsidRDefault="003D2CA6" w:rsidP="0026652C">
      <w:pPr>
        <w:pStyle w:val="Title"/>
      </w:pPr>
    </w:p>
    <w:p w14:paraId="6046E64D" w14:textId="77777777" w:rsidR="003D2CA6" w:rsidRDefault="003D2CA6" w:rsidP="0026652C">
      <w:pPr>
        <w:pStyle w:val="Title"/>
      </w:pPr>
    </w:p>
    <w:p w14:paraId="3B496330" w14:textId="77777777" w:rsidR="003D2CA6" w:rsidRDefault="003D2CA6" w:rsidP="0026652C">
      <w:pPr>
        <w:pStyle w:val="Title"/>
      </w:pPr>
    </w:p>
    <w:p w14:paraId="03B6BE6F" w14:textId="77777777" w:rsidR="003D2CA6" w:rsidRDefault="003D2CA6" w:rsidP="0026652C">
      <w:pPr>
        <w:pStyle w:val="Title"/>
      </w:pPr>
    </w:p>
    <w:p w14:paraId="6BBD59A9" w14:textId="77777777" w:rsidR="003D2CA6" w:rsidRDefault="003D2CA6" w:rsidP="0026652C">
      <w:pPr>
        <w:pStyle w:val="Title"/>
      </w:pPr>
    </w:p>
    <w:p w14:paraId="7BA7182F" w14:textId="77777777" w:rsidR="003D2CA6" w:rsidRDefault="003D2CA6" w:rsidP="0026652C">
      <w:pPr>
        <w:pStyle w:val="Title"/>
      </w:pPr>
    </w:p>
    <w:p w14:paraId="77814DFE" w14:textId="501C60D0" w:rsidR="003D2CA6" w:rsidRPr="00F233E8" w:rsidRDefault="003D2CA6" w:rsidP="00F233E8">
      <w:pPr>
        <w:pStyle w:val="Title"/>
        <w:spacing w:before="120"/>
        <w:contextualSpacing w:val="0"/>
        <w:rPr>
          <w:b w:val="0"/>
          <w:sz w:val="24"/>
          <w:szCs w:val="24"/>
        </w:rPr>
      </w:pPr>
      <w:r w:rsidRPr="00F233E8">
        <w:rPr>
          <w:b w:val="0"/>
          <w:sz w:val="24"/>
          <w:szCs w:val="24"/>
        </w:rPr>
        <w:t>REGULATORY SERVICES</w:t>
      </w:r>
    </w:p>
    <w:p w14:paraId="1AFF8DFD" w14:textId="3D107365" w:rsidR="003D2CA6" w:rsidRPr="00F233E8" w:rsidRDefault="007774AB" w:rsidP="00F233E8">
      <w:pPr>
        <w:pStyle w:val="Title"/>
        <w:spacing w:before="120"/>
        <w:contextualSpacing w:val="0"/>
        <w:rPr>
          <w:b w:val="0"/>
          <w:sz w:val="24"/>
          <w:szCs w:val="24"/>
        </w:rPr>
      </w:pPr>
      <w:r w:rsidRPr="00F233E8">
        <w:rPr>
          <w:b w:val="0"/>
          <w:sz w:val="24"/>
          <w:szCs w:val="24"/>
        </w:rPr>
        <w:t>ARPANSA-REG-INS-MAN-280</w:t>
      </w:r>
      <w:r w:rsidR="006D2BDA" w:rsidRPr="00F233E8">
        <w:rPr>
          <w:b w:val="0"/>
          <w:sz w:val="24"/>
          <w:szCs w:val="24"/>
        </w:rPr>
        <w:t>W</w:t>
      </w:r>
    </w:p>
    <w:p w14:paraId="10B81F07" w14:textId="3B0BE3DE" w:rsidR="0015028E" w:rsidRPr="003D2CA6" w:rsidRDefault="003D2CA6" w:rsidP="00F233E8">
      <w:pPr>
        <w:spacing w:before="120"/>
        <w:contextualSpacing/>
        <w:jc w:val="center"/>
        <w:rPr>
          <w:noProof/>
        </w:rPr>
      </w:pPr>
      <w:r w:rsidRPr="00F233E8">
        <w:rPr>
          <w:rStyle w:val="Strong"/>
          <w:b w:val="0"/>
          <w:color w:val="4E1A74" w:themeColor="accent2"/>
          <w:sz w:val="24"/>
          <w:szCs w:val="24"/>
        </w:rPr>
        <w:t>Ma</w:t>
      </w:r>
      <w:r w:rsidR="0026652C" w:rsidRPr="00F233E8">
        <w:rPr>
          <w:rStyle w:val="Strong"/>
          <w:b w:val="0"/>
          <w:color w:val="4E1A74" w:themeColor="accent2"/>
          <w:sz w:val="24"/>
          <w:szCs w:val="24"/>
        </w:rPr>
        <w:t>y</w:t>
      </w:r>
      <w:r w:rsidRPr="00F233E8">
        <w:rPr>
          <w:rStyle w:val="Strong"/>
          <w:b w:val="0"/>
          <w:color w:val="4E1A74" w:themeColor="accent2"/>
          <w:sz w:val="24"/>
          <w:szCs w:val="24"/>
        </w:rPr>
        <w:t xml:space="preserve"> </w:t>
      </w:r>
      <w:r w:rsidR="00A9444E" w:rsidRPr="00F233E8">
        <w:rPr>
          <w:rStyle w:val="Strong"/>
          <w:b w:val="0"/>
          <w:color w:val="4E1A74" w:themeColor="accent2"/>
          <w:sz w:val="24"/>
          <w:szCs w:val="24"/>
        </w:rPr>
        <w:t>201</w:t>
      </w:r>
      <w:r w:rsidRPr="00F233E8">
        <w:rPr>
          <w:rStyle w:val="Strong"/>
          <w:b w:val="0"/>
          <w:color w:val="4E1A74" w:themeColor="accent2"/>
          <w:sz w:val="24"/>
          <w:szCs w:val="24"/>
        </w:rPr>
        <w:t>9</w:t>
      </w:r>
      <w:r w:rsidR="0015028E" w:rsidRPr="003D2CA6">
        <w:rPr>
          <w:noProof/>
        </w:rPr>
        <w:br w:type="page"/>
      </w:r>
    </w:p>
    <w:bookmarkStart w:id="2" w:name="_Inspection_program_objectives"/>
    <w:bookmarkStart w:id="3" w:name="_Toc492399337"/>
    <w:bookmarkEnd w:id="0"/>
    <w:bookmarkEnd w:id="2"/>
    <w:p w14:paraId="579B7B33" w14:textId="177C4650" w:rsidR="001A0AA1" w:rsidRPr="0026652C" w:rsidRDefault="00310B73" w:rsidP="0026652C">
      <w:pPr>
        <w:pStyle w:val="TOC2"/>
        <w:rPr>
          <w:rFonts w:eastAsiaTheme="minorEastAsia"/>
          <w:lang w:eastAsia="en-AU"/>
        </w:rPr>
      </w:pPr>
      <w:r w:rsidRPr="0026652C">
        <w:lastRenderedPageBreak/>
        <w:fldChar w:fldCharType="begin"/>
      </w:r>
      <w:r w:rsidRPr="0026652C">
        <w:instrText xml:space="preserve"> TOC \h \z \u \t "Heading 2,1,Heading 3,2,Heading 4,3,Heading numbered level 1,2" </w:instrText>
      </w:r>
      <w:r w:rsidRPr="0026652C">
        <w:fldChar w:fldCharType="separate"/>
      </w:r>
      <w:hyperlink w:anchor="_Toc5290051" w:history="1">
        <w:r w:rsidR="001A0AA1" w:rsidRPr="0026652C">
          <w:rPr>
            <w:rStyle w:val="Hyperlink"/>
            <w:color w:val="auto"/>
            <w:lang w:eastAsia="en-AU"/>
          </w:rPr>
          <w:t>1.1</w:t>
        </w:r>
        <w:r w:rsidR="001A0AA1" w:rsidRPr="0026652C">
          <w:rPr>
            <w:rFonts w:eastAsiaTheme="minorEastAsia"/>
            <w:lang w:eastAsia="en-AU"/>
          </w:rPr>
          <w:tab/>
        </w:r>
        <w:r w:rsidR="001A0AA1" w:rsidRPr="0026652C">
          <w:rPr>
            <w:rStyle w:val="Hyperlink"/>
            <w:color w:val="auto"/>
            <w:lang w:eastAsia="en-AU"/>
          </w:rPr>
          <w:t>Objectives</w:t>
        </w:r>
        <w:r w:rsidR="001A0AA1" w:rsidRPr="0026652C">
          <w:rPr>
            <w:webHidden/>
          </w:rPr>
          <w:tab/>
        </w:r>
        <w:r w:rsidR="001A0AA1" w:rsidRPr="0026652C">
          <w:rPr>
            <w:webHidden/>
          </w:rPr>
          <w:fldChar w:fldCharType="begin"/>
        </w:r>
        <w:r w:rsidR="001A0AA1" w:rsidRPr="0026652C">
          <w:rPr>
            <w:webHidden/>
          </w:rPr>
          <w:instrText xml:space="preserve"> PAGEREF _Toc5290051 \h </w:instrText>
        </w:r>
        <w:r w:rsidR="001A0AA1" w:rsidRPr="0026652C">
          <w:rPr>
            <w:webHidden/>
          </w:rPr>
        </w:r>
        <w:r w:rsidR="001A0AA1" w:rsidRPr="0026652C">
          <w:rPr>
            <w:webHidden/>
          </w:rPr>
          <w:fldChar w:fldCharType="separate"/>
        </w:r>
        <w:r w:rsidR="001A0AA1" w:rsidRPr="0026652C">
          <w:rPr>
            <w:webHidden/>
          </w:rPr>
          <w:t>4</w:t>
        </w:r>
        <w:r w:rsidR="001A0AA1" w:rsidRPr="0026652C">
          <w:rPr>
            <w:webHidden/>
          </w:rPr>
          <w:fldChar w:fldCharType="end"/>
        </w:r>
      </w:hyperlink>
    </w:p>
    <w:p w14:paraId="02D23B88" w14:textId="04EA4E34" w:rsidR="001A0AA1" w:rsidRPr="0026652C" w:rsidRDefault="00F233E8" w:rsidP="0026652C">
      <w:pPr>
        <w:pStyle w:val="TOC2"/>
        <w:rPr>
          <w:rFonts w:eastAsiaTheme="minorEastAsia"/>
          <w:lang w:eastAsia="en-AU"/>
        </w:rPr>
      </w:pPr>
      <w:hyperlink w:anchor="_Toc5290052" w:history="1">
        <w:r w:rsidR="001A0AA1" w:rsidRPr="0026652C">
          <w:rPr>
            <w:rStyle w:val="Hyperlink"/>
            <w:color w:val="auto"/>
          </w:rPr>
          <w:t>1.2</w:t>
        </w:r>
        <w:r w:rsidR="001A0AA1" w:rsidRPr="0026652C">
          <w:rPr>
            <w:rFonts w:eastAsiaTheme="minorEastAsia"/>
            <w:lang w:eastAsia="en-AU"/>
          </w:rPr>
          <w:tab/>
        </w:r>
        <w:r w:rsidR="001A0AA1" w:rsidRPr="0026652C">
          <w:rPr>
            <w:rStyle w:val="Hyperlink"/>
            <w:color w:val="auto"/>
          </w:rPr>
          <w:t>Appointment of inspectors</w:t>
        </w:r>
        <w:r w:rsidR="001A0AA1" w:rsidRPr="0026652C">
          <w:rPr>
            <w:webHidden/>
          </w:rPr>
          <w:tab/>
        </w:r>
        <w:r w:rsidR="001A0AA1" w:rsidRPr="0026652C">
          <w:rPr>
            <w:webHidden/>
          </w:rPr>
          <w:fldChar w:fldCharType="begin"/>
        </w:r>
        <w:r w:rsidR="001A0AA1" w:rsidRPr="0026652C">
          <w:rPr>
            <w:webHidden/>
          </w:rPr>
          <w:instrText xml:space="preserve"> PAGEREF _Toc5290052 \h </w:instrText>
        </w:r>
        <w:r w:rsidR="001A0AA1" w:rsidRPr="0026652C">
          <w:rPr>
            <w:webHidden/>
          </w:rPr>
        </w:r>
        <w:r w:rsidR="001A0AA1" w:rsidRPr="0026652C">
          <w:rPr>
            <w:webHidden/>
          </w:rPr>
          <w:fldChar w:fldCharType="separate"/>
        </w:r>
        <w:r w:rsidR="001A0AA1" w:rsidRPr="0026652C">
          <w:rPr>
            <w:webHidden/>
          </w:rPr>
          <w:t>4</w:t>
        </w:r>
        <w:r w:rsidR="001A0AA1" w:rsidRPr="0026652C">
          <w:rPr>
            <w:webHidden/>
          </w:rPr>
          <w:fldChar w:fldCharType="end"/>
        </w:r>
      </w:hyperlink>
    </w:p>
    <w:p w14:paraId="56428860" w14:textId="2042A2AA" w:rsidR="001A0AA1" w:rsidRPr="0026652C" w:rsidRDefault="00F233E8" w:rsidP="0026652C">
      <w:pPr>
        <w:pStyle w:val="TOC2"/>
        <w:rPr>
          <w:rFonts w:eastAsiaTheme="minorEastAsia"/>
          <w:lang w:eastAsia="en-AU"/>
        </w:rPr>
      </w:pPr>
      <w:hyperlink w:anchor="_Toc5290053" w:history="1">
        <w:r w:rsidR="001A0AA1" w:rsidRPr="0026652C">
          <w:rPr>
            <w:rStyle w:val="Hyperlink"/>
            <w:color w:val="auto"/>
          </w:rPr>
          <w:t>1.3</w:t>
        </w:r>
        <w:r w:rsidR="001A0AA1" w:rsidRPr="0026652C">
          <w:rPr>
            <w:rFonts w:eastAsiaTheme="minorEastAsia"/>
            <w:lang w:eastAsia="en-AU"/>
          </w:rPr>
          <w:tab/>
        </w:r>
        <w:r w:rsidR="001A0AA1" w:rsidRPr="0026652C">
          <w:rPr>
            <w:rStyle w:val="Hyperlink"/>
            <w:color w:val="auto"/>
          </w:rPr>
          <w:t>Responsibilities &amp; personal conduct of inspectors</w:t>
        </w:r>
        <w:r w:rsidR="001A0AA1" w:rsidRPr="0026652C">
          <w:rPr>
            <w:webHidden/>
          </w:rPr>
          <w:tab/>
        </w:r>
        <w:r w:rsidR="001A0AA1" w:rsidRPr="0026652C">
          <w:rPr>
            <w:webHidden/>
          </w:rPr>
          <w:fldChar w:fldCharType="begin"/>
        </w:r>
        <w:r w:rsidR="001A0AA1" w:rsidRPr="0026652C">
          <w:rPr>
            <w:webHidden/>
          </w:rPr>
          <w:instrText xml:space="preserve"> PAGEREF _Toc5290053 \h </w:instrText>
        </w:r>
        <w:r w:rsidR="001A0AA1" w:rsidRPr="0026652C">
          <w:rPr>
            <w:webHidden/>
          </w:rPr>
        </w:r>
        <w:r w:rsidR="001A0AA1" w:rsidRPr="0026652C">
          <w:rPr>
            <w:webHidden/>
          </w:rPr>
          <w:fldChar w:fldCharType="separate"/>
        </w:r>
        <w:r w:rsidR="001A0AA1" w:rsidRPr="0026652C">
          <w:rPr>
            <w:webHidden/>
          </w:rPr>
          <w:t>5</w:t>
        </w:r>
        <w:r w:rsidR="001A0AA1" w:rsidRPr="0026652C">
          <w:rPr>
            <w:webHidden/>
          </w:rPr>
          <w:fldChar w:fldCharType="end"/>
        </w:r>
      </w:hyperlink>
    </w:p>
    <w:p w14:paraId="5176BF04" w14:textId="0E2F4AFA" w:rsidR="001A0AA1" w:rsidRPr="0026652C" w:rsidRDefault="00F233E8" w:rsidP="0026652C">
      <w:pPr>
        <w:pStyle w:val="TOC2"/>
        <w:rPr>
          <w:rFonts w:eastAsiaTheme="minorEastAsia"/>
          <w:lang w:eastAsia="en-AU"/>
        </w:rPr>
      </w:pPr>
      <w:hyperlink w:anchor="_Toc5290054" w:history="1">
        <w:r w:rsidR="001A0AA1" w:rsidRPr="0026652C">
          <w:rPr>
            <w:rStyle w:val="Hyperlink"/>
            <w:color w:val="auto"/>
          </w:rPr>
          <w:t>1.4</w:t>
        </w:r>
        <w:r w:rsidR="001A0AA1" w:rsidRPr="0026652C">
          <w:rPr>
            <w:rFonts w:eastAsiaTheme="minorEastAsia"/>
            <w:lang w:eastAsia="en-AU"/>
          </w:rPr>
          <w:tab/>
        </w:r>
        <w:r w:rsidR="001A0AA1" w:rsidRPr="0026652C">
          <w:rPr>
            <w:rStyle w:val="Hyperlink"/>
            <w:color w:val="auto"/>
          </w:rPr>
          <w:t>Assignment of inspectors</w:t>
        </w:r>
        <w:r w:rsidR="001A0AA1" w:rsidRPr="0026652C">
          <w:rPr>
            <w:webHidden/>
          </w:rPr>
          <w:tab/>
        </w:r>
        <w:r w:rsidR="001A0AA1" w:rsidRPr="0026652C">
          <w:rPr>
            <w:webHidden/>
          </w:rPr>
          <w:fldChar w:fldCharType="begin"/>
        </w:r>
        <w:r w:rsidR="001A0AA1" w:rsidRPr="0026652C">
          <w:rPr>
            <w:webHidden/>
          </w:rPr>
          <w:instrText xml:space="preserve"> PAGEREF _Toc5290054 \h </w:instrText>
        </w:r>
        <w:r w:rsidR="001A0AA1" w:rsidRPr="0026652C">
          <w:rPr>
            <w:webHidden/>
          </w:rPr>
        </w:r>
        <w:r w:rsidR="001A0AA1" w:rsidRPr="0026652C">
          <w:rPr>
            <w:webHidden/>
          </w:rPr>
          <w:fldChar w:fldCharType="separate"/>
        </w:r>
        <w:r w:rsidR="001A0AA1" w:rsidRPr="0026652C">
          <w:rPr>
            <w:webHidden/>
          </w:rPr>
          <w:t>5</w:t>
        </w:r>
        <w:r w:rsidR="001A0AA1" w:rsidRPr="0026652C">
          <w:rPr>
            <w:webHidden/>
          </w:rPr>
          <w:fldChar w:fldCharType="end"/>
        </w:r>
      </w:hyperlink>
    </w:p>
    <w:p w14:paraId="538ADBC3" w14:textId="05E631CC" w:rsidR="001A0AA1" w:rsidRPr="0026652C" w:rsidRDefault="00F233E8" w:rsidP="0026652C">
      <w:pPr>
        <w:pStyle w:val="TOC2"/>
        <w:rPr>
          <w:rFonts w:eastAsiaTheme="minorEastAsia"/>
          <w:lang w:eastAsia="en-AU"/>
        </w:rPr>
      </w:pPr>
      <w:hyperlink w:anchor="_Toc5290055" w:history="1">
        <w:r w:rsidR="001A0AA1" w:rsidRPr="0026652C">
          <w:rPr>
            <w:rStyle w:val="Hyperlink"/>
            <w:color w:val="auto"/>
          </w:rPr>
          <w:t>1.5</w:t>
        </w:r>
        <w:r w:rsidR="001A0AA1" w:rsidRPr="0026652C">
          <w:rPr>
            <w:rFonts w:eastAsiaTheme="minorEastAsia"/>
            <w:lang w:eastAsia="en-AU"/>
          </w:rPr>
          <w:tab/>
        </w:r>
        <w:r w:rsidR="001A0AA1" w:rsidRPr="0026652C">
          <w:rPr>
            <w:rStyle w:val="Hyperlink"/>
            <w:color w:val="auto"/>
          </w:rPr>
          <w:t>Graded approach to inspection</w:t>
        </w:r>
        <w:r w:rsidR="001A0AA1" w:rsidRPr="0026652C">
          <w:rPr>
            <w:webHidden/>
          </w:rPr>
          <w:tab/>
        </w:r>
        <w:r w:rsidR="001A0AA1" w:rsidRPr="0026652C">
          <w:rPr>
            <w:webHidden/>
          </w:rPr>
          <w:fldChar w:fldCharType="begin"/>
        </w:r>
        <w:r w:rsidR="001A0AA1" w:rsidRPr="0026652C">
          <w:rPr>
            <w:webHidden/>
          </w:rPr>
          <w:instrText xml:space="preserve"> PAGEREF _Toc5290055 \h </w:instrText>
        </w:r>
        <w:r w:rsidR="001A0AA1" w:rsidRPr="0026652C">
          <w:rPr>
            <w:webHidden/>
          </w:rPr>
        </w:r>
        <w:r w:rsidR="001A0AA1" w:rsidRPr="0026652C">
          <w:rPr>
            <w:webHidden/>
          </w:rPr>
          <w:fldChar w:fldCharType="separate"/>
        </w:r>
        <w:r w:rsidR="001A0AA1" w:rsidRPr="0026652C">
          <w:rPr>
            <w:webHidden/>
          </w:rPr>
          <w:t>5</w:t>
        </w:r>
        <w:r w:rsidR="001A0AA1" w:rsidRPr="0026652C">
          <w:rPr>
            <w:webHidden/>
          </w:rPr>
          <w:fldChar w:fldCharType="end"/>
        </w:r>
      </w:hyperlink>
    </w:p>
    <w:p w14:paraId="111DA37B" w14:textId="29097BE0" w:rsidR="001A0AA1" w:rsidRPr="0026652C" w:rsidRDefault="00F233E8" w:rsidP="0026652C">
      <w:pPr>
        <w:pStyle w:val="TOC2"/>
        <w:rPr>
          <w:rFonts w:eastAsiaTheme="minorEastAsia"/>
          <w:lang w:eastAsia="en-AU"/>
        </w:rPr>
      </w:pPr>
      <w:hyperlink w:anchor="_Toc5290056" w:history="1">
        <w:r w:rsidR="001A0AA1" w:rsidRPr="0026652C">
          <w:rPr>
            <w:rStyle w:val="Hyperlink"/>
            <w:color w:val="auto"/>
          </w:rPr>
          <w:t>1.6</w:t>
        </w:r>
        <w:r w:rsidR="001A0AA1" w:rsidRPr="0026652C">
          <w:rPr>
            <w:rFonts w:eastAsiaTheme="minorEastAsia"/>
            <w:lang w:eastAsia="en-AU"/>
          </w:rPr>
          <w:tab/>
        </w:r>
        <w:r w:rsidR="001A0AA1" w:rsidRPr="0026652C">
          <w:rPr>
            <w:rStyle w:val="Hyperlink"/>
            <w:color w:val="auto"/>
          </w:rPr>
          <w:t>Regulatory priority of a facility</w:t>
        </w:r>
        <w:r w:rsidR="001A0AA1" w:rsidRPr="0026652C">
          <w:rPr>
            <w:webHidden/>
          </w:rPr>
          <w:tab/>
        </w:r>
        <w:r w:rsidR="001A0AA1" w:rsidRPr="0026652C">
          <w:rPr>
            <w:webHidden/>
          </w:rPr>
          <w:fldChar w:fldCharType="begin"/>
        </w:r>
        <w:r w:rsidR="001A0AA1" w:rsidRPr="0026652C">
          <w:rPr>
            <w:webHidden/>
          </w:rPr>
          <w:instrText xml:space="preserve"> PAGEREF _Toc5290056 \h </w:instrText>
        </w:r>
        <w:r w:rsidR="001A0AA1" w:rsidRPr="0026652C">
          <w:rPr>
            <w:webHidden/>
          </w:rPr>
        </w:r>
        <w:r w:rsidR="001A0AA1" w:rsidRPr="0026652C">
          <w:rPr>
            <w:webHidden/>
          </w:rPr>
          <w:fldChar w:fldCharType="separate"/>
        </w:r>
        <w:r w:rsidR="001A0AA1" w:rsidRPr="0026652C">
          <w:rPr>
            <w:webHidden/>
          </w:rPr>
          <w:t>6</w:t>
        </w:r>
        <w:r w:rsidR="001A0AA1" w:rsidRPr="0026652C">
          <w:rPr>
            <w:webHidden/>
          </w:rPr>
          <w:fldChar w:fldCharType="end"/>
        </w:r>
      </w:hyperlink>
    </w:p>
    <w:p w14:paraId="39155EC8" w14:textId="5570330B" w:rsidR="001A0AA1" w:rsidRPr="0026652C" w:rsidRDefault="00F233E8" w:rsidP="0026652C">
      <w:pPr>
        <w:pStyle w:val="TOC3"/>
        <w:rPr>
          <w:rFonts w:eastAsiaTheme="minorEastAsia"/>
          <w:lang w:eastAsia="en-AU"/>
        </w:rPr>
      </w:pPr>
      <w:hyperlink w:anchor="_Toc5290057" w:history="1">
        <w:r w:rsidR="001A0AA1" w:rsidRPr="0026652C">
          <w:rPr>
            <w:rStyle w:val="Hyperlink"/>
            <w:color w:val="auto"/>
          </w:rPr>
          <w:t>Determining the RP of a facility</w:t>
        </w:r>
        <w:r w:rsidR="001A0AA1" w:rsidRPr="0026652C">
          <w:rPr>
            <w:webHidden/>
          </w:rPr>
          <w:tab/>
        </w:r>
        <w:r w:rsidR="001A0AA1" w:rsidRPr="0026652C">
          <w:rPr>
            <w:webHidden/>
          </w:rPr>
          <w:fldChar w:fldCharType="begin"/>
        </w:r>
        <w:r w:rsidR="001A0AA1" w:rsidRPr="0026652C">
          <w:rPr>
            <w:webHidden/>
          </w:rPr>
          <w:instrText xml:space="preserve"> PAGEREF _Toc5290057 \h </w:instrText>
        </w:r>
        <w:r w:rsidR="001A0AA1" w:rsidRPr="0026652C">
          <w:rPr>
            <w:webHidden/>
          </w:rPr>
        </w:r>
        <w:r w:rsidR="001A0AA1" w:rsidRPr="0026652C">
          <w:rPr>
            <w:webHidden/>
          </w:rPr>
          <w:fldChar w:fldCharType="separate"/>
        </w:r>
        <w:r w:rsidR="001A0AA1" w:rsidRPr="0026652C">
          <w:rPr>
            <w:webHidden/>
          </w:rPr>
          <w:t>6</w:t>
        </w:r>
        <w:r w:rsidR="001A0AA1" w:rsidRPr="0026652C">
          <w:rPr>
            <w:webHidden/>
          </w:rPr>
          <w:fldChar w:fldCharType="end"/>
        </w:r>
      </w:hyperlink>
    </w:p>
    <w:p w14:paraId="03E1E1DF" w14:textId="782711D8" w:rsidR="001A0AA1" w:rsidRPr="0026652C" w:rsidRDefault="00F233E8" w:rsidP="0026652C">
      <w:pPr>
        <w:pStyle w:val="TOC3"/>
        <w:rPr>
          <w:rFonts w:eastAsiaTheme="minorEastAsia"/>
          <w:lang w:eastAsia="en-AU"/>
        </w:rPr>
      </w:pPr>
      <w:hyperlink w:anchor="_Toc5290058" w:history="1">
        <w:r w:rsidR="001A0AA1" w:rsidRPr="0026652C">
          <w:rPr>
            <w:rStyle w:val="Hyperlink"/>
            <w:color w:val="auto"/>
          </w:rPr>
          <w:t>Evaluating the hazard of a facility</w:t>
        </w:r>
        <w:r w:rsidR="001A0AA1" w:rsidRPr="0026652C">
          <w:rPr>
            <w:webHidden/>
          </w:rPr>
          <w:tab/>
        </w:r>
        <w:r w:rsidR="001A0AA1" w:rsidRPr="0026652C">
          <w:rPr>
            <w:webHidden/>
          </w:rPr>
          <w:fldChar w:fldCharType="begin"/>
        </w:r>
        <w:r w:rsidR="001A0AA1" w:rsidRPr="0026652C">
          <w:rPr>
            <w:webHidden/>
          </w:rPr>
          <w:instrText xml:space="preserve"> PAGEREF _Toc5290058 \h </w:instrText>
        </w:r>
        <w:r w:rsidR="001A0AA1" w:rsidRPr="0026652C">
          <w:rPr>
            <w:webHidden/>
          </w:rPr>
        </w:r>
        <w:r w:rsidR="001A0AA1" w:rsidRPr="0026652C">
          <w:rPr>
            <w:webHidden/>
          </w:rPr>
          <w:fldChar w:fldCharType="separate"/>
        </w:r>
        <w:r w:rsidR="001A0AA1" w:rsidRPr="0026652C">
          <w:rPr>
            <w:webHidden/>
          </w:rPr>
          <w:t>6</w:t>
        </w:r>
        <w:r w:rsidR="001A0AA1" w:rsidRPr="0026652C">
          <w:rPr>
            <w:webHidden/>
          </w:rPr>
          <w:fldChar w:fldCharType="end"/>
        </w:r>
      </w:hyperlink>
    </w:p>
    <w:p w14:paraId="0BA2D8DE" w14:textId="3323CE2F" w:rsidR="001A0AA1" w:rsidRPr="0026652C" w:rsidRDefault="00F233E8" w:rsidP="0026652C">
      <w:pPr>
        <w:pStyle w:val="TOC3"/>
        <w:rPr>
          <w:rFonts w:eastAsiaTheme="minorEastAsia"/>
          <w:lang w:eastAsia="en-AU"/>
        </w:rPr>
      </w:pPr>
      <w:hyperlink w:anchor="_Toc5290059" w:history="1">
        <w:r w:rsidR="001A0AA1" w:rsidRPr="0026652C">
          <w:rPr>
            <w:rStyle w:val="Hyperlink"/>
            <w:color w:val="auto"/>
          </w:rPr>
          <w:t>Evaluating the control of a facility</w:t>
        </w:r>
        <w:r w:rsidR="001A0AA1" w:rsidRPr="0026652C">
          <w:rPr>
            <w:webHidden/>
          </w:rPr>
          <w:tab/>
        </w:r>
        <w:r w:rsidR="001A0AA1" w:rsidRPr="0026652C">
          <w:rPr>
            <w:webHidden/>
          </w:rPr>
          <w:fldChar w:fldCharType="begin"/>
        </w:r>
        <w:r w:rsidR="001A0AA1" w:rsidRPr="0026652C">
          <w:rPr>
            <w:webHidden/>
          </w:rPr>
          <w:instrText xml:space="preserve"> PAGEREF _Toc5290059 \h </w:instrText>
        </w:r>
        <w:r w:rsidR="001A0AA1" w:rsidRPr="0026652C">
          <w:rPr>
            <w:webHidden/>
          </w:rPr>
        </w:r>
        <w:r w:rsidR="001A0AA1" w:rsidRPr="0026652C">
          <w:rPr>
            <w:webHidden/>
          </w:rPr>
          <w:fldChar w:fldCharType="separate"/>
        </w:r>
        <w:r w:rsidR="001A0AA1" w:rsidRPr="0026652C">
          <w:rPr>
            <w:webHidden/>
          </w:rPr>
          <w:t>7</w:t>
        </w:r>
        <w:r w:rsidR="001A0AA1" w:rsidRPr="0026652C">
          <w:rPr>
            <w:webHidden/>
          </w:rPr>
          <w:fldChar w:fldCharType="end"/>
        </w:r>
      </w:hyperlink>
    </w:p>
    <w:p w14:paraId="0166809D" w14:textId="2EEB6F67" w:rsidR="001A0AA1" w:rsidRPr="0026652C" w:rsidRDefault="00F233E8" w:rsidP="0026652C">
      <w:pPr>
        <w:pStyle w:val="TOC3"/>
        <w:rPr>
          <w:rFonts w:eastAsiaTheme="minorEastAsia"/>
          <w:lang w:eastAsia="en-AU"/>
        </w:rPr>
      </w:pPr>
      <w:hyperlink w:anchor="_Toc5290060" w:history="1">
        <w:r w:rsidR="001A0AA1" w:rsidRPr="0026652C">
          <w:rPr>
            <w:rStyle w:val="Hyperlink"/>
            <w:color w:val="auto"/>
          </w:rPr>
          <w:t>Review of regulatory priority</w:t>
        </w:r>
        <w:r w:rsidR="001A0AA1" w:rsidRPr="0026652C">
          <w:rPr>
            <w:webHidden/>
          </w:rPr>
          <w:tab/>
        </w:r>
        <w:r w:rsidR="001A0AA1" w:rsidRPr="0026652C">
          <w:rPr>
            <w:webHidden/>
          </w:rPr>
          <w:fldChar w:fldCharType="begin"/>
        </w:r>
        <w:r w:rsidR="001A0AA1" w:rsidRPr="0026652C">
          <w:rPr>
            <w:webHidden/>
          </w:rPr>
          <w:instrText xml:space="preserve"> PAGEREF _Toc5290060 \h </w:instrText>
        </w:r>
        <w:r w:rsidR="001A0AA1" w:rsidRPr="0026652C">
          <w:rPr>
            <w:webHidden/>
          </w:rPr>
        </w:r>
        <w:r w:rsidR="001A0AA1" w:rsidRPr="0026652C">
          <w:rPr>
            <w:webHidden/>
          </w:rPr>
          <w:fldChar w:fldCharType="separate"/>
        </w:r>
        <w:r w:rsidR="001A0AA1" w:rsidRPr="0026652C">
          <w:rPr>
            <w:webHidden/>
          </w:rPr>
          <w:t>8</w:t>
        </w:r>
        <w:r w:rsidR="001A0AA1" w:rsidRPr="0026652C">
          <w:rPr>
            <w:webHidden/>
          </w:rPr>
          <w:fldChar w:fldCharType="end"/>
        </w:r>
      </w:hyperlink>
    </w:p>
    <w:p w14:paraId="5460B0D8" w14:textId="67203DF8" w:rsidR="001A0AA1" w:rsidRPr="0026652C" w:rsidRDefault="00F233E8" w:rsidP="0026652C">
      <w:pPr>
        <w:pStyle w:val="TOC2"/>
        <w:rPr>
          <w:rFonts w:eastAsiaTheme="minorEastAsia"/>
          <w:lang w:eastAsia="en-AU"/>
        </w:rPr>
      </w:pPr>
      <w:hyperlink w:anchor="_Toc5290061" w:history="1">
        <w:r w:rsidR="001A0AA1" w:rsidRPr="0026652C">
          <w:rPr>
            <w:rStyle w:val="Hyperlink"/>
            <w:color w:val="auto"/>
          </w:rPr>
          <w:t>1.7</w:t>
        </w:r>
        <w:r w:rsidR="001A0AA1" w:rsidRPr="0026652C">
          <w:rPr>
            <w:rFonts w:eastAsiaTheme="minorEastAsia"/>
            <w:lang w:eastAsia="en-AU"/>
          </w:rPr>
          <w:tab/>
        </w:r>
        <w:r w:rsidR="001A0AA1" w:rsidRPr="0026652C">
          <w:rPr>
            <w:rStyle w:val="Hyperlink"/>
            <w:color w:val="auto"/>
          </w:rPr>
          <w:t>Inspection schedule</w:t>
        </w:r>
        <w:r w:rsidR="001A0AA1" w:rsidRPr="0026652C">
          <w:rPr>
            <w:webHidden/>
          </w:rPr>
          <w:tab/>
        </w:r>
        <w:r w:rsidR="001A0AA1" w:rsidRPr="0026652C">
          <w:rPr>
            <w:webHidden/>
          </w:rPr>
          <w:fldChar w:fldCharType="begin"/>
        </w:r>
        <w:r w:rsidR="001A0AA1" w:rsidRPr="0026652C">
          <w:rPr>
            <w:webHidden/>
          </w:rPr>
          <w:instrText xml:space="preserve"> PAGEREF _Toc5290061 \h </w:instrText>
        </w:r>
        <w:r w:rsidR="001A0AA1" w:rsidRPr="0026652C">
          <w:rPr>
            <w:webHidden/>
          </w:rPr>
        </w:r>
        <w:r w:rsidR="001A0AA1" w:rsidRPr="0026652C">
          <w:rPr>
            <w:webHidden/>
          </w:rPr>
          <w:fldChar w:fldCharType="separate"/>
        </w:r>
        <w:r w:rsidR="001A0AA1" w:rsidRPr="0026652C">
          <w:rPr>
            <w:webHidden/>
          </w:rPr>
          <w:t>8</w:t>
        </w:r>
        <w:r w:rsidR="001A0AA1" w:rsidRPr="0026652C">
          <w:rPr>
            <w:webHidden/>
          </w:rPr>
          <w:fldChar w:fldCharType="end"/>
        </w:r>
      </w:hyperlink>
    </w:p>
    <w:p w14:paraId="1C6D35F3" w14:textId="172CF772" w:rsidR="001A0AA1" w:rsidRPr="0026652C" w:rsidRDefault="00F233E8" w:rsidP="0026652C">
      <w:pPr>
        <w:pStyle w:val="TOC3"/>
        <w:rPr>
          <w:rFonts w:eastAsiaTheme="minorEastAsia"/>
          <w:lang w:eastAsia="en-AU"/>
        </w:rPr>
      </w:pPr>
      <w:hyperlink w:anchor="_Toc5290062" w:history="1">
        <w:r w:rsidR="001A0AA1" w:rsidRPr="0026652C">
          <w:rPr>
            <w:rStyle w:val="Hyperlink"/>
            <w:color w:val="auto"/>
          </w:rPr>
          <w:t>Facility inspection frequency</w:t>
        </w:r>
        <w:r w:rsidR="001A0AA1" w:rsidRPr="0026652C">
          <w:rPr>
            <w:webHidden/>
          </w:rPr>
          <w:tab/>
        </w:r>
        <w:r w:rsidR="001A0AA1" w:rsidRPr="0026652C">
          <w:rPr>
            <w:webHidden/>
          </w:rPr>
          <w:fldChar w:fldCharType="begin"/>
        </w:r>
        <w:r w:rsidR="001A0AA1" w:rsidRPr="0026652C">
          <w:rPr>
            <w:webHidden/>
          </w:rPr>
          <w:instrText xml:space="preserve"> PAGEREF _Toc5290062 \h </w:instrText>
        </w:r>
        <w:r w:rsidR="001A0AA1" w:rsidRPr="0026652C">
          <w:rPr>
            <w:webHidden/>
          </w:rPr>
        </w:r>
        <w:r w:rsidR="001A0AA1" w:rsidRPr="0026652C">
          <w:rPr>
            <w:webHidden/>
          </w:rPr>
          <w:fldChar w:fldCharType="separate"/>
        </w:r>
        <w:r w:rsidR="001A0AA1" w:rsidRPr="0026652C">
          <w:rPr>
            <w:webHidden/>
          </w:rPr>
          <w:t>8</w:t>
        </w:r>
        <w:r w:rsidR="001A0AA1" w:rsidRPr="0026652C">
          <w:rPr>
            <w:webHidden/>
          </w:rPr>
          <w:fldChar w:fldCharType="end"/>
        </w:r>
      </w:hyperlink>
    </w:p>
    <w:p w14:paraId="24BB644D" w14:textId="3175EDAC" w:rsidR="001A0AA1" w:rsidRPr="0026652C" w:rsidRDefault="00F233E8" w:rsidP="0026652C">
      <w:pPr>
        <w:pStyle w:val="TOC3"/>
        <w:rPr>
          <w:rFonts w:eastAsiaTheme="minorEastAsia"/>
          <w:lang w:eastAsia="en-AU"/>
        </w:rPr>
      </w:pPr>
      <w:hyperlink w:anchor="_Toc5290063" w:history="1">
        <w:r w:rsidR="001A0AA1" w:rsidRPr="0026652C">
          <w:rPr>
            <w:rStyle w:val="Hyperlink"/>
            <w:color w:val="auto"/>
          </w:rPr>
          <w:t>Source inspection frequency</w:t>
        </w:r>
        <w:r w:rsidR="001A0AA1" w:rsidRPr="0026652C">
          <w:rPr>
            <w:webHidden/>
          </w:rPr>
          <w:tab/>
        </w:r>
        <w:r w:rsidR="001A0AA1" w:rsidRPr="0026652C">
          <w:rPr>
            <w:webHidden/>
          </w:rPr>
          <w:fldChar w:fldCharType="begin"/>
        </w:r>
        <w:r w:rsidR="001A0AA1" w:rsidRPr="0026652C">
          <w:rPr>
            <w:webHidden/>
          </w:rPr>
          <w:instrText xml:space="preserve"> PAGEREF _Toc5290063 \h </w:instrText>
        </w:r>
        <w:r w:rsidR="001A0AA1" w:rsidRPr="0026652C">
          <w:rPr>
            <w:webHidden/>
          </w:rPr>
        </w:r>
        <w:r w:rsidR="001A0AA1" w:rsidRPr="0026652C">
          <w:rPr>
            <w:webHidden/>
          </w:rPr>
          <w:fldChar w:fldCharType="separate"/>
        </w:r>
        <w:r w:rsidR="001A0AA1" w:rsidRPr="0026652C">
          <w:rPr>
            <w:webHidden/>
          </w:rPr>
          <w:t>8</w:t>
        </w:r>
        <w:r w:rsidR="001A0AA1" w:rsidRPr="0026652C">
          <w:rPr>
            <w:webHidden/>
          </w:rPr>
          <w:fldChar w:fldCharType="end"/>
        </w:r>
      </w:hyperlink>
    </w:p>
    <w:p w14:paraId="44039A37" w14:textId="034B6130" w:rsidR="001A0AA1" w:rsidRPr="0026652C" w:rsidRDefault="00F233E8" w:rsidP="0026652C">
      <w:pPr>
        <w:pStyle w:val="TOC3"/>
        <w:rPr>
          <w:rFonts w:eastAsiaTheme="minorEastAsia"/>
          <w:lang w:eastAsia="en-AU"/>
        </w:rPr>
      </w:pPr>
      <w:hyperlink w:anchor="_Toc5290064" w:history="1">
        <w:r w:rsidR="001A0AA1" w:rsidRPr="0026652C">
          <w:rPr>
            <w:rStyle w:val="Hyperlink"/>
            <w:color w:val="auto"/>
          </w:rPr>
          <w:t>Complex Sites</w:t>
        </w:r>
        <w:r w:rsidR="001A0AA1" w:rsidRPr="0026652C">
          <w:rPr>
            <w:webHidden/>
          </w:rPr>
          <w:tab/>
        </w:r>
        <w:r w:rsidR="001A0AA1" w:rsidRPr="0026652C">
          <w:rPr>
            <w:webHidden/>
          </w:rPr>
          <w:fldChar w:fldCharType="begin"/>
        </w:r>
        <w:r w:rsidR="001A0AA1" w:rsidRPr="0026652C">
          <w:rPr>
            <w:webHidden/>
          </w:rPr>
          <w:instrText xml:space="preserve"> PAGEREF _Toc5290064 \h </w:instrText>
        </w:r>
        <w:r w:rsidR="001A0AA1" w:rsidRPr="0026652C">
          <w:rPr>
            <w:webHidden/>
          </w:rPr>
        </w:r>
        <w:r w:rsidR="001A0AA1" w:rsidRPr="0026652C">
          <w:rPr>
            <w:webHidden/>
          </w:rPr>
          <w:fldChar w:fldCharType="separate"/>
        </w:r>
        <w:r w:rsidR="001A0AA1" w:rsidRPr="0026652C">
          <w:rPr>
            <w:webHidden/>
          </w:rPr>
          <w:t>10</w:t>
        </w:r>
        <w:r w:rsidR="001A0AA1" w:rsidRPr="0026652C">
          <w:rPr>
            <w:webHidden/>
          </w:rPr>
          <w:fldChar w:fldCharType="end"/>
        </w:r>
      </w:hyperlink>
    </w:p>
    <w:p w14:paraId="59400B51" w14:textId="189C3CA9" w:rsidR="001A0AA1" w:rsidRPr="0026652C" w:rsidRDefault="00F233E8" w:rsidP="0026652C">
      <w:pPr>
        <w:pStyle w:val="TOC2"/>
        <w:rPr>
          <w:rFonts w:eastAsiaTheme="minorEastAsia"/>
          <w:lang w:eastAsia="en-AU"/>
        </w:rPr>
      </w:pPr>
      <w:hyperlink w:anchor="_Toc5290065" w:history="1">
        <w:r w:rsidR="001A0AA1" w:rsidRPr="0026652C">
          <w:rPr>
            <w:rStyle w:val="Hyperlink"/>
            <w:color w:val="auto"/>
          </w:rPr>
          <w:t>1.8</w:t>
        </w:r>
        <w:r w:rsidR="001A0AA1" w:rsidRPr="0026652C">
          <w:rPr>
            <w:rFonts w:eastAsiaTheme="minorEastAsia"/>
            <w:lang w:eastAsia="en-AU"/>
          </w:rPr>
          <w:tab/>
        </w:r>
        <w:r w:rsidR="001A0AA1" w:rsidRPr="0026652C">
          <w:rPr>
            <w:rStyle w:val="Hyperlink"/>
            <w:color w:val="auto"/>
          </w:rPr>
          <w:t>Types of Inspection</w:t>
        </w:r>
        <w:r w:rsidR="001A0AA1" w:rsidRPr="0026652C">
          <w:rPr>
            <w:webHidden/>
          </w:rPr>
          <w:tab/>
        </w:r>
        <w:r w:rsidR="001A0AA1" w:rsidRPr="0026652C">
          <w:rPr>
            <w:webHidden/>
          </w:rPr>
          <w:fldChar w:fldCharType="begin"/>
        </w:r>
        <w:r w:rsidR="001A0AA1" w:rsidRPr="0026652C">
          <w:rPr>
            <w:webHidden/>
          </w:rPr>
          <w:instrText xml:space="preserve"> PAGEREF _Toc5290065 \h </w:instrText>
        </w:r>
        <w:r w:rsidR="001A0AA1" w:rsidRPr="0026652C">
          <w:rPr>
            <w:webHidden/>
          </w:rPr>
        </w:r>
        <w:r w:rsidR="001A0AA1" w:rsidRPr="0026652C">
          <w:rPr>
            <w:webHidden/>
          </w:rPr>
          <w:fldChar w:fldCharType="separate"/>
        </w:r>
        <w:r w:rsidR="001A0AA1" w:rsidRPr="0026652C">
          <w:rPr>
            <w:webHidden/>
          </w:rPr>
          <w:t>10</w:t>
        </w:r>
        <w:r w:rsidR="001A0AA1" w:rsidRPr="0026652C">
          <w:rPr>
            <w:webHidden/>
          </w:rPr>
          <w:fldChar w:fldCharType="end"/>
        </w:r>
      </w:hyperlink>
    </w:p>
    <w:p w14:paraId="08FF0C61" w14:textId="2898E679" w:rsidR="001A0AA1" w:rsidRPr="0026652C" w:rsidRDefault="00F233E8" w:rsidP="0026652C">
      <w:pPr>
        <w:pStyle w:val="TOC3"/>
        <w:rPr>
          <w:rFonts w:eastAsiaTheme="minorEastAsia"/>
          <w:lang w:eastAsia="en-AU"/>
        </w:rPr>
      </w:pPr>
      <w:hyperlink w:anchor="_Toc5290066" w:history="1">
        <w:r w:rsidR="001A0AA1" w:rsidRPr="0026652C">
          <w:rPr>
            <w:rStyle w:val="Hyperlink"/>
            <w:color w:val="auto"/>
          </w:rPr>
          <w:t>Scheduled, augmented and unannounced inspections</w:t>
        </w:r>
        <w:r w:rsidR="001A0AA1" w:rsidRPr="0026652C">
          <w:rPr>
            <w:webHidden/>
          </w:rPr>
          <w:tab/>
        </w:r>
        <w:r w:rsidR="001A0AA1" w:rsidRPr="0026652C">
          <w:rPr>
            <w:webHidden/>
          </w:rPr>
          <w:fldChar w:fldCharType="begin"/>
        </w:r>
        <w:r w:rsidR="001A0AA1" w:rsidRPr="0026652C">
          <w:rPr>
            <w:webHidden/>
          </w:rPr>
          <w:instrText xml:space="preserve"> PAGEREF _Toc5290066 \h </w:instrText>
        </w:r>
        <w:r w:rsidR="001A0AA1" w:rsidRPr="0026652C">
          <w:rPr>
            <w:webHidden/>
          </w:rPr>
        </w:r>
        <w:r w:rsidR="001A0AA1" w:rsidRPr="0026652C">
          <w:rPr>
            <w:webHidden/>
          </w:rPr>
          <w:fldChar w:fldCharType="separate"/>
        </w:r>
        <w:r w:rsidR="001A0AA1" w:rsidRPr="0026652C">
          <w:rPr>
            <w:webHidden/>
          </w:rPr>
          <w:t>10</w:t>
        </w:r>
        <w:r w:rsidR="001A0AA1" w:rsidRPr="0026652C">
          <w:rPr>
            <w:webHidden/>
          </w:rPr>
          <w:fldChar w:fldCharType="end"/>
        </w:r>
      </w:hyperlink>
    </w:p>
    <w:p w14:paraId="3B8A9292" w14:textId="17B8F273" w:rsidR="001A0AA1" w:rsidRPr="0026652C" w:rsidRDefault="00F233E8" w:rsidP="0026652C">
      <w:pPr>
        <w:pStyle w:val="TOC3"/>
        <w:rPr>
          <w:rFonts w:eastAsiaTheme="minorEastAsia"/>
          <w:lang w:eastAsia="en-AU"/>
        </w:rPr>
      </w:pPr>
      <w:hyperlink w:anchor="_Toc5290067" w:history="1">
        <w:r w:rsidR="001A0AA1" w:rsidRPr="0026652C">
          <w:rPr>
            <w:rStyle w:val="Hyperlink"/>
            <w:color w:val="auto"/>
          </w:rPr>
          <w:t>e-inspections</w:t>
        </w:r>
        <w:r w:rsidR="001A0AA1" w:rsidRPr="0026652C">
          <w:rPr>
            <w:webHidden/>
          </w:rPr>
          <w:tab/>
        </w:r>
        <w:r w:rsidR="001A0AA1" w:rsidRPr="0026652C">
          <w:rPr>
            <w:webHidden/>
          </w:rPr>
          <w:fldChar w:fldCharType="begin"/>
        </w:r>
        <w:r w:rsidR="001A0AA1" w:rsidRPr="0026652C">
          <w:rPr>
            <w:webHidden/>
          </w:rPr>
          <w:instrText xml:space="preserve"> PAGEREF _Toc5290067 \h </w:instrText>
        </w:r>
        <w:r w:rsidR="001A0AA1" w:rsidRPr="0026652C">
          <w:rPr>
            <w:webHidden/>
          </w:rPr>
        </w:r>
        <w:r w:rsidR="001A0AA1" w:rsidRPr="0026652C">
          <w:rPr>
            <w:webHidden/>
          </w:rPr>
          <w:fldChar w:fldCharType="separate"/>
        </w:r>
        <w:r w:rsidR="001A0AA1" w:rsidRPr="0026652C">
          <w:rPr>
            <w:webHidden/>
          </w:rPr>
          <w:t>10</w:t>
        </w:r>
        <w:r w:rsidR="001A0AA1" w:rsidRPr="0026652C">
          <w:rPr>
            <w:webHidden/>
          </w:rPr>
          <w:fldChar w:fldCharType="end"/>
        </w:r>
      </w:hyperlink>
    </w:p>
    <w:p w14:paraId="4E25C0C2" w14:textId="6F635B1A" w:rsidR="001A0AA1" w:rsidRPr="0026652C" w:rsidRDefault="00F233E8" w:rsidP="0026652C">
      <w:pPr>
        <w:pStyle w:val="TOC2"/>
        <w:rPr>
          <w:rFonts w:eastAsiaTheme="minorEastAsia"/>
          <w:lang w:eastAsia="en-AU"/>
        </w:rPr>
      </w:pPr>
      <w:hyperlink w:anchor="_Toc5290068" w:history="1">
        <w:r w:rsidR="001A0AA1" w:rsidRPr="0026652C">
          <w:rPr>
            <w:rStyle w:val="Hyperlink"/>
            <w:color w:val="auto"/>
          </w:rPr>
          <w:t>1.9</w:t>
        </w:r>
        <w:r w:rsidR="001A0AA1" w:rsidRPr="0026652C">
          <w:rPr>
            <w:rFonts w:eastAsiaTheme="minorEastAsia"/>
            <w:lang w:eastAsia="en-AU"/>
          </w:rPr>
          <w:tab/>
        </w:r>
        <w:r w:rsidR="001A0AA1" w:rsidRPr="0026652C">
          <w:rPr>
            <w:rStyle w:val="Hyperlink"/>
            <w:color w:val="auto"/>
          </w:rPr>
          <w:t>Functional inspection areas</w:t>
        </w:r>
        <w:r w:rsidR="001A0AA1" w:rsidRPr="0026652C">
          <w:rPr>
            <w:webHidden/>
          </w:rPr>
          <w:tab/>
        </w:r>
        <w:r w:rsidR="001A0AA1" w:rsidRPr="0026652C">
          <w:rPr>
            <w:webHidden/>
          </w:rPr>
          <w:fldChar w:fldCharType="begin"/>
        </w:r>
        <w:r w:rsidR="001A0AA1" w:rsidRPr="0026652C">
          <w:rPr>
            <w:webHidden/>
          </w:rPr>
          <w:instrText xml:space="preserve"> PAGEREF _Toc5290068 \h </w:instrText>
        </w:r>
        <w:r w:rsidR="001A0AA1" w:rsidRPr="0026652C">
          <w:rPr>
            <w:webHidden/>
          </w:rPr>
        </w:r>
        <w:r w:rsidR="001A0AA1" w:rsidRPr="0026652C">
          <w:rPr>
            <w:webHidden/>
          </w:rPr>
          <w:fldChar w:fldCharType="separate"/>
        </w:r>
        <w:r w:rsidR="001A0AA1" w:rsidRPr="0026652C">
          <w:rPr>
            <w:webHidden/>
          </w:rPr>
          <w:t>10</w:t>
        </w:r>
        <w:r w:rsidR="001A0AA1" w:rsidRPr="0026652C">
          <w:rPr>
            <w:webHidden/>
          </w:rPr>
          <w:fldChar w:fldCharType="end"/>
        </w:r>
      </w:hyperlink>
    </w:p>
    <w:p w14:paraId="1960A487" w14:textId="66EF0098" w:rsidR="001A0AA1" w:rsidRPr="0026652C" w:rsidRDefault="00F233E8" w:rsidP="0026652C">
      <w:pPr>
        <w:pStyle w:val="TOC2"/>
        <w:rPr>
          <w:rFonts w:eastAsiaTheme="minorEastAsia"/>
          <w:lang w:eastAsia="en-AU"/>
        </w:rPr>
      </w:pPr>
      <w:hyperlink w:anchor="_Toc5290069" w:history="1">
        <w:r w:rsidR="001A0AA1" w:rsidRPr="0026652C">
          <w:rPr>
            <w:rStyle w:val="Hyperlink"/>
            <w:color w:val="auto"/>
          </w:rPr>
          <w:t>1.10</w:t>
        </w:r>
        <w:r w:rsidR="001A0AA1" w:rsidRPr="0026652C">
          <w:rPr>
            <w:rFonts w:eastAsiaTheme="minorEastAsia"/>
            <w:lang w:eastAsia="en-AU"/>
          </w:rPr>
          <w:tab/>
        </w:r>
        <w:r w:rsidR="001A0AA1" w:rsidRPr="0026652C">
          <w:rPr>
            <w:rStyle w:val="Hyperlink"/>
            <w:color w:val="auto"/>
          </w:rPr>
          <w:t>Preparing for an inspection</w:t>
        </w:r>
        <w:r w:rsidR="001A0AA1" w:rsidRPr="0026652C">
          <w:rPr>
            <w:webHidden/>
          </w:rPr>
          <w:tab/>
        </w:r>
        <w:r w:rsidR="001A0AA1" w:rsidRPr="0026652C">
          <w:rPr>
            <w:webHidden/>
          </w:rPr>
          <w:fldChar w:fldCharType="begin"/>
        </w:r>
        <w:r w:rsidR="001A0AA1" w:rsidRPr="0026652C">
          <w:rPr>
            <w:webHidden/>
          </w:rPr>
          <w:instrText xml:space="preserve"> PAGEREF _Toc5290069 \h </w:instrText>
        </w:r>
        <w:r w:rsidR="001A0AA1" w:rsidRPr="0026652C">
          <w:rPr>
            <w:webHidden/>
          </w:rPr>
        </w:r>
        <w:r w:rsidR="001A0AA1" w:rsidRPr="0026652C">
          <w:rPr>
            <w:webHidden/>
          </w:rPr>
          <w:fldChar w:fldCharType="separate"/>
        </w:r>
        <w:r w:rsidR="001A0AA1" w:rsidRPr="0026652C">
          <w:rPr>
            <w:webHidden/>
          </w:rPr>
          <w:t>11</w:t>
        </w:r>
        <w:r w:rsidR="001A0AA1" w:rsidRPr="0026652C">
          <w:rPr>
            <w:webHidden/>
          </w:rPr>
          <w:fldChar w:fldCharType="end"/>
        </w:r>
      </w:hyperlink>
    </w:p>
    <w:p w14:paraId="2B947E8D" w14:textId="41C5E20E" w:rsidR="001A0AA1" w:rsidRPr="0026652C" w:rsidRDefault="00F233E8" w:rsidP="0026652C">
      <w:pPr>
        <w:pStyle w:val="TOC2"/>
        <w:rPr>
          <w:rFonts w:eastAsiaTheme="minorEastAsia"/>
          <w:lang w:eastAsia="en-AU"/>
        </w:rPr>
      </w:pPr>
      <w:hyperlink w:anchor="_Toc5290070" w:history="1">
        <w:r w:rsidR="001A0AA1" w:rsidRPr="0026652C">
          <w:rPr>
            <w:rStyle w:val="Hyperlink"/>
            <w:color w:val="auto"/>
          </w:rPr>
          <w:t>1.11</w:t>
        </w:r>
        <w:r w:rsidR="001A0AA1" w:rsidRPr="0026652C">
          <w:rPr>
            <w:rFonts w:eastAsiaTheme="minorEastAsia"/>
            <w:lang w:eastAsia="en-AU"/>
          </w:rPr>
          <w:tab/>
        </w:r>
        <w:r w:rsidR="001A0AA1" w:rsidRPr="0026652C">
          <w:rPr>
            <w:rStyle w:val="Hyperlink"/>
            <w:color w:val="auto"/>
          </w:rPr>
          <w:t>Conducting an inspection</w:t>
        </w:r>
        <w:r w:rsidR="001A0AA1" w:rsidRPr="0026652C">
          <w:rPr>
            <w:webHidden/>
          </w:rPr>
          <w:tab/>
        </w:r>
        <w:r w:rsidR="001A0AA1" w:rsidRPr="0026652C">
          <w:rPr>
            <w:webHidden/>
          </w:rPr>
          <w:fldChar w:fldCharType="begin"/>
        </w:r>
        <w:r w:rsidR="001A0AA1" w:rsidRPr="0026652C">
          <w:rPr>
            <w:webHidden/>
          </w:rPr>
          <w:instrText xml:space="preserve"> PAGEREF _Toc5290070 \h </w:instrText>
        </w:r>
        <w:r w:rsidR="001A0AA1" w:rsidRPr="0026652C">
          <w:rPr>
            <w:webHidden/>
          </w:rPr>
        </w:r>
        <w:r w:rsidR="001A0AA1" w:rsidRPr="0026652C">
          <w:rPr>
            <w:webHidden/>
          </w:rPr>
          <w:fldChar w:fldCharType="separate"/>
        </w:r>
        <w:r w:rsidR="001A0AA1" w:rsidRPr="0026652C">
          <w:rPr>
            <w:webHidden/>
          </w:rPr>
          <w:t>11</w:t>
        </w:r>
        <w:r w:rsidR="001A0AA1" w:rsidRPr="0026652C">
          <w:rPr>
            <w:webHidden/>
          </w:rPr>
          <w:fldChar w:fldCharType="end"/>
        </w:r>
      </w:hyperlink>
    </w:p>
    <w:p w14:paraId="7AC7A0D7" w14:textId="7F5F6FD4" w:rsidR="001A0AA1" w:rsidRPr="0026652C" w:rsidRDefault="00F233E8" w:rsidP="0026652C">
      <w:pPr>
        <w:pStyle w:val="TOC2"/>
        <w:rPr>
          <w:rFonts w:eastAsiaTheme="minorEastAsia"/>
          <w:lang w:eastAsia="en-AU"/>
        </w:rPr>
      </w:pPr>
      <w:hyperlink w:anchor="_Toc5290071" w:history="1">
        <w:r w:rsidR="001A0AA1" w:rsidRPr="0026652C">
          <w:rPr>
            <w:rStyle w:val="Hyperlink"/>
            <w:color w:val="auto"/>
          </w:rPr>
          <w:t>1.12</w:t>
        </w:r>
        <w:r w:rsidR="001A0AA1" w:rsidRPr="0026652C">
          <w:rPr>
            <w:rFonts w:eastAsiaTheme="minorEastAsia"/>
            <w:lang w:eastAsia="en-AU"/>
          </w:rPr>
          <w:tab/>
        </w:r>
        <w:r w:rsidR="001A0AA1" w:rsidRPr="0026652C">
          <w:rPr>
            <w:rStyle w:val="Hyperlink"/>
            <w:color w:val="auto"/>
          </w:rPr>
          <w:t>Inspection reports and findings</w:t>
        </w:r>
        <w:r w:rsidR="001A0AA1" w:rsidRPr="0026652C">
          <w:rPr>
            <w:webHidden/>
          </w:rPr>
          <w:tab/>
        </w:r>
        <w:r w:rsidR="001A0AA1" w:rsidRPr="0026652C">
          <w:rPr>
            <w:webHidden/>
          </w:rPr>
          <w:fldChar w:fldCharType="begin"/>
        </w:r>
        <w:r w:rsidR="001A0AA1" w:rsidRPr="0026652C">
          <w:rPr>
            <w:webHidden/>
          </w:rPr>
          <w:instrText xml:space="preserve"> PAGEREF _Toc5290071 \h </w:instrText>
        </w:r>
        <w:r w:rsidR="001A0AA1" w:rsidRPr="0026652C">
          <w:rPr>
            <w:webHidden/>
          </w:rPr>
        </w:r>
        <w:r w:rsidR="001A0AA1" w:rsidRPr="0026652C">
          <w:rPr>
            <w:webHidden/>
          </w:rPr>
          <w:fldChar w:fldCharType="separate"/>
        </w:r>
        <w:r w:rsidR="001A0AA1" w:rsidRPr="0026652C">
          <w:rPr>
            <w:webHidden/>
          </w:rPr>
          <w:t>11</w:t>
        </w:r>
        <w:r w:rsidR="001A0AA1" w:rsidRPr="0026652C">
          <w:rPr>
            <w:webHidden/>
          </w:rPr>
          <w:fldChar w:fldCharType="end"/>
        </w:r>
      </w:hyperlink>
    </w:p>
    <w:p w14:paraId="57724C18" w14:textId="6CCB7FAE" w:rsidR="001A0AA1" w:rsidRPr="0026652C" w:rsidRDefault="00F233E8" w:rsidP="0026652C">
      <w:pPr>
        <w:pStyle w:val="TOC2"/>
        <w:rPr>
          <w:rFonts w:eastAsiaTheme="minorEastAsia"/>
          <w:lang w:eastAsia="en-AU"/>
        </w:rPr>
      </w:pPr>
      <w:hyperlink w:anchor="_Toc5290072" w:history="1">
        <w:r w:rsidR="001A0AA1" w:rsidRPr="0026652C">
          <w:rPr>
            <w:rStyle w:val="Hyperlink"/>
            <w:color w:val="auto"/>
          </w:rPr>
          <w:t>1.13</w:t>
        </w:r>
        <w:r w:rsidR="001A0AA1" w:rsidRPr="0026652C">
          <w:rPr>
            <w:rFonts w:eastAsiaTheme="minorEastAsia"/>
            <w:lang w:eastAsia="en-AU"/>
          </w:rPr>
          <w:tab/>
        </w:r>
        <w:r w:rsidR="001A0AA1" w:rsidRPr="0026652C">
          <w:rPr>
            <w:rStyle w:val="Hyperlink"/>
            <w:color w:val="auto"/>
          </w:rPr>
          <w:t>Follow-up</w:t>
        </w:r>
        <w:r w:rsidR="001A0AA1" w:rsidRPr="0026652C">
          <w:rPr>
            <w:webHidden/>
          </w:rPr>
          <w:tab/>
        </w:r>
        <w:r w:rsidR="001A0AA1" w:rsidRPr="0026652C">
          <w:rPr>
            <w:webHidden/>
          </w:rPr>
          <w:fldChar w:fldCharType="begin"/>
        </w:r>
        <w:r w:rsidR="001A0AA1" w:rsidRPr="0026652C">
          <w:rPr>
            <w:webHidden/>
          </w:rPr>
          <w:instrText xml:space="preserve"> PAGEREF _Toc5290072 \h </w:instrText>
        </w:r>
        <w:r w:rsidR="001A0AA1" w:rsidRPr="0026652C">
          <w:rPr>
            <w:webHidden/>
          </w:rPr>
        </w:r>
        <w:r w:rsidR="001A0AA1" w:rsidRPr="0026652C">
          <w:rPr>
            <w:webHidden/>
          </w:rPr>
          <w:fldChar w:fldCharType="separate"/>
        </w:r>
        <w:r w:rsidR="001A0AA1" w:rsidRPr="0026652C">
          <w:rPr>
            <w:webHidden/>
          </w:rPr>
          <w:t>12</w:t>
        </w:r>
        <w:r w:rsidR="001A0AA1" w:rsidRPr="0026652C">
          <w:rPr>
            <w:webHidden/>
          </w:rPr>
          <w:fldChar w:fldCharType="end"/>
        </w:r>
      </w:hyperlink>
    </w:p>
    <w:p w14:paraId="56DE1573" w14:textId="77A6C426" w:rsidR="001A0AA1" w:rsidRPr="0026652C" w:rsidRDefault="00F233E8" w:rsidP="0026652C">
      <w:pPr>
        <w:pStyle w:val="TOC2"/>
        <w:rPr>
          <w:rFonts w:eastAsiaTheme="minorEastAsia"/>
          <w:lang w:eastAsia="en-AU"/>
        </w:rPr>
      </w:pPr>
      <w:hyperlink w:anchor="_Toc5290073" w:history="1">
        <w:r w:rsidR="001A0AA1" w:rsidRPr="0026652C">
          <w:rPr>
            <w:rStyle w:val="Hyperlink"/>
            <w:color w:val="auto"/>
          </w:rPr>
          <w:t>1.14</w:t>
        </w:r>
        <w:r w:rsidR="001A0AA1" w:rsidRPr="0026652C">
          <w:rPr>
            <w:rFonts w:eastAsiaTheme="minorEastAsia"/>
            <w:lang w:eastAsia="en-AU"/>
          </w:rPr>
          <w:tab/>
        </w:r>
        <w:r w:rsidR="001A0AA1" w:rsidRPr="0026652C">
          <w:rPr>
            <w:rStyle w:val="Hyperlink"/>
            <w:color w:val="auto"/>
          </w:rPr>
          <w:t>Site Visits</w:t>
        </w:r>
        <w:r w:rsidR="001A0AA1" w:rsidRPr="0026652C">
          <w:rPr>
            <w:webHidden/>
          </w:rPr>
          <w:tab/>
        </w:r>
        <w:r w:rsidR="001A0AA1" w:rsidRPr="0026652C">
          <w:rPr>
            <w:webHidden/>
          </w:rPr>
          <w:fldChar w:fldCharType="begin"/>
        </w:r>
        <w:r w:rsidR="001A0AA1" w:rsidRPr="0026652C">
          <w:rPr>
            <w:webHidden/>
          </w:rPr>
          <w:instrText xml:space="preserve"> PAGEREF _Toc5290073 \h </w:instrText>
        </w:r>
        <w:r w:rsidR="001A0AA1" w:rsidRPr="0026652C">
          <w:rPr>
            <w:webHidden/>
          </w:rPr>
        </w:r>
        <w:r w:rsidR="001A0AA1" w:rsidRPr="0026652C">
          <w:rPr>
            <w:webHidden/>
          </w:rPr>
          <w:fldChar w:fldCharType="separate"/>
        </w:r>
        <w:r w:rsidR="001A0AA1" w:rsidRPr="0026652C">
          <w:rPr>
            <w:webHidden/>
          </w:rPr>
          <w:t>12</w:t>
        </w:r>
        <w:r w:rsidR="001A0AA1" w:rsidRPr="0026652C">
          <w:rPr>
            <w:webHidden/>
          </w:rPr>
          <w:fldChar w:fldCharType="end"/>
        </w:r>
      </w:hyperlink>
    </w:p>
    <w:p w14:paraId="20E9C9BA" w14:textId="016FA886" w:rsidR="001A0AA1" w:rsidRPr="0026652C" w:rsidRDefault="00F233E8" w:rsidP="0026652C">
      <w:pPr>
        <w:pStyle w:val="TOC3"/>
        <w:rPr>
          <w:rFonts w:eastAsiaTheme="minorEastAsia"/>
          <w:lang w:eastAsia="en-AU"/>
        </w:rPr>
      </w:pPr>
      <w:hyperlink w:anchor="_Toc5290074" w:history="1">
        <w:r w:rsidR="001A0AA1" w:rsidRPr="0026652C">
          <w:rPr>
            <w:rStyle w:val="Hyperlink"/>
            <w:color w:val="auto"/>
          </w:rPr>
          <w:t>2.1</w:t>
        </w:r>
        <w:r w:rsidR="001A0AA1" w:rsidRPr="0026652C">
          <w:rPr>
            <w:rFonts w:eastAsiaTheme="minorEastAsia"/>
            <w:lang w:eastAsia="en-AU"/>
          </w:rPr>
          <w:tab/>
        </w:r>
        <w:r w:rsidR="001A0AA1" w:rsidRPr="0026652C">
          <w:rPr>
            <w:rStyle w:val="Hyperlink"/>
            <w:color w:val="auto"/>
          </w:rPr>
          <w:t>Purpose &amp; scope</w:t>
        </w:r>
        <w:r w:rsidR="001A0AA1" w:rsidRPr="0026652C">
          <w:rPr>
            <w:webHidden/>
          </w:rPr>
          <w:tab/>
        </w:r>
        <w:r w:rsidR="001A0AA1" w:rsidRPr="0026652C">
          <w:rPr>
            <w:webHidden/>
          </w:rPr>
          <w:fldChar w:fldCharType="begin"/>
        </w:r>
        <w:r w:rsidR="001A0AA1" w:rsidRPr="0026652C">
          <w:rPr>
            <w:webHidden/>
          </w:rPr>
          <w:instrText xml:space="preserve"> PAGEREF _Toc5290074 \h </w:instrText>
        </w:r>
        <w:r w:rsidR="001A0AA1" w:rsidRPr="0026652C">
          <w:rPr>
            <w:webHidden/>
          </w:rPr>
        </w:r>
        <w:r w:rsidR="001A0AA1" w:rsidRPr="0026652C">
          <w:rPr>
            <w:webHidden/>
          </w:rPr>
          <w:fldChar w:fldCharType="separate"/>
        </w:r>
        <w:r w:rsidR="001A0AA1" w:rsidRPr="0026652C">
          <w:rPr>
            <w:webHidden/>
          </w:rPr>
          <w:t>13</w:t>
        </w:r>
        <w:r w:rsidR="001A0AA1" w:rsidRPr="0026652C">
          <w:rPr>
            <w:webHidden/>
          </w:rPr>
          <w:fldChar w:fldCharType="end"/>
        </w:r>
      </w:hyperlink>
    </w:p>
    <w:p w14:paraId="43EC9C18" w14:textId="5313493F" w:rsidR="001A0AA1" w:rsidRPr="0026652C" w:rsidRDefault="00F233E8" w:rsidP="0026652C">
      <w:pPr>
        <w:pStyle w:val="TOC3"/>
        <w:rPr>
          <w:rFonts w:eastAsiaTheme="minorEastAsia"/>
          <w:lang w:eastAsia="en-AU"/>
        </w:rPr>
      </w:pPr>
      <w:hyperlink w:anchor="_Toc5290075" w:history="1">
        <w:r w:rsidR="001A0AA1" w:rsidRPr="0026652C">
          <w:rPr>
            <w:rStyle w:val="Hyperlink"/>
            <w:color w:val="auto"/>
          </w:rPr>
          <w:t>2.2</w:t>
        </w:r>
        <w:r w:rsidR="001A0AA1" w:rsidRPr="0026652C">
          <w:rPr>
            <w:rFonts w:eastAsiaTheme="minorEastAsia"/>
            <w:lang w:eastAsia="en-AU"/>
          </w:rPr>
          <w:tab/>
        </w:r>
        <w:r w:rsidR="001A0AA1" w:rsidRPr="0026652C">
          <w:rPr>
            <w:rStyle w:val="Hyperlink"/>
            <w:color w:val="auto"/>
          </w:rPr>
          <w:t>Inspection file (optional)</w:t>
        </w:r>
        <w:r w:rsidR="001A0AA1" w:rsidRPr="0026652C">
          <w:rPr>
            <w:webHidden/>
          </w:rPr>
          <w:tab/>
        </w:r>
        <w:r w:rsidR="001A0AA1" w:rsidRPr="0026652C">
          <w:rPr>
            <w:webHidden/>
          </w:rPr>
          <w:fldChar w:fldCharType="begin"/>
        </w:r>
        <w:r w:rsidR="001A0AA1" w:rsidRPr="0026652C">
          <w:rPr>
            <w:webHidden/>
          </w:rPr>
          <w:instrText xml:space="preserve"> PAGEREF _Toc5290075 \h </w:instrText>
        </w:r>
        <w:r w:rsidR="001A0AA1" w:rsidRPr="0026652C">
          <w:rPr>
            <w:webHidden/>
          </w:rPr>
        </w:r>
        <w:r w:rsidR="001A0AA1" w:rsidRPr="0026652C">
          <w:rPr>
            <w:webHidden/>
          </w:rPr>
          <w:fldChar w:fldCharType="separate"/>
        </w:r>
        <w:r w:rsidR="001A0AA1" w:rsidRPr="0026652C">
          <w:rPr>
            <w:webHidden/>
          </w:rPr>
          <w:t>13</w:t>
        </w:r>
        <w:r w:rsidR="001A0AA1" w:rsidRPr="0026652C">
          <w:rPr>
            <w:webHidden/>
          </w:rPr>
          <w:fldChar w:fldCharType="end"/>
        </w:r>
      </w:hyperlink>
    </w:p>
    <w:p w14:paraId="672D0F0C" w14:textId="59FCC8FF" w:rsidR="001A0AA1" w:rsidRPr="0026652C" w:rsidRDefault="00F233E8" w:rsidP="0026652C">
      <w:pPr>
        <w:pStyle w:val="TOC3"/>
        <w:rPr>
          <w:rFonts w:eastAsiaTheme="minorEastAsia"/>
          <w:lang w:eastAsia="en-AU"/>
        </w:rPr>
      </w:pPr>
      <w:hyperlink w:anchor="_Toc5290076" w:history="1">
        <w:r w:rsidR="001A0AA1" w:rsidRPr="0026652C">
          <w:rPr>
            <w:rStyle w:val="Hyperlink"/>
            <w:color w:val="auto"/>
          </w:rPr>
          <w:t>2.3</w:t>
        </w:r>
        <w:r w:rsidR="001A0AA1" w:rsidRPr="0026652C">
          <w:rPr>
            <w:rFonts w:eastAsiaTheme="minorEastAsia"/>
            <w:lang w:eastAsia="en-AU"/>
          </w:rPr>
          <w:tab/>
        </w:r>
        <w:r w:rsidR="001A0AA1" w:rsidRPr="0026652C">
          <w:rPr>
            <w:rStyle w:val="Hyperlink"/>
            <w:color w:val="auto"/>
          </w:rPr>
          <w:t>Inspection team</w:t>
        </w:r>
        <w:r w:rsidR="001A0AA1" w:rsidRPr="0026652C">
          <w:rPr>
            <w:webHidden/>
          </w:rPr>
          <w:tab/>
        </w:r>
        <w:r w:rsidR="001A0AA1" w:rsidRPr="0026652C">
          <w:rPr>
            <w:webHidden/>
          </w:rPr>
          <w:fldChar w:fldCharType="begin"/>
        </w:r>
        <w:r w:rsidR="001A0AA1" w:rsidRPr="0026652C">
          <w:rPr>
            <w:webHidden/>
          </w:rPr>
          <w:instrText xml:space="preserve"> PAGEREF _Toc5290076 \h </w:instrText>
        </w:r>
        <w:r w:rsidR="001A0AA1" w:rsidRPr="0026652C">
          <w:rPr>
            <w:webHidden/>
          </w:rPr>
        </w:r>
        <w:r w:rsidR="001A0AA1" w:rsidRPr="0026652C">
          <w:rPr>
            <w:webHidden/>
          </w:rPr>
          <w:fldChar w:fldCharType="separate"/>
        </w:r>
        <w:r w:rsidR="001A0AA1" w:rsidRPr="0026652C">
          <w:rPr>
            <w:webHidden/>
          </w:rPr>
          <w:t>13</w:t>
        </w:r>
        <w:r w:rsidR="001A0AA1" w:rsidRPr="0026652C">
          <w:rPr>
            <w:webHidden/>
          </w:rPr>
          <w:fldChar w:fldCharType="end"/>
        </w:r>
      </w:hyperlink>
    </w:p>
    <w:p w14:paraId="46A72064" w14:textId="7FAC9719" w:rsidR="001A0AA1" w:rsidRPr="0026652C" w:rsidRDefault="00F233E8" w:rsidP="0026652C">
      <w:pPr>
        <w:pStyle w:val="TOC3"/>
        <w:rPr>
          <w:rFonts w:eastAsiaTheme="minorEastAsia"/>
          <w:lang w:eastAsia="en-AU"/>
        </w:rPr>
      </w:pPr>
      <w:hyperlink w:anchor="_Toc5290077" w:history="1">
        <w:r w:rsidR="001A0AA1" w:rsidRPr="0026652C">
          <w:rPr>
            <w:rStyle w:val="Hyperlink"/>
            <w:color w:val="auto"/>
          </w:rPr>
          <w:t>2.4</w:t>
        </w:r>
        <w:r w:rsidR="001A0AA1" w:rsidRPr="0026652C">
          <w:rPr>
            <w:rFonts w:eastAsiaTheme="minorEastAsia"/>
            <w:lang w:eastAsia="en-AU"/>
          </w:rPr>
          <w:tab/>
        </w:r>
        <w:r w:rsidR="001A0AA1" w:rsidRPr="0026652C">
          <w:rPr>
            <w:rStyle w:val="Hyperlink"/>
            <w:color w:val="auto"/>
          </w:rPr>
          <w:t>Document review</w:t>
        </w:r>
        <w:r w:rsidR="001A0AA1" w:rsidRPr="0026652C">
          <w:rPr>
            <w:webHidden/>
          </w:rPr>
          <w:tab/>
        </w:r>
        <w:r w:rsidR="001A0AA1" w:rsidRPr="0026652C">
          <w:rPr>
            <w:webHidden/>
          </w:rPr>
          <w:fldChar w:fldCharType="begin"/>
        </w:r>
        <w:r w:rsidR="001A0AA1" w:rsidRPr="0026652C">
          <w:rPr>
            <w:webHidden/>
          </w:rPr>
          <w:instrText xml:space="preserve"> PAGEREF _Toc5290077 \h </w:instrText>
        </w:r>
        <w:r w:rsidR="001A0AA1" w:rsidRPr="0026652C">
          <w:rPr>
            <w:webHidden/>
          </w:rPr>
        </w:r>
        <w:r w:rsidR="001A0AA1" w:rsidRPr="0026652C">
          <w:rPr>
            <w:webHidden/>
          </w:rPr>
          <w:fldChar w:fldCharType="separate"/>
        </w:r>
        <w:r w:rsidR="001A0AA1" w:rsidRPr="0026652C">
          <w:rPr>
            <w:webHidden/>
          </w:rPr>
          <w:t>13</w:t>
        </w:r>
        <w:r w:rsidR="001A0AA1" w:rsidRPr="0026652C">
          <w:rPr>
            <w:webHidden/>
          </w:rPr>
          <w:fldChar w:fldCharType="end"/>
        </w:r>
      </w:hyperlink>
    </w:p>
    <w:p w14:paraId="14927EC9" w14:textId="634B1FCC" w:rsidR="001A0AA1" w:rsidRPr="0026652C" w:rsidRDefault="00F233E8" w:rsidP="0026652C">
      <w:pPr>
        <w:pStyle w:val="TOC3"/>
        <w:rPr>
          <w:rFonts w:eastAsiaTheme="minorEastAsia"/>
          <w:lang w:eastAsia="en-AU"/>
        </w:rPr>
      </w:pPr>
      <w:hyperlink w:anchor="_Toc5290078" w:history="1">
        <w:r w:rsidR="001A0AA1" w:rsidRPr="0026652C">
          <w:rPr>
            <w:rStyle w:val="Hyperlink"/>
            <w:color w:val="auto"/>
          </w:rPr>
          <w:t>2.5</w:t>
        </w:r>
        <w:r w:rsidR="001A0AA1" w:rsidRPr="0026652C">
          <w:rPr>
            <w:rFonts w:eastAsiaTheme="minorEastAsia"/>
            <w:lang w:eastAsia="en-AU"/>
          </w:rPr>
          <w:tab/>
        </w:r>
        <w:r w:rsidR="001A0AA1" w:rsidRPr="0026652C">
          <w:rPr>
            <w:rStyle w:val="Hyperlink"/>
            <w:color w:val="auto"/>
          </w:rPr>
          <w:t>Timetable</w:t>
        </w:r>
        <w:r w:rsidR="001A0AA1" w:rsidRPr="0026652C">
          <w:rPr>
            <w:webHidden/>
          </w:rPr>
          <w:tab/>
        </w:r>
        <w:r w:rsidR="001A0AA1" w:rsidRPr="0026652C">
          <w:rPr>
            <w:webHidden/>
          </w:rPr>
          <w:fldChar w:fldCharType="begin"/>
        </w:r>
        <w:r w:rsidR="001A0AA1" w:rsidRPr="0026652C">
          <w:rPr>
            <w:webHidden/>
          </w:rPr>
          <w:instrText xml:space="preserve"> PAGEREF _Toc5290078 \h </w:instrText>
        </w:r>
        <w:r w:rsidR="001A0AA1" w:rsidRPr="0026652C">
          <w:rPr>
            <w:webHidden/>
          </w:rPr>
        </w:r>
        <w:r w:rsidR="001A0AA1" w:rsidRPr="0026652C">
          <w:rPr>
            <w:webHidden/>
          </w:rPr>
          <w:fldChar w:fldCharType="separate"/>
        </w:r>
        <w:r w:rsidR="001A0AA1" w:rsidRPr="0026652C">
          <w:rPr>
            <w:webHidden/>
          </w:rPr>
          <w:t>14</w:t>
        </w:r>
        <w:r w:rsidR="001A0AA1" w:rsidRPr="0026652C">
          <w:rPr>
            <w:webHidden/>
          </w:rPr>
          <w:fldChar w:fldCharType="end"/>
        </w:r>
      </w:hyperlink>
    </w:p>
    <w:p w14:paraId="5316B26B" w14:textId="446F4315" w:rsidR="001A0AA1" w:rsidRPr="0026652C" w:rsidRDefault="00F233E8" w:rsidP="0026652C">
      <w:pPr>
        <w:pStyle w:val="TOC3"/>
        <w:rPr>
          <w:rFonts w:eastAsiaTheme="minorEastAsia"/>
          <w:lang w:eastAsia="en-AU"/>
        </w:rPr>
      </w:pPr>
      <w:hyperlink w:anchor="_Toc5290079" w:history="1">
        <w:r w:rsidR="001A0AA1" w:rsidRPr="0026652C">
          <w:rPr>
            <w:rStyle w:val="Hyperlink"/>
            <w:color w:val="auto"/>
          </w:rPr>
          <w:t>2.6</w:t>
        </w:r>
        <w:r w:rsidR="001A0AA1" w:rsidRPr="0026652C">
          <w:rPr>
            <w:rFonts w:eastAsiaTheme="minorEastAsia"/>
            <w:lang w:eastAsia="en-AU"/>
          </w:rPr>
          <w:tab/>
        </w:r>
        <w:r w:rsidR="001A0AA1" w:rsidRPr="0026652C">
          <w:rPr>
            <w:rStyle w:val="Hyperlink"/>
            <w:color w:val="auto"/>
          </w:rPr>
          <w:t>Notification</w:t>
        </w:r>
        <w:r w:rsidR="001A0AA1" w:rsidRPr="0026652C">
          <w:rPr>
            <w:webHidden/>
          </w:rPr>
          <w:tab/>
        </w:r>
        <w:r w:rsidR="001A0AA1" w:rsidRPr="0026652C">
          <w:rPr>
            <w:webHidden/>
          </w:rPr>
          <w:fldChar w:fldCharType="begin"/>
        </w:r>
        <w:r w:rsidR="001A0AA1" w:rsidRPr="0026652C">
          <w:rPr>
            <w:webHidden/>
          </w:rPr>
          <w:instrText xml:space="preserve"> PAGEREF _Toc5290079 \h </w:instrText>
        </w:r>
        <w:r w:rsidR="001A0AA1" w:rsidRPr="0026652C">
          <w:rPr>
            <w:webHidden/>
          </w:rPr>
        </w:r>
        <w:r w:rsidR="001A0AA1" w:rsidRPr="0026652C">
          <w:rPr>
            <w:webHidden/>
          </w:rPr>
          <w:fldChar w:fldCharType="separate"/>
        </w:r>
        <w:r w:rsidR="001A0AA1" w:rsidRPr="0026652C">
          <w:rPr>
            <w:webHidden/>
          </w:rPr>
          <w:t>14</w:t>
        </w:r>
        <w:r w:rsidR="001A0AA1" w:rsidRPr="0026652C">
          <w:rPr>
            <w:webHidden/>
          </w:rPr>
          <w:fldChar w:fldCharType="end"/>
        </w:r>
      </w:hyperlink>
    </w:p>
    <w:p w14:paraId="28C7A510" w14:textId="6ADAD1BD" w:rsidR="001A0AA1" w:rsidRPr="0026652C" w:rsidRDefault="00F233E8" w:rsidP="0026652C">
      <w:pPr>
        <w:pStyle w:val="TOC3"/>
        <w:rPr>
          <w:rFonts w:eastAsiaTheme="minorEastAsia"/>
          <w:lang w:eastAsia="en-AU"/>
        </w:rPr>
      </w:pPr>
      <w:hyperlink w:anchor="_Toc5290080" w:history="1">
        <w:r w:rsidR="001A0AA1" w:rsidRPr="0026652C">
          <w:rPr>
            <w:rStyle w:val="Hyperlink"/>
            <w:color w:val="auto"/>
          </w:rPr>
          <w:t>2.7</w:t>
        </w:r>
        <w:r w:rsidR="001A0AA1" w:rsidRPr="0026652C">
          <w:rPr>
            <w:rFonts w:eastAsiaTheme="minorEastAsia"/>
            <w:lang w:eastAsia="en-AU"/>
          </w:rPr>
          <w:tab/>
        </w:r>
        <w:r w:rsidR="001A0AA1" w:rsidRPr="0026652C">
          <w:rPr>
            <w:rStyle w:val="Hyperlink"/>
            <w:color w:val="auto"/>
          </w:rPr>
          <w:t>Logistics</w:t>
        </w:r>
        <w:r w:rsidR="001A0AA1" w:rsidRPr="0026652C">
          <w:rPr>
            <w:webHidden/>
          </w:rPr>
          <w:tab/>
        </w:r>
        <w:r w:rsidR="001A0AA1" w:rsidRPr="0026652C">
          <w:rPr>
            <w:webHidden/>
          </w:rPr>
          <w:fldChar w:fldCharType="begin"/>
        </w:r>
        <w:r w:rsidR="001A0AA1" w:rsidRPr="0026652C">
          <w:rPr>
            <w:webHidden/>
          </w:rPr>
          <w:instrText xml:space="preserve"> PAGEREF _Toc5290080 \h </w:instrText>
        </w:r>
        <w:r w:rsidR="001A0AA1" w:rsidRPr="0026652C">
          <w:rPr>
            <w:webHidden/>
          </w:rPr>
        </w:r>
        <w:r w:rsidR="001A0AA1" w:rsidRPr="0026652C">
          <w:rPr>
            <w:webHidden/>
          </w:rPr>
          <w:fldChar w:fldCharType="separate"/>
        </w:r>
        <w:r w:rsidR="001A0AA1" w:rsidRPr="0026652C">
          <w:rPr>
            <w:webHidden/>
          </w:rPr>
          <w:t>15</w:t>
        </w:r>
        <w:r w:rsidR="001A0AA1" w:rsidRPr="0026652C">
          <w:rPr>
            <w:webHidden/>
          </w:rPr>
          <w:fldChar w:fldCharType="end"/>
        </w:r>
      </w:hyperlink>
    </w:p>
    <w:p w14:paraId="0E1429C3" w14:textId="77EFE1AA" w:rsidR="001A0AA1" w:rsidRPr="0026652C" w:rsidRDefault="00F233E8" w:rsidP="0026652C">
      <w:pPr>
        <w:pStyle w:val="TOC3"/>
        <w:rPr>
          <w:rFonts w:eastAsiaTheme="minorEastAsia"/>
          <w:lang w:eastAsia="en-AU"/>
        </w:rPr>
      </w:pPr>
      <w:hyperlink w:anchor="_Toc5290081" w:history="1">
        <w:r w:rsidR="001A0AA1" w:rsidRPr="0026652C">
          <w:rPr>
            <w:rStyle w:val="Hyperlink"/>
            <w:color w:val="auto"/>
          </w:rPr>
          <w:t>2.8</w:t>
        </w:r>
        <w:r w:rsidR="001A0AA1" w:rsidRPr="0026652C">
          <w:rPr>
            <w:rFonts w:eastAsiaTheme="minorEastAsia"/>
            <w:lang w:eastAsia="en-AU"/>
          </w:rPr>
          <w:tab/>
        </w:r>
        <w:r w:rsidR="001A0AA1" w:rsidRPr="0026652C">
          <w:rPr>
            <w:rStyle w:val="Hyperlink"/>
            <w:color w:val="auto"/>
          </w:rPr>
          <w:t>Entrance meeting</w:t>
        </w:r>
        <w:r w:rsidR="001A0AA1" w:rsidRPr="0026652C">
          <w:rPr>
            <w:webHidden/>
          </w:rPr>
          <w:tab/>
        </w:r>
        <w:r w:rsidR="001A0AA1" w:rsidRPr="0026652C">
          <w:rPr>
            <w:webHidden/>
          </w:rPr>
          <w:fldChar w:fldCharType="begin"/>
        </w:r>
        <w:r w:rsidR="001A0AA1" w:rsidRPr="0026652C">
          <w:rPr>
            <w:webHidden/>
          </w:rPr>
          <w:instrText xml:space="preserve"> PAGEREF _Toc5290081 \h </w:instrText>
        </w:r>
        <w:r w:rsidR="001A0AA1" w:rsidRPr="0026652C">
          <w:rPr>
            <w:webHidden/>
          </w:rPr>
        </w:r>
        <w:r w:rsidR="001A0AA1" w:rsidRPr="0026652C">
          <w:rPr>
            <w:webHidden/>
          </w:rPr>
          <w:fldChar w:fldCharType="separate"/>
        </w:r>
        <w:r w:rsidR="001A0AA1" w:rsidRPr="0026652C">
          <w:rPr>
            <w:webHidden/>
          </w:rPr>
          <w:t>15</w:t>
        </w:r>
        <w:r w:rsidR="001A0AA1" w:rsidRPr="0026652C">
          <w:rPr>
            <w:webHidden/>
          </w:rPr>
          <w:fldChar w:fldCharType="end"/>
        </w:r>
      </w:hyperlink>
    </w:p>
    <w:p w14:paraId="3692D43D" w14:textId="6EAF1509" w:rsidR="001A0AA1" w:rsidRPr="0026652C" w:rsidRDefault="00F233E8" w:rsidP="0026652C">
      <w:pPr>
        <w:pStyle w:val="TOC3"/>
        <w:rPr>
          <w:rFonts w:eastAsiaTheme="minorEastAsia"/>
          <w:lang w:eastAsia="en-AU"/>
        </w:rPr>
      </w:pPr>
      <w:hyperlink w:anchor="_Toc5290082" w:history="1">
        <w:r w:rsidR="001A0AA1" w:rsidRPr="0026652C">
          <w:rPr>
            <w:rStyle w:val="Hyperlink"/>
            <w:color w:val="auto"/>
          </w:rPr>
          <w:t>2.9</w:t>
        </w:r>
        <w:r w:rsidR="001A0AA1" w:rsidRPr="0026652C">
          <w:rPr>
            <w:rFonts w:eastAsiaTheme="minorEastAsia"/>
            <w:lang w:eastAsia="en-AU"/>
          </w:rPr>
          <w:tab/>
        </w:r>
        <w:r w:rsidR="001A0AA1" w:rsidRPr="0026652C">
          <w:rPr>
            <w:rStyle w:val="Hyperlink"/>
            <w:color w:val="auto"/>
          </w:rPr>
          <w:t>Information gathering</w:t>
        </w:r>
        <w:r w:rsidR="001A0AA1" w:rsidRPr="0026652C">
          <w:rPr>
            <w:webHidden/>
          </w:rPr>
          <w:tab/>
        </w:r>
        <w:r w:rsidR="001A0AA1" w:rsidRPr="0026652C">
          <w:rPr>
            <w:webHidden/>
          </w:rPr>
          <w:fldChar w:fldCharType="begin"/>
        </w:r>
        <w:r w:rsidR="001A0AA1" w:rsidRPr="0026652C">
          <w:rPr>
            <w:webHidden/>
          </w:rPr>
          <w:instrText xml:space="preserve"> PAGEREF _Toc5290082 \h </w:instrText>
        </w:r>
        <w:r w:rsidR="001A0AA1" w:rsidRPr="0026652C">
          <w:rPr>
            <w:webHidden/>
          </w:rPr>
        </w:r>
        <w:r w:rsidR="001A0AA1" w:rsidRPr="0026652C">
          <w:rPr>
            <w:webHidden/>
          </w:rPr>
          <w:fldChar w:fldCharType="separate"/>
        </w:r>
        <w:r w:rsidR="001A0AA1" w:rsidRPr="0026652C">
          <w:rPr>
            <w:webHidden/>
          </w:rPr>
          <w:t>15</w:t>
        </w:r>
        <w:r w:rsidR="001A0AA1" w:rsidRPr="0026652C">
          <w:rPr>
            <w:webHidden/>
          </w:rPr>
          <w:fldChar w:fldCharType="end"/>
        </w:r>
      </w:hyperlink>
    </w:p>
    <w:p w14:paraId="39E4FD0E" w14:textId="566FD22B" w:rsidR="001A0AA1" w:rsidRPr="0026652C" w:rsidRDefault="00F233E8" w:rsidP="0026652C">
      <w:pPr>
        <w:pStyle w:val="TOC3"/>
        <w:rPr>
          <w:rFonts w:eastAsiaTheme="minorEastAsia"/>
          <w:lang w:eastAsia="en-AU"/>
        </w:rPr>
      </w:pPr>
      <w:hyperlink w:anchor="_Toc5290083" w:history="1">
        <w:r w:rsidR="001A0AA1" w:rsidRPr="0026652C">
          <w:rPr>
            <w:rStyle w:val="Hyperlink"/>
            <w:color w:val="auto"/>
          </w:rPr>
          <w:t>2.10</w:t>
        </w:r>
        <w:r w:rsidR="001A0AA1" w:rsidRPr="0026652C">
          <w:rPr>
            <w:rFonts w:eastAsiaTheme="minorEastAsia"/>
            <w:lang w:eastAsia="en-AU"/>
          </w:rPr>
          <w:tab/>
        </w:r>
        <w:r w:rsidR="001A0AA1" w:rsidRPr="0026652C">
          <w:rPr>
            <w:rStyle w:val="Hyperlink"/>
            <w:color w:val="auto"/>
          </w:rPr>
          <w:t>Exit meeting</w:t>
        </w:r>
        <w:r w:rsidR="001A0AA1" w:rsidRPr="0026652C">
          <w:rPr>
            <w:webHidden/>
          </w:rPr>
          <w:tab/>
        </w:r>
        <w:r w:rsidR="001A0AA1" w:rsidRPr="0026652C">
          <w:rPr>
            <w:webHidden/>
          </w:rPr>
          <w:fldChar w:fldCharType="begin"/>
        </w:r>
        <w:r w:rsidR="001A0AA1" w:rsidRPr="0026652C">
          <w:rPr>
            <w:webHidden/>
          </w:rPr>
          <w:instrText xml:space="preserve"> PAGEREF _Toc5290083 \h </w:instrText>
        </w:r>
        <w:r w:rsidR="001A0AA1" w:rsidRPr="0026652C">
          <w:rPr>
            <w:webHidden/>
          </w:rPr>
        </w:r>
        <w:r w:rsidR="001A0AA1" w:rsidRPr="0026652C">
          <w:rPr>
            <w:webHidden/>
          </w:rPr>
          <w:fldChar w:fldCharType="separate"/>
        </w:r>
        <w:r w:rsidR="001A0AA1" w:rsidRPr="0026652C">
          <w:rPr>
            <w:webHidden/>
          </w:rPr>
          <w:t>16</w:t>
        </w:r>
        <w:r w:rsidR="001A0AA1" w:rsidRPr="0026652C">
          <w:rPr>
            <w:webHidden/>
          </w:rPr>
          <w:fldChar w:fldCharType="end"/>
        </w:r>
      </w:hyperlink>
    </w:p>
    <w:p w14:paraId="20CCD436" w14:textId="7B824175" w:rsidR="001A0AA1" w:rsidRPr="0026652C" w:rsidRDefault="00F233E8" w:rsidP="0026652C">
      <w:pPr>
        <w:pStyle w:val="TOC3"/>
        <w:rPr>
          <w:rFonts w:eastAsiaTheme="minorEastAsia"/>
          <w:lang w:eastAsia="en-AU"/>
        </w:rPr>
      </w:pPr>
      <w:hyperlink w:anchor="_Toc5290084" w:history="1">
        <w:r w:rsidR="001A0AA1" w:rsidRPr="0026652C">
          <w:rPr>
            <w:rStyle w:val="Hyperlink"/>
            <w:color w:val="auto"/>
          </w:rPr>
          <w:t>2.11</w:t>
        </w:r>
        <w:r w:rsidR="001A0AA1" w:rsidRPr="0026652C">
          <w:rPr>
            <w:rFonts w:eastAsiaTheme="minorEastAsia"/>
            <w:lang w:eastAsia="en-AU"/>
          </w:rPr>
          <w:tab/>
        </w:r>
        <w:r w:rsidR="001A0AA1" w:rsidRPr="0026652C">
          <w:rPr>
            <w:rStyle w:val="Hyperlink"/>
            <w:color w:val="auto"/>
          </w:rPr>
          <w:t>Inspection report</w:t>
        </w:r>
        <w:r w:rsidR="001A0AA1" w:rsidRPr="0026652C">
          <w:rPr>
            <w:webHidden/>
          </w:rPr>
          <w:tab/>
        </w:r>
        <w:r w:rsidR="001A0AA1" w:rsidRPr="0026652C">
          <w:rPr>
            <w:webHidden/>
          </w:rPr>
          <w:fldChar w:fldCharType="begin"/>
        </w:r>
        <w:r w:rsidR="001A0AA1" w:rsidRPr="0026652C">
          <w:rPr>
            <w:webHidden/>
          </w:rPr>
          <w:instrText xml:space="preserve"> PAGEREF _Toc5290084 \h </w:instrText>
        </w:r>
        <w:r w:rsidR="001A0AA1" w:rsidRPr="0026652C">
          <w:rPr>
            <w:webHidden/>
          </w:rPr>
        </w:r>
        <w:r w:rsidR="001A0AA1" w:rsidRPr="0026652C">
          <w:rPr>
            <w:webHidden/>
          </w:rPr>
          <w:fldChar w:fldCharType="separate"/>
        </w:r>
        <w:r w:rsidR="001A0AA1" w:rsidRPr="0026652C">
          <w:rPr>
            <w:webHidden/>
          </w:rPr>
          <w:t>16</w:t>
        </w:r>
        <w:r w:rsidR="001A0AA1" w:rsidRPr="0026652C">
          <w:rPr>
            <w:webHidden/>
          </w:rPr>
          <w:fldChar w:fldCharType="end"/>
        </w:r>
      </w:hyperlink>
    </w:p>
    <w:p w14:paraId="6CF5D216" w14:textId="20AD39AF" w:rsidR="001A0AA1" w:rsidRPr="0026652C" w:rsidRDefault="00F233E8" w:rsidP="0026652C">
      <w:pPr>
        <w:pStyle w:val="TOC3"/>
        <w:rPr>
          <w:rFonts w:eastAsiaTheme="minorEastAsia"/>
          <w:lang w:eastAsia="en-AU"/>
        </w:rPr>
      </w:pPr>
      <w:hyperlink w:anchor="_Toc5290085" w:history="1">
        <w:r w:rsidR="001A0AA1" w:rsidRPr="0026652C">
          <w:rPr>
            <w:rStyle w:val="Hyperlink"/>
            <w:color w:val="auto"/>
          </w:rPr>
          <w:t>2.12</w:t>
        </w:r>
        <w:r w:rsidR="001A0AA1" w:rsidRPr="0026652C">
          <w:rPr>
            <w:rFonts w:eastAsiaTheme="minorEastAsia"/>
            <w:lang w:eastAsia="en-AU"/>
          </w:rPr>
          <w:tab/>
        </w:r>
        <w:r w:rsidR="001A0AA1" w:rsidRPr="0026652C">
          <w:rPr>
            <w:rStyle w:val="Hyperlink"/>
            <w:color w:val="auto"/>
          </w:rPr>
          <w:t>Review draft report</w:t>
        </w:r>
        <w:r w:rsidR="001A0AA1" w:rsidRPr="0026652C">
          <w:rPr>
            <w:webHidden/>
          </w:rPr>
          <w:tab/>
        </w:r>
        <w:r w:rsidR="001A0AA1" w:rsidRPr="0026652C">
          <w:rPr>
            <w:webHidden/>
          </w:rPr>
          <w:fldChar w:fldCharType="begin"/>
        </w:r>
        <w:r w:rsidR="001A0AA1" w:rsidRPr="0026652C">
          <w:rPr>
            <w:webHidden/>
          </w:rPr>
          <w:instrText xml:space="preserve"> PAGEREF _Toc5290085 \h </w:instrText>
        </w:r>
        <w:r w:rsidR="001A0AA1" w:rsidRPr="0026652C">
          <w:rPr>
            <w:webHidden/>
          </w:rPr>
        </w:r>
        <w:r w:rsidR="001A0AA1" w:rsidRPr="0026652C">
          <w:rPr>
            <w:webHidden/>
          </w:rPr>
          <w:fldChar w:fldCharType="separate"/>
        </w:r>
        <w:r w:rsidR="001A0AA1" w:rsidRPr="0026652C">
          <w:rPr>
            <w:webHidden/>
          </w:rPr>
          <w:t>17</w:t>
        </w:r>
        <w:r w:rsidR="001A0AA1" w:rsidRPr="0026652C">
          <w:rPr>
            <w:webHidden/>
          </w:rPr>
          <w:fldChar w:fldCharType="end"/>
        </w:r>
      </w:hyperlink>
    </w:p>
    <w:p w14:paraId="2D899838" w14:textId="71D8D40C" w:rsidR="001A0AA1" w:rsidRPr="0026652C" w:rsidRDefault="00F233E8" w:rsidP="0026652C">
      <w:pPr>
        <w:pStyle w:val="TOC3"/>
        <w:rPr>
          <w:rFonts w:eastAsiaTheme="minorEastAsia"/>
          <w:lang w:eastAsia="en-AU"/>
        </w:rPr>
      </w:pPr>
      <w:hyperlink w:anchor="_Toc5290086" w:history="1">
        <w:r w:rsidR="001A0AA1" w:rsidRPr="0026652C">
          <w:rPr>
            <w:rStyle w:val="Hyperlink"/>
            <w:color w:val="auto"/>
          </w:rPr>
          <w:t>2.13</w:t>
        </w:r>
        <w:r w:rsidR="001A0AA1" w:rsidRPr="0026652C">
          <w:rPr>
            <w:rFonts w:eastAsiaTheme="minorEastAsia"/>
            <w:lang w:eastAsia="en-AU"/>
          </w:rPr>
          <w:tab/>
        </w:r>
        <w:r w:rsidR="001A0AA1" w:rsidRPr="0026652C">
          <w:rPr>
            <w:rStyle w:val="Hyperlink"/>
            <w:color w:val="auto"/>
          </w:rPr>
          <w:t>Approval and issue</w:t>
        </w:r>
        <w:r w:rsidR="001A0AA1" w:rsidRPr="0026652C">
          <w:rPr>
            <w:webHidden/>
          </w:rPr>
          <w:tab/>
        </w:r>
        <w:r w:rsidR="001A0AA1" w:rsidRPr="0026652C">
          <w:rPr>
            <w:webHidden/>
          </w:rPr>
          <w:fldChar w:fldCharType="begin"/>
        </w:r>
        <w:r w:rsidR="001A0AA1" w:rsidRPr="0026652C">
          <w:rPr>
            <w:webHidden/>
          </w:rPr>
          <w:instrText xml:space="preserve"> PAGEREF _Toc5290086 \h </w:instrText>
        </w:r>
        <w:r w:rsidR="001A0AA1" w:rsidRPr="0026652C">
          <w:rPr>
            <w:webHidden/>
          </w:rPr>
        </w:r>
        <w:r w:rsidR="001A0AA1" w:rsidRPr="0026652C">
          <w:rPr>
            <w:webHidden/>
          </w:rPr>
          <w:fldChar w:fldCharType="separate"/>
        </w:r>
        <w:r w:rsidR="001A0AA1" w:rsidRPr="0026652C">
          <w:rPr>
            <w:webHidden/>
          </w:rPr>
          <w:t>17</w:t>
        </w:r>
        <w:r w:rsidR="001A0AA1" w:rsidRPr="0026652C">
          <w:rPr>
            <w:webHidden/>
          </w:rPr>
          <w:fldChar w:fldCharType="end"/>
        </w:r>
      </w:hyperlink>
    </w:p>
    <w:p w14:paraId="12A16A7F" w14:textId="0CE2381F" w:rsidR="001A0AA1" w:rsidRPr="0026652C" w:rsidRDefault="00F233E8" w:rsidP="0026652C">
      <w:pPr>
        <w:pStyle w:val="TOC3"/>
        <w:rPr>
          <w:rFonts w:eastAsiaTheme="minorEastAsia"/>
          <w:lang w:eastAsia="en-AU"/>
        </w:rPr>
      </w:pPr>
      <w:hyperlink w:anchor="_Toc5290087" w:history="1">
        <w:r w:rsidR="001A0AA1" w:rsidRPr="0026652C">
          <w:rPr>
            <w:rStyle w:val="Hyperlink"/>
            <w:color w:val="auto"/>
          </w:rPr>
          <w:t>2.14</w:t>
        </w:r>
        <w:r w:rsidR="001A0AA1" w:rsidRPr="0026652C">
          <w:rPr>
            <w:rFonts w:eastAsiaTheme="minorEastAsia"/>
            <w:lang w:eastAsia="en-AU"/>
          </w:rPr>
          <w:tab/>
        </w:r>
        <w:r w:rsidR="001A0AA1" w:rsidRPr="0026652C">
          <w:rPr>
            <w:rStyle w:val="Hyperlink"/>
            <w:color w:val="auto"/>
          </w:rPr>
          <w:t>Record keeping</w:t>
        </w:r>
        <w:r w:rsidR="001A0AA1" w:rsidRPr="0026652C">
          <w:rPr>
            <w:webHidden/>
          </w:rPr>
          <w:tab/>
        </w:r>
        <w:r w:rsidR="001A0AA1" w:rsidRPr="0026652C">
          <w:rPr>
            <w:webHidden/>
          </w:rPr>
          <w:fldChar w:fldCharType="begin"/>
        </w:r>
        <w:r w:rsidR="001A0AA1" w:rsidRPr="0026652C">
          <w:rPr>
            <w:webHidden/>
          </w:rPr>
          <w:instrText xml:space="preserve"> PAGEREF _Toc5290087 \h </w:instrText>
        </w:r>
        <w:r w:rsidR="001A0AA1" w:rsidRPr="0026652C">
          <w:rPr>
            <w:webHidden/>
          </w:rPr>
        </w:r>
        <w:r w:rsidR="001A0AA1" w:rsidRPr="0026652C">
          <w:rPr>
            <w:webHidden/>
          </w:rPr>
          <w:fldChar w:fldCharType="separate"/>
        </w:r>
        <w:r w:rsidR="001A0AA1" w:rsidRPr="0026652C">
          <w:rPr>
            <w:webHidden/>
          </w:rPr>
          <w:t>18</w:t>
        </w:r>
        <w:r w:rsidR="001A0AA1" w:rsidRPr="0026652C">
          <w:rPr>
            <w:webHidden/>
          </w:rPr>
          <w:fldChar w:fldCharType="end"/>
        </w:r>
      </w:hyperlink>
    </w:p>
    <w:p w14:paraId="557F4EEB" w14:textId="1325D164" w:rsidR="001A0AA1" w:rsidRPr="0026652C" w:rsidRDefault="00F233E8" w:rsidP="0026652C">
      <w:pPr>
        <w:pStyle w:val="TOC3"/>
        <w:rPr>
          <w:rFonts w:eastAsiaTheme="minorEastAsia"/>
          <w:lang w:eastAsia="en-AU"/>
        </w:rPr>
      </w:pPr>
      <w:hyperlink w:anchor="_Toc5290088" w:history="1">
        <w:r w:rsidR="001A0AA1" w:rsidRPr="0026652C">
          <w:rPr>
            <w:rStyle w:val="Hyperlink"/>
            <w:color w:val="auto"/>
          </w:rPr>
          <w:t>2.15</w:t>
        </w:r>
        <w:r w:rsidR="001A0AA1" w:rsidRPr="0026652C">
          <w:rPr>
            <w:rFonts w:eastAsiaTheme="minorEastAsia"/>
            <w:lang w:eastAsia="en-AU"/>
          </w:rPr>
          <w:tab/>
        </w:r>
        <w:r w:rsidR="001A0AA1" w:rsidRPr="0026652C">
          <w:rPr>
            <w:rStyle w:val="Hyperlink"/>
            <w:color w:val="auto"/>
          </w:rPr>
          <w:t>Publish report &amp; request post-inspection survey</w:t>
        </w:r>
        <w:r w:rsidR="001A0AA1" w:rsidRPr="0026652C">
          <w:rPr>
            <w:webHidden/>
          </w:rPr>
          <w:tab/>
        </w:r>
        <w:r w:rsidR="001A0AA1" w:rsidRPr="0026652C">
          <w:rPr>
            <w:webHidden/>
          </w:rPr>
          <w:fldChar w:fldCharType="begin"/>
        </w:r>
        <w:r w:rsidR="001A0AA1" w:rsidRPr="0026652C">
          <w:rPr>
            <w:webHidden/>
          </w:rPr>
          <w:instrText xml:space="preserve"> PAGEREF _Toc5290088 \h </w:instrText>
        </w:r>
        <w:r w:rsidR="001A0AA1" w:rsidRPr="0026652C">
          <w:rPr>
            <w:webHidden/>
          </w:rPr>
        </w:r>
        <w:r w:rsidR="001A0AA1" w:rsidRPr="0026652C">
          <w:rPr>
            <w:webHidden/>
          </w:rPr>
          <w:fldChar w:fldCharType="separate"/>
        </w:r>
        <w:r w:rsidR="001A0AA1" w:rsidRPr="0026652C">
          <w:rPr>
            <w:webHidden/>
          </w:rPr>
          <w:t>18</w:t>
        </w:r>
        <w:r w:rsidR="001A0AA1" w:rsidRPr="0026652C">
          <w:rPr>
            <w:webHidden/>
          </w:rPr>
          <w:fldChar w:fldCharType="end"/>
        </w:r>
      </w:hyperlink>
    </w:p>
    <w:p w14:paraId="100383D6" w14:textId="18DE5F19" w:rsidR="001A0AA1" w:rsidRPr="0026652C" w:rsidRDefault="00F233E8" w:rsidP="0026652C">
      <w:pPr>
        <w:pStyle w:val="TOC3"/>
        <w:rPr>
          <w:rFonts w:eastAsiaTheme="minorEastAsia"/>
          <w:lang w:eastAsia="en-AU"/>
        </w:rPr>
      </w:pPr>
      <w:hyperlink w:anchor="_Toc5290089" w:history="1">
        <w:r w:rsidR="001A0AA1" w:rsidRPr="0026652C">
          <w:rPr>
            <w:rStyle w:val="Hyperlink"/>
            <w:color w:val="auto"/>
          </w:rPr>
          <w:t>2.16</w:t>
        </w:r>
        <w:r w:rsidR="001A0AA1" w:rsidRPr="0026652C">
          <w:rPr>
            <w:rFonts w:eastAsiaTheme="minorEastAsia"/>
            <w:lang w:eastAsia="en-AU"/>
          </w:rPr>
          <w:tab/>
        </w:r>
        <w:r w:rsidR="001A0AA1" w:rsidRPr="0026652C">
          <w:rPr>
            <w:rStyle w:val="Hyperlink"/>
            <w:color w:val="auto"/>
          </w:rPr>
          <w:t>Review of facility regulatory priority</w:t>
        </w:r>
        <w:r w:rsidR="001A0AA1" w:rsidRPr="0026652C">
          <w:rPr>
            <w:webHidden/>
          </w:rPr>
          <w:tab/>
        </w:r>
        <w:r w:rsidR="001A0AA1" w:rsidRPr="0026652C">
          <w:rPr>
            <w:webHidden/>
          </w:rPr>
          <w:fldChar w:fldCharType="begin"/>
        </w:r>
        <w:r w:rsidR="001A0AA1" w:rsidRPr="0026652C">
          <w:rPr>
            <w:webHidden/>
          </w:rPr>
          <w:instrText xml:space="preserve"> PAGEREF _Toc5290089 \h </w:instrText>
        </w:r>
        <w:r w:rsidR="001A0AA1" w:rsidRPr="0026652C">
          <w:rPr>
            <w:webHidden/>
          </w:rPr>
        </w:r>
        <w:r w:rsidR="001A0AA1" w:rsidRPr="0026652C">
          <w:rPr>
            <w:webHidden/>
          </w:rPr>
          <w:fldChar w:fldCharType="separate"/>
        </w:r>
        <w:r w:rsidR="001A0AA1" w:rsidRPr="0026652C">
          <w:rPr>
            <w:webHidden/>
          </w:rPr>
          <w:t>18</w:t>
        </w:r>
        <w:r w:rsidR="001A0AA1" w:rsidRPr="0026652C">
          <w:rPr>
            <w:webHidden/>
          </w:rPr>
          <w:fldChar w:fldCharType="end"/>
        </w:r>
      </w:hyperlink>
    </w:p>
    <w:p w14:paraId="71E562E2" w14:textId="140C00FC" w:rsidR="001A0AA1" w:rsidRPr="0026652C" w:rsidRDefault="00F233E8" w:rsidP="0026652C">
      <w:pPr>
        <w:pStyle w:val="TOC3"/>
        <w:rPr>
          <w:rFonts w:eastAsiaTheme="minorEastAsia"/>
          <w:lang w:eastAsia="en-AU"/>
        </w:rPr>
      </w:pPr>
      <w:hyperlink w:anchor="_Toc5290090" w:history="1">
        <w:r w:rsidR="001A0AA1" w:rsidRPr="0026652C">
          <w:rPr>
            <w:rStyle w:val="Hyperlink"/>
            <w:color w:val="auto"/>
          </w:rPr>
          <w:t>2.17</w:t>
        </w:r>
        <w:r w:rsidR="001A0AA1" w:rsidRPr="0026652C">
          <w:rPr>
            <w:rFonts w:eastAsiaTheme="minorEastAsia"/>
            <w:lang w:eastAsia="en-AU"/>
          </w:rPr>
          <w:tab/>
        </w:r>
        <w:r w:rsidR="001A0AA1" w:rsidRPr="0026652C">
          <w:rPr>
            <w:rStyle w:val="Hyperlink"/>
            <w:color w:val="auto"/>
          </w:rPr>
          <w:t>Follow-up areas for improvement and potential non-compliance</w:t>
        </w:r>
        <w:r w:rsidR="001A0AA1" w:rsidRPr="0026652C">
          <w:rPr>
            <w:webHidden/>
          </w:rPr>
          <w:tab/>
        </w:r>
        <w:r w:rsidR="001A0AA1" w:rsidRPr="0026652C">
          <w:rPr>
            <w:webHidden/>
          </w:rPr>
          <w:fldChar w:fldCharType="begin"/>
        </w:r>
        <w:r w:rsidR="001A0AA1" w:rsidRPr="0026652C">
          <w:rPr>
            <w:webHidden/>
          </w:rPr>
          <w:instrText xml:space="preserve"> PAGEREF _Toc5290090 \h </w:instrText>
        </w:r>
        <w:r w:rsidR="001A0AA1" w:rsidRPr="0026652C">
          <w:rPr>
            <w:webHidden/>
          </w:rPr>
        </w:r>
        <w:r w:rsidR="001A0AA1" w:rsidRPr="0026652C">
          <w:rPr>
            <w:webHidden/>
          </w:rPr>
          <w:fldChar w:fldCharType="separate"/>
        </w:r>
        <w:r w:rsidR="001A0AA1" w:rsidRPr="0026652C">
          <w:rPr>
            <w:webHidden/>
          </w:rPr>
          <w:t>18</w:t>
        </w:r>
        <w:r w:rsidR="001A0AA1" w:rsidRPr="0026652C">
          <w:rPr>
            <w:webHidden/>
          </w:rPr>
          <w:fldChar w:fldCharType="end"/>
        </w:r>
      </w:hyperlink>
    </w:p>
    <w:p w14:paraId="080F7682" w14:textId="4F450623" w:rsidR="001A0AA1" w:rsidRPr="0026652C" w:rsidRDefault="00F233E8" w:rsidP="0026652C">
      <w:pPr>
        <w:pStyle w:val="TOC3"/>
        <w:rPr>
          <w:rFonts w:eastAsiaTheme="minorEastAsia"/>
          <w:lang w:eastAsia="en-AU"/>
        </w:rPr>
      </w:pPr>
      <w:hyperlink w:anchor="_Toc5290091" w:history="1">
        <w:r w:rsidR="001A0AA1" w:rsidRPr="0026652C">
          <w:rPr>
            <w:rStyle w:val="Hyperlink"/>
            <w:color w:val="auto"/>
          </w:rPr>
          <w:t>2.18</w:t>
        </w:r>
        <w:r w:rsidR="001A0AA1" w:rsidRPr="0026652C">
          <w:rPr>
            <w:rFonts w:eastAsiaTheme="minorEastAsia"/>
            <w:lang w:eastAsia="en-AU"/>
          </w:rPr>
          <w:tab/>
        </w:r>
        <w:r w:rsidR="001A0AA1" w:rsidRPr="0026652C">
          <w:rPr>
            <w:rStyle w:val="Hyperlink"/>
            <w:color w:val="auto"/>
          </w:rPr>
          <w:t>Feedback &amp; lessons learned</w:t>
        </w:r>
        <w:r w:rsidR="001A0AA1" w:rsidRPr="0026652C">
          <w:rPr>
            <w:webHidden/>
          </w:rPr>
          <w:tab/>
        </w:r>
        <w:r w:rsidR="001A0AA1" w:rsidRPr="0026652C">
          <w:rPr>
            <w:webHidden/>
          </w:rPr>
          <w:fldChar w:fldCharType="begin"/>
        </w:r>
        <w:r w:rsidR="001A0AA1" w:rsidRPr="0026652C">
          <w:rPr>
            <w:webHidden/>
          </w:rPr>
          <w:instrText xml:space="preserve"> PAGEREF _Toc5290091 \h </w:instrText>
        </w:r>
        <w:r w:rsidR="001A0AA1" w:rsidRPr="0026652C">
          <w:rPr>
            <w:webHidden/>
          </w:rPr>
        </w:r>
        <w:r w:rsidR="001A0AA1" w:rsidRPr="0026652C">
          <w:rPr>
            <w:webHidden/>
          </w:rPr>
          <w:fldChar w:fldCharType="separate"/>
        </w:r>
        <w:r w:rsidR="001A0AA1" w:rsidRPr="0026652C">
          <w:rPr>
            <w:webHidden/>
          </w:rPr>
          <w:t>18</w:t>
        </w:r>
        <w:r w:rsidR="001A0AA1" w:rsidRPr="0026652C">
          <w:rPr>
            <w:webHidden/>
          </w:rPr>
          <w:fldChar w:fldCharType="end"/>
        </w:r>
      </w:hyperlink>
    </w:p>
    <w:p w14:paraId="54421D30" w14:textId="79F30BDC" w:rsidR="001A0AA1" w:rsidRPr="0026652C" w:rsidRDefault="00F233E8" w:rsidP="0026652C">
      <w:pPr>
        <w:pStyle w:val="TOC2"/>
        <w:rPr>
          <w:rFonts w:eastAsiaTheme="minorEastAsia"/>
          <w:lang w:eastAsia="en-AU"/>
        </w:rPr>
      </w:pPr>
      <w:hyperlink w:anchor="_Toc5290092" w:history="1">
        <w:r w:rsidR="001A0AA1" w:rsidRPr="0026652C">
          <w:rPr>
            <w:rStyle w:val="Hyperlink"/>
            <w:color w:val="auto"/>
          </w:rPr>
          <w:t>3.1</w:t>
        </w:r>
        <w:r w:rsidR="001A0AA1" w:rsidRPr="0026652C">
          <w:rPr>
            <w:rFonts w:eastAsiaTheme="minorEastAsia"/>
            <w:lang w:eastAsia="en-AU"/>
          </w:rPr>
          <w:tab/>
        </w:r>
        <w:r w:rsidR="001A0AA1" w:rsidRPr="0026652C">
          <w:rPr>
            <w:rStyle w:val="Hyperlink"/>
            <w:color w:val="auto"/>
          </w:rPr>
          <w:t>Skills</w:t>
        </w:r>
        <w:r w:rsidR="001A0AA1" w:rsidRPr="0026652C">
          <w:rPr>
            <w:webHidden/>
          </w:rPr>
          <w:tab/>
        </w:r>
        <w:r w:rsidR="001A0AA1" w:rsidRPr="0026652C">
          <w:rPr>
            <w:webHidden/>
          </w:rPr>
          <w:fldChar w:fldCharType="begin"/>
        </w:r>
        <w:r w:rsidR="001A0AA1" w:rsidRPr="0026652C">
          <w:rPr>
            <w:webHidden/>
          </w:rPr>
          <w:instrText xml:space="preserve"> PAGEREF _Toc5290092 \h </w:instrText>
        </w:r>
        <w:r w:rsidR="001A0AA1" w:rsidRPr="0026652C">
          <w:rPr>
            <w:webHidden/>
          </w:rPr>
        </w:r>
        <w:r w:rsidR="001A0AA1" w:rsidRPr="0026652C">
          <w:rPr>
            <w:webHidden/>
          </w:rPr>
          <w:fldChar w:fldCharType="separate"/>
        </w:r>
        <w:r w:rsidR="001A0AA1" w:rsidRPr="0026652C">
          <w:rPr>
            <w:webHidden/>
          </w:rPr>
          <w:t>19</w:t>
        </w:r>
        <w:r w:rsidR="001A0AA1" w:rsidRPr="0026652C">
          <w:rPr>
            <w:webHidden/>
          </w:rPr>
          <w:fldChar w:fldCharType="end"/>
        </w:r>
      </w:hyperlink>
    </w:p>
    <w:p w14:paraId="07668A9D" w14:textId="642B6BDC" w:rsidR="001A0AA1" w:rsidRPr="0026652C" w:rsidRDefault="00F233E8" w:rsidP="0026652C">
      <w:pPr>
        <w:pStyle w:val="TOC2"/>
        <w:rPr>
          <w:rFonts w:eastAsiaTheme="minorEastAsia"/>
          <w:lang w:eastAsia="en-AU"/>
        </w:rPr>
      </w:pPr>
      <w:hyperlink w:anchor="_Toc5290093" w:history="1">
        <w:r w:rsidR="001A0AA1" w:rsidRPr="0026652C">
          <w:rPr>
            <w:rStyle w:val="Hyperlink"/>
            <w:color w:val="auto"/>
          </w:rPr>
          <w:t>3.2</w:t>
        </w:r>
        <w:r w:rsidR="001A0AA1" w:rsidRPr="0026652C">
          <w:rPr>
            <w:rFonts w:eastAsiaTheme="minorEastAsia"/>
            <w:lang w:eastAsia="en-AU"/>
          </w:rPr>
          <w:tab/>
        </w:r>
        <w:r w:rsidR="001A0AA1" w:rsidRPr="0026652C">
          <w:rPr>
            <w:rStyle w:val="Hyperlink"/>
            <w:color w:val="auto"/>
          </w:rPr>
          <w:t>Knowledge</w:t>
        </w:r>
        <w:r w:rsidR="001A0AA1" w:rsidRPr="0026652C">
          <w:rPr>
            <w:webHidden/>
          </w:rPr>
          <w:tab/>
        </w:r>
        <w:r w:rsidR="001A0AA1" w:rsidRPr="0026652C">
          <w:rPr>
            <w:webHidden/>
          </w:rPr>
          <w:fldChar w:fldCharType="begin"/>
        </w:r>
        <w:r w:rsidR="001A0AA1" w:rsidRPr="0026652C">
          <w:rPr>
            <w:webHidden/>
          </w:rPr>
          <w:instrText xml:space="preserve"> PAGEREF _Toc5290093 \h </w:instrText>
        </w:r>
        <w:r w:rsidR="001A0AA1" w:rsidRPr="0026652C">
          <w:rPr>
            <w:webHidden/>
          </w:rPr>
        </w:r>
        <w:r w:rsidR="001A0AA1" w:rsidRPr="0026652C">
          <w:rPr>
            <w:webHidden/>
          </w:rPr>
          <w:fldChar w:fldCharType="separate"/>
        </w:r>
        <w:r w:rsidR="001A0AA1" w:rsidRPr="0026652C">
          <w:rPr>
            <w:webHidden/>
          </w:rPr>
          <w:t>19</w:t>
        </w:r>
        <w:r w:rsidR="001A0AA1" w:rsidRPr="0026652C">
          <w:rPr>
            <w:webHidden/>
          </w:rPr>
          <w:fldChar w:fldCharType="end"/>
        </w:r>
      </w:hyperlink>
    </w:p>
    <w:p w14:paraId="03E06A27" w14:textId="31F7BDD9" w:rsidR="001A0AA1" w:rsidRPr="0026652C" w:rsidRDefault="00F233E8" w:rsidP="0026652C">
      <w:pPr>
        <w:pStyle w:val="TOC2"/>
        <w:rPr>
          <w:rFonts w:eastAsiaTheme="minorEastAsia"/>
          <w:lang w:eastAsia="en-AU"/>
        </w:rPr>
      </w:pPr>
      <w:hyperlink w:anchor="_Toc5290094" w:history="1">
        <w:r w:rsidR="001A0AA1" w:rsidRPr="0026652C">
          <w:rPr>
            <w:rStyle w:val="Hyperlink"/>
            <w:color w:val="auto"/>
          </w:rPr>
          <w:t>3.3</w:t>
        </w:r>
        <w:r w:rsidR="001A0AA1" w:rsidRPr="0026652C">
          <w:rPr>
            <w:rFonts w:eastAsiaTheme="minorEastAsia"/>
            <w:lang w:eastAsia="en-AU"/>
          </w:rPr>
          <w:tab/>
        </w:r>
        <w:r w:rsidR="001A0AA1" w:rsidRPr="0026652C">
          <w:rPr>
            <w:rStyle w:val="Hyperlink"/>
            <w:color w:val="auto"/>
          </w:rPr>
          <w:t>Training &amp; skills development</w:t>
        </w:r>
        <w:r w:rsidR="001A0AA1" w:rsidRPr="0026652C">
          <w:rPr>
            <w:webHidden/>
          </w:rPr>
          <w:tab/>
        </w:r>
        <w:r w:rsidR="001A0AA1" w:rsidRPr="0026652C">
          <w:rPr>
            <w:webHidden/>
          </w:rPr>
          <w:fldChar w:fldCharType="begin"/>
        </w:r>
        <w:r w:rsidR="001A0AA1" w:rsidRPr="0026652C">
          <w:rPr>
            <w:webHidden/>
          </w:rPr>
          <w:instrText xml:space="preserve"> PAGEREF _Toc5290094 \h </w:instrText>
        </w:r>
        <w:r w:rsidR="001A0AA1" w:rsidRPr="0026652C">
          <w:rPr>
            <w:webHidden/>
          </w:rPr>
        </w:r>
        <w:r w:rsidR="001A0AA1" w:rsidRPr="0026652C">
          <w:rPr>
            <w:webHidden/>
          </w:rPr>
          <w:fldChar w:fldCharType="separate"/>
        </w:r>
        <w:r w:rsidR="001A0AA1" w:rsidRPr="0026652C">
          <w:rPr>
            <w:webHidden/>
          </w:rPr>
          <w:t>19</w:t>
        </w:r>
        <w:r w:rsidR="001A0AA1" w:rsidRPr="0026652C">
          <w:rPr>
            <w:webHidden/>
          </w:rPr>
          <w:fldChar w:fldCharType="end"/>
        </w:r>
      </w:hyperlink>
    </w:p>
    <w:p w14:paraId="535507B9" w14:textId="192CB96A" w:rsidR="001A0AA1" w:rsidRPr="0026652C" w:rsidRDefault="00F233E8" w:rsidP="0026652C">
      <w:pPr>
        <w:pStyle w:val="TOC3"/>
        <w:rPr>
          <w:rFonts w:eastAsiaTheme="minorEastAsia"/>
          <w:lang w:eastAsia="en-AU"/>
        </w:rPr>
      </w:pPr>
      <w:hyperlink w:anchor="_Toc5290095" w:history="1">
        <w:r w:rsidR="001A0AA1" w:rsidRPr="0026652C">
          <w:rPr>
            <w:rStyle w:val="Hyperlink"/>
            <w:color w:val="auto"/>
          </w:rPr>
          <w:t>Recognition of prior learning</w:t>
        </w:r>
        <w:r w:rsidR="001A0AA1" w:rsidRPr="0026652C">
          <w:rPr>
            <w:webHidden/>
          </w:rPr>
          <w:tab/>
        </w:r>
        <w:r w:rsidR="001A0AA1" w:rsidRPr="0026652C">
          <w:rPr>
            <w:webHidden/>
          </w:rPr>
          <w:fldChar w:fldCharType="begin"/>
        </w:r>
        <w:r w:rsidR="001A0AA1" w:rsidRPr="0026652C">
          <w:rPr>
            <w:webHidden/>
          </w:rPr>
          <w:instrText xml:space="preserve"> PAGEREF _Toc5290095 \h </w:instrText>
        </w:r>
        <w:r w:rsidR="001A0AA1" w:rsidRPr="0026652C">
          <w:rPr>
            <w:webHidden/>
          </w:rPr>
        </w:r>
        <w:r w:rsidR="001A0AA1" w:rsidRPr="0026652C">
          <w:rPr>
            <w:webHidden/>
          </w:rPr>
          <w:fldChar w:fldCharType="separate"/>
        </w:r>
        <w:r w:rsidR="001A0AA1" w:rsidRPr="0026652C">
          <w:rPr>
            <w:webHidden/>
          </w:rPr>
          <w:t>19</w:t>
        </w:r>
        <w:r w:rsidR="001A0AA1" w:rsidRPr="0026652C">
          <w:rPr>
            <w:webHidden/>
          </w:rPr>
          <w:fldChar w:fldCharType="end"/>
        </w:r>
      </w:hyperlink>
    </w:p>
    <w:p w14:paraId="00162ED6" w14:textId="238DC4FC" w:rsidR="001A0AA1" w:rsidRPr="0026652C" w:rsidRDefault="00F233E8" w:rsidP="0026652C">
      <w:pPr>
        <w:pStyle w:val="TOC3"/>
        <w:rPr>
          <w:rFonts w:eastAsiaTheme="minorEastAsia"/>
          <w:lang w:eastAsia="en-AU"/>
        </w:rPr>
      </w:pPr>
      <w:hyperlink w:anchor="_Toc5290096" w:history="1">
        <w:r w:rsidR="001A0AA1" w:rsidRPr="0026652C">
          <w:rPr>
            <w:rStyle w:val="Hyperlink"/>
            <w:color w:val="auto"/>
          </w:rPr>
          <w:t>Refresher training</w:t>
        </w:r>
        <w:r w:rsidR="001A0AA1" w:rsidRPr="0026652C">
          <w:rPr>
            <w:webHidden/>
          </w:rPr>
          <w:tab/>
        </w:r>
        <w:r w:rsidR="001A0AA1" w:rsidRPr="0026652C">
          <w:rPr>
            <w:webHidden/>
          </w:rPr>
          <w:fldChar w:fldCharType="begin"/>
        </w:r>
        <w:r w:rsidR="001A0AA1" w:rsidRPr="0026652C">
          <w:rPr>
            <w:webHidden/>
          </w:rPr>
          <w:instrText xml:space="preserve"> PAGEREF _Toc5290096 \h </w:instrText>
        </w:r>
        <w:r w:rsidR="001A0AA1" w:rsidRPr="0026652C">
          <w:rPr>
            <w:webHidden/>
          </w:rPr>
        </w:r>
        <w:r w:rsidR="001A0AA1" w:rsidRPr="0026652C">
          <w:rPr>
            <w:webHidden/>
          </w:rPr>
          <w:fldChar w:fldCharType="separate"/>
        </w:r>
        <w:r w:rsidR="001A0AA1" w:rsidRPr="0026652C">
          <w:rPr>
            <w:webHidden/>
          </w:rPr>
          <w:t>19</w:t>
        </w:r>
        <w:r w:rsidR="001A0AA1" w:rsidRPr="0026652C">
          <w:rPr>
            <w:webHidden/>
          </w:rPr>
          <w:fldChar w:fldCharType="end"/>
        </w:r>
      </w:hyperlink>
    </w:p>
    <w:p w14:paraId="6E0F670F" w14:textId="5B6AFB5E" w:rsidR="001A0AA1" w:rsidRPr="0026652C" w:rsidRDefault="00F233E8" w:rsidP="0026652C">
      <w:pPr>
        <w:pStyle w:val="TOC2"/>
        <w:rPr>
          <w:rFonts w:eastAsiaTheme="minorEastAsia"/>
          <w:lang w:eastAsia="en-AU"/>
        </w:rPr>
      </w:pPr>
      <w:hyperlink w:anchor="_Toc5290097" w:history="1">
        <w:r w:rsidR="001A0AA1" w:rsidRPr="0026652C">
          <w:rPr>
            <w:rStyle w:val="Hyperlink"/>
            <w:color w:val="auto"/>
            <w:lang w:eastAsia="ko-KR"/>
          </w:rPr>
          <w:t>4.1</w:t>
        </w:r>
        <w:r w:rsidR="001A0AA1" w:rsidRPr="0026652C">
          <w:rPr>
            <w:rFonts w:eastAsiaTheme="minorEastAsia"/>
            <w:lang w:eastAsia="en-AU"/>
          </w:rPr>
          <w:tab/>
        </w:r>
        <w:r w:rsidR="001A0AA1" w:rsidRPr="0026652C">
          <w:rPr>
            <w:rStyle w:val="Hyperlink"/>
            <w:color w:val="auto"/>
            <w:lang w:eastAsia="ko-KR"/>
          </w:rPr>
          <w:t>Radiation protection</w:t>
        </w:r>
        <w:r w:rsidR="001A0AA1" w:rsidRPr="0026652C">
          <w:rPr>
            <w:webHidden/>
          </w:rPr>
          <w:tab/>
        </w:r>
        <w:r w:rsidR="001A0AA1" w:rsidRPr="0026652C">
          <w:rPr>
            <w:webHidden/>
          </w:rPr>
          <w:fldChar w:fldCharType="begin"/>
        </w:r>
        <w:r w:rsidR="001A0AA1" w:rsidRPr="0026652C">
          <w:rPr>
            <w:webHidden/>
          </w:rPr>
          <w:instrText xml:space="preserve"> PAGEREF _Toc5290097 \h </w:instrText>
        </w:r>
        <w:r w:rsidR="001A0AA1" w:rsidRPr="0026652C">
          <w:rPr>
            <w:webHidden/>
          </w:rPr>
        </w:r>
        <w:r w:rsidR="001A0AA1" w:rsidRPr="0026652C">
          <w:rPr>
            <w:webHidden/>
          </w:rPr>
          <w:fldChar w:fldCharType="separate"/>
        </w:r>
        <w:r w:rsidR="001A0AA1" w:rsidRPr="0026652C">
          <w:rPr>
            <w:webHidden/>
          </w:rPr>
          <w:t>21</w:t>
        </w:r>
        <w:r w:rsidR="001A0AA1" w:rsidRPr="0026652C">
          <w:rPr>
            <w:webHidden/>
          </w:rPr>
          <w:fldChar w:fldCharType="end"/>
        </w:r>
      </w:hyperlink>
    </w:p>
    <w:p w14:paraId="5FF1A7CE" w14:textId="67488D74" w:rsidR="001A0AA1" w:rsidRPr="0026652C" w:rsidRDefault="00F233E8" w:rsidP="0026652C">
      <w:pPr>
        <w:pStyle w:val="TOC2"/>
        <w:rPr>
          <w:rFonts w:eastAsiaTheme="minorEastAsia"/>
          <w:lang w:eastAsia="en-AU"/>
        </w:rPr>
      </w:pPr>
      <w:hyperlink w:anchor="_Toc5290098" w:history="1">
        <w:r w:rsidR="001A0AA1" w:rsidRPr="0026652C">
          <w:rPr>
            <w:rStyle w:val="Hyperlink"/>
            <w:color w:val="auto"/>
            <w:lang w:eastAsia="ko-KR"/>
          </w:rPr>
          <w:t>4.2</w:t>
        </w:r>
        <w:r w:rsidR="001A0AA1" w:rsidRPr="0026652C">
          <w:rPr>
            <w:rFonts w:eastAsiaTheme="minorEastAsia"/>
            <w:lang w:eastAsia="en-AU"/>
          </w:rPr>
          <w:tab/>
        </w:r>
        <w:r w:rsidR="001A0AA1" w:rsidRPr="0026652C">
          <w:rPr>
            <w:rStyle w:val="Hyperlink"/>
            <w:color w:val="auto"/>
            <w:lang w:eastAsia="ko-KR"/>
          </w:rPr>
          <w:t>Travel safety and security</w:t>
        </w:r>
        <w:r w:rsidR="001A0AA1" w:rsidRPr="0026652C">
          <w:rPr>
            <w:webHidden/>
          </w:rPr>
          <w:tab/>
        </w:r>
        <w:r w:rsidR="001A0AA1" w:rsidRPr="0026652C">
          <w:rPr>
            <w:webHidden/>
          </w:rPr>
          <w:fldChar w:fldCharType="begin"/>
        </w:r>
        <w:r w:rsidR="001A0AA1" w:rsidRPr="0026652C">
          <w:rPr>
            <w:webHidden/>
          </w:rPr>
          <w:instrText xml:space="preserve"> PAGEREF _Toc5290098 \h </w:instrText>
        </w:r>
        <w:r w:rsidR="001A0AA1" w:rsidRPr="0026652C">
          <w:rPr>
            <w:webHidden/>
          </w:rPr>
        </w:r>
        <w:r w:rsidR="001A0AA1" w:rsidRPr="0026652C">
          <w:rPr>
            <w:webHidden/>
          </w:rPr>
          <w:fldChar w:fldCharType="separate"/>
        </w:r>
        <w:r w:rsidR="001A0AA1" w:rsidRPr="0026652C">
          <w:rPr>
            <w:webHidden/>
          </w:rPr>
          <w:t>21</w:t>
        </w:r>
        <w:r w:rsidR="001A0AA1" w:rsidRPr="0026652C">
          <w:rPr>
            <w:webHidden/>
          </w:rPr>
          <w:fldChar w:fldCharType="end"/>
        </w:r>
      </w:hyperlink>
    </w:p>
    <w:p w14:paraId="2713B16A" w14:textId="2A7B4F3C" w:rsidR="00310B73" w:rsidRPr="0026652C" w:rsidRDefault="00310B73" w:rsidP="00F233E8">
      <w:pPr>
        <w:pStyle w:val="Headingnumberedlevel1"/>
        <w:numPr>
          <w:ilvl w:val="0"/>
          <w:numId w:val="0"/>
        </w:numPr>
      </w:pPr>
      <w:r w:rsidRPr="0026652C">
        <w:fldChar w:fldCharType="end"/>
      </w:r>
      <w:r w:rsidRPr="0026652C">
        <w:br w:type="page"/>
      </w:r>
    </w:p>
    <w:p w14:paraId="24370247" w14:textId="1F0B44E7" w:rsidR="00AB035E" w:rsidRPr="006348FA" w:rsidRDefault="00AB035E" w:rsidP="0026652C">
      <w:pPr>
        <w:pStyle w:val="Heading1"/>
        <w:numPr>
          <w:ilvl w:val="0"/>
          <w:numId w:val="16"/>
        </w:numPr>
      </w:pPr>
      <w:bookmarkStart w:id="4" w:name="_Ref527721021"/>
      <w:r w:rsidRPr="006348FA">
        <w:lastRenderedPageBreak/>
        <w:t>Inspection program overview</w:t>
      </w:r>
      <w:bookmarkEnd w:id="4"/>
    </w:p>
    <w:p w14:paraId="19C3C7AE" w14:textId="1C54BB9C" w:rsidR="00AB035E" w:rsidRDefault="00AB035E" w:rsidP="0026652C">
      <w:pPr>
        <w:pStyle w:val="Heading3"/>
        <w:rPr>
          <w:lang w:eastAsia="en-AU"/>
        </w:rPr>
      </w:pPr>
      <w:bookmarkStart w:id="5" w:name="_Toc5290051"/>
      <w:r w:rsidRPr="00AB035E">
        <w:rPr>
          <w:lang w:eastAsia="en-AU"/>
        </w:rPr>
        <w:t>Objectives</w:t>
      </w:r>
      <w:bookmarkEnd w:id="5"/>
    </w:p>
    <w:bookmarkEnd w:id="3"/>
    <w:p w14:paraId="63603B72" w14:textId="5D8DE3C5" w:rsidR="000F7B44" w:rsidRPr="0026652C" w:rsidRDefault="006500D5" w:rsidP="0026652C">
      <w:pPr>
        <w:rPr>
          <w:snapToGrid w:val="0"/>
        </w:rPr>
      </w:pPr>
      <w:r w:rsidRPr="0026652C">
        <w:rPr>
          <w:snapToGrid w:val="0"/>
        </w:rPr>
        <w:t xml:space="preserve">The fundamental objective of </w:t>
      </w:r>
      <w:r w:rsidR="00DF3AB0" w:rsidRPr="0026652C">
        <w:rPr>
          <w:snapToGrid w:val="0"/>
        </w:rPr>
        <w:t xml:space="preserve">ARPANSA’s </w:t>
      </w:r>
      <w:r w:rsidRPr="0026652C">
        <w:rPr>
          <w:snapToGrid w:val="0"/>
        </w:rPr>
        <w:t xml:space="preserve">inspection </w:t>
      </w:r>
      <w:r w:rsidR="00DF3AB0" w:rsidRPr="0026652C">
        <w:rPr>
          <w:snapToGrid w:val="0"/>
        </w:rPr>
        <w:t xml:space="preserve">program </w:t>
      </w:r>
      <w:r w:rsidRPr="0026652C">
        <w:rPr>
          <w:snapToGrid w:val="0"/>
        </w:rPr>
        <w:t xml:space="preserve">is to </w:t>
      </w:r>
      <w:r w:rsidR="00AA518B" w:rsidRPr="0026652C">
        <w:rPr>
          <w:snapToGrid w:val="0"/>
        </w:rPr>
        <w:t xml:space="preserve">inform ARPANSA of </w:t>
      </w:r>
      <w:r w:rsidRPr="0026652C">
        <w:rPr>
          <w:snapToGrid w:val="0"/>
        </w:rPr>
        <w:t xml:space="preserve">the safety performance of </w:t>
      </w:r>
      <w:r w:rsidR="00AA518B" w:rsidRPr="0026652C">
        <w:rPr>
          <w:snapToGrid w:val="0"/>
        </w:rPr>
        <w:t xml:space="preserve">controlled persons operating under a licence issued by, or on behalf of the CEO of ARPANSA. </w:t>
      </w:r>
      <w:r w:rsidR="005D6201" w:rsidRPr="0026652C">
        <w:rPr>
          <w:snapToGrid w:val="0"/>
        </w:rPr>
        <w:t xml:space="preserve">The program </w:t>
      </w:r>
      <w:r w:rsidR="00AA518B" w:rsidRPr="0026652C">
        <w:rPr>
          <w:snapToGrid w:val="0"/>
        </w:rPr>
        <w:t xml:space="preserve">will assist in providing assurance </w:t>
      </w:r>
      <w:r w:rsidR="000F7B44" w:rsidRPr="0026652C">
        <w:rPr>
          <w:snapToGrid w:val="0"/>
        </w:rPr>
        <w:t xml:space="preserve">to the Australian community </w:t>
      </w:r>
      <w:r w:rsidRPr="0026652C">
        <w:rPr>
          <w:snapToGrid w:val="0"/>
        </w:rPr>
        <w:t xml:space="preserve">that activities involving radiation facilities and sources do not pose </w:t>
      </w:r>
      <w:r w:rsidR="000F7B44" w:rsidRPr="0026652C">
        <w:rPr>
          <w:snapToGrid w:val="0"/>
        </w:rPr>
        <w:t>undue radiation risks</w:t>
      </w:r>
      <w:r w:rsidRPr="0026652C">
        <w:rPr>
          <w:snapToGrid w:val="0"/>
        </w:rPr>
        <w:t xml:space="preserve"> to </w:t>
      </w:r>
      <w:r w:rsidR="000F7B44" w:rsidRPr="0026652C">
        <w:rPr>
          <w:snapToGrid w:val="0"/>
        </w:rPr>
        <w:t>people and</w:t>
      </w:r>
      <w:r w:rsidRPr="0026652C">
        <w:rPr>
          <w:snapToGrid w:val="0"/>
        </w:rPr>
        <w:t xml:space="preserve"> the environment</w:t>
      </w:r>
      <w:r w:rsidR="003962B5" w:rsidRPr="0026652C">
        <w:rPr>
          <w:snapToGrid w:val="0"/>
        </w:rPr>
        <w:t xml:space="preserve">. </w:t>
      </w:r>
    </w:p>
    <w:p w14:paraId="1201D6C2" w14:textId="03C2C58A" w:rsidR="00954B45" w:rsidRPr="006348FA" w:rsidRDefault="003A4B74" w:rsidP="0026652C">
      <w:pPr>
        <w:rPr>
          <w:rFonts w:eastAsia="Calibri"/>
          <w:snapToGrid w:val="0"/>
        </w:rPr>
      </w:pPr>
      <w:r w:rsidRPr="0026652C">
        <w:rPr>
          <w:rFonts w:eastAsia="Calibri"/>
          <w:snapToGrid w:val="0"/>
        </w:rPr>
        <w:t xml:space="preserve">The inspection manual elaborates on the policy statement and supporting principles outlined in the </w:t>
      </w:r>
      <w:hyperlink r:id="rId9" w:history="1">
        <w:r w:rsidRPr="00E84D28">
          <w:rPr>
            <w:rStyle w:val="Hyperlink"/>
            <w:rFonts w:eastAsia="Calibri"/>
            <w:snapToGrid w:val="0"/>
          </w:rPr>
          <w:t>Policy for ARPANSA’s Regulatory Activities</w:t>
        </w:r>
      </w:hyperlink>
      <w:r w:rsidR="00E84D28">
        <w:rPr>
          <w:rFonts w:eastAsia="Calibri"/>
          <w:snapToGrid w:val="0"/>
        </w:rPr>
        <w:t xml:space="preserve"> </w:t>
      </w:r>
      <w:r w:rsidR="00E84D28" w:rsidRPr="0026652C">
        <w:rPr>
          <w:rFonts w:eastAsia="Calibri"/>
          <w:snapToGrid w:val="0"/>
        </w:rPr>
        <w:t>(</w:t>
      </w:r>
      <w:r w:rsidRPr="0026652C">
        <w:rPr>
          <w:rFonts w:eastAsia="Calibri"/>
          <w:snapToGrid w:val="0"/>
        </w:rPr>
        <w:t>ARPANSA-POL-002</w:t>
      </w:r>
      <w:r w:rsidR="00E84D28" w:rsidRPr="0026652C">
        <w:rPr>
          <w:rFonts w:eastAsia="Calibri"/>
          <w:snapToGrid w:val="0"/>
        </w:rPr>
        <w:t>)</w:t>
      </w:r>
      <w:r w:rsidRPr="0026652C">
        <w:rPr>
          <w:rFonts w:eastAsia="Calibri"/>
          <w:snapToGrid w:val="0"/>
        </w:rPr>
        <w:t xml:space="preserve"> as relevant to inspections. The Policy is aligned with the</w:t>
      </w:r>
      <w:r>
        <w:rPr>
          <w:rFonts w:eastAsia="Calibri"/>
          <w:snapToGrid w:val="0"/>
        </w:rPr>
        <w:t xml:space="preserve"> </w:t>
      </w:r>
      <w:hyperlink r:id="rId10" w:history="1">
        <w:r w:rsidRPr="00E84D28">
          <w:rPr>
            <w:rStyle w:val="Hyperlink"/>
            <w:rFonts w:eastAsia="Calibri"/>
            <w:snapToGrid w:val="0"/>
          </w:rPr>
          <w:t>IAEA General Safety Requirements (GSR Part 1 Rev 1)</w:t>
        </w:r>
        <w:r w:rsidR="00954B45" w:rsidRPr="00E84D28">
          <w:rPr>
            <w:rStyle w:val="Hyperlink"/>
            <w:rFonts w:eastAsia="Calibri"/>
            <w:snapToGrid w:val="0"/>
          </w:rPr>
          <w:t xml:space="preserve"> </w:t>
        </w:r>
        <w:r w:rsidR="00954B45" w:rsidRPr="006348FA">
          <w:rPr>
            <w:rStyle w:val="Hyperlink"/>
            <w:rFonts w:eastAsia="Calibri"/>
            <w:i/>
            <w:snapToGrid w:val="0"/>
          </w:rPr>
          <w:t>Governmental, Legal and Regulatory Framework for Safety</w:t>
        </w:r>
      </w:hyperlink>
      <w:r w:rsidR="00954B45">
        <w:rPr>
          <w:rFonts w:eastAsia="Calibri"/>
          <w:i/>
          <w:snapToGrid w:val="0"/>
        </w:rPr>
        <w:t>.</w:t>
      </w:r>
    </w:p>
    <w:p w14:paraId="4AC3B806" w14:textId="5A531EFA" w:rsidR="003A4B74" w:rsidRPr="0026652C" w:rsidRDefault="003A4B74" w:rsidP="0026652C">
      <w:pPr>
        <w:rPr>
          <w:rFonts w:eastAsia="Calibri"/>
          <w:snapToGrid w:val="0"/>
        </w:rPr>
      </w:pPr>
      <w:r w:rsidRPr="0026652C">
        <w:t>R</w:t>
      </w:r>
      <w:r w:rsidRPr="0026652C">
        <w:rPr>
          <w:lang w:eastAsia="en-AU"/>
        </w:rPr>
        <w:t>equ</w:t>
      </w:r>
      <w:r w:rsidRPr="0026652C">
        <w:t>ir</w:t>
      </w:r>
      <w:r w:rsidRPr="0026652C">
        <w:rPr>
          <w:lang w:eastAsia="en-AU"/>
        </w:rPr>
        <w:t>e</w:t>
      </w:r>
      <w:r w:rsidRPr="0026652C">
        <w:t>m</w:t>
      </w:r>
      <w:r w:rsidRPr="0026652C">
        <w:rPr>
          <w:lang w:eastAsia="en-AU"/>
        </w:rPr>
        <w:t>ent</w:t>
      </w:r>
      <w:r w:rsidRPr="0026652C">
        <w:rPr>
          <w:spacing w:val="4"/>
          <w:lang w:eastAsia="en-AU"/>
        </w:rPr>
        <w:t xml:space="preserve"> </w:t>
      </w:r>
      <w:r w:rsidRPr="0026652C">
        <w:rPr>
          <w:lang w:eastAsia="en-AU"/>
        </w:rPr>
        <w:t>27</w:t>
      </w:r>
      <w:r w:rsidRPr="0026652C">
        <w:t xml:space="preserve"> </w:t>
      </w:r>
      <w:r w:rsidRPr="0026652C">
        <w:rPr>
          <w:lang w:eastAsia="en-AU"/>
        </w:rPr>
        <w:t>of</w:t>
      </w:r>
      <w:r w:rsidRPr="0026652C">
        <w:rPr>
          <w:spacing w:val="4"/>
          <w:lang w:eastAsia="en-AU"/>
        </w:rPr>
        <w:t xml:space="preserve"> </w:t>
      </w:r>
      <w:r w:rsidRPr="0026652C">
        <w:t>G</w:t>
      </w:r>
      <w:r w:rsidRPr="0026652C">
        <w:rPr>
          <w:lang w:eastAsia="en-AU"/>
        </w:rPr>
        <w:t>SR</w:t>
      </w:r>
      <w:r w:rsidRPr="0026652C">
        <w:t xml:space="preserve"> </w:t>
      </w:r>
      <w:r w:rsidRPr="0026652C">
        <w:rPr>
          <w:lang w:eastAsia="en-AU"/>
        </w:rPr>
        <w:t>Pa</w:t>
      </w:r>
      <w:r w:rsidRPr="0026652C">
        <w:t>r</w:t>
      </w:r>
      <w:r w:rsidRPr="0026652C">
        <w:rPr>
          <w:lang w:eastAsia="en-AU"/>
        </w:rPr>
        <w:t>t</w:t>
      </w:r>
      <w:r w:rsidRPr="0026652C">
        <w:rPr>
          <w:spacing w:val="4"/>
          <w:lang w:eastAsia="en-AU"/>
        </w:rPr>
        <w:t xml:space="preserve"> </w:t>
      </w:r>
      <w:r w:rsidRPr="0026652C">
        <w:rPr>
          <w:lang w:eastAsia="en-AU"/>
        </w:rPr>
        <w:t>1</w:t>
      </w:r>
      <w:r w:rsidRPr="0026652C">
        <w:t xml:space="preserve"> </w:t>
      </w:r>
      <w:r w:rsidRPr="0026652C">
        <w:rPr>
          <w:spacing w:val="4"/>
          <w:lang w:eastAsia="en-AU"/>
        </w:rPr>
        <w:t>states</w:t>
      </w:r>
      <w:r w:rsidRPr="0026652C">
        <w:rPr>
          <w:lang w:eastAsia="en-AU"/>
        </w:rPr>
        <w:t>:</w:t>
      </w:r>
      <w:r w:rsidRPr="0026652C">
        <w:rPr>
          <w:spacing w:val="4"/>
          <w:lang w:eastAsia="en-AU"/>
        </w:rPr>
        <w:t xml:space="preserve"> </w:t>
      </w:r>
      <w:r w:rsidRPr="0026652C">
        <w:rPr>
          <w:iCs/>
          <w:lang w:eastAsia="en-AU"/>
        </w:rPr>
        <w:t>Th</w:t>
      </w:r>
      <w:r w:rsidRPr="0026652C">
        <w:rPr>
          <w:lang w:eastAsia="en-AU"/>
        </w:rPr>
        <w:t>e</w:t>
      </w:r>
      <w:r w:rsidRPr="0026652C">
        <w:rPr>
          <w:iCs/>
          <w:lang w:eastAsia="en-AU"/>
        </w:rPr>
        <w:t xml:space="preserve"> r</w:t>
      </w:r>
      <w:r w:rsidRPr="0026652C">
        <w:rPr>
          <w:lang w:eastAsia="en-AU"/>
        </w:rPr>
        <w:t>e</w:t>
      </w:r>
      <w:r w:rsidRPr="0026652C">
        <w:rPr>
          <w:iCs/>
          <w:lang w:eastAsia="en-AU"/>
        </w:rPr>
        <w:t>g</w:t>
      </w:r>
      <w:r w:rsidRPr="0026652C">
        <w:rPr>
          <w:lang w:eastAsia="en-AU"/>
        </w:rPr>
        <w:t>u</w:t>
      </w:r>
      <w:r w:rsidRPr="0026652C">
        <w:rPr>
          <w:iCs/>
          <w:lang w:eastAsia="en-AU"/>
        </w:rPr>
        <w:t>lat</w:t>
      </w:r>
      <w:r w:rsidRPr="0026652C">
        <w:rPr>
          <w:lang w:eastAsia="en-AU"/>
        </w:rPr>
        <w:t>o</w:t>
      </w:r>
      <w:r w:rsidRPr="0026652C">
        <w:rPr>
          <w:iCs/>
          <w:lang w:eastAsia="en-AU"/>
        </w:rPr>
        <w:t>r</w:t>
      </w:r>
      <w:r w:rsidRPr="0026652C">
        <w:rPr>
          <w:lang w:eastAsia="en-AU"/>
        </w:rPr>
        <w:t xml:space="preserve">y body </w:t>
      </w:r>
      <w:r w:rsidRPr="0026652C">
        <w:rPr>
          <w:iCs/>
          <w:lang w:eastAsia="en-AU"/>
        </w:rPr>
        <w:t>s</w:t>
      </w:r>
      <w:r w:rsidRPr="0026652C">
        <w:rPr>
          <w:lang w:eastAsia="en-AU"/>
        </w:rPr>
        <w:t>ha</w:t>
      </w:r>
      <w:r w:rsidRPr="0026652C">
        <w:rPr>
          <w:iCs/>
          <w:lang w:eastAsia="en-AU"/>
        </w:rPr>
        <w:t>l</w:t>
      </w:r>
      <w:r w:rsidRPr="0026652C">
        <w:rPr>
          <w:lang w:eastAsia="en-AU"/>
        </w:rPr>
        <w:t>l</w:t>
      </w:r>
      <w:r w:rsidRPr="0026652C">
        <w:rPr>
          <w:iCs/>
          <w:lang w:eastAsia="en-AU"/>
        </w:rPr>
        <w:t xml:space="preserve"> </w:t>
      </w:r>
      <w:r w:rsidRPr="0026652C">
        <w:rPr>
          <w:lang w:eastAsia="en-AU"/>
        </w:rPr>
        <w:t>ca</w:t>
      </w:r>
      <w:r w:rsidRPr="0026652C">
        <w:rPr>
          <w:iCs/>
          <w:lang w:eastAsia="en-AU"/>
        </w:rPr>
        <w:t>rr</w:t>
      </w:r>
      <w:r w:rsidRPr="0026652C">
        <w:rPr>
          <w:lang w:eastAsia="en-AU"/>
        </w:rPr>
        <w:t>y out</w:t>
      </w:r>
      <w:r w:rsidRPr="0026652C">
        <w:rPr>
          <w:iCs/>
          <w:lang w:eastAsia="en-AU"/>
        </w:rPr>
        <w:t xml:space="preserve"> i</w:t>
      </w:r>
      <w:r w:rsidRPr="0026652C">
        <w:rPr>
          <w:lang w:eastAsia="en-AU"/>
        </w:rPr>
        <w:t>n</w:t>
      </w:r>
      <w:r w:rsidRPr="0026652C">
        <w:rPr>
          <w:iCs/>
          <w:lang w:eastAsia="en-AU"/>
        </w:rPr>
        <w:t>s</w:t>
      </w:r>
      <w:r w:rsidRPr="0026652C">
        <w:rPr>
          <w:lang w:eastAsia="en-AU"/>
        </w:rPr>
        <w:t>p</w:t>
      </w:r>
      <w:r w:rsidRPr="0026652C">
        <w:rPr>
          <w:iCs/>
          <w:lang w:eastAsia="en-AU"/>
        </w:rPr>
        <w:t>e</w:t>
      </w:r>
      <w:r w:rsidRPr="0026652C">
        <w:rPr>
          <w:lang w:eastAsia="en-AU"/>
        </w:rPr>
        <w:t>c</w:t>
      </w:r>
      <w:r w:rsidRPr="0026652C">
        <w:rPr>
          <w:iCs/>
          <w:lang w:eastAsia="en-AU"/>
        </w:rPr>
        <w:t>ti</w:t>
      </w:r>
      <w:r w:rsidRPr="0026652C">
        <w:rPr>
          <w:lang w:eastAsia="en-AU"/>
        </w:rPr>
        <w:t>o</w:t>
      </w:r>
      <w:r w:rsidRPr="0026652C">
        <w:rPr>
          <w:iCs/>
          <w:lang w:eastAsia="en-AU"/>
        </w:rPr>
        <w:t>n</w:t>
      </w:r>
      <w:r w:rsidRPr="0026652C">
        <w:rPr>
          <w:lang w:eastAsia="en-AU"/>
        </w:rPr>
        <w:t>s of</w:t>
      </w:r>
      <w:r w:rsidRPr="0026652C">
        <w:rPr>
          <w:iCs/>
          <w:lang w:eastAsia="en-AU"/>
        </w:rPr>
        <w:t xml:space="preserve"> fa</w:t>
      </w:r>
      <w:r w:rsidRPr="0026652C">
        <w:rPr>
          <w:lang w:eastAsia="en-AU"/>
        </w:rPr>
        <w:t>c</w:t>
      </w:r>
      <w:r w:rsidRPr="0026652C">
        <w:rPr>
          <w:iCs/>
          <w:lang w:eastAsia="en-AU"/>
        </w:rPr>
        <w:t>iliti</w:t>
      </w:r>
      <w:r w:rsidRPr="0026652C">
        <w:rPr>
          <w:lang w:eastAsia="en-AU"/>
        </w:rPr>
        <w:t>es</w:t>
      </w:r>
      <w:r w:rsidRPr="0026652C">
        <w:rPr>
          <w:iCs/>
          <w:lang w:eastAsia="en-AU"/>
        </w:rPr>
        <w:t xml:space="preserve"> a</w:t>
      </w:r>
      <w:r w:rsidRPr="0026652C">
        <w:rPr>
          <w:lang w:eastAsia="en-AU"/>
        </w:rPr>
        <w:t>nd</w:t>
      </w:r>
      <w:r w:rsidRPr="0026652C">
        <w:rPr>
          <w:iCs/>
          <w:lang w:eastAsia="en-AU"/>
        </w:rPr>
        <w:t xml:space="preserve"> </w:t>
      </w:r>
      <w:r w:rsidRPr="0026652C">
        <w:rPr>
          <w:lang w:eastAsia="en-AU"/>
        </w:rPr>
        <w:t>a</w:t>
      </w:r>
      <w:r w:rsidRPr="0026652C">
        <w:rPr>
          <w:iCs/>
          <w:lang w:eastAsia="en-AU"/>
        </w:rPr>
        <w:t>ctiviti</w:t>
      </w:r>
      <w:r w:rsidRPr="0026652C">
        <w:rPr>
          <w:lang w:eastAsia="en-AU"/>
        </w:rPr>
        <w:t>es</w:t>
      </w:r>
      <w:r w:rsidRPr="0026652C">
        <w:rPr>
          <w:iCs/>
          <w:lang w:eastAsia="en-AU"/>
        </w:rPr>
        <w:t xml:space="preserve"> t</w:t>
      </w:r>
      <w:r w:rsidRPr="0026652C">
        <w:rPr>
          <w:lang w:eastAsia="en-AU"/>
        </w:rPr>
        <w:t>o</w:t>
      </w:r>
      <w:r w:rsidRPr="0026652C">
        <w:rPr>
          <w:iCs/>
          <w:lang w:eastAsia="en-AU"/>
        </w:rPr>
        <w:t xml:space="preserve"> v</w:t>
      </w:r>
      <w:r w:rsidRPr="0026652C">
        <w:rPr>
          <w:lang w:eastAsia="en-AU"/>
        </w:rPr>
        <w:t>e</w:t>
      </w:r>
      <w:r w:rsidRPr="0026652C">
        <w:rPr>
          <w:iCs/>
          <w:lang w:eastAsia="en-AU"/>
        </w:rPr>
        <w:t>rif</w:t>
      </w:r>
      <w:r w:rsidRPr="0026652C">
        <w:rPr>
          <w:lang w:eastAsia="en-AU"/>
        </w:rPr>
        <w:t xml:space="preserve">y </w:t>
      </w:r>
      <w:r w:rsidRPr="0026652C">
        <w:rPr>
          <w:iCs/>
          <w:lang w:eastAsia="en-AU"/>
        </w:rPr>
        <w:t>t</w:t>
      </w:r>
      <w:r w:rsidRPr="0026652C">
        <w:rPr>
          <w:lang w:eastAsia="en-AU"/>
        </w:rPr>
        <w:t>hat</w:t>
      </w:r>
      <w:r w:rsidRPr="0026652C">
        <w:rPr>
          <w:iCs/>
          <w:lang w:eastAsia="en-AU"/>
        </w:rPr>
        <w:t xml:space="preserve"> t</w:t>
      </w:r>
      <w:r w:rsidRPr="0026652C">
        <w:rPr>
          <w:lang w:eastAsia="en-AU"/>
        </w:rPr>
        <w:t>he</w:t>
      </w:r>
      <w:r w:rsidRPr="0026652C">
        <w:rPr>
          <w:iCs/>
          <w:lang w:eastAsia="en-AU"/>
        </w:rPr>
        <w:t xml:space="preserve"> </w:t>
      </w:r>
      <w:r w:rsidRPr="0026652C">
        <w:rPr>
          <w:lang w:eastAsia="en-AU"/>
        </w:rPr>
        <w:t>a</w:t>
      </w:r>
      <w:r w:rsidRPr="0026652C">
        <w:rPr>
          <w:iCs/>
          <w:lang w:eastAsia="en-AU"/>
        </w:rPr>
        <w:t>ut</w:t>
      </w:r>
      <w:r w:rsidRPr="0026652C">
        <w:rPr>
          <w:lang w:eastAsia="en-AU"/>
        </w:rPr>
        <w:t>ho</w:t>
      </w:r>
      <w:r w:rsidRPr="0026652C">
        <w:rPr>
          <w:iCs/>
          <w:lang w:eastAsia="en-AU"/>
        </w:rPr>
        <w:t>rize</w:t>
      </w:r>
      <w:r w:rsidRPr="0026652C">
        <w:rPr>
          <w:lang w:eastAsia="en-AU"/>
        </w:rPr>
        <w:t>d</w:t>
      </w:r>
      <w:r w:rsidRPr="0026652C">
        <w:rPr>
          <w:iCs/>
          <w:lang w:eastAsia="en-AU"/>
        </w:rPr>
        <w:t xml:space="preserve"> </w:t>
      </w:r>
      <w:r w:rsidRPr="0026652C">
        <w:rPr>
          <w:lang w:eastAsia="en-AU"/>
        </w:rPr>
        <w:t>pa</w:t>
      </w:r>
      <w:r w:rsidRPr="0026652C">
        <w:rPr>
          <w:iCs/>
          <w:lang w:eastAsia="en-AU"/>
        </w:rPr>
        <w:t>rt</w:t>
      </w:r>
      <w:r w:rsidRPr="0026652C">
        <w:rPr>
          <w:lang w:eastAsia="en-AU"/>
        </w:rPr>
        <w:t xml:space="preserve">y </w:t>
      </w:r>
      <w:r w:rsidRPr="0026652C">
        <w:rPr>
          <w:iCs/>
          <w:lang w:eastAsia="en-AU"/>
        </w:rPr>
        <w:t>i</w:t>
      </w:r>
      <w:r w:rsidRPr="0026652C">
        <w:rPr>
          <w:lang w:eastAsia="en-AU"/>
        </w:rPr>
        <w:t>s</w:t>
      </w:r>
      <w:r w:rsidRPr="0026652C">
        <w:rPr>
          <w:iCs/>
          <w:lang w:eastAsia="en-AU"/>
        </w:rPr>
        <w:t xml:space="preserve"> i</w:t>
      </w:r>
      <w:r w:rsidRPr="0026652C">
        <w:rPr>
          <w:lang w:eastAsia="en-AU"/>
        </w:rPr>
        <w:t>n</w:t>
      </w:r>
      <w:r w:rsidRPr="0026652C">
        <w:rPr>
          <w:iCs/>
          <w:lang w:eastAsia="en-AU"/>
        </w:rPr>
        <w:t xml:space="preserve"> </w:t>
      </w:r>
      <w:r w:rsidRPr="0026652C">
        <w:rPr>
          <w:lang w:eastAsia="en-AU"/>
        </w:rPr>
        <w:t>co</w:t>
      </w:r>
      <w:r w:rsidRPr="0026652C">
        <w:rPr>
          <w:iCs/>
          <w:lang w:eastAsia="en-AU"/>
        </w:rPr>
        <w:t>m</w:t>
      </w:r>
      <w:r w:rsidRPr="0026652C">
        <w:rPr>
          <w:lang w:eastAsia="en-AU"/>
        </w:rPr>
        <w:t>p</w:t>
      </w:r>
      <w:r w:rsidRPr="0026652C">
        <w:rPr>
          <w:iCs/>
          <w:lang w:eastAsia="en-AU"/>
        </w:rPr>
        <w:t>li</w:t>
      </w:r>
      <w:r w:rsidRPr="0026652C">
        <w:rPr>
          <w:lang w:eastAsia="en-AU"/>
        </w:rPr>
        <w:t>ance</w:t>
      </w:r>
      <w:r w:rsidRPr="0026652C">
        <w:rPr>
          <w:iCs/>
          <w:lang w:eastAsia="en-AU"/>
        </w:rPr>
        <w:t xml:space="preserve"> wit</w:t>
      </w:r>
      <w:r w:rsidRPr="0026652C">
        <w:rPr>
          <w:lang w:eastAsia="en-AU"/>
        </w:rPr>
        <w:t xml:space="preserve">h </w:t>
      </w:r>
      <w:r w:rsidRPr="0026652C">
        <w:rPr>
          <w:iCs/>
          <w:lang w:eastAsia="en-AU"/>
        </w:rPr>
        <w:t>t</w:t>
      </w:r>
      <w:r w:rsidRPr="0026652C">
        <w:rPr>
          <w:lang w:eastAsia="en-AU"/>
        </w:rPr>
        <w:t>he</w:t>
      </w:r>
      <w:r w:rsidRPr="0026652C">
        <w:rPr>
          <w:iCs/>
          <w:lang w:eastAsia="en-AU"/>
        </w:rPr>
        <w:t xml:space="preserve"> r</w:t>
      </w:r>
      <w:r w:rsidRPr="0026652C">
        <w:rPr>
          <w:lang w:eastAsia="en-AU"/>
        </w:rPr>
        <w:t>e</w:t>
      </w:r>
      <w:r w:rsidRPr="0026652C">
        <w:rPr>
          <w:iCs/>
          <w:lang w:eastAsia="en-AU"/>
        </w:rPr>
        <w:t>g</w:t>
      </w:r>
      <w:r w:rsidRPr="0026652C">
        <w:rPr>
          <w:lang w:eastAsia="en-AU"/>
        </w:rPr>
        <w:t>u</w:t>
      </w:r>
      <w:r w:rsidRPr="0026652C">
        <w:rPr>
          <w:iCs/>
          <w:lang w:eastAsia="en-AU"/>
        </w:rPr>
        <w:t>lat</w:t>
      </w:r>
      <w:r w:rsidRPr="0026652C">
        <w:rPr>
          <w:lang w:eastAsia="en-AU"/>
        </w:rPr>
        <w:t>o</w:t>
      </w:r>
      <w:r w:rsidRPr="0026652C">
        <w:rPr>
          <w:iCs/>
          <w:lang w:eastAsia="en-AU"/>
        </w:rPr>
        <w:t>r</w:t>
      </w:r>
      <w:r w:rsidRPr="0026652C">
        <w:rPr>
          <w:lang w:eastAsia="en-AU"/>
        </w:rPr>
        <w:t xml:space="preserve">y </w:t>
      </w:r>
      <w:r w:rsidRPr="0026652C">
        <w:rPr>
          <w:iCs/>
          <w:lang w:eastAsia="en-AU"/>
        </w:rPr>
        <w:t>r</w:t>
      </w:r>
      <w:r w:rsidRPr="0026652C">
        <w:rPr>
          <w:lang w:eastAsia="en-AU"/>
        </w:rPr>
        <w:t>eq</w:t>
      </w:r>
      <w:r w:rsidRPr="0026652C">
        <w:rPr>
          <w:iCs/>
          <w:lang w:eastAsia="en-AU"/>
        </w:rPr>
        <w:t>uir</w:t>
      </w:r>
      <w:r w:rsidRPr="0026652C">
        <w:rPr>
          <w:lang w:eastAsia="en-AU"/>
        </w:rPr>
        <w:t>e</w:t>
      </w:r>
      <w:r w:rsidRPr="0026652C">
        <w:rPr>
          <w:iCs/>
          <w:lang w:eastAsia="en-AU"/>
        </w:rPr>
        <w:t>m</w:t>
      </w:r>
      <w:r w:rsidRPr="0026652C">
        <w:rPr>
          <w:lang w:eastAsia="en-AU"/>
        </w:rPr>
        <w:t>en</w:t>
      </w:r>
      <w:r w:rsidRPr="0026652C">
        <w:rPr>
          <w:iCs/>
          <w:lang w:eastAsia="en-AU"/>
        </w:rPr>
        <w:t>t</w:t>
      </w:r>
      <w:r w:rsidRPr="0026652C">
        <w:rPr>
          <w:lang w:eastAsia="en-AU"/>
        </w:rPr>
        <w:t>s</w:t>
      </w:r>
      <w:r w:rsidRPr="0026652C">
        <w:rPr>
          <w:iCs/>
          <w:lang w:eastAsia="en-AU"/>
        </w:rPr>
        <w:t xml:space="preserve"> a</w:t>
      </w:r>
      <w:r w:rsidRPr="0026652C">
        <w:rPr>
          <w:lang w:eastAsia="en-AU"/>
        </w:rPr>
        <w:t>nd</w:t>
      </w:r>
      <w:r w:rsidRPr="0026652C">
        <w:rPr>
          <w:iCs/>
          <w:lang w:eastAsia="en-AU"/>
        </w:rPr>
        <w:t xml:space="preserve"> wit</w:t>
      </w:r>
      <w:r w:rsidRPr="0026652C">
        <w:rPr>
          <w:lang w:eastAsia="en-AU"/>
        </w:rPr>
        <w:t>h</w:t>
      </w:r>
      <w:r w:rsidRPr="0026652C">
        <w:rPr>
          <w:iCs/>
          <w:lang w:eastAsia="en-AU"/>
        </w:rPr>
        <w:t xml:space="preserve"> t</w:t>
      </w:r>
      <w:r w:rsidRPr="0026652C">
        <w:rPr>
          <w:lang w:eastAsia="en-AU"/>
        </w:rPr>
        <w:t>he</w:t>
      </w:r>
      <w:r w:rsidRPr="0026652C">
        <w:rPr>
          <w:iCs/>
          <w:lang w:eastAsia="en-AU"/>
        </w:rPr>
        <w:t xml:space="preserve"> </w:t>
      </w:r>
      <w:r w:rsidRPr="0026652C">
        <w:rPr>
          <w:lang w:eastAsia="en-AU"/>
        </w:rPr>
        <w:t>cond</w:t>
      </w:r>
      <w:r w:rsidRPr="0026652C">
        <w:rPr>
          <w:iCs/>
          <w:lang w:eastAsia="en-AU"/>
        </w:rPr>
        <w:t>iti</w:t>
      </w:r>
      <w:r w:rsidRPr="0026652C">
        <w:rPr>
          <w:lang w:eastAsia="en-AU"/>
        </w:rPr>
        <w:t>ons</w:t>
      </w:r>
      <w:r w:rsidRPr="0026652C">
        <w:rPr>
          <w:iCs/>
          <w:lang w:eastAsia="en-AU"/>
        </w:rPr>
        <w:t xml:space="preserve"> </w:t>
      </w:r>
      <w:r w:rsidRPr="0026652C">
        <w:rPr>
          <w:lang w:eastAsia="en-AU"/>
        </w:rPr>
        <w:t>s</w:t>
      </w:r>
      <w:r w:rsidRPr="0026652C">
        <w:rPr>
          <w:iCs/>
          <w:lang w:eastAsia="en-AU"/>
        </w:rPr>
        <w:t>p</w:t>
      </w:r>
      <w:r w:rsidRPr="0026652C">
        <w:rPr>
          <w:lang w:eastAsia="en-AU"/>
        </w:rPr>
        <w:t>ec</w:t>
      </w:r>
      <w:r w:rsidRPr="0026652C">
        <w:rPr>
          <w:iCs/>
          <w:lang w:eastAsia="en-AU"/>
        </w:rPr>
        <w:t>ifi</w:t>
      </w:r>
      <w:r w:rsidRPr="0026652C">
        <w:rPr>
          <w:lang w:eastAsia="en-AU"/>
        </w:rPr>
        <w:t>ed</w:t>
      </w:r>
      <w:r w:rsidRPr="0026652C">
        <w:rPr>
          <w:iCs/>
          <w:lang w:eastAsia="en-AU"/>
        </w:rPr>
        <w:t xml:space="preserve"> i</w:t>
      </w:r>
      <w:r w:rsidRPr="0026652C">
        <w:rPr>
          <w:lang w:eastAsia="en-AU"/>
        </w:rPr>
        <w:t>n</w:t>
      </w:r>
      <w:r w:rsidRPr="0026652C">
        <w:rPr>
          <w:iCs/>
          <w:lang w:eastAsia="en-AU"/>
        </w:rPr>
        <w:t xml:space="preserve"> t</w:t>
      </w:r>
      <w:r w:rsidRPr="0026652C">
        <w:rPr>
          <w:lang w:eastAsia="en-AU"/>
        </w:rPr>
        <w:t>he</w:t>
      </w:r>
      <w:r w:rsidRPr="0026652C">
        <w:rPr>
          <w:iCs/>
          <w:lang w:eastAsia="en-AU"/>
        </w:rPr>
        <w:t xml:space="preserve"> </w:t>
      </w:r>
      <w:r w:rsidRPr="0026652C">
        <w:rPr>
          <w:lang w:eastAsia="en-AU"/>
        </w:rPr>
        <w:t>au</w:t>
      </w:r>
      <w:r w:rsidRPr="0026652C">
        <w:rPr>
          <w:iCs/>
          <w:lang w:eastAsia="en-AU"/>
        </w:rPr>
        <w:t>t</w:t>
      </w:r>
      <w:r w:rsidRPr="0026652C">
        <w:rPr>
          <w:lang w:eastAsia="en-AU"/>
        </w:rPr>
        <w:t>h</w:t>
      </w:r>
      <w:r w:rsidRPr="0026652C">
        <w:rPr>
          <w:iCs/>
          <w:lang w:eastAsia="en-AU"/>
        </w:rPr>
        <w:t>oriz</w:t>
      </w:r>
      <w:r w:rsidRPr="0026652C">
        <w:rPr>
          <w:lang w:eastAsia="en-AU"/>
        </w:rPr>
        <w:t>a</w:t>
      </w:r>
      <w:r w:rsidRPr="0026652C">
        <w:rPr>
          <w:iCs/>
          <w:lang w:eastAsia="en-AU"/>
        </w:rPr>
        <w:t>ti</w:t>
      </w:r>
      <w:r w:rsidRPr="0026652C">
        <w:rPr>
          <w:lang w:eastAsia="en-AU"/>
        </w:rPr>
        <w:t>on</w:t>
      </w:r>
      <w:r w:rsidRPr="0026652C">
        <w:rPr>
          <w:iCs/>
          <w:lang w:eastAsia="en-AU"/>
        </w:rPr>
        <w:t>.</w:t>
      </w:r>
    </w:p>
    <w:p w14:paraId="383CB905" w14:textId="11722774" w:rsidR="006500D5" w:rsidRPr="0026652C" w:rsidRDefault="00DF3AB0" w:rsidP="0026652C">
      <w:pPr>
        <w:rPr>
          <w:snapToGrid w:val="0"/>
        </w:rPr>
      </w:pPr>
      <w:r w:rsidRPr="0026652C">
        <w:rPr>
          <w:snapToGrid w:val="0"/>
        </w:rPr>
        <w:t xml:space="preserve">The </w:t>
      </w:r>
      <w:r w:rsidR="006500D5" w:rsidRPr="0026652C">
        <w:rPr>
          <w:snapToGrid w:val="0"/>
        </w:rPr>
        <w:t>inspection program is designed to:</w:t>
      </w:r>
    </w:p>
    <w:p w14:paraId="0C92C990" w14:textId="2F3376C5" w:rsidR="006500D5" w:rsidRPr="0026652C" w:rsidRDefault="006500D5" w:rsidP="0026652C">
      <w:pPr>
        <w:pStyle w:val="ListParagraph"/>
        <w:numPr>
          <w:ilvl w:val="0"/>
          <w:numId w:val="4"/>
        </w:numPr>
      </w:pPr>
      <w:r w:rsidRPr="0026652C">
        <w:t>Identify activities prohibited under</w:t>
      </w:r>
      <w:r w:rsidR="00436B46" w:rsidRPr="0026652C">
        <w:t xml:space="preserve"> the</w:t>
      </w:r>
      <w:r w:rsidRPr="0026652C">
        <w:t xml:space="preserve"> </w:t>
      </w:r>
      <w:r w:rsidR="00436B46" w:rsidRPr="0026652C">
        <w:rPr>
          <w:i/>
        </w:rPr>
        <w:t xml:space="preserve">Australian Radiation Protection and Nuclear Safety Act 1998 </w:t>
      </w:r>
      <w:r w:rsidR="00436B46" w:rsidRPr="0026652C">
        <w:t>(</w:t>
      </w:r>
      <w:r w:rsidRPr="0026652C">
        <w:t>the Act</w:t>
      </w:r>
      <w:r w:rsidR="00436B46" w:rsidRPr="0026652C">
        <w:t>)</w:t>
      </w:r>
      <w:r w:rsidRPr="0026652C">
        <w:t xml:space="preserve"> that are being undertaken without </w:t>
      </w:r>
      <w:r w:rsidR="002C2E34" w:rsidRPr="0026652C">
        <w:t xml:space="preserve">appropriate authorisation or </w:t>
      </w:r>
      <w:r w:rsidRPr="0026652C">
        <w:t>exemption</w:t>
      </w:r>
      <w:r w:rsidR="008A1C56" w:rsidRPr="0026652C">
        <w:footnoteReference w:id="1"/>
      </w:r>
      <w:r w:rsidRPr="0026652C">
        <w:t>.</w:t>
      </w:r>
    </w:p>
    <w:p w14:paraId="764B5D7F" w14:textId="497EF287" w:rsidR="006500D5" w:rsidRPr="0026652C" w:rsidRDefault="006500D5" w:rsidP="0026652C">
      <w:pPr>
        <w:pStyle w:val="ListParagraph"/>
        <w:numPr>
          <w:ilvl w:val="0"/>
          <w:numId w:val="4"/>
        </w:numPr>
      </w:pPr>
      <w:r w:rsidRPr="0026652C">
        <w:t>Assess and verify licence holder compliance with the</w:t>
      </w:r>
      <w:r w:rsidR="00436B46" w:rsidRPr="0026652C">
        <w:t xml:space="preserve"> Act</w:t>
      </w:r>
      <w:r w:rsidRPr="0026652C">
        <w:t xml:space="preserve">, </w:t>
      </w:r>
      <w:r w:rsidR="00436B46" w:rsidRPr="0026652C">
        <w:t xml:space="preserve">the </w:t>
      </w:r>
      <w:r w:rsidRPr="0026652C">
        <w:t xml:space="preserve">Australian Radiation Protection and Nuclear Safety Regulations </w:t>
      </w:r>
      <w:r w:rsidR="003D2CA6" w:rsidRPr="0026652C">
        <w:t>2018</w:t>
      </w:r>
      <w:r w:rsidRPr="0026652C">
        <w:t xml:space="preserve"> (the Regulations) and licence conditions.</w:t>
      </w:r>
    </w:p>
    <w:p w14:paraId="40AE7A56" w14:textId="77777777" w:rsidR="00DF3AB0" w:rsidRPr="0026652C" w:rsidRDefault="006500D5" w:rsidP="0026652C">
      <w:pPr>
        <w:pStyle w:val="ListParagraph"/>
        <w:numPr>
          <w:ilvl w:val="0"/>
          <w:numId w:val="4"/>
        </w:numPr>
      </w:pPr>
      <w:r w:rsidRPr="0026652C">
        <w:t xml:space="preserve">Appropriately respond to non-compliance, </w:t>
      </w:r>
      <w:r w:rsidR="004973EA" w:rsidRPr="0026652C">
        <w:t>areas for improvement</w:t>
      </w:r>
      <w:r w:rsidRPr="0026652C">
        <w:t xml:space="preserve">, abnormal occurrences, incidents and accidents. </w:t>
      </w:r>
    </w:p>
    <w:p w14:paraId="444EB637" w14:textId="7810FA97" w:rsidR="00436B46" w:rsidRPr="0026652C" w:rsidRDefault="00DF3AB0" w:rsidP="0026652C">
      <w:r w:rsidRPr="0026652C">
        <w:t>At no time does an inspection diminish the licence holder’s primary responsibility for safety.</w:t>
      </w:r>
    </w:p>
    <w:p w14:paraId="1AB1372C" w14:textId="3A895EE6" w:rsidR="006500D5" w:rsidRPr="00E91A08" w:rsidRDefault="006500D5" w:rsidP="0026652C">
      <w:pPr>
        <w:pStyle w:val="Heading3"/>
      </w:pPr>
      <w:bookmarkStart w:id="6" w:name="_Toc483572269"/>
      <w:bookmarkStart w:id="7" w:name="_Toc492399338"/>
      <w:bookmarkStart w:id="8" w:name="_Toc5290052"/>
      <w:r w:rsidRPr="00EA2779">
        <w:t>Appointment</w:t>
      </w:r>
      <w:r w:rsidRPr="006500D5">
        <w:t xml:space="preserve"> </w:t>
      </w:r>
      <w:r w:rsidRPr="00E91A08">
        <w:t>of</w:t>
      </w:r>
      <w:r w:rsidRPr="006500D5">
        <w:t xml:space="preserve"> </w:t>
      </w:r>
      <w:r w:rsidRPr="00E91A08">
        <w:t>inspectors</w:t>
      </w:r>
      <w:bookmarkEnd w:id="6"/>
      <w:bookmarkEnd w:id="7"/>
      <w:bookmarkEnd w:id="8"/>
    </w:p>
    <w:p w14:paraId="1B9E48A3" w14:textId="55BC3702" w:rsidR="00B81503" w:rsidRPr="0026652C" w:rsidRDefault="00B81503" w:rsidP="0026652C">
      <w:r w:rsidRPr="0026652C">
        <w:t>To exercise powers and perform functions as an inspector, a person must:</w:t>
      </w:r>
    </w:p>
    <w:p w14:paraId="22554ACA" w14:textId="77777777" w:rsidR="00B81503" w:rsidRPr="0026652C" w:rsidRDefault="00B81503" w:rsidP="0026652C">
      <w:pPr>
        <w:pStyle w:val="ListParagraph"/>
        <w:numPr>
          <w:ilvl w:val="0"/>
          <w:numId w:val="4"/>
        </w:numPr>
      </w:pPr>
      <w:r w:rsidRPr="0026652C">
        <w:t>be appointed by the CEO under subsection 62(1) of the Act</w:t>
      </w:r>
    </w:p>
    <w:p w14:paraId="3D22FC5A" w14:textId="74C3A670" w:rsidR="00B81503" w:rsidRPr="0026652C" w:rsidRDefault="00B81503" w:rsidP="0026652C">
      <w:pPr>
        <w:pStyle w:val="ListParagraph"/>
        <w:numPr>
          <w:ilvl w:val="0"/>
          <w:numId w:val="4"/>
        </w:numPr>
      </w:pPr>
      <w:r w:rsidRPr="0026652C">
        <w:t xml:space="preserve">hold an identity card meeting the requirements of </w:t>
      </w:r>
      <w:r w:rsidR="003D2CA6" w:rsidRPr="0026652C">
        <w:rPr>
          <w:rFonts w:eastAsia="Calibri"/>
        </w:rPr>
        <w:t xml:space="preserve">section 83 and schedule 2 </w:t>
      </w:r>
      <w:r w:rsidRPr="0026652C">
        <w:t>of the Regulations</w:t>
      </w:r>
    </w:p>
    <w:p w14:paraId="0237E1CA" w14:textId="767AA497" w:rsidR="00B81503" w:rsidRPr="0026652C" w:rsidRDefault="00B81503" w:rsidP="0026652C">
      <w:r w:rsidRPr="0026652C">
        <w:t xml:space="preserve">To be appointed as an inspector, a person </w:t>
      </w:r>
      <w:r w:rsidR="006F735D" w:rsidRPr="0026652C">
        <w:t>must</w:t>
      </w:r>
      <w:r w:rsidRPr="0026652C">
        <w:t>:</w:t>
      </w:r>
    </w:p>
    <w:p w14:paraId="34DDB4BC" w14:textId="31BE1221" w:rsidR="00B81503" w:rsidRPr="0026652C" w:rsidRDefault="00B81503" w:rsidP="0026652C">
      <w:pPr>
        <w:pStyle w:val="ListParagraph"/>
        <w:numPr>
          <w:ilvl w:val="0"/>
          <w:numId w:val="4"/>
        </w:numPr>
      </w:pPr>
      <w:r w:rsidRPr="0026652C">
        <w:t>have appropriate qualifications in science or engineering and/or experience in radiation protection and nuclear safety and security</w:t>
      </w:r>
      <w:r w:rsidR="00393335" w:rsidRPr="0026652C">
        <w:t>,</w:t>
      </w:r>
      <w:r w:rsidRPr="0026652C">
        <w:t xml:space="preserve"> or related</w:t>
      </w:r>
      <w:r w:rsidR="002943E1" w:rsidRPr="0026652C">
        <w:t xml:space="preserve"> </w:t>
      </w:r>
      <w:r w:rsidR="00393335" w:rsidRPr="0026652C">
        <w:t>industry subject to stringent safety requirements</w:t>
      </w:r>
      <w:r w:rsidR="002943E1" w:rsidRPr="0026652C">
        <w:t xml:space="preserve"> </w:t>
      </w:r>
    </w:p>
    <w:p w14:paraId="386B6C89" w14:textId="4D9B3B4A" w:rsidR="00B81503" w:rsidRPr="0026652C" w:rsidRDefault="00B81503" w:rsidP="0026652C">
      <w:pPr>
        <w:pStyle w:val="ListParagraph"/>
        <w:numPr>
          <w:ilvl w:val="0"/>
          <w:numId w:val="4"/>
        </w:numPr>
      </w:pPr>
      <w:r w:rsidRPr="0026652C">
        <w:t>have completed or be actively seeking to complete the required components of the inspectors’ training and skills development program (</w:t>
      </w:r>
      <w:r w:rsidR="00733751" w:rsidRPr="0026652C">
        <w:t>see</w:t>
      </w:r>
      <w:r w:rsidRPr="0026652C">
        <w:t xml:space="preserve"> </w:t>
      </w:r>
      <w:r w:rsidR="00733751" w:rsidRPr="0026652C">
        <w:t xml:space="preserve">Section </w:t>
      </w:r>
      <w:r w:rsidR="002F454F" w:rsidRPr="0026652C">
        <w:fldChar w:fldCharType="begin"/>
      </w:r>
      <w:r w:rsidR="002F454F" w:rsidRPr="0026652C">
        <w:instrText xml:space="preserve"> REF _Ref527720905 \r \h </w:instrText>
      </w:r>
      <w:r w:rsidR="002F454F" w:rsidRPr="0026652C">
        <w:fldChar w:fldCharType="separate"/>
      </w:r>
      <w:r w:rsidR="002F454F" w:rsidRPr="0026652C">
        <w:t>3</w:t>
      </w:r>
      <w:r w:rsidR="002F454F" w:rsidRPr="0026652C">
        <w:fldChar w:fldCharType="end"/>
      </w:r>
      <w:r w:rsidRPr="0026652C">
        <w:t>)</w:t>
      </w:r>
    </w:p>
    <w:p w14:paraId="0C2FA541" w14:textId="77777777" w:rsidR="00B81503" w:rsidRPr="0026652C" w:rsidRDefault="00B81503" w:rsidP="0026652C">
      <w:pPr>
        <w:pStyle w:val="ListParagraph"/>
        <w:numPr>
          <w:ilvl w:val="0"/>
          <w:numId w:val="4"/>
        </w:numPr>
      </w:pPr>
      <w:proofErr w:type="gramStart"/>
      <w:r w:rsidRPr="0026652C">
        <w:t>possess</w:t>
      </w:r>
      <w:proofErr w:type="gramEnd"/>
      <w:r w:rsidRPr="0026652C">
        <w:t xml:space="preserve"> or be actively acquiring a recognised certification in audit, investigation and/or enforcement </w:t>
      </w:r>
      <w:proofErr w:type="spellStart"/>
      <w:r w:rsidRPr="0026652C">
        <w:t>eg</w:t>
      </w:r>
      <w:proofErr w:type="spellEnd"/>
      <w:r w:rsidRPr="0026652C">
        <w:t>. Certificate IV in Government (Statutory Compliance) or equivalent from a Registered Training Organisation</w:t>
      </w:r>
    </w:p>
    <w:p w14:paraId="1AE36E28" w14:textId="77777777" w:rsidR="00B81503" w:rsidRPr="0026652C" w:rsidRDefault="00B81503" w:rsidP="0026652C">
      <w:pPr>
        <w:pStyle w:val="ListParagraph"/>
        <w:numPr>
          <w:ilvl w:val="0"/>
          <w:numId w:val="4"/>
        </w:numPr>
      </w:pPr>
      <w:r w:rsidRPr="0026652C">
        <w:lastRenderedPageBreak/>
        <w:t>possess an appropriate security clearance (minimum Baseline level)</w:t>
      </w:r>
    </w:p>
    <w:p w14:paraId="2205A935" w14:textId="48E7E4E9" w:rsidR="00664CA8" w:rsidRPr="0026652C" w:rsidRDefault="00664CA8" w:rsidP="0026652C">
      <w:r w:rsidRPr="0026652C">
        <w:t xml:space="preserve">NOTE: ARPANSA does not </w:t>
      </w:r>
      <w:r w:rsidR="00123EB4" w:rsidRPr="0026652C">
        <w:t xml:space="preserve">contract </w:t>
      </w:r>
      <w:r w:rsidRPr="0026652C">
        <w:t xml:space="preserve">inspectors </w:t>
      </w:r>
      <w:r w:rsidR="008A4943" w:rsidRPr="0026652C">
        <w:t xml:space="preserve">however a </w:t>
      </w:r>
      <w:r w:rsidRPr="0026652C">
        <w:t>contractor</w:t>
      </w:r>
      <w:r w:rsidR="005D6201" w:rsidRPr="0026652C">
        <w:t>, an external regulator from another jurisdiction</w:t>
      </w:r>
      <w:r w:rsidRPr="0026652C">
        <w:t xml:space="preserve"> </w:t>
      </w:r>
      <w:r w:rsidR="005D6201" w:rsidRPr="0026652C">
        <w:t xml:space="preserve">or another suitably experienced staff member </w:t>
      </w:r>
      <w:r w:rsidR="008A4943" w:rsidRPr="0026652C">
        <w:t>may be involved in an inspection as a technical</w:t>
      </w:r>
      <w:r w:rsidR="006F735D" w:rsidRPr="0026652C">
        <w:t xml:space="preserve"> adviser</w:t>
      </w:r>
      <w:r w:rsidR="00436B46" w:rsidRPr="0026652C">
        <w:t xml:space="preserve"> or subject matter expert</w:t>
      </w:r>
      <w:r w:rsidR="008A4943" w:rsidRPr="0026652C">
        <w:t xml:space="preserve">. </w:t>
      </w:r>
    </w:p>
    <w:p w14:paraId="4E392454" w14:textId="49C022C0" w:rsidR="002F3B32" w:rsidRPr="0041789C" w:rsidRDefault="00E91A08" w:rsidP="0026652C">
      <w:pPr>
        <w:pStyle w:val="Heading3"/>
      </w:pPr>
      <w:bookmarkStart w:id="9" w:name="_Toc483572270"/>
      <w:bookmarkStart w:id="10" w:name="_Toc492399339"/>
      <w:bookmarkStart w:id="11" w:name="_Ref527721037"/>
      <w:bookmarkStart w:id="12" w:name="_Toc5290053"/>
      <w:r w:rsidRPr="002B1F56">
        <w:t>R</w:t>
      </w:r>
      <w:r w:rsidR="001B1F25" w:rsidRPr="002B1F56">
        <w:t>esponsibil</w:t>
      </w:r>
      <w:r w:rsidRPr="002B1F56">
        <w:t>i</w:t>
      </w:r>
      <w:r w:rsidR="001B1F25" w:rsidRPr="002B1F56">
        <w:t>ties</w:t>
      </w:r>
      <w:r w:rsidR="001B1F25">
        <w:t xml:space="preserve"> &amp; </w:t>
      </w:r>
      <w:r w:rsidR="00EF48F0">
        <w:t>p</w:t>
      </w:r>
      <w:r w:rsidR="002F3B32" w:rsidRPr="0041789C">
        <w:t xml:space="preserve">ersonal </w:t>
      </w:r>
      <w:r w:rsidR="00EF48F0">
        <w:t>c</w:t>
      </w:r>
      <w:r w:rsidR="002F3B32" w:rsidRPr="0041789C">
        <w:t xml:space="preserve">onduct of </w:t>
      </w:r>
      <w:r w:rsidR="00EF48F0">
        <w:t>i</w:t>
      </w:r>
      <w:r w:rsidR="002F3B32" w:rsidRPr="0041789C">
        <w:t>nspectors</w:t>
      </w:r>
      <w:bookmarkEnd w:id="9"/>
      <w:bookmarkEnd w:id="10"/>
      <w:bookmarkEnd w:id="11"/>
      <w:bookmarkEnd w:id="12"/>
      <w:r w:rsidR="002F3B32" w:rsidRPr="0041789C">
        <w:t xml:space="preserve"> </w:t>
      </w:r>
    </w:p>
    <w:p w14:paraId="01338EB3" w14:textId="42E82436" w:rsidR="002F3B32" w:rsidRPr="0026652C" w:rsidRDefault="002F3B32" w:rsidP="0026652C">
      <w:r w:rsidRPr="0026652C">
        <w:t xml:space="preserve">Inspectors </w:t>
      </w:r>
      <w:r w:rsidR="005A13C9" w:rsidRPr="0026652C">
        <w:t>must</w:t>
      </w:r>
      <w:r w:rsidRPr="0026652C">
        <w:t xml:space="preserve"> behave in accordance with the </w:t>
      </w:r>
      <w:hyperlink r:id="rId11" w:history="1">
        <w:r w:rsidRPr="0026652C">
          <w:t>APS Values and APS Code of Conduct</w:t>
        </w:r>
      </w:hyperlink>
      <w:r w:rsidR="00F5630D" w:rsidRPr="0026652C">
        <w:t xml:space="preserve"> to uphold the reputation of ARPANSA</w:t>
      </w:r>
      <w:r w:rsidR="003962B5" w:rsidRPr="0026652C">
        <w:t xml:space="preserve">. </w:t>
      </w:r>
      <w:r w:rsidR="00A92106" w:rsidRPr="0026652C">
        <w:t xml:space="preserve">Inspectors are expected to </w:t>
      </w:r>
      <w:r w:rsidR="003A01C1" w:rsidRPr="0026652C">
        <w:t xml:space="preserve">be </w:t>
      </w:r>
      <w:r w:rsidR="00A05276" w:rsidRPr="0026652C">
        <w:t xml:space="preserve">impartial, committed to service, accountable, respectful, and </w:t>
      </w:r>
      <w:r w:rsidR="003A01C1" w:rsidRPr="0026652C">
        <w:t>ethical</w:t>
      </w:r>
      <w:r w:rsidR="003962B5" w:rsidRPr="0026652C">
        <w:t xml:space="preserve">. </w:t>
      </w:r>
      <w:r w:rsidR="002D772F" w:rsidRPr="0026652C">
        <w:t>T</w:t>
      </w:r>
      <w:r w:rsidR="003A01C1" w:rsidRPr="0026652C">
        <w:t>hey have a</w:t>
      </w:r>
      <w:r w:rsidR="00A05276" w:rsidRPr="0026652C">
        <w:t xml:space="preserve"> responsibility to </w:t>
      </w:r>
      <w:r w:rsidR="005D6201" w:rsidRPr="0026652C">
        <w:t xml:space="preserve">gather, </w:t>
      </w:r>
      <w:r w:rsidR="00A05276" w:rsidRPr="0026652C">
        <w:t>use and protect information in accordance with the Australian Government Protective Security Policy Framework</w:t>
      </w:r>
      <w:r w:rsidR="003962B5" w:rsidRPr="0026652C">
        <w:t xml:space="preserve">. </w:t>
      </w:r>
    </w:p>
    <w:p w14:paraId="31F616E2" w14:textId="77777777" w:rsidR="002F3B32" w:rsidRPr="0026652C" w:rsidRDefault="002F3B32" w:rsidP="0026652C">
      <w:r w:rsidRPr="0026652C">
        <w:t xml:space="preserve">Inspectors are required to perform inspections in a professional manner </w:t>
      </w:r>
      <w:r w:rsidR="002B6CDE" w:rsidRPr="0026652C">
        <w:t>and comply with</w:t>
      </w:r>
      <w:r w:rsidRPr="0026652C">
        <w:t xml:space="preserve"> the licence holder’s arrangements </w:t>
      </w:r>
      <w:r w:rsidR="002B6CDE" w:rsidRPr="0026652C">
        <w:t xml:space="preserve">(where safe to do so) </w:t>
      </w:r>
      <w:r w:rsidRPr="0026652C">
        <w:t>regarding:</w:t>
      </w:r>
    </w:p>
    <w:p w14:paraId="48D8BC3C" w14:textId="77777777" w:rsidR="002F3B32" w:rsidRPr="0026652C" w:rsidRDefault="002F3B32" w:rsidP="0026652C">
      <w:pPr>
        <w:pStyle w:val="ListParagraph"/>
        <w:numPr>
          <w:ilvl w:val="0"/>
          <w:numId w:val="4"/>
        </w:numPr>
      </w:pPr>
      <w:r w:rsidRPr="0026652C">
        <w:t>site, building or room entry</w:t>
      </w:r>
    </w:p>
    <w:p w14:paraId="3DBA30DC" w14:textId="6305A98B" w:rsidR="002F3B32" w:rsidRPr="0026652C" w:rsidRDefault="005D6201" w:rsidP="0026652C">
      <w:pPr>
        <w:pStyle w:val="ListParagraph"/>
        <w:numPr>
          <w:ilvl w:val="0"/>
          <w:numId w:val="4"/>
        </w:numPr>
      </w:pPr>
      <w:r w:rsidRPr="0026652C">
        <w:t xml:space="preserve">adherence to </w:t>
      </w:r>
      <w:r w:rsidR="002F3B32" w:rsidRPr="0026652C">
        <w:t>security</w:t>
      </w:r>
      <w:r w:rsidRPr="0026652C">
        <w:t xml:space="preserve"> protocols</w:t>
      </w:r>
    </w:p>
    <w:p w14:paraId="2AF14F06" w14:textId="77777777" w:rsidR="002F3B32" w:rsidRPr="0026652C" w:rsidRDefault="002F3B32" w:rsidP="0026652C">
      <w:pPr>
        <w:pStyle w:val="ListParagraph"/>
        <w:numPr>
          <w:ilvl w:val="0"/>
          <w:numId w:val="4"/>
        </w:numPr>
      </w:pPr>
      <w:r w:rsidRPr="0026652C">
        <w:t xml:space="preserve">fire and emergency </w:t>
      </w:r>
      <w:r w:rsidR="00F5630D" w:rsidRPr="0026652C">
        <w:t>arrangements</w:t>
      </w:r>
    </w:p>
    <w:p w14:paraId="067170A0" w14:textId="39986C22" w:rsidR="002F3B32" w:rsidRPr="0026652C" w:rsidRDefault="002F3B32" w:rsidP="0026652C">
      <w:pPr>
        <w:pStyle w:val="ListParagraph"/>
        <w:numPr>
          <w:ilvl w:val="0"/>
          <w:numId w:val="4"/>
        </w:numPr>
      </w:pPr>
      <w:r w:rsidRPr="0026652C">
        <w:t>workplace health and safety</w:t>
      </w:r>
      <w:r w:rsidR="00F5630D" w:rsidRPr="0026652C">
        <w:t>, including</w:t>
      </w:r>
      <w:r w:rsidR="005D6201" w:rsidRPr="0026652C">
        <w:t xml:space="preserve"> but not limited to,</w:t>
      </w:r>
      <w:r w:rsidR="00F5630D" w:rsidRPr="0026652C">
        <w:t xml:space="preserve"> </w:t>
      </w:r>
      <w:r w:rsidRPr="0026652C">
        <w:t>hazardous substances, dangerous goods or biohazards</w:t>
      </w:r>
    </w:p>
    <w:p w14:paraId="48FA5CA0" w14:textId="793FA9ED" w:rsidR="002F3B32" w:rsidRPr="0026652C" w:rsidRDefault="002F3B32" w:rsidP="0026652C">
      <w:pPr>
        <w:pStyle w:val="ListParagraph"/>
        <w:numPr>
          <w:ilvl w:val="0"/>
          <w:numId w:val="4"/>
        </w:numPr>
      </w:pPr>
      <w:r w:rsidRPr="0026652C">
        <w:t>ASNO safeguards, noting section 82 of the</w:t>
      </w:r>
      <w:r w:rsidR="00561B76" w:rsidRPr="0026652C">
        <w:t xml:space="preserve"> Act.</w:t>
      </w:r>
      <w:r w:rsidRPr="0026652C">
        <w:t xml:space="preserve"> </w:t>
      </w:r>
    </w:p>
    <w:p w14:paraId="37D55C36" w14:textId="3269C6CD" w:rsidR="004B18F6" w:rsidRPr="0026652C" w:rsidRDefault="00377859" w:rsidP="0026652C">
      <w:r w:rsidRPr="0026652C">
        <w:t>I</w:t>
      </w:r>
      <w:r w:rsidR="004B18F6" w:rsidRPr="0026652C">
        <w:t xml:space="preserve">nspectors are </w:t>
      </w:r>
      <w:r w:rsidR="00F81519" w:rsidRPr="0026652C">
        <w:t>required</w:t>
      </w:r>
      <w:r w:rsidR="004B18F6" w:rsidRPr="0026652C">
        <w:t xml:space="preserve"> to </w:t>
      </w:r>
      <w:r w:rsidRPr="0026652C">
        <w:t xml:space="preserve">make an annual </w:t>
      </w:r>
      <w:r w:rsidR="004B18F6" w:rsidRPr="0026652C">
        <w:t>declar</w:t>
      </w:r>
      <w:r w:rsidRPr="0026652C">
        <w:t>ation of</w:t>
      </w:r>
      <w:r w:rsidR="004B18F6" w:rsidRPr="0026652C">
        <w:t xml:space="preserve"> conflict of interest </w:t>
      </w:r>
      <w:r w:rsidRPr="0026652C">
        <w:t>i</w:t>
      </w:r>
      <w:r w:rsidR="00D124DA" w:rsidRPr="0026652C">
        <w:t>n</w:t>
      </w:r>
      <w:r w:rsidR="00AE517B" w:rsidRPr="0026652C">
        <w:t xml:space="preserve"> </w:t>
      </w:r>
      <w:r w:rsidRPr="0026652C">
        <w:t>accordance with</w:t>
      </w:r>
      <w:r w:rsidR="00E74A4D" w:rsidRPr="0026652C">
        <w:t xml:space="preserve"> the ARPANSA</w:t>
      </w:r>
      <w:r w:rsidRPr="0026652C">
        <w:t xml:space="preserve"> </w:t>
      </w:r>
      <w:r w:rsidR="00D124DA" w:rsidRPr="0026652C">
        <w:rPr>
          <w:i/>
        </w:rPr>
        <w:t>Accountable Authority Instruction</w:t>
      </w:r>
      <w:r w:rsidR="00D124DA" w:rsidRPr="0026652C">
        <w:t xml:space="preserve"> (AIMS-AAI-COI-1)</w:t>
      </w:r>
      <w:r w:rsidR="00F81519" w:rsidRPr="0026652C">
        <w:t>. Guidance on conflict of interest is</w:t>
      </w:r>
      <w:r w:rsidR="00D124DA" w:rsidRPr="0026652C">
        <w:t xml:space="preserve"> available </w:t>
      </w:r>
      <w:r w:rsidR="00434CC3" w:rsidRPr="0026652C">
        <w:t>in the ARPANSA intranet site.</w:t>
      </w:r>
    </w:p>
    <w:p w14:paraId="0A78BFA2" w14:textId="6279D3BF" w:rsidR="007F4D16" w:rsidRDefault="00E91A08" w:rsidP="0026652C">
      <w:pPr>
        <w:pStyle w:val="Heading3"/>
      </w:pPr>
      <w:bookmarkStart w:id="13" w:name="_Toc483572271"/>
      <w:bookmarkStart w:id="14" w:name="_Toc492399340"/>
      <w:bookmarkStart w:id="15" w:name="_Toc5290054"/>
      <w:r w:rsidRPr="002B1F56">
        <w:t>A</w:t>
      </w:r>
      <w:r w:rsidR="007F4D16" w:rsidRPr="002B1F56">
        <w:t>ssignment</w:t>
      </w:r>
      <w:r w:rsidR="007F4D16">
        <w:t xml:space="preserve"> </w:t>
      </w:r>
      <w:r>
        <w:t>of inspectors</w:t>
      </w:r>
      <w:bookmarkEnd w:id="13"/>
      <w:bookmarkEnd w:id="14"/>
      <w:bookmarkEnd w:id="15"/>
    </w:p>
    <w:p w14:paraId="555C4ECA" w14:textId="7CAEE10D" w:rsidR="007F4D16" w:rsidRPr="0026652C" w:rsidRDefault="007F4D16" w:rsidP="0026652C">
      <w:r w:rsidRPr="0026652C">
        <w:t xml:space="preserve">A lead inspector is </w:t>
      </w:r>
      <w:r w:rsidR="00961A41" w:rsidRPr="0026652C">
        <w:t xml:space="preserve">usually </w:t>
      </w:r>
      <w:r w:rsidRPr="0026652C">
        <w:t>assigned for each licence</w:t>
      </w:r>
      <w:r w:rsidR="00BF05DB" w:rsidRPr="0026652C">
        <w:t xml:space="preserve"> (by the </w:t>
      </w:r>
      <w:r w:rsidR="005D6201" w:rsidRPr="0026652C">
        <w:t xml:space="preserve">Director </w:t>
      </w:r>
      <w:r w:rsidR="00BF05DB" w:rsidRPr="0026652C">
        <w:t xml:space="preserve">of Source </w:t>
      </w:r>
      <w:r w:rsidR="00EF262E" w:rsidRPr="0026652C">
        <w:t xml:space="preserve">Safety and </w:t>
      </w:r>
      <w:r w:rsidR="005430FB" w:rsidRPr="0026652C">
        <w:t>Security</w:t>
      </w:r>
      <w:r w:rsidR="00BF05DB" w:rsidRPr="0026652C">
        <w:t xml:space="preserve"> or </w:t>
      </w:r>
      <w:r w:rsidR="00961A41" w:rsidRPr="0026652C">
        <w:t xml:space="preserve">the Director of </w:t>
      </w:r>
      <w:r w:rsidR="00BF05DB" w:rsidRPr="0026652C">
        <w:t xml:space="preserve">Facility </w:t>
      </w:r>
      <w:r w:rsidR="00DA5AEB" w:rsidRPr="0026652C">
        <w:t>Safety</w:t>
      </w:r>
      <w:r w:rsidR="00561B76" w:rsidRPr="0026652C">
        <w:t>)</w:t>
      </w:r>
      <w:r w:rsidRPr="0026652C">
        <w:t xml:space="preserve"> based on experience and competence and taking into account any declared conflict of interest</w:t>
      </w:r>
      <w:r w:rsidR="003962B5" w:rsidRPr="0026652C">
        <w:t xml:space="preserve">. </w:t>
      </w:r>
    </w:p>
    <w:p w14:paraId="51478A47" w14:textId="49248138" w:rsidR="007F4D16" w:rsidRPr="0026652C" w:rsidRDefault="007F4D16" w:rsidP="0026652C">
      <w:r w:rsidRPr="0026652C">
        <w:t xml:space="preserve">Lead inspectors </w:t>
      </w:r>
      <w:r w:rsidR="001C3214" w:rsidRPr="0026652C">
        <w:t xml:space="preserve">should </w:t>
      </w:r>
      <w:r w:rsidR="00E75724" w:rsidRPr="0026652C">
        <w:t xml:space="preserve">be </w:t>
      </w:r>
      <w:r w:rsidRPr="0026652C">
        <w:t xml:space="preserve">rotated </w:t>
      </w:r>
      <w:r w:rsidR="00561B76" w:rsidRPr="0026652C">
        <w:t>periodically</w:t>
      </w:r>
      <w:r w:rsidRPr="0026652C">
        <w:t xml:space="preserve"> to:</w:t>
      </w:r>
    </w:p>
    <w:p w14:paraId="4090990A" w14:textId="77777777" w:rsidR="007F4D16" w:rsidRPr="0026652C" w:rsidRDefault="007F4D16" w:rsidP="0026652C">
      <w:pPr>
        <w:pStyle w:val="ListParagraph"/>
        <w:numPr>
          <w:ilvl w:val="0"/>
          <w:numId w:val="4"/>
        </w:numPr>
      </w:pPr>
      <w:r w:rsidRPr="0026652C">
        <w:t>improve organisational resilience</w:t>
      </w:r>
    </w:p>
    <w:p w14:paraId="064BE6E8" w14:textId="77777777" w:rsidR="007F4D16" w:rsidRPr="0026652C" w:rsidRDefault="007F4D16" w:rsidP="0026652C">
      <w:pPr>
        <w:pStyle w:val="ListParagraph"/>
        <w:numPr>
          <w:ilvl w:val="0"/>
          <w:numId w:val="4"/>
        </w:numPr>
      </w:pPr>
      <w:r w:rsidRPr="0026652C">
        <w:t>contribute to succession planning</w:t>
      </w:r>
    </w:p>
    <w:p w14:paraId="28E616B1" w14:textId="77777777" w:rsidR="007F4D16" w:rsidRPr="0026652C" w:rsidRDefault="007F4D16" w:rsidP="0026652C">
      <w:pPr>
        <w:pStyle w:val="ListParagraph"/>
        <w:numPr>
          <w:ilvl w:val="0"/>
          <w:numId w:val="4"/>
        </w:numPr>
      </w:pPr>
      <w:r w:rsidRPr="0026652C">
        <w:t xml:space="preserve">improve teamwork and cooperation </w:t>
      </w:r>
    </w:p>
    <w:p w14:paraId="1E0157EC" w14:textId="77777777" w:rsidR="007F4D16" w:rsidRPr="0026652C" w:rsidRDefault="007F4D16" w:rsidP="0026652C">
      <w:pPr>
        <w:pStyle w:val="ListParagraph"/>
        <w:numPr>
          <w:ilvl w:val="0"/>
          <w:numId w:val="4"/>
        </w:numPr>
      </w:pPr>
      <w:r w:rsidRPr="0026652C">
        <w:t>avoid regulatory capture</w:t>
      </w:r>
    </w:p>
    <w:p w14:paraId="3496C77C" w14:textId="77777777" w:rsidR="007F4D16" w:rsidRPr="0026652C" w:rsidRDefault="007F4D16" w:rsidP="0026652C">
      <w:pPr>
        <w:pStyle w:val="ListParagraph"/>
        <w:numPr>
          <w:ilvl w:val="0"/>
          <w:numId w:val="4"/>
        </w:numPr>
      </w:pPr>
      <w:r w:rsidRPr="0026652C">
        <w:t>enhance inspector experience and engagement</w:t>
      </w:r>
    </w:p>
    <w:p w14:paraId="24BAD7D9" w14:textId="54D0643E" w:rsidR="00291059" w:rsidRPr="00291059" w:rsidRDefault="00E91A08" w:rsidP="0026652C">
      <w:pPr>
        <w:pStyle w:val="Heading3"/>
      </w:pPr>
      <w:bookmarkStart w:id="16" w:name="_Toc483572273"/>
      <w:bookmarkStart w:id="17" w:name="_Toc492399342"/>
      <w:bookmarkStart w:id="18" w:name="_Toc5290055"/>
      <w:r>
        <w:t>Graded approach</w:t>
      </w:r>
      <w:r w:rsidR="00283D6F">
        <w:t xml:space="preserve"> to inspection</w:t>
      </w:r>
      <w:bookmarkEnd w:id="16"/>
      <w:bookmarkEnd w:id="17"/>
      <w:bookmarkEnd w:id="18"/>
    </w:p>
    <w:p w14:paraId="330562A6" w14:textId="66682846" w:rsidR="00846738" w:rsidRPr="0026652C" w:rsidRDefault="00F26FFD" w:rsidP="0026652C">
      <w:pPr>
        <w:rPr>
          <w:snapToGrid w:val="0"/>
        </w:rPr>
      </w:pPr>
      <w:r w:rsidRPr="0026652C">
        <w:rPr>
          <w:snapToGrid w:val="0"/>
        </w:rPr>
        <w:t>Fundamental differences exist between facilities and sources including the complexity of operations</w:t>
      </w:r>
      <w:r w:rsidR="00961A41" w:rsidRPr="0026652C">
        <w:rPr>
          <w:snapToGrid w:val="0"/>
        </w:rPr>
        <w:t>, the life-cycle of controlled material and apparatus</w:t>
      </w:r>
      <w:r w:rsidRPr="0026652C">
        <w:rPr>
          <w:snapToGrid w:val="0"/>
        </w:rPr>
        <w:t xml:space="preserve"> and </w:t>
      </w:r>
      <w:r w:rsidR="00961A41" w:rsidRPr="0026652C">
        <w:rPr>
          <w:snapToGrid w:val="0"/>
        </w:rPr>
        <w:t xml:space="preserve">their </w:t>
      </w:r>
      <w:r w:rsidRPr="0026652C">
        <w:rPr>
          <w:snapToGrid w:val="0"/>
        </w:rPr>
        <w:t>inherent hazards</w:t>
      </w:r>
      <w:r w:rsidR="003962B5" w:rsidRPr="0026652C">
        <w:rPr>
          <w:snapToGrid w:val="0"/>
        </w:rPr>
        <w:t xml:space="preserve">. </w:t>
      </w:r>
      <w:r w:rsidR="00846738" w:rsidRPr="0026652C">
        <w:rPr>
          <w:snapToGrid w:val="0"/>
        </w:rPr>
        <w:t xml:space="preserve">A graded approach </w:t>
      </w:r>
      <w:r w:rsidR="00957C68" w:rsidRPr="0026652C">
        <w:rPr>
          <w:snapToGrid w:val="0"/>
        </w:rPr>
        <w:t>informed by</w:t>
      </w:r>
      <w:r w:rsidR="00846738" w:rsidRPr="0026652C">
        <w:rPr>
          <w:snapToGrid w:val="0"/>
        </w:rPr>
        <w:t xml:space="preserve"> risk is</w:t>
      </w:r>
      <w:r w:rsidR="00764ED0" w:rsidRPr="0026652C">
        <w:rPr>
          <w:snapToGrid w:val="0"/>
        </w:rPr>
        <w:t xml:space="preserve"> </w:t>
      </w:r>
      <w:r w:rsidR="00846738" w:rsidRPr="0026652C">
        <w:rPr>
          <w:snapToGrid w:val="0"/>
        </w:rPr>
        <w:t xml:space="preserve">applied </w:t>
      </w:r>
      <w:r w:rsidR="00291059" w:rsidRPr="0026652C">
        <w:rPr>
          <w:snapToGrid w:val="0"/>
        </w:rPr>
        <w:t xml:space="preserve">to the scope </w:t>
      </w:r>
      <w:r w:rsidRPr="0026652C">
        <w:rPr>
          <w:snapToGrid w:val="0"/>
        </w:rPr>
        <w:t xml:space="preserve">and frequency </w:t>
      </w:r>
      <w:r w:rsidR="00291059" w:rsidRPr="0026652C">
        <w:rPr>
          <w:snapToGrid w:val="0"/>
        </w:rPr>
        <w:t>of inspection</w:t>
      </w:r>
      <w:r w:rsidRPr="0026652C">
        <w:rPr>
          <w:snapToGrid w:val="0"/>
        </w:rPr>
        <w:t>s</w:t>
      </w:r>
      <w:r w:rsidR="003962B5" w:rsidRPr="0026652C">
        <w:rPr>
          <w:snapToGrid w:val="0"/>
        </w:rPr>
        <w:t xml:space="preserve">. </w:t>
      </w:r>
    </w:p>
    <w:p w14:paraId="5AF70164" w14:textId="392203D0" w:rsidR="00EB4720" w:rsidRPr="0026652C" w:rsidRDefault="00206508" w:rsidP="0026652C">
      <w:pPr>
        <w:rPr>
          <w:snapToGrid w:val="0"/>
        </w:rPr>
      </w:pPr>
      <w:r w:rsidRPr="0026652C">
        <w:lastRenderedPageBreak/>
        <w:t xml:space="preserve">Inspection frequency is </w:t>
      </w:r>
      <w:r w:rsidR="00961A41" w:rsidRPr="0026652C">
        <w:t xml:space="preserve">normally </w:t>
      </w:r>
      <w:r w:rsidR="00DD0C71" w:rsidRPr="0026652C">
        <w:t xml:space="preserve">based on regulatory priority (RP). </w:t>
      </w:r>
      <w:r w:rsidR="00DD0C71" w:rsidRPr="0026652C">
        <w:rPr>
          <w:snapToGrid w:val="0"/>
        </w:rPr>
        <w:t xml:space="preserve">Facilities are assigned </w:t>
      </w:r>
      <w:r w:rsidRPr="0026652C">
        <w:rPr>
          <w:snapToGrid w:val="0"/>
        </w:rPr>
        <w:t xml:space="preserve">a </w:t>
      </w:r>
      <w:r w:rsidR="00DD0C71" w:rsidRPr="0026652C">
        <w:rPr>
          <w:snapToGrid w:val="0"/>
        </w:rPr>
        <w:t xml:space="preserve">RP using the methodology described </w:t>
      </w:r>
      <w:r w:rsidR="00DC0734" w:rsidRPr="0026652C">
        <w:rPr>
          <w:snapToGrid w:val="0"/>
        </w:rPr>
        <w:t xml:space="preserve">in </w:t>
      </w:r>
      <w:r w:rsidR="00627F54" w:rsidRPr="0026652C">
        <w:rPr>
          <w:snapToGrid w:val="0"/>
        </w:rPr>
        <w:t>section</w:t>
      </w:r>
      <w:r w:rsidR="00DC0734" w:rsidRPr="0026652C">
        <w:rPr>
          <w:snapToGrid w:val="0"/>
        </w:rPr>
        <w:t xml:space="preserve"> </w:t>
      </w:r>
      <w:r w:rsidR="002F454F" w:rsidRPr="0026652C">
        <w:rPr>
          <w:snapToGrid w:val="0"/>
        </w:rPr>
        <w:fldChar w:fldCharType="begin"/>
      </w:r>
      <w:r w:rsidR="002F454F" w:rsidRPr="0026652C">
        <w:rPr>
          <w:snapToGrid w:val="0"/>
        </w:rPr>
        <w:instrText xml:space="preserve"> REF _Ref527721067 \r \h </w:instrText>
      </w:r>
      <w:r w:rsidR="002F454F" w:rsidRPr="0026652C">
        <w:rPr>
          <w:snapToGrid w:val="0"/>
        </w:rPr>
      </w:r>
      <w:r w:rsidR="002F454F" w:rsidRPr="0026652C">
        <w:rPr>
          <w:snapToGrid w:val="0"/>
        </w:rPr>
        <w:fldChar w:fldCharType="separate"/>
      </w:r>
      <w:r w:rsidR="002F454F" w:rsidRPr="0026652C">
        <w:rPr>
          <w:snapToGrid w:val="0"/>
        </w:rPr>
        <w:t>1.6</w:t>
      </w:r>
      <w:r w:rsidR="002F454F" w:rsidRPr="0026652C">
        <w:rPr>
          <w:snapToGrid w:val="0"/>
        </w:rPr>
        <w:fldChar w:fldCharType="end"/>
      </w:r>
      <w:r w:rsidR="000E3455" w:rsidRPr="0026652C">
        <w:rPr>
          <w:snapToGrid w:val="0"/>
        </w:rPr>
        <w:t xml:space="preserve">. </w:t>
      </w:r>
      <w:r w:rsidR="00DD0C71" w:rsidRPr="0026652C">
        <w:rPr>
          <w:snapToGrid w:val="0"/>
        </w:rPr>
        <w:t>S</w:t>
      </w:r>
      <w:r w:rsidR="00F26FFD" w:rsidRPr="0026652C">
        <w:rPr>
          <w:snapToGrid w:val="0"/>
        </w:rPr>
        <w:t xml:space="preserve">ources </w:t>
      </w:r>
      <w:r w:rsidR="00DD0C71" w:rsidRPr="0026652C">
        <w:rPr>
          <w:snapToGrid w:val="0"/>
        </w:rPr>
        <w:t xml:space="preserve">are assigned </w:t>
      </w:r>
      <w:r w:rsidRPr="0026652C">
        <w:rPr>
          <w:snapToGrid w:val="0"/>
        </w:rPr>
        <w:t xml:space="preserve">a </w:t>
      </w:r>
      <w:r w:rsidR="00DD0C71" w:rsidRPr="0026652C">
        <w:rPr>
          <w:snapToGrid w:val="0"/>
        </w:rPr>
        <w:t xml:space="preserve">RP based on </w:t>
      </w:r>
      <w:r w:rsidRPr="0026652C">
        <w:rPr>
          <w:snapToGrid w:val="0"/>
        </w:rPr>
        <w:t xml:space="preserve">inherent hazard </w:t>
      </w:r>
      <w:r w:rsidR="00627F54" w:rsidRPr="0026652C">
        <w:rPr>
          <w:snapToGrid w:val="0"/>
        </w:rPr>
        <w:t xml:space="preserve">as described in </w:t>
      </w:r>
      <w:r w:rsidR="00257F7A" w:rsidRPr="0026652C">
        <w:rPr>
          <w:snapToGrid w:val="0"/>
        </w:rPr>
        <w:t>Table 4</w:t>
      </w:r>
      <w:r w:rsidR="003962B5" w:rsidRPr="0026652C">
        <w:rPr>
          <w:snapToGrid w:val="0"/>
        </w:rPr>
        <w:t xml:space="preserve">. </w:t>
      </w:r>
    </w:p>
    <w:p w14:paraId="524C1B7D" w14:textId="7E49C83A" w:rsidR="000E3455" w:rsidRDefault="000E3455" w:rsidP="0026652C">
      <w:pPr>
        <w:pStyle w:val="Heading3"/>
      </w:pPr>
      <w:bookmarkStart w:id="19" w:name="_Ref527721067"/>
      <w:bookmarkStart w:id="20" w:name="_Toc5290056"/>
      <w:bookmarkStart w:id="21" w:name="_Toc492399347"/>
      <w:r>
        <w:t xml:space="preserve">Regulatory priority of </w:t>
      </w:r>
      <w:r w:rsidR="005D59CE">
        <w:t xml:space="preserve">a </w:t>
      </w:r>
      <w:r>
        <w:t>facilit</w:t>
      </w:r>
      <w:r w:rsidR="005D59CE">
        <w:t>y</w:t>
      </w:r>
      <w:bookmarkEnd w:id="19"/>
      <w:bookmarkEnd w:id="20"/>
      <w:r>
        <w:t xml:space="preserve"> </w:t>
      </w:r>
    </w:p>
    <w:p w14:paraId="689ED960" w14:textId="68856AE6" w:rsidR="000E3455" w:rsidRPr="0026652C" w:rsidRDefault="000E3455" w:rsidP="0026652C">
      <w:r w:rsidRPr="0026652C">
        <w:t>Th</w:t>
      </w:r>
      <w:r w:rsidR="005D59CE" w:rsidRPr="0026652C">
        <w:t>e</w:t>
      </w:r>
      <w:r w:rsidRPr="0026652C">
        <w:t xml:space="preserve"> </w:t>
      </w:r>
      <w:r w:rsidR="005D59CE" w:rsidRPr="0026652C">
        <w:t xml:space="preserve">following </w:t>
      </w:r>
      <w:r w:rsidRPr="0026652C">
        <w:t xml:space="preserve">methodology is used to establish the regulatory priority of a facility. It is based on hazard and control – these two parameters are considered suitable as they are straightforward to assess based on existing information available to the </w:t>
      </w:r>
      <w:r w:rsidR="00961A41" w:rsidRPr="0026652C">
        <w:t>lead inspector</w:t>
      </w:r>
      <w:r w:rsidRPr="0026652C">
        <w:t xml:space="preserve">. </w:t>
      </w:r>
    </w:p>
    <w:p w14:paraId="310613E3" w14:textId="0FC62A3F" w:rsidR="000E3455" w:rsidRPr="0026652C" w:rsidRDefault="000E3455" w:rsidP="0026652C">
      <w:r w:rsidRPr="0026652C">
        <w:rPr>
          <w:b/>
          <w:i/>
        </w:rPr>
        <w:t>Hazard</w:t>
      </w:r>
      <w:r w:rsidRPr="0026652C">
        <w:rPr>
          <w:i/>
        </w:rPr>
        <w:t xml:space="preserve"> </w:t>
      </w:r>
      <w:r w:rsidRPr="0026652C">
        <w:t>is a measure based on the consequence of potential harm to people and/or the environment. The hazard of a facility is determined in the application (Safety Analysis Report) and is assigned a number between 2</w:t>
      </w:r>
      <w:r w:rsidR="005D59CE" w:rsidRPr="0026652C">
        <w:rPr>
          <w:rStyle w:val="FootnoteReference"/>
        </w:rPr>
        <w:footnoteReference w:id="2"/>
      </w:r>
      <w:r w:rsidRPr="0026652C">
        <w:t xml:space="preserve"> (lowest hazard) and 4 (highest hazard</w:t>
      </w:r>
      <w:r w:rsidR="005D59CE" w:rsidRPr="0026652C">
        <w:t>)</w:t>
      </w:r>
      <w:r w:rsidRPr="0026652C">
        <w:t>.</w:t>
      </w:r>
    </w:p>
    <w:p w14:paraId="5135C767" w14:textId="2996F686" w:rsidR="000E3455" w:rsidRPr="0026652C" w:rsidRDefault="000E3455" w:rsidP="0026652C">
      <w:r w:rsidRPr="0026652C">
        <w:rPr>
          <w:b/>
          <w:i/>
        </w:rPr>
        <w:t>Control</w:t>
      </w:r>
      <w:r w:rsidRPr="0026652C">
        <w:rPr>
          <w:i/>
        </w:rPr>
        <w:t xml:space="preserve"> </w:t>
      </w:r>
      <w:r w:rsidRPr="0026652C">
        <w:t>is defined as the demonstrated ability to maintain safety of the facility. The control is assigned a number between 1 and 5. It is based initially on an evaluation of the licence application, and later by the licence holder’s compliance history</w:t>
      </w:r>
      <w:r w:rsidR="003962B5" w:rsidRPr="0026652C">
        <w:t xml:space="preserve">. </w:t>
      </w:r>
    </w:p>
    <w:p w14:paraId="172F8F64" w14:textId="3E258130" w:rsidR="000E3455" w:rsidRPr="00FF3049" w:rsidRDefault="000E3455" w:rsidP="0026652C">
      <w:pPr>
        <w:pStyle w:val="Heading4"/>
      </w:pPr>
      <w:bookmarkStart w:id="22" w:name="_Toc5290057"/>
      <w:r w:rsidRPr="00FF3049">
        <w:t>Determining the RP</w:t>
      </w:r>
      <w:r w:rsidR="005D59CE" w:rsidRPr="00FF3049">
        <w:t xml:space="preserve"> of a facility</w:t>
      </w:r>
      <w:bookmarkEnd w:id="22"/>
      <w:r w:rsidRPr="00FF3049">
        <w:t xml:space="preserve"> </w:t>
      </w:r>
    </w:p>
    <w:p w14:paraId="72D2344A" w14:textId="63283862" w:rsidR="00870BB3" w:rsidRPr="0026652C" w:rsidRDefault="000E3455" w:rsidP="0026652C">
      <w:r w:rsidRPr="0026652C">
        <w:t>T</w:t>
      </w:r>
      <w:r w:rsidR="00DC0734" w:rsidRPr="0026652C">
        <w:t xml:space="preserve">able 1 </w:t>
      </w:r>
      <w:r w:rsidRPr="0026652C">
        <w:t xml:space="preserve">should be used to calculate the regulatory priority of a facility. Guidance on how to evaluate the hazard </w:t>
      </w:r>
      <w:r w:rsidR="005D59CE" w:rsidRPr="0026652C">
        <w:t xml:space="preserve">and control </w:t>
      </w:r>
      <w:r w:rsidRPr="0026652C">
        <w:t xml:space="preserve">of a facility is </w:t>
      </w:r>
      <w:r w:rsidR="005D59CE" w:rsidRPr="0026652C">
        <w:t xml:space="preserve">provided </w:t>
      </w:r>
      <w:r w:rsidRPr="0026652C">
        <w:t>below</w:t>
      </w:r>
      <w:r w:rsidR="003962B5" w:rsidRPr="0026652C">
        <w:t xml:space="preserve">. </w:t>
      </w:r>
    </w:p>
    <w:p w14:paraId="169CA20F" w14:textId="25A9C235" w:rsidR="000E3455" w:rsidRDefault="000E3455" w:rsidP="0026652C"/>
    <w:p w14:paraId="1201CBCE" w14:textId="5D6ACD55" w:rsidR="000E3455" w:rsidRPr="008B678B" w:rsidRDefault="000E3455" w:rsidP="0026652C">
      <w:pPr>
        <w:pStyle w:val="Caption"/>
      </w:pPr>
      <w:r w:rsidRPr="008B678B">
        <w:t>TABLE 1</w:t>
      </w:r>
      <w:r>
        <w:t xml:space="preserve">: </w:t>
      </w:r>
      <w:r w:rsidR="006039B8">
        <w:t>Regulatory Priority o</w:t>
      </w:r>
      <w:r w:rsidR="006039B8" w:rsidRPr="008B678B">
        <w:t>f Facilities</w:t>
      </w:r>
    </w:p>
    <w:p w14:paraId="69F453B5" w14:textId="21206DB4" w:rsidR="000E3455" w:rsidRPr="00CA4592" w:rsidRDefault="003962B5" w:rsidP="0026652C">
      <w:r w:rsidRPr="00BB7721">
        <w:tab/>
      </w:r>
      <w:r w:rsidR="000E3455" w:rsidRPr="00CA4592">
        <w:t>Control</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247"/>
        <w:gridCol w:w="1247"/>
        <w:gridCol w:w="1247"/>
        <w:gridCol w:w="1247"/>
        <w:gridCol w:w="1247"/>
      </w:tblGrid>
      <w:tr w:rsidR="000E3455" w:rsidRPr="00CA4592" w14:paraId="06E1847A" w14:textId="77777777" w:rsidTr="000E3455">
        <w:tc>
          <w:tcPr>
            <w:tcW w:w="1896" w:type="dxa"/>
            <w:tcBorders>
              <w:top w:val="nil"/>
              <w:left w:val="nil"/>
              <w:bottom w:val="single" w:sz="4" w:space="0" w:color="auto"/>
            </w:tcBorders>
            <w:vAlign w:val="center"/>
          </w:tcPr>
          <w:p w14:paraId="6A2DB12F" w14:textId="6166B602" w:rsidR="000E3455" w:rsidRPr="0026652C" w:rsidRDefault="003962B5" w:rsidP="0026652C">
            <w:r w:rsidRPr="0026652C">
              <w:tab/>
            </w:r>
            <w:r w:rsidR="000E3455" w:rsidRPr="0026652C">
              <w:t xml:space="preserve">Hazard </w:t>
            </w:r>
          </w:p>
        </w:tc>
        <w:tc>
          <w:tcPr>
            <w:tcW w:w="1247" w:type="dxa"/>
            <w:tcBorders>
              <w:bottom w:val="single" w:sz="8" w:space="0" w:color="auto"/>
            </w:tcBorders>
            <w:shd w:val="clear" w:color="auto" w:fill="D9D9D9"/>
            <w:vAlign w:val="center"/>
          </w:tcPr>
          <w:p w14:paraId="75F358A6" w14:textId="77777777" w:rsidR="000E3455" w:rsidRPr="0026652C" w:rsidRDefault="000E3455" w:rsidP="0026652C">
            <w:pPr>
              <w:jc w:val="center"/>
            </w:pPr>
            <w:r w:rsidRPr="0026652C">
              <w:t>Very high</w:t>
            </w:r>
          </w:p>
          <w:p w14:paraId="139CCCD2" w14:textId="77777777" w:rsidR="000E3455" w:rsidRPr="0026652C" w:rsidRDefault="000E3455" w:rsidP="0026652C">
            <w:pPr>
              <w:jc w:val="center"/>
            </w:pPr>
            <w:r w:rsidRPr="0026652C">
              <w:t>1</w:t>
            </w:r>
          </w:p>
        </w:tc>
        <w:tc>
          <w:tcPr>
            <w:tcW w:w="1247" w:type="dxa"/>
            <w:tcBorders>
              <w:bottom w:val="single" w:sz="8" w:space="0" w:color="auto"/>
            </w:tcBorders>
            <w:shd w:val="clear" w:color="auto" w:fill="D9D9D9"/>
            <w:vAlign w:val="center"/>
          </w:tcPr>
          <w:p w14:paraId="016A5927" w14:textId="77777777" w:rsidR="000E3455" w:rsidRPr="0026652C" w:rsidRDefault="000E3455" w:rsidP="0026652C">
            <w:pPr>
              <w:jc w:val="center"/>
            </w:pPr>
            <w:r w:rsidRPr="0026652C">
              <w:t>High</w:t>
            </w:r>
          </w:p>
          <w:p w14:paraId="67EADDDF" w14:textId="77777777" w:rsidR="000E3455" w:rsidRPr="0026652C" w:rsidRDefault="000E3455" w:rsidP="0026652C">
            <w:pPr>
              <w:jc w:val="center"/>
            </w:pPr>
            <w:r w:rsidRPr="0026652C">
              <w:t>2</w:t>
            </w:r>
          </w:p>
        </w:tc>
        <w:tc>
          <w:tcPr>
            <w:tcW w:w="1247" w:type="dxa"/>
            <w:tcBorders>
              <w:bottom w:val="single" w:sz="8" w:space="0" w:color="auto"/>
            </w:tcBorders>
            <w:shd w:val="clear" w:color="auto" w:fill="D9D9D9"/>
            <w:vAlign w:val="center"/>
          </w:tcPr>
          <w:p w14:paraId="384E9066" w14:textId="77777777" w:rsidR="000E3455" w:rsidRPr="0026652C" w:rsidRDefault="000E3455" w:rsidP="0026652C">
            <w:pPr>
              <w:jc w:val="center"/>
            </w:pPr>
            <w:r w:rsidRPr="0026652C">
              <w:t>Medium</w:t>
            </w:r>
          </w:p>
          <w:p w14:paraId="39067CEF" w14:textId="77777777" w:rsidR="000E3455" w:rsidRPr="0026652C" w:rsidRDefault="000E3455" w:rsidP="0026652C">
            <w:pPr>
              <w:jc w:val="center"/>
            </w:pPr>
            <w:r w:rsidRPr="0026652C">
              <w:t>3</w:t>
            </w:r>
          </w:p>
        </w:tc>
        <w:tc>
          <w:tcPr>
            <w:tcW w:w="1247" w:type="dxa"/>
            <w:tcBorders>
              <w:bottom w:val="single" w:sz="8" w:space="0" w:color="auto"/>
            </w:tcBorders>
            <w:shd w:val="clear" w:color="auto" w:fill="D9D9D9"/>
            <w:vAlign w:val="center"/>
          </w:tcPr>
          <w:p w14:paraId="48F3BB89" w14:textId="77777777" w:rsidR="000E3455" w:rsidRPr="0026652C" w:rsidRDefault="000E3455" w:rsidP="0026652C">
            <w:pPr>
              <w:jc w:val="center"/>
            </w:pPr>
            <w:r w:rsidRPr="0026652C">
              <w:t>Limited</w:t>
            </w:r>
          </w:p>
          <w:p w14:paraId="496E4106" w14:textId="77777777" w:rsidR="000E3455" w:rsidRPr="0026652C" w:rsidRDefault="000E3455" w:rsidP="0026652C">
            <w:pPr>
              <w:jc w:val="center"/>
            </w:pPr>
            <w:r w:rsidRPr="0026652C">
              <w:t>4</w:t>
            </w:r>
          </w:p>
        </w:tc>
        <w:tc>
          <w:tcPr>
            <w:tcW w:w="1247" w:type="dxa"/>
            <w:tcBorders>
              <w:bottom w:val="single" w:sz="8" w:space="0" w:color="auto"/>
            </w:tcBorders>
            <w:shd w:val="clear" w:color="auto" w:fill="D9D9D9"/>
            <w:vAlign w:val="center"/>
          </w:tcPr>
          <w:p w14:paraId="25C15D3F" w14:textId="77777777" w:rsidR="000E3455" w:rsidRPr="0026652C" w:rsidRDefault="000E3455" w:rsidP="0026652C">
            <w:pPr>
              <w:jc w:val="center"/>
            </w:pPr>
            <w:r w:rsidRPr="0026652C">
              <w:t>Very limited</w:t>
            </w:r>
          </w:p>
          <w:p w14:paraId="0622FA1B" w14:textId="77777777" w:rsidR="000E3455" w:rsidRPr="0026652C" w:rsidRDefault="000E3455" w:rsidP="0026652C">
            <w:pPr>
              <w:jc w:val="center"/>
            </w:pPr>
            <w:r w:rsidRPr="0026652C">
              <w:t>5</w:t>
            </w:r>
          </w:p>
        </w:tc>
      </w:tr>
      <w:tr w:rsidR="000E3455" w:rsidRPr="00CA4592" w14:paraId="3B9A6DBF" w14:textId="77777777" w:rsidTr="000E3455">
        <w:tc>
          <w:tcPr>
            <w:tcW w:w="1896" w:type="dxa"/>
            <w:tcBorders>
              <w:right w:val="single" w:sz="8" w:space="0" w:color="auto"/>
            </w:tcBorders>
            <w:shd w:val="clear" w:color="auto" w:fill="D9D9D9"/>
            <w:vAlign w:val="center"/>
          </w:tcPr>
          <w:p w14:paraId="14A3E54F" w14:textId="77777777" w:rsidR="000E3455" w:rsidRPr="0026652C" w:rsidRDefault="000E3455" w:rsidP="0026652C">
            <w:pPr>
              <w:jc w:val="center"/>
            </w:pPr>
            <w:r w:rsidRPr="0026652C">
              <w:t>2</w:t>
            </w:r>
          </w:p>
        </w:tc>
        <w:tc>
          <w:tcPr>
            <w:tcW w:w="1247" w:type="dxa"/>
            <w:tcBorders>
              <w:top w:val="single" w:sz="8" w:space="0" w:color="auto"/>
              <w:left w:val="single" w:sz="8" w:space="0" w:color="auto"/>
              <w:bottom w:val="single" w:sz="8" w:space="0" w:color="auto"/>
              <w:right w:val="single" w:sz="8" w:space="0" w:color="auto"/>
            </w:tcBorders>
            <w:shd w:val="clear" w:color="auto" w:fill="00B0F0"/>
            <w:vAlign w:val="center"/>
          </w:tcPr>
          <w:p w14:paraId="6EA0C8E2" w14:textId="77777777" w:rsidR="000E3455" w:rsidRPr="0026652C" w:rsidRDefault="000E3455" w:rsidP="0026652C">
            <w:pPr>
              <w:jc w:val="center"/>
            </w:pPr>
            <w:r w:rsidRPr="0026652C">
              <w:t>2</w:t>
            </w:r>
          </w:p>
        </w:tc>
        <w:tc>
          <w:tcPr>
            <w:tcW w:w="1247" w:type="dxa"/>
            <w:tcBorders>
              <w:top w:val="single" w:sz="8" w:space="0" w:color="auto"/>
              <w:left w:val="single" w:sz="8" w:space="0" w:color="auto"/>
              <w:bottom w:val="single" w:sz="8" w:space="0" w:color="auto"/>
              <w:right w:val="single" w:sz="8" w:space="0" w:color="auto"/>
            </w:tcBorders>
            <w:shd w:val="clear" w:color="auto" w:fill="00B0F0"/>
            <w:vAlign w:val="center"/>
          </w:tcPr>
          <w:p w14:paraId="2947875B" w14:textId="77777777" w:rsidR="000E3455" w:rsidRPr="0026652C" w:rsidRDefault="000E3455" w:rsidP="0026652C">
            <w:pPr>
              <w:jc w:val="center"/>
            </w:pPr>
            <w:r w:rsidRPr="0026652C">
              <w:t>4</w:t>
            </w:r>
          </w:p>
        </w:tc>
        <w:tc>
          <w:tcPr>
            <w:tcW w:w="1247" w:type="dxa"/>
            <w:tcBorders>
              <w:top w:val="single" w:sz="8" w:space="0" w:color="auto"/>
              <w:left w:val="single" w:sz="8" w:space="0" w:color="auto"/>
              <w:bottom w:val="single" w:sz="8" w:space="0" w:color="auto"/>
              <w:right w:val="single" w:sz="8" w:space="0" w:color="auto"/>
            </w:tcBorders>
            <w:shd w:val="clear" w:color="auto" w:fill="FFFF00"/>
            <w:vAlign w:val="center"/>
          </w:tcPr>
          <w:p w14:paraId="38206E46" w14:textId="77777777" w:rsidR="000E3455" w:rsidRPr="0026652C" w:rsidRDefault="000E3455" w:rsidP="0026652C">
            <w:pPr>
              <w:jc w:val="center"/>
            </w:pPr>
            <w:r w:rsidRPr="0026652C">
              <w:t>6</w:t>
            </w:r>
          </w:p>
        </w:tc>
        <w:tc>
          <w:tcPr>
            <w:tcW w:w="1247" w:type="dxa"/>
            <w:tcBorders>
              <w:top w:val="single" w:sz="8" w:space="0" w:color="auto"/>
              <w:left w:val="single" w:sz="8" w:space="0" w:color="auto"/>
              <w:bottom w:val="single" w:sz="8" w:space="0" w:color="auto"/>
              <w:right w:val="single" w:sz="8" w:space="0" w:color="auto"/>
            </w:tcBorders>
            <w:shd w:val="clear" w:color="auto" w:fill="FFFF00"/>
            <w:vAlign w:val="center"/>
          </w:tcPr>
          <w:p w14:paraId="4F334075" w14:textId="77777777" w:rsidR="000E3455" w:rsidRPr="0026652C" w:rsidRDefault="000E3455" w:rsidP="0026652C">
            <w:pPr>
              <w:jc w:val="center"/>
            </w:pPr>
            <w:r w:rsidRPr="0026652C">
              <w:t>8</w:t>
            </w:r>
          </w:p>
        </w:tc>
        <w:tc>
          <w:tcPr>
            <w:tcW w:w="1247" w:type="dxa"/>
            <w:tcBorders>
              <w:top w:val="single" w:sz="8" w:space="0" w:color="auto"/>
              <w:left w:val="single" w:sz="8" w:space="0" w:color="auto"/>
              <w:bottom w:val="single" w:sz="8" w:space="0" w:color="auto"/>
              <w:right w:val="single" w:sz="8" w:space="0" w:color="auto"/>
            </w:tcBorders>
            <w:shd w:val="clear" w:color="auto" w:fill="EE8512"/>
            <w:vAlign w:val="center"/>
          </w:tcPr>
          <w:p w14:paraId="7C3C97DA" w14:textId="77777777" w:rsidR="000E3455" w:rsidRPr="0026652C" w:rsidRDefault="000E3455" w:rsidP="0026652C">
            <w:pPr>
              <w:jc w:val="center"/>
            </w:pPr>
            <w:r w:rsidRPr="0026652C">
              <w:t>10</w:t>
            </w:r>
          </w:p>
        </w:tc>
      </w:tr>
      <w:tr w:rsidR="000E3455" w:rsidRPr="00CA4592" w14:paraId="751AF261" w14:textId="77777777" w:rsidTr="000E3455">
        <w:tc>
          <w:tcPr>
            <w:tcW w:w="1896" w:type="dxa"/>
            <w:tcBorders>
              <w:right w:val="single" w:sz="8" w:space="0" w:color="auto"/>
            </w:tcBorders>
            <w:shd w:val="clear" w:color="auto" w:fill="D9D9D9"/>
            <w:vAlign w:val="center"/>
          </w:tcPr>
          <w:p w14:paraId="2E71136D" w14:textId="77777777" w:rsidR="000E3455" w:rsidRPr="0026652C" w:rsidRDefault="000E3455" w:rsidP="0026652C">
            <w:pPr>
              <w:jc w:val="center"/>
            </w:pPr>
            <w:r w:rsidRPr="0026652C">
              <w:t>3</w:t>
            </w:r>
          </w:p>
        </w:tc>
        <w:tc>
          <w:tcPr>
            <w:tcW w:w="1247" w:type="dxa"/>
            <w:tcBorders>
              <w:top w:val="single" w:sz="8" w:space="0" w:color="auto"/>
              <w:left w:val="single" w:sz="8" w:space="0" w:color="auto"/>
              <w:bottom w:val="single" w:sz="8" w:space="0" w:color="auto"/>
              <w:right w:val="single" w:sz="8" w:space="0" w:color="auto"/>
            </w:tcBorders>
            <w:shd w:val="clear" w:color="auto" w:fill="00B0F0"/>
            <w:vAlign w:val="center"/>
          </w:tcPr>
          <w:p w14:paraId="43030AAC" w14:textId="77777777" w:rsidR="000E3455" w:rsidRPr="0026652C" w:rsidRDefault="000E3455" w:rsidP="0026652C">
            <w:pPr>
              <w:jc w:val="center"/>
            </w:pPr>
            <w:r w:rsidRPr="0026652C">
              <w:t>3</w:t>
            </w:r>
          </w:p>
        </w:tc>
        <w:tc>
          <w:tcPr>
            <w:tcW w:w="1247" w:type="dxa"/>
            <w:tcBorders>
              <w:top w:val="single" w:sz="8" w:space="0" w:color="auto"/>
              <w:left w:val="single" w:sz="8" w:space="0" w:color="auto"/>
              <w:bottom w:val="single" w:sz="8" w:space="0" w:color="auto"/>
              <w:right w:val="single" w:sz="8" w:space="0" w:color="auto"/>
            </w:tcBorders>
            <w:shd w:val="clear" w:color="auto" w:fill="FFFF00"/>
            <w:vAlign w:val="center"/>
          </w:tcPr>
          <w:p w14:paraId="66BD4CA9" w14:textId="77777777" w:rsidR="000E3455" w:rsidRPr="0026652C" w:rsidRDefault="000E3455" w:rsidP="0026652C">
            <w:pPr>
              <w:jc w:val="center"/>
            </w:pPr>
            <w:r w:rsidRPr="0026652C">
              <w:t>6</w:t>
            </w:r>
          </w:p>
        </w:tc>
        <w:tc>
          <w:tcPr>
            <w:tcW w:w="1247" w:type="dxa"/>
            <w:tcBorders>
              <w:top w:val="single" w:sz="8" w:space="0" w:color="auto"/>
              <w:left w:val="single" w:sz="8" w:space="0" w:color="auto"/>
              <w:bottom w:val="single" w:sz="8" w:space="0" w:color="auto"/>
              <w:right w:val="single" w:sz="8" w:space="0" w:color="auto"/>
            </w:tcBorders>
            <w:shd w:val="clear" w:color="auto" w:fill="FFFF00"/>
            <w:vAlign w:val="center"/>
          </w:tcPr>
          <w:p w14:paraId="0732E9FB" w14:textId="77777777" w:rsidR="000E3455" w:rsidRPr="0026652C" w:rsidRDefault="000E3455" w:rsidP="0026652C">
            <w:pPr>
              <w:jc w:val="center"/>
            </w:pPr>
            <w:r w:rsidRPr="0026652C">
              <w:t>9</w:t>
            </w:r>
          </w:p>
        </w:tc>
        <w:tc>
          <w:tcPr>
            <w:tcW w:w="1247" w:type="dxa"/>
            <w:tcBorders>
              <w:top w:val="single" w:sz="8" w:space="0" w:color="auto"/>
              <w:left w:val="single" w:sz="8" w:space="0" w:color="auto"/>
              <w:bottom w:val="single" w:sz="8" w:space="0" w:color="auto"/>
              <w:right w:val="single" w:sz="8" w:space="0" w:color="auto"/>
            </w:tcBorders>
            <w:shd w:val="clear" w:color="auto" w:fill="EE8512"/>
            <w:vAlign w:val="center"/>
          </w:tcPr>
          <w:p w14:paraId="4746FBF4" w14:textId="77777777" w:rsidR="000E3455" w:rsidRPr="0026652C" w:rsidRDefault="000E3455" w:rsidP="0026652C">
            <w:pPr>
              <w:jc w:val="center"/>
            </w:pPr>
            <w:r w:rsidRPr="0026652C">
              <w:t>12</w:t>
            </w:r>
          </w:p>
        </w:tc>
        <w:tc>
          <w:tcPr>
            <w:tcW w:w="1247" w:type="dxa"/>
            <w:tcBorders>
              <w:top w:val="single" w:sz="8" w:space="0" w:color="auto"/>
              <w:left w:val="single" w:sz="8" w:space="0" w:color="auto"/>
              <w:bottom w:val="single" w:sz="8" w:space="0" w:color="auto"/>
              <w:right w:val="single" w:sz="8" w:space="0" w:color="auto"/>
            </w:tcBorders>
            <w:shd w:val="clear" w:color="auto" w:fill="FF0000"/>
            <w:vAlign w:val="center"/>
          </w:tcPr>
          <w:p w14:paraId="093C9B35" w14:textId="77777777" w:rsidR="000E3455" w:rsidRPr="0026652C" w:rsidRDefault="000E3455" w:rsidP="0026652C">
            <w:pPr>
              <w:jc w:val="center"/>
            </w:pPr>
            <w:r w:rsidRPr="0026652C">
              <w:t>15</w:t>
            </w:r>
          </w:p>
        </w:tc>
      </w:tr>
      <w:tr w:rsidR="000E3455" w:rsidRPr="00CA4592" w14:paraId="56611847" w14:textId="77777777" w:rsidTr="000E3455">
        <w:tc>
          <w:tcPr>
            <w:tcW w:w="1896" w:type="dxa"/>
            <w:tcBorders>
              <w:right w:val="single" w:sz="8" w:space="0" w:color="auto"/>
            </w:tcBorders>
            <w:shd w:val="clear" w:color="auto" w:fill="D9D9D9"/>
            <w:vAlign w:val="center"/>
          </w:tcPr>
          <w:p w14:paraId="25D160EF" w14:textId="77777777" w:rsidR="000E3455" w:rsidRPr="0026652C" w:rsidRDefault="000E3455" w:rsidP="0026652C">
            <w:pPr>
              <w:jc w:val="center"/>
            </w:pPr>
            <w:r w:rsidRPr="0026652C">
              <w:t>4</w:t>
            </w:r>
          </w:p>
        </w:tc>
        <w:tc>
          <w:tcPr>
            <w:tcW w:w="1247" w:type="dxa"/>
            <w:tcBorders>
              <w:top w:val="single" w:sz="8" w:space="0" w:color="auto"/>
              <w:left w:val="single" w:sz="8" w:space="0" w:color="auto"/>
              <w:bottom w:val="single" w:sz="8" w:space="0" w:color="auto"/>
              <w:right w:val="single" w:sz="8" w:space="0" w:color="auto"/>
            </w:tcBorders>
            <w:shd w:val="clear" w:color="auto" w:fill="00B0F0"/>
            <w:vAlign w:val="center"/>
          </w:tcPr>
          <w:p w14:paraId="6C8087AA" w14:textId="77777777" w:rsidR="000E3455" w:rsidRPr="0026652C" w:rsidRDefault="000E3455" w:rsidP="0026652C">
            <w:pPr>
              <w:jc w:val="center"/>
            </w:pPr>
            <w:r w:rsidRPr="0026652C">
              <w:t>4</w:t>
            </w:r>
          </w:p>
        </w:tc>
        <w:tc>
          <w:tcPr>
            <w:tcW w:w="1247" w:type="dxa"/>
            <w:tcBorders>
              <w:top w:val="single" w:sz="8" w:space="0" w:color="auto"/>
              <w:left w:val="single" w:sz="8" w:space="0" w:color="auto"/>
              <w:bottom w:val="single" w:sz="8" w:space="0" w:color="auto"/>
              <w:right w:val="single" w:sz="8" w:space="0" w:color="auto"/>
            </w:tcBorders>
            <w:shd w:val="clear" w:color="auto" w:fill="FFFF00"/>
            <w:vAlign w:val="center"/>
          </w:tcPr>
          <w:p w14:paraId="19E1729B" w14:textId="77777777" w:rsidR="000E3455" w:rsidRPr="0026652C" w:rsidRDefault="000E3455" w:rsidP="0026652C">
            <w:pPr>
              <w:jc w:val="center"/>
            </w:pPr>
            <w:r w:rsidRPr="0026652C">
              <w:t>8</w:t>
            </w:r>
          </w:p>
        </w:tc>
        <w:tc>
          <w:tcPr>
            <w:tcW w:w="1247" w:type="dxa"/>
            <w:tcBorders>
              <w:top w:val="single" w:sz="8" w:space="0" w:color="auto"/>
              <w:left w:val="single" w:sz="8" w:space="0" w:color="auto"/>
              <w:bottom w:val="single" w:sz="8" w:space="0" w:color="auto"/>
              <w:right w:val="single" w:sz="8" w:space="0" w:color="auto"/>
            </w:tcBorders>
            <w:shd w:val="clear" w:color="auto" w:fill="EE8512"/>
            <w:vAlign w:val="center"/>
          </w:tcPr>
          <w:p w14:paraId="78F662DF" w14:textId="77777777" w:rsidR="000E3455" w:rsidRPr="0026652C" w:rsidRDefault="000E3455" w:rsidP="0026652C">
            <w:pPr>
              <w:jc w:val="center"/>
            </w:pPr>
            <w:r w:rsidRPr="0026652C">
              <w:t>12</w:t>
            </w:r>
          </w:p>
        </w:tc>
        <w:tc>
          <w:tcPr>
            <w:tcW w:w="1247" w:type="dxa"/>
            <w:tcBorders>
              <w:top w:val="single" w:sz="8" w:space="0" w:color="auto"/>
              <w:left w:val="single" w:sz="8" w:space="0" w:color="auto"/>
              <w:bottom w:val="single" w:sz="8" w:space="0" w:color="auto"/>
              <w:right w:val="single" w:sz="8" w:space="0" w:color="auto"/>
            </w:tcBorders>
            <w:shd w:val="clear" w:color="auto" w:fill="FF0000"/>
            <w:vAlign w:val="center"/>
          </w:tcPr>
          <w:p w14:paraId="1F3BF88E" w14:textId="77777777" w:rsidR="000E3455" w:rsidRPr="0026652C" w:rsidRDefault="000E3455" w:rsidP="0026652C">
            <w:pPr>
              <w:jc w:val="center"/>
            </w:pPr>
            <w:r w:rsidRPr="0026652C">
              <w:t>16</w:t>
            </w:r>
          </w:p>
        </w:tc>
        <w:tc>
          <w:tcPr>
            <w:tcW w:w="1247" w:type="dxa"/>
            <w:tcBorders>
              <w:top w:val="single" w:sz="8" w:space="0" w:color="auto"/>
              <w:left w:val="single" w:sz="8" w:space="0" w:color="auto"/>
              <w:bottom w:val="single" w:sz="8" w:space="0" w:color="auto"/>
              <w:right w:val="single" w:sz="8" w:space="0" w:color="auto"/>
            </w:tcBorders>
            <w:shd w:val="clear" w:color="auto" w:fill="FF0000"/>
            <w:vAlign w:val="center"/>
          </w:tcPr>
          <w:p w14:paraId="5ABB16A8" w14:textId="77777777" w:rsidR="000E3455" w:rsidRPr="0026652C" w:rsidRDefault="000E3455" w:rsidP="0026652C">
            <w:pPr>
              <w:jc w:val="center"/>
            </w:pPr>
            <w:r w:rsidRPr="0026652C">
              <w:t>20</w:t>
            </w:r>
          </w:p>
        </w:tc>
      </w:tr>
    </w:tbl>
    <w:p w14:paraId="65ED2F30" w14:textId="77777777" w:rsidR="000E3455" w:rsidRPr="00CA4592" w:rsidRDefault="000E3455" w:rsidP="0026652C"/>
    <w:p w14:paraId="573824A5" w14:textId="77777777" w:rsidR="000E3455" w:rsidRPr="00CA4592" w:rsidRDefault="000E3455" w:rsidP="0026652C"/>
    <w:p w14:paraId="1FE2B079" w14:textId="77777777" w:rsidR="000E3455" w:rsidRPr="00CA4592" w:rsidRDefault="000E3455" w:rsidP="0026652C"/>
    <w:p w14:paraId="5698E653" w14:textId="77777777" w:rsidR="000E3455" w:rsidRPr="00CA4592" w:rsidRDefault="000E3455" w:rsidP="0026652C"/>
    <w:p w14:paraId="42C8EC39" w14:textId="77777777" w:rsidR="000E3455" w:rsidRPr="00CA4592" w:rsidRDefault="000E3455" w:rsidP="0026652C"/>
    <w:p w14:paraId="311B1A07" w14:textId="77777777" w:rsidR="000E3455" w:rsidRPr="00CA4592" w:rsidRDefault="000E3455" w:rsidP="0026652C"/>
    <w:tbl>
      <w:tblPr>
        <w:tblStyle w:val="TableGrid"/>
        <w:tblW w:w="0" w:type="auto"/>
        <w:jc w:val="center"/>
        <w:tblLook w:val="04A0" w:firstRow="1" w:lastRow="0" w:firstColumn="1" w:lastColumn="0" w:noHBand="0" w:noVBand="1"/>
      </w:tblPr>
      <w:tblGrid>
        <w:gridCol w:w="709"/>
        <w:gridCol w:w="850"/>
        <w:gridCol w:w="2977"/>
      </w:tblGrid>
      <w:tr w:rsidR="000E3455" w:rsidRPr="00CA4592" w14:paraId="586EC3B5" w14:textId="77777777" w:rsidTr="0026652C">
        <w:trPr>
          <w:jc w:val="center"/>
        </w:trPr>
        <w:tc>
          <w:tcPr>
            <w:tcW w:w="709" w:type="dxa"/>
          </w:tcPr>
          <w:p w14:paraId="77C257C8" w14:textId="77777777" w:rsidR="000E3455" w:rsidRPr="00CA4592" w:rsidRDefault="000E3455" w:rsidP="0026652C">
            <w:r w:rsidRPr="00CA4592">
              <w:rPr>
                <w:noProof/>
                <w:lang w:eastAsia="en-AU"/>
              </w:rPr>
              <mc:AlternateContent>
                <mc:Choice Requires="wps">
                  <w:drawing>
                    <wp:anchor distT="0" distB="0" distL="114300" distR="114300" simplePos="0" relativeHeight="251662336" behindDoc="0" locked="0" layoutInCell="1" allowOverlap="1" wp14:anchorId="789295ED" wp14:editId="2A8E9BB6">
                      <wp:simplePos x="0" y="0"/>
                      <wp:positionH relativeFrom="column">
                        <wp:posOffset>62123</wp:posOffset>
                      </wp:positionH>
                      <wp:positionV relativeFrom="paragraph">
                        <wp:posOffset>99728</wp:posOffset>
                      </wp:positionV>
                      <wp:extent cx="143510" cy="140335"/>
                      <wp:effectExtent l="0" t="0" r="27940" b="12065"/>
                      <wp:wrapNone/>
                      <wp:docPr id="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0335"/>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3B44" id="Rectangle 86" o:spid="_x0000_s1026" style="position:absolute;margin-left:4.9pt;margin-top:7.85pt;width:11.3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" fillcolor="#00b0f0"/>
                  </w:pict>
                </mc:Fallback>
              </mc:AlternateContent>
            </w:r>
          </w:p>
        </w:tc>
        <w:tc>
          <w:tcPr>
            <w:tcW w:w="850" w:type="dxa"/>
          </w:tcPr>
          <w:p w14:paraId="75AE7A4E" w14:textId="77777777" w:rsidR="000E3455" w:rsidRPr="0026652C" w:rsidRDefault="000E3455" w:rsidP="0026652C">
            <w:r w:rsidRPr="0026652C">
              <w:t>1-4</w:t>
            </w:r>
          </w:p>
        </w:tc>
        <w:tc>
          <w:tcPr>
            <w:tcW w:w="2977" w:type="dxa"/>
          </w:tcPr>
          <w:p w14:paraId="4196FCD8" w14:textId="77777777" w:rsidR="000E3455" w:rsidRPr="0026652C" w:rsidRDefault="000E3455" w:rsidP="0026652C">
            <w:r w:rsidRPr="0026652C">
              <w:t>Low priority</w:t>
            </w:r>
          </w:p>
        </w:tc>
      </w:tr>
      <w:tr w:rsidR="000E3455" w:rsidRPr="00CA4592" w14:paraId="4817A13E" w14:textId="77777777" w:rsidTr="0026652C">
        <w:trPr>
          <w:jc w:val="center"/>
        </w:trPr>
        <w:tc>
          <w:tcPr>
            <w:tcW w:w="709" w:type="dxa"/>
          </w:tcPr>
          <w:p w14:paraId="2C56DD68" w14:textId="77777777" w:rsidR="000E3455" w:rsidRPr="00CA4592" w:rsidRDefault="000E3455" w:rsidP="0026652C">
            <w:r w:rsidRPr="00CA4592">
              <w:rPr>
                <w:noProof/>
                <w:lang w:eastAsia="en-AU"/>
              </w:rPr>
              <mc:AlternateContent>
                <mc:Choice Requires="wps">
                  <w:drawing>
                    <wp:anchor distT="0" distB="0" distL="114300" distR="114300" simplePos="0" relativeHeight="251663360" behindDoc="0" locked="0" layoutInCell="1" allowOverlap="1" wp14:anchorId="3BF85D46" wp14:editId="421F1D32">
                      <wp:simplePos x="0" y="0"/>
                      <wp:positionH relativeFrom="column">
                        <wp:posOffset>58609</wp:posOffset>
                      </wp:positionH>
                      <wp:positionV relativeFrom="paragraph">
                        <wp:posOffset>60325</wp:posOffset>
                      </wp:positionV>
                      <wp:extent cx="143510" cy="140335"/>
                      <wp:effectExtent l="9525" t="6985" r="8890" b="5080"/>
                      <wp:wrapNone/>
                      <wp:docPr id="4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033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25FC" id="Rectangle 89" o:spid="_x0000_s1026" style="position:absolute;margin-left:4.6pt;margin-top:4.75pt;width:11.3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" fillcolor="yellow"/>
                  </w:pict>
                </mc:Fallback>
              </mc:AlternateContent>
            </w:r>
          </w:p>
        </w:tc>
        <w:tc>
          <w:tcPr>
            <w:tcW w:w="850" w:type="dxa"/>
          </w:tcPr>
          <w:p w14:paraId="1B78B2C7" w14:textId="77777777" w:rsidR="000E3455" w:rsidRPr="0026652C" w:rsidRDefault="000E3455" w:rsidP="0026652C">
            <w:r w:rsidRPr="0026652C">
              <w:t>5-9</w:t>
            </w:r>
          </w:p>
        </w:tc>
        <w:tc>
          <w:tcPr>
            <w:tcW w:w="2977" w:type="dxa"/>
          </w:tcPr>
          <w:p w14:paraId="006F4786" w14:textId="77777777" w:rsidR="000E3455" w:rsidRPr="0026652C" w:rsidRDefault="000E3455" w:rsidP="0026652C">
            <w:r w:rsidRPr="0026652C">
              <w:t>Medium priority</w:t>
            </w:r>
          </w:p>
        </w:tc>
      </w:tr>
      <w:tr w:rsidR="000E3455" w:rsidRPr="00CA4592" w14:paraId="76FBFCFE" w14:textId="77777777" w:rsidTr="0026652C">
        <w:trPr>
          <w:jc w:val="center"/>
        </w:trPr>
        <w:tc>
          <w:tcPr>
            <w:tcW w:w="709" w:type="dxa"/>
          </w:tcPr>
          <w:p w14:paraId="4D919EE4" w14:textId="77777777" w:rsidR="000E3455" w:rsidRPr="00CA4592" w:rsidRDefault="000E3455" w:rsidP="0026652C">
            <w:r w:rsidRPr="00CA4592">
              <w:rPr>
                <w:noProof/>
                <w:lang w:eastAsia="en-AU"/>
              </w:rPr>
              <mc:AlternateContent>
                <mc:Choice Requires="wps">
                  <w:drawing>
                    <wp:anchor distT="0" distB="0" distL="114300" distR="114300" simplePos="0" relativeHeight="251664384" behindDoc="0" locked="0" layoutInCell="1" allowOverlap="1" wp14:anchorId="3EAFEE0A" wp14:editId="7E4BDE87">
                      <wp:simplePos x="0" y="0"/>
                      <wp:positionH relativeFrom="column">
                        <wp:posOffset>63129</wp:posOffset>
                      </wp:positionH>
                      <wp:positionV relativeFrom="paragraph">
                        <wp:posOffset>63178</wp:posOffset>
                      </wp:positionV>
                      <wp:extent cx="143510" cy="140335"/>
                      <wp:effectExtent l="13970" t="9525" r="13970" b="12065"/>
                      <wp:wrapNone/>
                      <wp:docPr id="4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0335"/>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D090" id="Rectangle 90" o:spid="_x0000_s1026" style="position:absolute;margin-left:4.95pt;margin-top:4.95pt;width:11.3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" fillcolor="#e36c0a"/>
                  </w:pict>
                </mc:Fallback>
              </mc:AlternateContent>
            </w:r>
          </w:p>
        </w:tc>
        <w:tc>
          <w:tcPr>
            <w:tcW w:w="850" w:type="dxa"/>
          </w:tcPr>
          <w:p w14:paraId="66896E30" w14:textId="77777777" w:rsidR="000E3455" w:rsidRPr="0026652C" w:rsidRDefault="000E3455" w:rsidP="0026652C">
            <w:r w:rsidRPr="0026652C">
              <w:t>10-12</w:t>
            </w:r>
          </w:p>
        </w:tc>
        <w:tc>
          <w:tcPr>
            <w:tcW w:w="2977" w:type="dxa"/>
          </w:tcPr>
          <w:p w14:paraId="41550DB7" w14:textId="77777777" w:rsidR="000E3455" w:rsidRPr="0026652C" w:rsidRDefault="000E3455" w:rsidP="0026652C">
            <w:r w:rsidRPr="0026652C">
              <w:t>High priority</w:t>
            </w:r>
          </w:p>
        </w:tc>
      </w:tr>
      <w:tr w:rsidR="000E3455" w:rsidRPr="00CA4592" w14:paraId="0BD61419" w14:textId="77777777" w:rsidTr="0026652C">
        <w:trPr>
          <w:trHeight w:val="56"/>
          <w:jc w:val="center"/>
        </w:trPr>
        <w:tc>
          <w:tcPr>
            <w:tcW w:w="709" w:type="dxa"/>
          </w:tcPr>
          <w:p w14:paraId="3C25A278" w14:textId="77777777" w:rsidR="000E3455" w:rsidRPr="00CA4592" w:rsidRDefault="000E3455" w:rsidP="0026652C">
            <w:r w:rsidRPr="00CA4592">
              <w:rPr>
                <w:noProof/>
                <w:lang w:eastAsia="en-AU"/>
              </w:rPr>
              <mc:AlternateContent>
                <mc:Choice Requires="wps">
                  <w:drawing>
                    <wp:anchor distT="0" distB="0" distL="114300" distR="114300" simplePos="0" relativeHeight="251665408" behindDoc="0" locked="0" layoutInCell="1" allowOverlap="1" wp14:anchorId="3FA4ECA2" wp14:editId="3516EBFA">
                      <wp:simplePos x="0" y="0"/>
                      <wp:positionH relativeFrom="column">
                        <wp:posOffset>61859</wp:posOffset>
                      </wp:positionH>
                      <wp:positionV relativeFrom="paragraph">
                        <wp:posOffset>93914</wp:posOffset>
                      </wp:positionV>
                      <wp:extent cx="143510" cy="140335"/>
                      <wp:effectExtent l="12700" t="6985" r="5715" b="5080"/>
                      <wp:wrapNone/>
                      <wp:docPr id="4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033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FAE5" id="Rectangle 91" o:spid="_x0000_s1026" style="position:absolute;margin-left:4.85pt;margin-top:7.4pt;width:11.3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" fillcolor="red"/>
                  </w:pict>
                </mc:Fallback>
              </mc:AlternateContent>
            </w:r>
          </w:p>
        </w:tc>
        <w:tc>
          <w:tcPr>
            <w:tcW w:w="850" w:type="dxa"/>
          </w:tcPr>
          <w:p w14:paraId="0AD6BBB9" w14:textId="77777777" w:rsidR="000E3455" w:rsidRPr="0026652C" w:rsidRDefault="000E3455" w:rsidP="0026652C">
            <w:r w:rsidRPr="0026652C">
              <w:t>15-20</w:t>
            </w:r>
          </w:p>
        </w:tc>
        <w:tc>
          <w:tcPr>
            <w:tcW w:w="2977" w:type="dxa"/>
          </w:tcPr>
          <w:p w14:paraId="6AEC71C9" w14:textId="77777777" w:rsidR="000E3455" w:rsidRPr="0026652C" w:rsidRDefault="000E3455" w:rsidP="0026652C">
            <w:r w:rsidRPr="0026652C">
              <w:t>Very high priority</w:t>
            </w:r>
          </w:p>
        </w:tc>
      </w:tr>
    </w:tbl>
    <w:p w14:paraId="2ECDC219" w14:textId="4885BDFD" w:rsidR="000E3455" w:rsidRDefault="000E3455" w:rsidP="0026652C"/>
    <w:p w14:paraId="269C09B5" w14:textId="77777777" w:rsidR="000E3455" w:rsidRDefault="000E3455" w:rsidP="0026652C">
      <w:pPr>
        <w:pStyle w:val="Heading4"/>
      </w:pPr>
      <w:bookmarkStart w:id="23" w:name="_Toc5290058"/>
      <w:r>
        <w:lastRenderedPageBreak/>
        <w:t>Evaluating the hazard of a facility</w:t>
      </w:r>
      <w:bookmarkEnd w:id="23"/>
    </w:p>
    <w:p w14:paraId="3B2EE3EF" w14:textId="0791E85D" w:rsidR="000F0252" w:rsidRPr="0026652C" w:rsidRDefault="000F0252" w:rsidP="0026652C">
      <w:r w:rsidRPr="0026652C">
        <w:t xml:space="preserve">Table 2 </w:t>
      </w:r>
      <w:r w:rsidR="000E3455" w:rsidRPr="0026652C">
        <w:t xml:space="preserve">should be used to categorise the hazard of a facility. The hazard is established according to the potential for significant consequences outside the facility or site. </w:t>
      </w:r>
    </w:p>
    <w:p w14:paraId="5F5D0FF6" w14:textId="2233DB15" w:rsidR="00CA4592" w:rsidRDefault="00CA4592" w:rsidP="0026652C">
      <w:pPr>
        <w:rPr>
          <w:color w:val="4E1A74"/>
          <w:sz w:val="20"/>
          <w:szCs w:val="18"/>
        </w:rPr>
      </w:pPr>
    </w:p>
    <w:p w14:paraId="35953AFC" w14:textId="0DA3C8DA" w:rsidR="000E3455" w:rsidRPr="008B678B" w:rsidRDefault="000E3455" w:rsidP="0026652C">
      <w:pPr>
        <w:pStyle w:val="Caption"/>
        <w:jc w:val="center"/>
      </w:pPr>
      <w:r w:rsidRPr="008B678B">
        <w:t xml:space="preserve">TABLE </w:t>
      </w:r>
      <w:r w:rsidR="000F0252">
        <w:t>2</w:t>
      </w:r>
      <w:r w:rsidR="00B564AA" w:rsidRPr="008B678B">
        <w:t xml:space="preserve">: </w:t>
      </w:r>
      <w:r w:rsidR="00B564AA" w:rsidRPr="00B564AA">
        <w:t xml:space="preserve">Hazard </w:t>
      </w:r>
      <w:r w:rsidR="00B564AA" w:rsidRPr="008B678B">
        <w:t xml:space="preserve">Level </w:t>
      </w:r>
      <w:r w:rsidR="00B564AA">
        <w:t>o</w:t>
      </w:r>
      <w:r w:rsidR="00B564AA" w:rsidRPr="008B678B">
        <w:t xml:space="preserve">f </w:t>
      </w:r>
      <w:r w:rsidR="00B564AA">
        <w:t>a</w:t>
      </w:r>
      <w:r w:rsidR="00B564AA" w:rsidRPr="008B678B">
        <w:t xml:space="preserve"> Facility</w:t>
      </w:r>
    </w:p>
    <w:tbl>
      <w:tblPr>
        <w:tblStyle w:val="ARPANSA"/>
        <w:tblpPr w:leftFromText="180" w:rightFromText="180" w:vertAnchor="text" w:horzAnchor="page" w:tblpX="2621" w:tblpY="45"/>
        <w:tblW w:w="6954" w:type="dxa"/>
        <w:tblLook w:val="04A0" w:firstRow="1" w:lastRow="0" w:firstColumn="1" w:lastColumn="0" w:noHBand="0" w:noVBand="1"/>
      </w:tblPr>
      <w:tblGrid>
        <w:gridCol w:w="5529"/>
        <w:gridCol w:w="1425"/>
      </w:tblGrid>
      <w:tr w:rsidR="000E3455" w:rsidRPr="00B564AA" w14:paraId="0B22BE91" w14:textId="77777777" w:rsidTr="0026652C">
        <w:trPr>
          <w:cnfStyle w:val="100000000000" w:firstRow="1" w:lastRow="0" w:firstColumn="0" w:lastColumn="0" w:oddVBand="0" w:evenVBand="0" w:oddHBand="0" w:evenHBand="0" w:firstRowFirstColumn="0" w:firstRowLastColumn="0" w:lastRowFirstColumn="0" w:lastRowLastColumn="0"/>
        </w:trPr>
        <w:tc>
          <w:tcPr>
            <w:tcW w:w="5529" w:type="dxa"/>
          </w:tcPr>
          <w:p w14:paraId="0023558B" w14:textId="3A637D00" w:rsidR="000E3455" w:rsidRPr="00CA4592" w:rsidRDefault="000E3455" w:rsidP="0026652C">
            <w:pPr>
              <w:rPr>
                <w:rStyle w:val="Hyperlink"/>
                <w:b/>
                <w:color w:val="FFFFFF" w:themeColor="background1"/>
                <w:sz w:val="18"/>
                <w:szCs w:val="18"/>
              </w:rPr>
            </w:pPr>
            <w:r w:rsidRPr="00CA4592">
              <w:t>Hazard category of facility</w:t>
            </w:r>
          </w:p>
        </w:tc>
        <w:tc>
          <w:tcPr>
            <w:tcW w:w="1425" w:type="dxa"/>
          </w:tcPr>
          <w:p w14:paraId="18C1ED9F" w14:textId="77777777" w:rsidR="000E3455" w:rsidRPr="00CA4592" w:rsidRDefault="000E3455" w:rsidP="00F233E8">
            <w:pPr>
              <w:spacing w:before="120"/>
            </w:pPr>
            <w:r w:rsidRPr="00CA4592">
              <w:t>Hazard level</w:t>
            </w:r>
          </w:p>
          <w:p w14:paraId="66955D22" w14:textId="35E45808" w:rsidR="000E3455" w:rsidRPr="00CA4592" w:rsidRDefault="000E3455" w:rsidP="00F233E8">
            <w:pPr>
              <w:spacing w:before="120"/>
              <w:rPr>
                <w:rStyle w:val="Hyperlink"/>
                <w:b/>
                <w:color w:val="FFFFFF" w:themeColor="background1"/>
                <w:sz w:val="18"/>
                <w:szCs w:val="18"/>
              </w:rPr>
            </w:pPr>
            <w:r w:rsidRPr="00CA4592">
              <w:t xml:space="preserve">(to feed into matrix in Appendix </w:t>
            </w:r>
            <w:r w:rsidR="00B564AA" w:rsidRPr="00CA4592">
              <w:t>B</w:t>
            </w:r>
            <w:r w:rsidRPr="00CA4592">
              <w:t>)</w:t>
            </w:r>
          </w:p>
        </w:tc>
      </w:tr>
      <w:tr w:rsidR="000E3455" w:rsidRPr="00BB7721" w14:paraId="0EB5AFB1" w14:textId="77777777" w:rsidTr="0026652C">
        <w:tc>
          <w:tcPr>
            <w:tcW w:w="5529" w:type="dxa"/>
            <w:vAlign w:val="center"/>
          </w:tcPr>
          <w:p w14:paraId="4EF5810A" w14:textId="4D262749" w:rsidR="000E3455" w:rsidRPr="00CA4592" w:rsidRDefault="0026652C" w:rsidP="0026652C">
            <w:pPr>
              <w:spacing w:before="120" w:after="120"/>
            </w:pPr>
            <w:r>
              <w:t xml:space="preserve">F3  </w:t>
            </w:r>
            <w:r w:rsidR="000E3455" w:rsidRPr="00CA4592">
              <w:t>potential for significant consequences outside the site</w:t>
            </w:r>
          </w:p>
        </w:tc>
        <w:tc>
          <w:tcPr>
            <w:tcW w:w="1425" w:type="dxa"/>
          </w:tcPr>
          <w:p w14:paraId="3B643799" w14:textId="4E9FBB85" w:rsidR="000E3455" w:rsidRPr="00CA4592" w:rsidRDefault="000E3455" w:rsidP="0026652C">
            <w:pPr>
              <w:spacing w:before="120" w:after="120"/>
              <w:jc w:val="center"/>
              <w:rPr>
                <w:rStyle w:val="Hyperlink"/>
                <w:sz w:val="18"/>
                <w:szCs w:val="18"/>
              </w:rPr>
            </w:pPr>
            <w:r w:rsidRPr="00CA4592">
              <w:t>4</w:t>
            </w:r>
          </w:p>
        </w:tc>
      </w:tr>
      <w:tr w:rsidR="000E3455" w:rsidRPr="00BB7721" w14:paraId="361C1518" w14:textId="77777777" w:rsidTr="0026652C">
        <w:tc>
          <w:tcPr>
            <w:tcW w:w="5529" w:type="dxa"/>
            <w:vAlign w:val="center"/>
          </w:tcPr>
          <w:p w14:paraId="6B21DB3C" w14:textId="5FBB1CE4" w:rsidR="000E3455" w:rsidRPr="00CA4592" w:rsidRDefault="000E3455" w:rsidP="0026652C">
            <w:pPr>
              <w:spacing w:before="120" w:after="120"/>
            </w:pPr>
            <w:r w:rsidRPr="00CA4592">
              <w:t>F2  potential for significant consequences on the site outside the facility, but not outside the site</w:t>
            </w:r>
          </w:p>
        </w:tc>
        <w:tc>
          <w:tcPr>
            <w:tcW w:w="1425" w:type="dxa"/>
          </w:tcPr>
          <w:p w14:paraId="0CE48702" w14:textId="60E9BD73" w:rsidR="000E3455" w:rsidRPr="00CA4592" w:rsidRDefault="000E3455" w:rsidP="0026652C">
            <w:pPr>
              <w:spacing w:before="120" w:after="120"/>
              <w:jc w:val="center"/>
              <w:rPr>
                <w:rStyle w:val="Hyperlink"/>
                <w:sz w:val="18"/>
                <w:szCs w:val="18"/>
              </w:rPr>
            </w:pPr>
            <w:r w:rsidRPr="00CA4592">
              <w:t>3</w:t>
            </w:r>
          </w:p>
        </w:tc>
      </w:tr>
      <w:tr w:rsidR="000E3455" w:rsidRPr="00BB7721" w14:paraId="2CAF6E75" w14:textId="77777777" w:rsidTr="0026652C">
        <w:tc>
          <w:tcPr>
            <w:tcW w:w="5529" w:type="dxa"/>
            <w:vAlign w:val="center"/>
          </w:tcPr>
          <w:p w14:paraId="6E620A7D" w14:textId="318E8C44" w:rsidR="000E3455" w:rsidRPr="00CA4592" w:rsidRDefault="000E3455" w:rsidP="0026652C">
            <w:pPr>
              <w:spacing w:before="120" w:after="120"/>
            </w:pPr>
            <w:r w:rsidRPr="00CA4592">
              <w:t>F1 no potential for significant consequences outside the facility</w:t>
            </w:r>
          </w:p>
        </w:tc>
        <w:tc>
          <w:tcPr>
            <w:tcW w:w="1425" w:type="dxa"/>
          </w:tcPr>
          <w:p w14:paraId="42395645" w14:textId="0215C058" w:rsidR="000E3455" w:rsidRPr="00CA4592" w:rsidRDefault="000E3455" w:rsidP="0026652C">
            <w:pPr>
              <w:spacing w:before="120" w:after="120"/>
              <w:jc w:val="center"/>
              <w:rPr>
                <w:rStyle w:val="Hyperlink"/>
                <w:sz w:val="18"/>
                <w:szCs w:val="18"/>
              </w:rPr>
            </w:pPr>
            <w:r w:rsidRPr="00CA4592">
              <w:t>2</w:t>
            </w:r>
          </w:p>
        </w:tc>
      </w:tr>
    </w:tbl>
    <w:p w14:paraId="5FF401EC" w14:textId="588EA34E" w:rsidR="000E3455" w:rsidRPr="008F3505" w:rsidRDefault="000E3455" w:rsidP="0026652C"/>
    <w:p w14:paraId="731BBBC7" w14:textId="77777777" w:rsidR="000E3455" w:rsidRPr="008F3505" w:rsidRDefault="000E3455" w:rsidP="0026652C"/>
    <w:p w14:paraId="14AF1880" w14:textId="77777777" w:rsidR="000F0252" w:rsidRDefault="000F0252" w:rsidP="0026652C">
      <w:bookmarkStart w:id="24" w:name="_Toc423329020"/>
    </w:p>
    <w:p w14:paraId="2289C219" w14:textId="77777777" w:rsidR="000F0252" w:rsidRDefault="000F0252" w:rsidP="0026652C"/>
    <w:p w14:paraId="061DBC90" w14:textId="77777777" w:rsidR="000F0252" w:rsidRDefault="000F0252" w:rsidP="0026652C"/>
    <w:p w14:paraId="38D4D90A" w14:textId="77777777" w:rsidR="00BB7721" w:rsidRPr="00BB7721" w:rsidRDefault="00BB7721" w:rsidP="0026652C"/>
    <w:p w14:paraId="1F19018C" w14:textId="2A59E0D7" w:rsidR="000E3455" w:rsidRPr="000C2BE8" w:rsidRDefault="000E3455" w:rsidP="0026652C">
      <w:pPr>
        <w:pStyle w:val="Heading4"/>
      </w:pPr>
      <w:bookmarkStart w:id="25" w:name="_Toc5290059"/>
      <w:r>
        <w:t>E</w:t>
      </w:r>
      <w:r w:rsidRPr="00AE5F77">
        <w:t>valuating</w:t>
      </w:r>
      <w:r w:rsidR="00DC0734">
        <w:t xml:space="preserve"> the</w:t>
      </w:r>
      <w:r w:rsidRPr="00AE5F77">
        <w:t xml:space="preserve"> control</w:t>
      </w:r>
      <w:bookmarkEnd w:id="24"/>
      <w:r w:rsidRPr="00AE5F77">
        <w:t xml:space="preserve"> </w:t>
      </w:r>
      <w:r w:rsidR="00432222">
        <w:t>of a facility</w:t>
      </w:r>
      <w:bookmarkEnd w:id="25"/>
    </w:p>
    <w:p w14:paraId="1D5D2437" w14:textId="77777777" w:rsidR="000E3455" w:rsidRDefault="000E3455" w:rsidP="0026652C">
      <w:r w:rsidRPr="004D74E9">
        <w:rPr>
          <w:i/>
        </w:rPr>
        <w:t xml:space="preserve">Control </w:t>
      </w:r>
      <w:r>
        <w:t xml:space="preserve">is </w:t>
      </w:r>
      <w:r w:rsidRPr="004D74E9">
        <w:t>defined as the demonstrated ability t</w:t>
      </w:r>
      <w:r>
        <w:t>o maintain safety</w:t>
      </w:r>
      <w:r w:rsidRPr="004D74E9">
        <w:t xml:space="preserve"> </w:t>
      </w:r>
      <w:r>
        <w:t xml:space="preserve">of </w:t>
      </w:r>
      <w:r w:rsidRPr="004D74E9">
        <w:t>facilit</w:t>
      </w:r>
      <w:r>
        <w:t>ies. There are five</w:t>
      </w:r>
      <w:r w:rsidRPr="004D74E9">
        <w:t xml:space="preserve"> levels of control: </w:t>
      </w:r>
    </w:p>
    <w:p w14:paraId="194308FB" w14:textId="282874D1" w:rsidR="000E3455" w:rsidRDefault="000E3455" w:rsidP="0026652C">
      <w:pPr>
        <w:ind w:left="851"/>
      </w:pPr>
      <w:r w:rsidRPr="004D74E9">
        <w:t xml:space="preserve">1. </w:t>
      </w:r>
      <w:r w:rsidR="00627F54">
        <w:t xml:space="preserve"> </w:t>
      </w:r>
      <w:r>
        <w:t xml:space="preserve">Very high </w:t>
      </w:r>
    </w:p>
    <w:p w14:paraId="3BBC4519" w14:textId="54314369" w:rsidR="000E3455" w:rsidRDefault="000E3455" w:rsidP="0026652C">
      <w:pPr>
        <w:ind w:left="851"/>
      </w:pPr>
      <w:r>
        <w:t xml:space="preserve">2. </w:t>
      </w:r>
      <w:r w:rsidR="00627F54">
        <w:t xml:space="preserve"> </w:t>
      </w:r>
      <w:r>
        <w:t xml:space="preserve">High </w:t>
      </w:r>
    </w:p>
    <w:p w14:paraId="40B3A799" w14:textId="1B3D2B4C" w:rsidR="000E3455" w:rsidRPr="004D74E9" w:rsidRDefault="000E3455" w:rsidP="0026652C">
      <w:pPr>
        <w:ind w:left="851"/>
      </w:pPr>
      <w:r>
        <w:t xml:space="preserve">3. </w:t>
      </w:r>
      <w:r w:rsidR="00627F54">
        <w:t xml:space="preserve"> </w:t>
      </w:r>
      <w:r>
        <w:t xml:space="preserve">Medium </w:t>
      </w:r>
    </w:p>
    <w:p w14:paraId="4731786A" w14:textId="3B3865D6" w:rsidR="000E3455" w:rsidRPr="00AA00C4" w:rsidRDefault="000E3455" w:rsidP="0026652C">
      <w:pPr>
        <w:ind w:left="851"/>
      </w:pPr>
      <w:r w:rsidRPr="00AA00C4">
        <w:t xml:space="preserve">4. </w:t>
      </w:r>
      <w:r w:rsidR="00627F54">
        <w:t xml:space="preserve"> </w:t>
      </w:r>
      <w:r>
        <w:t>Limited</w:t>
      </w:r>
      <w:r w:rsidRPr="00AA00C4">
        <w:t xml:space="preserve"> </w:t>
      </w:r>
    </w:p>
    <w:p w14:paraId="4FE5608F" w14:textId="1A399D59" w:rsidR="000E3455" w:rsidRPr="00AA00C4" w:rsidRDefault="000E3455" w:rsidP="0026652C">
      <w:pPr>
        <w:ind w:left="851"/>
      </w:pPr>
      <w:r w:rsidRPr="00AA00C4">
        <w:t xml:space="preserve">5. </w:t>
      </w:r>
      <w:r w:rsidR="00627F54">
        <w:t xml:space="preserve"> </w:t>
      </w:r>
      <w:r w:rsidRPr="00AA00C4">
        <w:t xml:space="preserve">Very </w:t>
      </w:r>
      <w:r>
        <w:t>limited</w:t>
      </w:r>
      <w:r w:rsidRPr="00AA00C4">
        <w:t xml:space="preserve"> </w:t>
      </w:r>
    </w:p>
    <w:p w14:paraId="2DB636ED" w14:textId="77777777" w:rsidR="000E3455" w:rsidRPr="00426AB4" w:rsidRDefault="000E3455" w:rsidP="0026652C">
      <w:r>
        <w:t xml:space="preserve">Control is </w:t>
      </w:r>
      <w:r w:rsidRPr="004D74E9">
        <w:t>based initially on an evaluation of the licence application and later by the licence holder’s compliance history</w:t>
      </w:r>
      <w:r>
        <w:t xml:space="preserve">. This includes evaluation of a number of parameters and assessment of information </w:t>
      </w:r>
      <w:r w:rsidRPr="00426AB4">
        <w:t>available to ARPANSA. The assessment</w:t>
      </w:r>
      <w:r>
        <w:t xml:space="preserve"> should </w:t>
      </w:r>
      <w:r w:rsidRPr="00426AB4">
        <w:t xml:space="preserve">take </w:t>
      </w:r>
      <w:r>
        <w:t>into account various sources of</w:t>
      </w:r>
      <w:r w:rsidRPr="00426AB4">
        <w:t xml:space="preserve"> information</w:t>
      </w:r>
      <w:r>
        <w:t xml:space="preserve"> which </w:t>
      </w:r>
      <w:r w:rsidRPr="00426AB4">
        <w:t>include the following:</w:t>
      </w:r>
    </w:p>
    <w:p w14:paraId="4265E7EE" w14:textId="77777777" w:rsidR="000E3455" w:rsidRPr="00475DC2" w:rsidRDefault="000E3455" w:rsidP="0026652C">
      <w:pPr>
        <w:pStyle w:val="ListParagraph"/>
        <w:numPr>
          <w:ilvl w:val="0"/>
          <w:numId w:val="15"/>
        </w:numPr>
      </w:pPr>
      <w:r w:rsidRPr="00475DC2">
        <w:t>Inspection findings and licence holder’s response</w:t>
      </w:r>
    </w:p>
    <w:p w14:paraId="5A7F7A63" w14:textId="77777777" w:rsidR="000E3455" w:rsidRPr="00475DC2" w:rsidRDefault="000E3455" w:rsidP="0026652C">
      <w:pPr>
        <w:pStyle w:val="ListParagraph"/>
        <w:numPr>
          <w:ilvl w:val="0"/>
          <w:numId w:val="15"/>
        </w:numPr>
      </w:pPr>
      <w:r w:rsidRPr="00475DC2">
        <w:t>Information from quarterly reports</w:t>
      </w:r>
    </w:p>
    <w:p w14:paraId="67871B81" w14:textId="77777777" w:rsidR="000E3455" w:rsidRPr="00475DC2" w:rsidRDefault="000E3455" w:rsidP="0026652C">
      <w:pPr>
        <w:pStyle w:val="ListParagraph"/>
        <w:numPr>
          <w:ilvl w:val="0"/>
          <w:numId w:val="15"/>
        </w:numPr>
      </w:pPr>
      <w:r w:rsidRPr="00475DC2">
        <w:t>Other reports provided to ARPANSA (for example incident or accident reports)</w:t>
      </w:r>
    </w:p>
    <w:p w14:paraId="45370126" w14:textId="77777777" w:rsidR="000E3455" w:rsidRPr="00475DC2" w:rsidRDefault="000E3455" w:rsidP="0026652C">
      <w:pPr>
        <w:pStyle w:val="ListParagraph"/>
        <w:numPr>
          <w:ilvl w:val="0"/>
          <w:numId w:val="15"/>
        </w:numPr>
      </w:pPr>
      <w:r w:rsidRPr="00475DC2">
        <w:t>Information presented to ARPANSA in various types of submissions</w:t>
      </w:r>
    </w:p>
    <w:p w14:paraId="6A33EE1C" w14:textId="77777777" w:rsidR="000E3455" w:rsidRPr="00475DC2" w:rsidRDefault="000E3455" w:rsidP="0026652C">
      <w:pPr>
        <w:pStyle w:val="ListParagraph"/>
        <w:numPr>
          <w:ilvl w:val="0"/>
          <w:numId w:val="15"/>
        </w:numPr>
      </w:pPr>
      <w:r w:rsidRPr="00475DC2">
        <w:t>Information obtained in meetings with licence holders</w:t>
      </w:r>
    </w:p>
    <w:p w14:paraId="6542AA2C" w14:textId="2C791F0A" w:rsidR="000E3455" w:rsidRDefault="000E3455" w:rsidP="0026652C">
      <w:r>
        <w:t xml:space="preserve">The table in </w:t>
      </w:r>
      <w:r w:rsidR="001D34F3">
        <w:t>Appendix B</w:t>
      </w:r>
      <w:r w:rsidRPr="00EB72D0">
        <w:t xml:space="preserve"> can be used as a guide to assist in determining the control for a licence holder.</w:t>
      </w:r>
      <w:r>
        <w:t xml:space="preserve"> </w:t>
      </w:r>
      <w:r w:rsidRPr="00EB72D0">
        <w:t xml:space="preserve">The list is not exclusive and </w:t>
      </w:r>
      <w:r>
        <w:t xml:space="preserve">the parameters should not be considered </w:t>
      </w:r>
      <w:r w:rsidR="007F2AC1">
        <w:t xml:space="preserve">as </w:t>
      </w:r>
      <w:r>
        <w:t>absolute criteria. O</w:t>
      </w:r>
      <w:r w:rsidRPr="00EB72D0">
        <w:t>ther factors considered to impact on the control should be considered if relevant</w:t>
      </w:r>
      <w:r w:rsidRPr="002C01A5">
        <w:t>.</w:t>
      </w:r>
      <w:r w:rsidRPr="008F3505">
        <w:t xml:space="preserve"> </w:t>
      </w:r>
      <w:r>
        <w:t xml:space="preserve">The highest number obtained when assessing the licence holder against the criteria should be used as the control. This number will </w:t>
      </w:r>
      <w:r>
        <w:lastRenderedPageBreak/>
        <w:t xml:space="preserve">feed into Table 1 to determine the regulatory priority. </w:t>
      </w:r>
      <w:r w:rsidRPr="002C01A5">
        <w:t xml:space="preserve">If the control of the </w:t>
      </w:r>
      <w:r>
        <w:t>facility</w:t>
      </w:r>
      <w:r w:rsidRPr="002C01A5">
        <w:t xml:space="preserve"> is not know</w:t>
      </w:r>
      <w:r>
        <w:t>n a default control of 4 (limited)</w:t>
      </w:r>
      <w:r w:rsidR="005D59CE">
        <w:t xml:space="preserve"> is</w:t>
      </w:r>
      <w:r w:rsidRPr="002C01A5">
        <w:t xml:space="preserve"> </w:t>
      </w:r>
      <w:r w:rsidR="005D59CE">
        <w:t xml:space="preserve">used. </w:t>
      </w:r>
    </w:p>
    <w:p w14:paraId="475AC13A" w14:textId="4882CF86" w:rsidR="005D59CE" w:rsidRDefault="000F0252" w:rsidP="0026652C">
      <w:r>
        <w:t>T</w:t>
      </w:r>
      <w:r w:rsidR="000E3455" w:rsidRPr="00426AB4">
        <w:t>he level of engineered safet</w:t>
      </w:r>
      <w:r w:rsidR="000E3455">
        <w:t>y provisions will vary in type and</w:t>
      </w:r>
      <w:r w:rsidR="000E3455" w:rsidRPr="00426AB4">
        <w:t xml:space="preserve"> scope of operation</w:t>
      </w:r>
      <w:r w:rsidRPr="000F0252">
        <w:t xml:space="preserve"> </w:t>
      </w:r>
      <w:r>
        <w:t>d</w:t>
      </w:r>
      <w:r w:rsidRPr="00426AB4">
        <w:t xml:space="preserve">epending on </w:t>
      </w:r>
      <w:r>
        <w:t xml:space="preserve">the </w:t>
      </w:r>
      <w:r w:rsidR="00772A8F">
        <w:t xml:space="preserve">complexity of the </w:t>
      </w:r>
      <w:r>
        <w:t>facility and the</w:t>
      </w:r>
      <w:r w:rsidRPr="00426AB4">
        <w:t xml:space="preserve"> </w:t>
      </w:r>
      <w:r>
        <w:t>stage of licensing</w:t>
      </w:r>
      <w:r w:rsidR="000E3455" w:rsidRPr="00426AB4">
        <w:t>. A graded approach should be applied</w:t>
      </w:r>
      <w:r w:rsidR="005D59CE">
        <w:t>, f</w:t>
      </w:r>
      <w:r w:rsidR="000E3455" w:rsidRPr="00426AB4">
        <w:t>or example, a less sophisticated facility will not require</w:t>
      </w:r>
      <w:r w:rsidR="000E3455">
        <w:t xml:space="preserve"> as comprehensive plans and arrangements as a nuclear reactor.</w:t>
      </w:r>
      <w:r w:rsidR="000E3455" w:rsidRPr="00426AB4">
        <w:t xml:space="preserve"> </w:t>
      </w:r>
    </w:p>
    <w:p w14:paraId="3A83E112" w14:textId="77777777" w:rsidR="00CA4592" w:rsidRPr="00CA4592" w:rsidRDefault="00CA4592" w:rsidP="0026652C">
      <w:pPr>
        <w:rPr>
          <w:rStyle w:val="Normalbold"/>
          <w:b w:val="0"/>
        </w:rPr>
      </w:pPr>
      <w:r w:rsidRPr="00CA4592">
        <w:rPr>
          <w:rStyle w:val="Normalbold"/>
          <w:b w:val="0"/>
        </w:rPr>
        <w:t xml:space="preserve">ARPANSA guidelines such as </w:t>
      </w:r>
      <w:hyperlink r:id="rId12" w:anchor="plans-and-arrangements-for-managing-safety" w:history="1">
        <w:r w:rsidRPr="00CA4592">
          <w:rPr>
            <w:rStyle w:val="Normalbold"/>
            <w:b w:val="0"/>
            <w:color w:val="4E1A74" w:themeColor="accent2"/>
            <w:u w:val="single"/>
          </w:rPr>
          <w:t>REGULATORY GUIDE: Plans and Arrangements for Managing Safety</w:t>
        </w:r>
      </w:hyperlink>
      <w:r w:rsidRPr="00CA4592">
        <w:rPr>
          <w:rStyle w:val="Normalbold"/>
          <w:b w:val="0"/>
        </w:rPr>
        <w:t xml:space="preserve"> and </w:t>
      </w:r>
      <w:hyperlink r:id="rId13" w:anchor="holistic-safety" w:history="1">
        <w:r w:rsidRPr="00CA4592">
          <w:rPr>
            <w:rStyle w:val="Hyperlink"/>
            <w:rFonts w:eastAsia="Calibri"/>
          </w:rPr>
          <w:t>REGULATORY GUIDE: Holistic Safety Guidelines</w:t>
        </w:r>
      </w:hyperlink>
      <w:r w:rsidRPr="00CA4592">
        <w:rPr>
          <w:rStyle w:val="Normalbold"/>
          <w:b w:val="0"/>
          <w:color w:val="4E1A74" w:themeColor="accent2"/>
        </w:rPr>
        <w:t xml:space="preserve"> </w:t>
      </w:r>
      <w:r w:rsidRPr="00CA4592">
        <w:rPr>
          <w:rStyle w:val="Normalbold"/>
          <w:b w:val="0"/>
        </w:rPr>
        <w:t>may provide further guidance.</w:t>
      </w:r>
    </w:p>
    <w:p w14:paraId="51E9A02F" w14:textId="2B653490" w:rsidR="002609A2" w:rsidRDefault="002609A2" w:rsidP="0026652C">
      <w:pPr>
        <w:pStyle w:val="Heading4"/>
      </w:pPr>
      <w:bookmarkStart w:id="26" w:name="_Toc5290060"/>
      <w:r>
        <w:t>Review of regulatory priority</w:t>
      </w:r>
      <w:bookmarkEnd w:id="26"/>
    </w:p>
    <w:p w14:paraId="2BE27839" w14:textId="60FB5FB8" w:rsidR="002609A2" w:rsidRPr="002609A2" w:rsidRDefault="002609A2" w:rsidP="0026652C">
      <w:r w:rsidRPr="002609A2">
        <w:t xml:space="preserve">The RP of facilities is reviewed at least annually; RP will </w:t>
      </w:r>
      <w:r w:rsidR="00961A41">
        <w:t xml:space="preserve">usually </w:t>
      </w:r>
      <w:r w:rsidRPr="002609A2">
        <w:t xml:space="preserve">be reviewed after an inspection, </w:t>
      </w:r>
      <w:r>
        <w:t xml:space="preserve">following </w:t>
      </w:r>
      <w:r w:rsidRPr="002609A2">
        <w:t>changes to a facility, or after an accident or incident</w:t>
      </w:r>
      <w:r w:rsidR="003962B5">
        <w:t xml:space="preserve">. </w:t>
      </w:r>
      <w:r w:rsidRPr="002609A2">
        <w:t xml:space="preserve">The flow chart in </w:t>
      </w:r>
      <w:r w:rsidR="001D34F3">
        <w:t>Appendix A</w:t>
      </w:r>
      <w:r w:rsidRPr="002609A2">
        <w:t xml:space="preserve"> shows the review process. </w:t>
      </w:r>
    </w:p>
    <w:p w14:paraId="15C2CB0E" w14:textId="77777777" w:rsidR="00DC0734" w:rsidRDefault="00DC0734" w:rsidP="0026652C">
      <w:pPr>
        <w:pStyle w:val="Heading3"/>
      </w:pPr>
      <w:bookmarkStart w:id="27" w:name="_Toc483572272"/>
      <w:bookmarkStart w:id="28" w:name="_Toc492399341"/>
      <w:bookmarkStart w:id="29" w:name="_Ref527721061"/>
      <w:bookmarkStart w:id="30" w:name="_Ref527721088"/>
      <w:bookmarkStart w:id="31" w:name="_Toc5290061"/>
      <w:r w:rsidRPr="002B1F56">
        <w:t>Inspection</w:t>
      </w:r>
      <w:r>
        <w:t xml:space="preserve"> schedule</w:t>
      </w:r>
      <w:bookmarkEnd w:id="27"/>
      <w:bookmarkEnd w:id="28"/>
      <w:bookmarkEnd w:id="29"/>
      <w:bookmarkEnd w:id="30"/>
      <w:bookmarkEnd w:id="31"/>
    </w:p>
    <w:p w14:paraId="7FC86062" w14:textId="5FD949F9" w:rsidR="00DC0734" w:rsidRDefault="00DC0734" w:rsidP="0026652C">
      <w:r>
        <w:t>ARPANSA maintains a three-yearly baseline inspection schedule for facilities and a six-yearly baseline inspection schedule for sources</w:t>
      </w:r>
      <w:r w:rsidR="003962B5">
        <w:t xml:space="preserve">. </w:t>
      </w:r>
      <w:r w:rsidR="00796476">
        <w:t xml:space="preserve">Inspection schedules are reviewed annually. </w:t>
      </w:r>
      <w:r>
        <w:t xml:space="preserve">Licence holders have access to </w:t>
      </w:r>
      <w:r w:rsidR="00961A41">
        <w:t xml:space="preserve">their relevant inspection </w:t>
      </w:r>
      <w:r>
        <w:t xml:space="preserve">schedule. </w:t>
      </w:r>
    </w:p>
    <w:p w14:paraId="29DCF8A5" w14:textId="275472C0" w:rsidR="00291059" w:rsidRPr="008F3505" w:rsidRDefault="00137680" w:rsidP="0026652C">
      <w:pPr>
        <w:pStyle w:val="Heading4"/>
      </w:pPr>
      <w:r>
        <w:tab/>
      </w:r>
      <w:bookmarkStart w:id="32" w:name="_Toc5290062"/>
      <w:r w:rsidR="000D1813" w:rsidRPr="00310B73">
        <w:t>F</w:t>
      </w:r>
      <w:r w:rsidR="00656531" w:rsidRPr="00310B73">
        <w:t>acilit</w:t>
      </w:r>
      <w:bookmarkEnd w:id="21"/>
      <w:r w:rsidR="00107068" w:rsidRPr="00310B73">
        <w:t>y inspection frequency</w:t>
      </w:r>
      <w:bookmarkEnd w:id="32"/>
    </w:p>
    <w:p w14:paraId="16248E7A" w14:textId="0276BD39" w:rsidR="00D87179" w:rsidRPr="00310B73" w:rsidRDefault="003C5D77" w:rsidP="0026652C">
      <w:r w:rsidRPr="00310B73">
        <w:t xml:space="preserve">Table </w:t>
      </w:r>
      <w:r w:rsidR="00DC0734" w:rsidRPr="00310B73">
        <w:t>3</w:t>
      </w:r>
      <w:r w:rsidRPr="00310B73">
        <w:t xml:space="preserve"> provides the baseline inspection frequency for facilities. </w:t>
      </w:r>
      <w:r w:rsidR="00BA6C12" w:rsidRPr="00310B73">
        <w:t>Adjustments to the schedule may be made in response to specific circumstances.</w:t>
      </w:r>
    </w:p>
    <w:p w14:paraId="7C4C76C2" w14:textId="2842AAD2" w:rsidR="0021040F" w:rsidRPr="00310B73" w:rsidRDefault="0021040F" w:rsidP="0026652C">
      <w:pPr>
        <w:pStyle w:val="Caption"/>
        <w:spacing w:before="240" w:after="120"/>
        <w:jc w:val="center"/>
      </w:pPr>
      <w:r w:rsidRPr="00310B73">
        <w:t xml:space="preserve">TABLE </w:t>
      </w:r>
      <w:r w:rsidR="00DC0734" w:rsidRPr="00310B73">
        <w:t>3</w:t>
      </w:r>
      <w:r w:rsidR="006039B8">
        <w:t>: Inspection Frequency for F</w:t>
      </w:r>
      <w:r w:rsidRPr="00310B73">
        <w:t>acilities</w:t>
      </w:r>
    </w:p>
    <w:tbl>
      <w:tblPr>
        <w:tblStyle w:val="ARPANSA"/>
        <w:tblpPr w:leftFromText="180" w:rightFromText="180" w:vertAnchor="text" w:tblpXSpec="center" w:tblpY="1"/>
        <w:tblW w:w="0" w:type="auto"/>
        <w:tblLook w:val="04A0" w:firstRow="1" w:lastRow="0" w:firstColumn="1" w:lastColumn="0" w:noHBand="0" w:noVBand="1"/>
      </w:tblPr>
      <w:tblGrid>
        <w:gridCol w:w="2694"/>
        <w:gridCol w:w="3543"/>
      </w:tblGrid>
      <w:tr w:rsidR="00291059" w:rsidRPr="00364280" w14:paraId="642B0858" w14:textId="77777777" w:rsidTr="00310B73">
        <w:trPr>
          <w:cnfStyle w:val="100000000000" w:firstRow="1" w:lastRow="0" w:firstColumn="0" w:lastColumn="0" w:oddVBand="0" w:evenVBand="0" w:oddHBand="0" w:evenHBand="0" w:firstRowFirstColumn="0" w:firstRowLastColumn="0" w:lastRowFirstColumn="0" w:lastRowLastColumn="0"/>
        </w:trPr>
        <w:tc>
          <w:tcPr>
            <w:tcW w:w="2694" w:type="dxa"/>
          </w:tcPr>
          <w:p w14:paraId="4EA964B7" w14:textId="1AF257EE" w:rsidR="00291059" w:rsidRPr="00CA4592" w:rsidRDefault="00291059" w:rsidP="0026652C">
            <w:pPr>
              <w:jc w:val="center"/>
              <w:rPr>
                <w:bCs/>
              </w:rPr>
            </w:pPr>
            <w:r w:rsidRPr="00CA4592">
              <w:t>R</w:t>
            </w:r>
            <w:r w:rsidR="00DD0C71" w:rsidRPr="00CA4592">
              <w:t>egulatory Priority</w:t>
            </w:r>
          </w:p>
        </w:tc>
        <w:tc>
          <w:tcPr>
            <w:tcW w:w="3543" w:type="dxa"/>
          </w:tcPr>
          <w:p w14:paraId="5389AFD3" w14:textId="6B522667" w:rsidR="00291059" w:rsidRPr="00CA4592" w:rsidRDefault="00291059" w:rsidP="0026652C">
            <w:pPr>
              <w:jc w:val="center"/>
              <w:rPr>
                <w:bCs/>
              </w:rPr>
            </w:pPr>
            <w:r w:rsidRPr="00CA4592">
              <w:t>Inspection Frequency</w:t>
            </w:r>
          </w:p>
        </w:tc>
      </w:tr>
      <w:tr w:rsidR="00291059" w:rsidRPr="00364280" w14:paraId="4253BC8C" w14:textId="77777777" w:rsidTr="00310B73">
        <w:tc>
          <w:tcPr>
            <w:tcW w:w="2694" w:type="dxa"/>
            <w:vAlign w:val="center"/>
          </w:tcPr>
          <w:p w14:paraId="61EBF7E0" w14:textId="7B882DA7" w:rsidR="00291059" w:rsidRPr="00CA4592" w:rsidRDefault="00AB035E" w:rsidP="0026652C">
            <w:pPr>
              <w:pStyle w:val="TableStyle"/>
              <w:jc w:val="center"/>
              <w:rPr>
                <w:b/>
              </w:rPr>
            </w:pPr>
            <w:r w:rsidRPr="00CA4592">
              <w:t>Very low</w:t>
            </w:r>
          </w:p>
        </w:tc>
        <w:tc>
          <w:tcPr>
            <w:tcW w:w="3543" w:type="dxa"/>
            <w:vAlign w:val="center"/>
          </w:tcPr>
          <w:p w14:paraId="34913966" w14:textId="77777777" w:rsidR="00291059" w:rsidRPr="00CA4592" w:rsidRDefault="00291059" w:rsidP="0026652C">
            <w:pPr>
              <w:pStyle w:val="TableStyle"/>
              <w:jc w:val="center"/>
            </w:pPr>
            <w:r w:rsidRPr="00CA4592">
              <w:t>4 – 5 years</w:t>
            </w:r>
          </w:p>
        </w:tc>
      </w:tr>
      <w:tr w:rsidR="00291059" w:rsidRPr="00364280" w14:paraId="1C6C0111" w14:textId="77777777" w:rsidTr="00310B73">
        <w:tc>
          <w:tcPr>
            <w:tcW w:w="2694" w:type="dxa"/>
            <w:vAlign w:val="center"/>
          </w:tcPr>
          <w:p w14:paraId="21750D12" w14:textId="77777777" w:rsidR="00291059" w:rsidRPr="00CA4592" w:rsidRDefault="00291059" w:rsidP="0026652C">
            <w:pPr>
              <w:pStyle w:val="TableStyle"/>
              <w:jc w:val="center"/>
              <w:rPr>
                <w:b/>
              </w:rPr>
            </w:pPr>
            <w:r w:rsidRPr="00CA4592">
              <w:t>Low</w:t>
            </w:r>
          </w:p>
        </w:tc>
        <w:tc>
          <w:tcPr>
            <w:tcW w:w="3543" w:type="dxa"/>
            <w:vAlign w:val="center"/>
          </w:tcPr>
          <w:p w14:paraId="22832696" w14:textId="77777777" w:rsidR="00291059" w:rsidRPr="00CA4592" w:rsidRDefault="00291059" w:rsidP="0026652C">
            <w:pPr>
              <w:pStyle w:val="TableStyle"/>
              <w:jc w:val="center"/>
            </w:pPr>
            <w:r w:rsidRPr="00CA4592">
              <w:t>3 - 4 years</w:t>
            </w:r>
          </w:p>
        </w:tc>
      </w:tr>
      <w:tr w:rsidR="00291059" w:rsidRPr="00364280" w14:paraId="6ED0354E" w14:textId="77777777" w:rsidTr="00310B73">
        <w:tc>
          <w:tcPr>
            <w:tcW w:w="2694" w:type="dxa"/>
            <w:vAlign w:val="center"/>
          </w:tcPr>
          <w:p w14:paraId="7671A1F8" w14:textId="659145C0" w:rsidR="00291059" w:rsidRPr="00CA4592" w:rsidRDefault="00291059" w:rsidP="0026652C">
            <w:pPr>
              <w:pStyle w:val="TableStyle"/>
              <w:jc w:val="center"/>
              <w:rPr>
                <w:b/>
              </w:rPr>
            </w:pPr>
            <w:r w:rsidRPr="00CA4592">
              <w:t>Med</w:t>
            </w:r>
            <w:r w:rsidR="00957C68" w:rsidRPr="00CA4592">
              <w:t>ium</w:t>
            </w:r>
          </w:p>
        </w:tc>
        <w:tc>
          <w:tcPr>
            <w:tcW w:w="3543" w:type="dxa"/>
            <w:vAlign w:val="center"/>
          </w:tcPr>
          <w:p w14:paraId="005F9B29" w14:textId="77777777" w:rsidR="00291059" w:rsidRPr="00CA4592" w:rsidRDefault="00291059" w:rsidP="0026652C">
            <w:pPr>
              <w:pStyle w:val="TableStyle"/>
              <w:jc w:val="center"/>
            </w:pPr>
            <w:r w:rsidRPr="00CA4592">
              <w:t>1 – 2 years</w:t>
            </w:r>
          </w:p>
        </w:tc>
      </w:tr>
      <w:tr w:rsidR="00291059" w:rsidRPr="00364280" w14:paraId="6DE76556" w14:textId="77777777" w:rsidTr="00310B73">
        <w:tc>
          <w:tcPr>
            <w:tcW w:w="2694" w:type="dxa"/>
            <w:vAlign w:val="center"/>
          </w:tcPr>
          <w:p w14:paraId="4499E121" w14:textId="77777777" w:rsidR="00291059" w:rsidRPr="00CA4592" w:rsidRDefault="00291059" w:rsidP="0026652C">
            <w:pPr>
              <w:pStyle w:val="TableStyle"/>
              <w:jc w:val="center"/>
              <w:rPr>
                <w:b/>
              </w:rPr>
            </w:pPr>
            <w:r w:rsidRPr="00CA4592">
              <w:t>High</w:t>
            </w:r>
          </w:p>
        </w:tc>
        <w:tc>
          <w:tcPr>
            <w:tcW w:w="3543" w:type="dxa"/>
            <w:vAlign w:val="center"/>
          </w:tcPr>
          <w:p w14:paraId="5E5E9783" w14:textId="77777777" w:rsidR="00291059" w:rsidRPr="00CA4592" w:rsidRDefault="00291059" w:rsidP="0026652C">
            <w:pPr>
              <w:pStyle w:val="TableStyle"/>
              <w:jc w:val="center"/>
            </w:pPr>
            <w:r w:rsidRPr="00CA4592">
              <w:t>Annual</w:t>
            </w:r>
          </w:p>
        </w:tc>
      </w:tr>
      <w:tr w:rsidR="00291059" w:rsidRPr="00364280" w14:paraId="2C3713F9" w14:textId="77777777" w:rsidTr="00310B73">
        <w:tc>
          <w:tcPr>
            <w:tcW w:w="2694" w:type="dxa"/>
            <w:vAlign w:val="center"/>
          </w:tcPr>
          <w:p w14:paraId="612791E5" w14:textId="77777777" w:rsidR="00291059" w:rsidRPr="00CA4592" w:rsidRDefault="00291059" w:rsidP="0026652C">
            <w:pPr>
              <w:pStyle w:val="TableStyle"/>
              <w:jc w:val="center"/>
              <w:rPr>
                <w:b/>
              </w:rPr>
            </w:pPr>
            <w:r w:rsidRPr="00CA4592">
              <w:t>Very High</w:t>
            </w:r>
          </w:p>
        </w:tc>
        <w:tc>
          <w:tcPr>
            <w:tcW w:w="3543" w:type="dxa"/>
            <w:vAlign w:val="center"/>
          </w:tcPr>
          <w:p w14:paraId="4614EF8F" w14:textId="77777777" w:rsidR="00291059" w:rsidRPr="00CA4592" w:rsidRDefault="00291059" w:rsidP="0026652C">
            <w:pPr>
              <w:pStyle w:val="TableStyle"/>
              <w:jc w:val="center"/>
            </w:pPr>
            <w:r w:rsidRPr="00CA4592">
              <w:t>Quarterly</w:t>
            </w:r>
          </w:p>
        </w:tc>
      </w:tr>
    </w:tbl>
    <w:p w14:paraId="1433D3BF" w14:textId="3DB546AF" w:rsidR="00107068" w:rsidRPr="008F3505" w:rsidRDefault="008A13B0" w:rsidP="0026652C">
      <w:r>
        <w:br w:type="textWrapping" w:clear="all"/>
      </w:r>
      <w:bookmarkStart w:id="33" w:name="_Toc492399348"/>
    </w:p>
    <w:p w14:paraId="778E136C" w14:textId="754EAFCF" w:rsidR="00291059" w:rsidRPr="00310B73" w:rsidRDefault="00137680" w:rsidP="0026652C">
      <w:pPr>
        <w:pStyle w:val="Heading4"/>
      </w:pPr>
      <w:r>
        <w:tab/>
      </w:r>
      <w:bookmarkStart w:id="34" w:name="_Toc5290063"/>
      <w:r w:rsidR="00291059" w:rsidRPr="00310B73">
        <w:t>S</w:t>
      </w:r>
      <w:r w:rsidR="00656531" w:rsidRPr="00310B73">
        <w:t>ource</w:t>
      </w:r>
      <w:bookmarkEnd w:id="33"/>
      <w:r w:rsidR="00107068" w:rsidRPr="00310B73">
        <w:t xml:space="preserve"> inspection frequency</w:t>
      </w:r>
      <w:bookmarkEnd w:id="34"/>
    </w:p>
    <w:p w14:paraId="5DAA6EC2" w14:textId="4781593A" w:rsidR="008F0DC4" w:rsidRPr="008F0DC4" w:rsidRDefault="00206508" w:rsidP="0026652C">
      <w:r>
        <w:t xml:space="preserve">Table </w:t>
      </w:r>
      <w:r w:rsidR="00A911BF">
        <w:t>4</w:t>
      </w:r>
      <w:r>
        <w:t xml:space="preserve"> provides the RP and inspection </w:t>
      </w:r>
      <w:r w:rsidR="00291059">
        <w:t xml:space="preserve">frequency </w:t>
      </w:r>
      <w:r>
        <w:t xml:space="preserve">for </w:t>
      </w:r>
      <w:r w:rsidR="00961A41">
        <w:t>source licences</w:t>
      </w:r>
      <w:r w:rsidR="00291059">
        <w:t>. I</w:t>
      </w:r>
      <w:r w:rsidR="00291059" w:rsidRPr="00D40E06">
        <w:t xml:space="preserve">nspection effort </w:t>
      </w:r>
      <w:r w:rsidR="00291059">
        <w:t xml:space="preserve">is </w:t>
      </w:r>
      <w:r w:rsidR="00291059" w:rsidRPr="00D40E06">
        <w:t xml:space="preserve">based on </w:t>
      </w:r>
      <w:r w:rsidR="00291059">
        <w:t xml:space="preserve">regulatory </w:t>
      </w:r>
      <w:r w:rsidR="00291059" w:rsidRPr="00D40E06">
        <w:t xml:space="preserve">priority, complexity of licence </w:t>
      </w:r>
      <w:r w:rsidR="00291059" w:rsidRPr="00796476">
        <w:t>holder activities, and on site/</w:t>
      </w:r>
      <w:r w:rsidR="00153957" w:rsidRPr="00796476">
        <w:t xml:space="preserve">geographical </w:t>
      </w:r>
      <w:r w:rsidR="00291059" w:rsidRPr="00796476">
        <w:t>considerations and constraints. Where appropriate,</w:t>
      </w:r>
      <w:r w:rsidR="00557B6D" w:rsidRPr="00796476">
        <w:t xml:space="preserve"> an i</w:t>
      </w:r>
      <w:r w:rsidR="00291059" w:rsidRPr="00796476">
        <w:t xml:space="preserve">nspector may conduct </w:t>
      </w:r>
      <w:r w:rsidR="00557B6D" w:rsidRPr="00796476">
        <w:t>a</w:t>
      </w:r>
      <w:r w:rsidR="00764ED0" w:rsidRPr="00796476">
        <w:t xml:space="preserve"> source</w:t>
      </w:r>
      <w:r w:rsidR="00557B6D" w:rsidRPr="00796476">
        <w:t xml:space="preserve"> </w:t>
      </w:r>
      <w:r w:rsidR="00291059" w:rsidRPr="00796476">
        <w:t xml:space="preserve">inspection </w:t>
      </w:r>
      <w:r w:rsidR="00557B6D" w:rsidRPr="00796476">
        <w:t xml:space="preserve">alone </w:t>
      </w:r>
      <w:r w:rsidR="00291059" w:rsidRPr="00796476">
        <w:t>taking into account the location and complexity of the licence holder</w:t>
      </w:r>
      <w:r w:rsidR="00557B6D" w:rsidRPr="00796476">
        <w:t xml:space="preserve"> (see Table </w:t>
      </w:r>
      <w:r w:rsidR="00A911BF" w:rsidRPr="00796476">
        <w:t>5</w:t>
      </w:r>
      <w:r w:rsidR="00557B6D" w:rsidRPr="00796476">
        <w:t>).</w:t>
      </w:r>
      <w:r w:rsidR="00291059" w:rsidRPr="00796476">
        <w:t xml:space="preserve"> </w:t>
      </w:r>
      <w:r w:rsidR="008F0DC4" w:rsidRPr="00796476">
        <w:t xml:space="preserve">To ensure efficient use of resources, source inspections may be conducted within a </w:t>
      </w:r>
      <w:r w:rsidR="00961A41" w:rsidRPr="00796476">
        <w:t xml:space="preserve">time </w:t>
      </w:r>
      <w:r w:rsidR="008F0DC4" w:rsidRPr="00796476">
        <w:t>window</w:t>
      </w:r>
      <w:r w:rsidR="00FF7048" w:rsidRPr="00796476">
        <w:t xml:space="preserve"> and </w:t>
      </w:r>
      <w:r w:rsidR="008F3CF9" w:rsidRPr="00796476">
        <w:t xml:space="preserve">be </w:t>
      </w:r>
      <w:r w:rsidR="00BF7EF7" w:rsidRPr="00796476">
        <w:t xml:space="preserve">considered to </w:t>
      </w:r>
      <w:r w:rsidR="00FF7048" w:rsidRPr="00796476">
        <w:t xml:space="preserve">having met the </w:t>
      </w:r>
      <w:r w:rsidR="00033AE3" w:rsidRPr="00796476">
        <w:t xml:space="preserve">inspection </w:t>
      </w:r>
      <w:r w:rsidR="00FF7048" w:rsidRPr="00796476">
        <w:t>schedule</w:t>
      </w:r>
      <w:r w:rsidR="003962B5" w:rsidRPr="00796476">
        <w:t xml:space="preserve">. </w:t>
      </w:r>
      <w:r w:rsidR="008F0DC4" w:rsidRPr="00796476">
        <w:t xml:space="preserve">Inspection of licence holders with sources of RP1 or RP2 may vary around the scheduled date by ± one quarter year. Inspections of licence holders with sources of RP3 to RP6 may vary around the scheduled date by ± two quarters. </w:t>
      </w:r>
    </w:p>
    <w:p w14:paraId="42A7FEB7" w14:textId="77777777" w:rsidR="00735943" w:rsidRPr="00735943" w:rsidRDefault="00735943" w:rsidP="0026652C">
      <w:r w:rsidRPr="00735943">
        <w:lastRenderedPageBreak/>
        <w:t xml:space="preserve">Where a licence holder has a significantly large number of low hazard sources a subset or sample of sources may be inspected. In using this method, the inspector should consider the licence holder’s level of safety management over the sources.   </w:t>
      </w:r>
    </w:p>
    <w:p w14:paraId="41E378D7" w14:textId="77777777" w:rsidR="00735943" w:rsidRPr="00735943" w:rsidRDefault="00735943" w:rsidP="0026652C">
      <w:r w:rsidRPr="00735943">
        <w:t xml:space="preserve">Where an inspection of RP5 or RP6 sources is scheduled, a simplified approach such as an e-inspection or a limited scope inspection may be used.  As a substitute for scheduled inspections of RP5 or RP6 sources, the frequency of licence holder compliance reporting may be increased from annual to six monthly. </w:t>
      </w:r>
    </w:p>
    <w:p w14:paraId="4E9F9916" w14:textId="77777777" w:rsidR="00735943" w:rsidRPr="00735943" w:rsidRDefault="00735943" w:rsidP="0026652C">
      <w:r w:rsidRPr="00735943">
        <w:t xml:space="preserve">Sources at remote locations may be inspected by e-inspection. Situations may arise where an e-inspection is also appropriate for sources other than RP5 or RP6. If so, approval should be sought from the Director, Source Control. </w:t>
      </w:r>
    </w:p>
    <w:p w14:paraId="5BC0B7AF" w14:textId="77777777" w:rsidR="00735943" w:rsidRPr="00735943" w:rsidRDefault="00735943" w:rsidP="0026652C">
      <w:r w:rsidRPr="00735943">
        <w:t xml:space="preserve">ARPANSA conducts information-sharing and educational activities to supplement this graded approach to regulatory oversight. Should compliance reports reveal any concerns, the regulatory officer reviewing the report is responsible for taking appropriate action which may include conducting an e-inspection or a physical inspection to verify compliance. </w:t>
      </w:r>
    </w:p>
    <w:p w14:paraId="6A986569" w14:textId="1D8E92F5" w:rsidR="0010395F" w:rsidRDefault="00D730C2" w:rsidP="0026652C">
      <w:r>
        <w:t xml:space="preserve">Where an inspection </w:t>
      </w:r>
      <w:r w:rsidR="002C428D">
        <w:t xml:space="preserve">of RP5 or RP6 sources </w:t>
      </w:r>
      <w:r>
        <w:t xml:space="preserve">is </w:t>
      </w:r>
      <w:r w:rsidR="002C428D">
        <w:t>scheduled</w:t>
      </w:r>
      <w:r>
        <w:t>, a</w:t>
      </w:r>
      <w:r w:rsidR="00193D19">
        <w:t>n</w:t>
      </w:r>
      <w:r w:rsidR="0084001F">
        <w:t xml:space="preserve"> </w:t>
      </w:r>
      <w:r w:rsidR="00236862">
        <w:t>e-inspection</w:t>
      </w:r>
      <w:r w:rsidR="0084001F">
        <w:t xml:space="preserve"> </w:t>
      </w:r>
      <w:r w:rsidR="00193D19">
        <w:t xml:space="preserve">or a simplified approach such as a limited scope inspection may be </w:t>
      </w:r>
      <w:r w:rsidR="00193D19" w:rsidRPr="00A35DB8">
        <w:t>used.</w:t>
      </w:r>
      <w:r w:rsidRPr="00A35DB8">
        <w:t xml:space="preserve"> S</w:t>
      </w:r>
      <w:r w:rsidR="0084001F" w:rsidRPr="00A35DB8">
        <w:t>ources at remote locations</w:t>
      </w:r>
      <w:r w:rsidRPr="00A35DB8">
        <w:t xml:space="preserve"> may also be inspected by </w:t>
      </w:r>
      <w:r w:rsidR="00236862" w:rsidRPr="00A35DB8">
        <w:t>e-inspection</w:t>
      </w:r>
      <w:r w:rsidR="0084001F" w:rsidRPr="00A35DB8">
        <w:t xml:space="preserve">. </w:t>
      </w:r>
      <w:r w:rsidR="00535688" w:rsidRPr="00A35DB8">
        <w:t xml:space="preserve">Situations may arise where an </w:t>
      </w:r>
      <w:r w:rsidR="00236862" w:rsidRPr="00A35DB8">
        <w:t>e-inspection</w:t>
      </w:r>
      <w:r w:rsidR="00535688" w:rsidRPr="00A35DB8">
        <w:t xml:space="preserve"> is also</w:t>
      </w:r>
      <w:r w:rsidR="00535688">
        <w:t xml:space="preserve"> appropriate for sources other than RP5/RP6. If so, approval should be sought from the </w:t>
      </w:r>
      <w:r w:rsidR="002609A2">
        <w:t>Director</w:t>
      </w:r>
      <w:r w:rsidR="00535688">
        <w:t xml:space="preserve">, Source Control. </w:t>
      </w:r>
    </w:p>
    <w:p w14:paraId="52B49112" w14:textId="77777777" w:rsidR="00AC630D" w:rsidRPr="00AC630D" w:rsidRDefault="00AC630D" w:rsidP="0026652C">
      <w:r w:rsidRPr="00AC630D">
        <w:t xml:space="preserve">The performance of the licence holder will determine whether inspection frequency should be increased for low performance or whether a simplified inspection approach such a limited scope inspection has been earned for high performance. </w:t>
      </w:r>
    </w:p>
    <w:p w14:paraId="53D0E1CE" w14:textId="5A4672CB" w:rsidR="00C04850" w:rsidRDefault="00291059" w:rsidP="0026652C">
      <w:pPr>
        <w:pStyle w:val="Caption"/>
        <w:spacing w:before="240" w:after="120"/>
        <w:jc w:val="center"/>
      </w:pPr>
      <w:r w:rsidRPr="00310B73">
        <w:t xml:space="preserve">Table </w:t>
      </w:r>
      <w:r w:rsidR="00A911BF" w:rsidRPr="00310B73">
        <w:t>4</w:t>
      </w:r>
      <w:r w:rsidR="00DF6D80" w:rsidRPr="00310B73">
        <w:t>:</w:t>
      </w:r>
      <w:r w:rsidRPr="00310B73">
        <w:t xml:space="preserve"> Regulatory Priority &amp; Inspection Frequency</w:t>
      </w:r>
      <w:r w:rsidR="00E15CC5" w:rsidRPr="00310B73">
        <w:t xml:space="preserve"> for </w:t>
      </w:r>
      <w:r w:rsidR="006039B8">
        <w:t>S</w:t>
      </w:r>
      <w:r w:rsidR="00E15CC5" w:rsidRPr="00310B73">
        <w:t>ources</w:t>
      </w:r>
    </w:p>
    <w:tbl>
      <w:tblPr>
        <w:tblStyle w:val="ListTable4-Accent21"/>
        <w:tblW w:w="8358" w:type="dxa"/>
        <w:jc w:val="center"/>
        <w:tblLayout w:type="fixed"/>
        <w:tblLook w:val="04A0" w:firstRow="1" w:lastRow="0" w:firstColumn="1" w:lastColumn="0" w:noHBand="0" w:noVBand="1"/>
      </w:tblPr>
      <w:tblGrid>
        <w:gridCol w:w="856"/>
        <w:gridCol w:w="4526"/>
        <w:gridCol w:w="1276"/>
        <w:gridCol w:w="1700"/>
      </w:tblGrid>
      <w:tr w:rsidR="00AC630D" w:rsidRPr="00AC630D" w14:paraId="082F7365" w14:textId="77777777" w:rsidTr="002665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6" w:type="dxa"/>
          </w:tcPr>
          <w:p w14:paraId="27EF2B35" w14:textId="77777777" w:rsidR="00AC630D" w:rsidRPr="00AC630D" w:rsidRDefault="00AC630D" w:rsidP="0026652C">
            <w:pPr>
              <w:jc w:val="center"/>
              <w:rPr>
                <w:vertAlign w:val="superscript"/>
              </w:rPr>
            </w:pPr>
            <w:r w:rsidRPr="00AC630D">
              <w:t xml:space="preserve">Hazard </w:t>
            </w:r>
            <w:proofErr w:type="spellStart"/>
            <w:r w:rsidRPr="00AC630D">
              <w:t>Level</w:t>
            </w:r>
            <w:r w:rsidRPr="00AC630D">
              <w:rPr>
                <w:vertAlign w:val="superscript"/>
              </w:rPr>
              <w:t>a</w:t>
            </w:r>
            <w:proofErr w:type="spellEnd"/>
          </w:p>
        </w:tc>
        <w:tc>
          <w:tcPr>
            <w:tcW w:w="4526" w:type="dxa"/>
          </w:tcPr>
          <w:p w14:paraId="1D59629A" w14:textId="77777777" w:rsidR="00AC630D" w:rsidRPr="00AC630D" w:rsidRDefault="00AC630D" w:rsidP="0026652C">
            <w:pPr>
              <w:jc w:val="center"/>
              <w:cnfStyle w:val="100000000000" w:firstRow="1" w:lastRow="0" w:firstColumn="0" w:lastColumn="0" w:oddVBand="0" w:evenVBand="0" w:oddHBand="0" w:evenHBand="0" w:firstRowFirstColumn="0" w:firstRowLastColumn="0" w:lastRowFirstColumn="0" w:lastRowLastColumn="0"/>
            </w:pPr>
            <w:r w:rsidRPr="00AC630D">
              <w:t>Items from</w:t>
            </w:r>
          </w:p>
          <w:p w14:paraId="09287954" w14:textId="77777777" w:rsidR="00AC630D" w:rsidRPr="00AC630D" w:rsidRDefault="00AC630D" w:rsidP="0026652C">
            <w:pPr>
              <w:spacing w:before="0"/>
              <w:jc w:val="center"/>
              <w:cnfStyle w:val="100000000000" w:firstRow="1" w:lastRow="0" w:firstColumn="0" w:lastColumn="0" w:oddVBand="0" w:evenVBand="0" w:oddHBand="0" w:evenHBand="0" w:firstRowFirstColumn="0" w:firstRowLastColumn="0" w:lastRowFirstColumn="0" w:lastRowLastColumn="0"/>
            </w:pPr>
            <w:r w:rsidRPr="00AC630D">
              <w:t>Section 4 of Regulations</w:t>
            </w:r>
          </w:p>
        </w:tc>
        <w:tc>
          <w:tcPr>
            <w:tcW w:w="1276" w:type="dxa"/>
          </w:tcPr>
          <w:p w14:paraId="70C334A6" w14:textId="77777777" w:rsidR="00AC630D" w:rsidRPr="00AC630D" w:rsidRDefault="00AC630D" w:rsidP="0026652C">
            <w:pPr>
              <w:jc w:val="center"/>
              <w:cnfStyle w:val="100000000000" w:firstRow="1" w:lastRow="0" w:firstColumn="0" w:lastColumn="0" w:oddVBand="0" w:evenVBand="0" w:oddHBand="0" w:evenHBand="0" w:firstRowFirstColumn="0" w:firstRowLastColumn="0" w:lastRowFirstColumn="0" w:lastRowLastColumn="0"/>
            </w:pPr>
            <w:r w:rsidRPr="00AC630D">
              <w:t>Regulatory Priority (RP)</w:t>
            </w:r>
          </w:p>
        </w:tc>
        <w:tc>
          <w:tcPr>
            <w:tcW w:w="1700" w:type="dxa"/>
          </w:tcPr>
          <w:p w14:paraId="0BC7B9CC" w14:textId="77777777" w:rsidR="00AC630D" w:rsidRPr="00AC630D" w:rsidRDefault="00AC630D" w:rsidP="0026652C">
            <w:pPr>
              <w:jc w:val="center"/>
              <w:cnfStyle w:val="100000000000" w:firstRow="1" w:lastRow="0" w:firstColumn="0" w:lastColumn="0" w:oddVBand="0" w:evenVBand="0" w:oddHBand="0" w:evenHBand="0" w:firstRowFirstColumn="0" w:firstRowLastColumn="0" w:lastRowFirstColumn="0" w:lastRowLastColumn="0"/>
            </w:pPr>
            <w:r w:rsidRPr="00AC630D">
              <w:t>Minimum Inspection Frequency (years)</w:t>
            </w:r>
          </w:p>
        </w:tc>
      </w:tr>
      <w:tr w:rsidR="00AC630D" w:rsidRPr="00AC630D" w14:paraId="10F182EE" w14:textId="77777777" w:rsidTr="00266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6" w:type="dxa"/>
            <w:vMerge w:val="restart"/>
          </w:tcPr>
          <w:p w14:paraId="1F6AAA95" w14:textId="77777777" w:rsidR="00AC630D" w:rsidRPr="0026652C" w:rsidRDefault="00AC630D" w:rsidP="0026652C">
            <w:pPr>
              <w:jc w:val="center"/>
              <w:rPr>
                <w:sz w:val="20"/>
                <w:szCs w:val="20"/>
              </w:rPr>
            </w:pPr>
            <w:r w:rsidRPr="0026652C">
              <w:rPr>
                <w:sz w:val="20"/>
                <w:szCs w:val="20"/>
              </w:rPr>
              <w:t>3</w:t>
            </w:r>
          </w:p>
        </w:tc>
        <w:tc>
          <w:tcPr>
            <w:tcW w:w="4526" w:type="dxa"/>
          </w:tcPr>
          <w:p w14:paraId="5A1ED524" w14:textId="77777777" w:rsidR="00AC630D" w:rsidRPr="0026652C" w:rsidRDefault="00AC630D" w:rsidP="0026652C">
            <w:pPr>
              <w:cnfStyle w:val="000000100000" w:firstRow="0" w:lastRow="0" w:firstColumn="0" w:lastColumn="0" w:oddVBand="0" w:evenVBand="0" w:oddHBand="1" w:evenHBand="0" w:firstRowFirstColumn="0" w:firstRowLastColumn="0" w:lastRowFirstColumn="0" w:lastRowLastColumn="0"/>
              <w:rPr>
                <w:sz w:val="20"/>
                <w:szCs w:val="20"/>
              </w:rPr>
            </w:pPr>
            <w:r w:rsidRPr="0026652C">
              <w:rPr>
                <w:sz w:val="20"/>
                <w:szCs w:val="20"/>
              </w:rPr>
              <w:t>G2-9, G3-1, G3-2, G3-7</w:t>
            </w:r>
          </w:p>
        </w:tc>
        <w:tc>
          <w:tcPr>
            <w:tcW w:w="1276" w:type="dxa"/>
          </w:tcPr>
          <w:p w14:paraId="6BE3BD10" w14:textId="77777777" w:rsidR="00AC630D" w:rsidRPr="0026652C" w:rsidRDefault="00AC630D" w:rsidP="0026652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6652C">
              <w:rPr>
                <w:sz w:val="20"/>
                <w:szCs w:val="20"/>
              </w:rPr>
              <w:t>1</w:t>
            </w:r>
          </w:p>
        </w:tc>
        <w:tc>
          <w:tcPr>
            <w:tcW w:w="1700" w:type="dxa"/>
          </w:tcPr>
          <w:p w14:paraId="1AD8F9BD" w14:textId="77777777" w:rsidR="00AC630D" w:rsidRPr="0026652C" w:rsidRDefault="00AC630D" w:rsidP="0026652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6652C">
              <w:rPr>
                <w:sz w:val="20"/>
                <w:szCs w:val="20"/>
              </w:rPr>
              <w:t>1</w:t>
            </w:r>
          </w:p>
        </w:tc>
      </w:tr>
      <w:tr w:rsidR="00AC630D" w:rsidRPr="00AC630D" w14:paraId="61ADD6AD" w14:textId="77777777" w:rsidTr="0026652C">
        <w:trPr>
          <w:jc w:val="center"/>
        </w:trPr>
        <w:tc>
          <w:tcPr>
            <w:cnfStyle w:val="001000000000" w:firstRow="0" w:lastRow="0" w:firstColumn="1" w:lastColumn="0" w:oddVBand="0" w:evenVBand="0" w:oddHBand="0" w:evenHBand="0" w:firstRowFirstColumn="0" w:firstRowLastColumn="0" w:lastRowFirstColumn="0" w:lastRowLastColumn="0"/>
            <w:tcW w:w="856" w:type="dxa"/>
            <w:vMerge/>
          </w:tcPr>
          <w:p w14:paraId="1C38B1F0" w14:textId="77777777" w:rsidR="00AC630D" w:rsidRPr="0026652C" w:rsidRDefault="00AC630D" w:rsidP="0026652C">
            <w:pPr>
              <w:jc w:val="center"/>
              <w:rPr>
                <w:sz w:val="20"/>
                <w:szCs w:val="20"/>
              </w:rPr>
            </w:pPr>
          </w:p>
        </w:tc>
        <w:tc>
          <w:tcPr>
            <w:tcW w:w="4526" w:type="dxa"/>
          </w:tcPr>
          <w:p w14:paraId="460F16FC" w14:textId="77777777" w:rsidR="00AC630D" w:rsidRPr="0026652C" w:rsidRDefault="00AC630D" w:rsidP="0026652C">
            <w:pPr>
              <w:cnfStyle w:val="000000000000" w:firstRow="0" w:lastRow="0" w:firstColumn="0" w:lastColumn="0" w:oddVBand="0" w:evenVBand="0" w:oddHBand="0" w:evenHBand="0" w:firstRowFirstColumn="0" w:firstRowLastColumn="0" w:lastRowFirstColumn="0" w:lastRowLastColumn="0"/>
              <w:rPr>
                <w:sz w:val="20"/>
                <w:szCs w:val="20"/>
              </w:rPr>
            </w:pPr>
            <w:r w:rsidRPr="0026652C">
              <w:rPr>
                <w:sz w:val="20"/>
                <w:szCs w:val="20"/>
              </w:rPr>
              <w:t xml:space="preserve">G3-3, G3-4, G3-5, G3-6, G3-8 </w:t>
            </w:r>
          </w:p>
        </w:tc>
        <w:tc>
          <w:tcPr>
            <w:tcW w:w="1276" w:type="dxa"/>
          </w:tcPr>
          <w:p w14:paraId="4BF1905F" w14:textId="77777777" w:rsidR="00AC630D" w:rsidRPr="0026652C" w:rsidRDefault="00AC630D" w:rsidP="0026652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6652C">
              <w:rPr>
                <w:sz w:val="20"/>
                <w:szCs w:val="20"/>
              </w:rPr>
              <w:t>2</w:t>
            </w:r>
          </w:p>
        </w:tc>
        <w:tc>
          <w:tcPr>
            <w:tcW w:w="1700" w:type="dxa"/>
          </w:tcPr>
          <w:p w14:paraId="0D3C69A7" w14:textId="77777777" w:rsidR="00AC630D" w:rsidRPr="0026652C" w:rsidRDefault="00AC630D" w:rsidP="0026652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6652C">
              <w:rPr>
                <w:sz w:val="20"/>
                <w:szCs w:val="20"/>
              </w:rPr>
              <w:t>2</w:t>
            </w:r>
          </w:p>
        </w:tc>
      </w:tr>
      <w:tr w:rsidR="00AC630D" w:rsidRPr="00AC630D" w14:paraId="16380DB4" w14:textId="77777777" w:rsidTr="00266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6" w:type="dxa"/>
            <w:vMerge w:val="restart"/>
          </w:tcPr>
          <w:p w14:paraId="65118EBA" w14:textId="77777777" w:rsidR="00AC630D" w:rsidRPr="0026652C" w:rsidRDefault="00AC630D" w:rsidP="0026652C">
            <w:pPr>
              <w:jc w:val="center"/>
              <w:rPr>
                <w:sz w:val="20"/>
                <w:szCs w:val="20"/>
              </w:rPr>
            </w:pPr>
            <w:r w:rsidRPr="0026652C">
              <w:rPr>
                <w:sz w:val="20"/>
                <w:szCs w:val="20"/>
              </w:rPr>
              <w:t>2</w:t>
            </w:r>
          </w:p>
        </w:tc>
        <w:tc>
          <w:tcPr>
            <w:tcW w:w="4526" w:type="dxa"/>
          </w:tcPr>
          <w:p w14:paraId="6D9D5447" w14:textId="77777777" w:rsidR="00AC630D" w:rsidRPr="0026652C" w:rsidRDefault="00AC630D" w:rsidP="0026652C">
            <w:pPr>
              <w:cnfStyle w:val="000000100000" w:firstRow="0" w:lastRow="0" w:firstColumn="0" w:lastColumn="0" w:oddVBand="0" w:evenVBand="0" w:oddHBand="1" w:evenHBand="0" w:firstRowFirstColumn="0" w:firstRowLastColumn="0" w:lastRowFirstColumn="0" w:lastRowLastColumn="0"/>
              <w:rPr>
                <w:sz w:val="20"/>
                <w:szCs w:val="20"/>
              </w:rPr>
            </w:pPr>
            <w:r w:rsidRPr="0026652C">
              <w:rPr>
                <w:sz w:val="20"/>
                <w:szCs w:val="20"/>
              </w:rPr>
              <w:t>G1-4, G2-3, G2-4, G2-5, G2-6, G2-7</w:t>
            </w:r>
          </w:p>
        </w:tc>
        <w:tc>
          <w:tcPr>
            <w:tcW w:w="1276" w:type="dxa"/>
          </w:tcPr>
          <w:p w14:paraId="47B71869" w14:textId="77777777" w:rsidR="00AC630D" w:rsidRPr="0026652C" w:rsidRDefault="00AC630D" w:rsidP="0026652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6652C">
              <w:rPr>
                <w:sz w:val="20"/>
                <w:szCs w:val="20"/>
              </w:rPr>
              <w:t>3</w:t>
            </w:r>
          </w:p>
        </w:tc>
        <w:tc>
          <w:tcPr>
            <w:tcW w:w="1700" w:type="dxa"/>
          </w:tcPr>
          <w:p w14:paraId="56304E48" w14:textId="77777777" w:rsidR="00AC630D" w:rsidRPr="0026652C" w:rsidRDefault="00AC630D" w:rsidP="0026652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6652C">
              <w:rPr>
                <w:sz w:val="20"/>
                <w:szCs w:val="20"/>
              </w:rPr>
              <w:t>3</w:t>
            </w:r>
          </w:p>
        </w:tc>
      </w:tr>
      <w:tr w:rsidR="00AC630D" w:rsidRPr="00AC630D" w14:paraId="5A360AC5" w14:textId="77777777" w:rsidTr="0026652C">
        <w:trPr>
          <w:jc w:val="center"/>
        </w:trPr>
        <w:tc>
          <w:tcPr>
            <w:cnfStyle w:val="001000000000" w:firstRow="0" w:lastRow="0" w:firstColumn="1" w:lastColumn="0" w:oddVBand="0" w:evenVBand="0" w:oddHBand="0" w:evenHBand="0" w:firstRowFirstColumn="0" w:firstRowLastColumn="0" w:lastRowFirstColumn="0" w:lastRowLastColumn="0"/>
            <w:tcW w:w="856" w:type="dxa"/>
            <w:vMerge/>
          </w:tcPr>
          <w:p w14:paraId="7F727B4B" w14:textId="77777777" w:rsidR="00AC630D" w:rsidRPr="0026652C" w:rsidRDefault="00AC630D" w:rsidP="0026652C">
            <w:pPr>
              <w:jc w:val="center"/>
              <w:rPr>
                <w:sz w:val="20"/>
                <w:szCs w:val="20"/>
              </w:rPr>
            </w:pPr>
          </w:p>
        </w:tc>
        <w:tc>
          <w:tcPr>
            <w:tcW w:w="4526" w:type="dxa"/>
          </w:tcPr>
          <w:p w14:paraId="6527BAE8" w14:textId="19382CB3" w:rsidR="00AC630D" w:rsidRPr="0026652C" w:rsidRDefault="00AC630D" w:rsidP="0026652C">
            <w:pPr>
              <w:cnfStyle w:val="000000000000" w:firstRow="0" w:lastRow="0" w:firstColumn="0" w:lastColumn="0" w:oddVBand="0" w:evenVBand="0" w:oddHBand="0" w:evenHBand="0" w:firstRowFirstColumn="0" w:firstRowLastColumn="0" w:lastRowFirstColumn="0" w:lastRowLastColumn="0"/>
              <w:rPr>
                <w:sz w:val="20"/>
                <w:szCs w:val="20"/>
              </w:rPr>
            </w:pPr>
            <w:r w:rsidRPr="0026652C">
              <w:rPr>
                <w:sz w:val="20"/>
                <w:szCs w:val="20"/>
              </w:rPr>
              <w:t xml:space="preserve">G1-9, G1-15, G1-23(Class 4 </w:t>
            </w:r>
            <w:r w:rsidRPr="0026652C">
              <w:rPr>
                <w:rFonts w:cstheme="minorHAnsi"/>
                <w:sz w:val="20"/>
                <w:szCs w:val="20"/>
              </w:rPr>
              <w:t>≥</w:t>
            </w:r>
            <w:r w:rsidRPr="0026652C">
              <w:rPr>
                <w:sz w:val="20"/>
                <w:szCs w:val="20"/>
              </w:rPr>
              <w:t>50W),G2-1, G2-2</w:t>
            </w:r>
            <w:r w:rsidR="0026652C">
              <w:rPr>
                <w:sz w:val="20"/>
                <w:szCs w:val="20"/>
              </w:rPr>
              <w:t xml:space="preserve">, </w:t>
            </w:r>
            <w:r w:rsidRPr="0026652C">
              <w:rPr>
                <w:sz w:val="20"/>
                <w:szCs w:val="20"/>
              </w:rPr>
              <w:t>G2-9(IED),G2-10, G2-11, G2-12, G2-13, G2-14</w:t>
            </w:r>
          </w:p>
        </w:tc>
        <w:tc>
          <w:tcPr>
            <w:tcW w:w="1276" w:type="dxa"/>
          </w:tcPr>
          <w:p w14:paraId="403A42ED" w14:textId="77777777" w:rsidR="00AC630D" w:rsidRPr="0026652C" w:rsidRDefault="00AC630D" w:rsidP="0026652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6652C">
              <w:rPr>
                <w:sz w:val="20"/>
                <w:szCs w:val="20"/>
              </w:rPr>
              <w:t>4</w:t>
            </w:r>
          </w:p>
        </w:tc>
        <w:tc>
          <w:tcPr>
            <w:tcW w:w="1700" w:type="dxa"/>
          </w:tcPr>
          <w:p w14:paraId="1626667A" w14:textId="77777777" w:rsidR="00AC630D" w:rsidRPr="0026652C" w:rsidRDefault="00AC630D" w:rsidP="0026652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6652C">
              <w:rPr>
                <w:sz w:val="20"/>
                <w:szCs w:val="20"/>
              </w:rPr>
              <w:t>4</w:t>
            </w:r>
          </w:p>
        </w:tc>
      </w:tr>
      <w:tr w:rsidR="00AC630D" w:rsidRPr="00AC630D" w14:paraId="32711C85" w14:textId="77777777" w:rsidTr="00266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6" w:type="dxa"/>
            <w:vMerge w:val="restart"/>
          </w:tcPr>
          <w:p w14:paraId="66480719" w14:textId="77777777" w:rsidR="00AC630D" w:rsidRPr="0026652C" w:rsidRDefault="00AC630D" w:rsidP="0026652C">
            <w:pPr>
              <w:jc w:val="center"/>
              <w:rPr>
                <w:sz w:val="20"/>
                <w:szCs w:val="20"/>
              </w:rPr>
            </w:pPr>
            <w:r w:rsidRPr="0026652C">
              <w:rPr>
                <w:sz w:val="20"/>
                <w:szCs w:val="20"/>
              </w:rPr>
              <w:t>1</w:t>
            </w:r>
          </w:p>
        </w:tc>
        <w:tc>
          <w:tcPr>
            <w:tcW w:w="4526" w:type="dxa"/>
          </w:tcPr>
          <w:p w14:paraId="74453A9F" w14:textId="77777777" w:rsidR="00AC630D" w:rsidRPr="0026652C" w:rsidRDefault="00AC630D" w:rsidP="0026652C">
            <w:pPr>
              <w:cnfStyle w:val="000000100000" w:firstRow="0" w:lastRow="0" w:firstColumn="0" w:lastColumn="0" w:oddVBand="0" w:evenVBand="0" w:oddHBand="1" w:evenHBand="0" w:firstRowFirstColumn="0" w:firstRowLastColumn="0" w:lastRowFirstColumn="0" w:lastRowLastColumn="0"/>
              <w:rPr>
                <w:sz w:val="20"/>
                <w:szCs w:val="20"/>
              </w:rPr>
            </w:pPr>
            <w:r w:rsidRPr="0026652C">
              <w:rPr>
                <w:sz w:val="20"/>
                <w:szCs w:val="20"/>
              </w:rPr>
              <w:t>G1-3, G1-6, G1-7, G1-8, G1-10, G1-12, G1-23(Class 4 &lt;50W &amp; Class 3B), G1-24(OFCS), G1-25, G2-8, G2-15</w:t>
            </w:r>
          </w:p>
        </w:tc>
        <w:tc>
          <w:tcPr>
            <w:tcW w:w="1276" w:type="dxa"/>
          </w:tcPr>
          <w:p w14:paraId="1EE6DF39" w14:textId="77777777" w:rsidR="00AC630D" w:rsidRPr="0026652C" w:rsidRDefault="00AC630D" w:rsidP="0026652C">
            <w:pPr>
              <w:jc w:val="center"/>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26652C">
              <w:rPr>
                <w:sz w:val="20"/>
                <w:szCs w:val="20"/>
              </w:rPr>
              <w:t>5</w:t>
            </w:r>
            <w:r w:rsidRPr="0026652C">
              <w:rPr>
                <w:sz w:val="20"/>
                <w:szCs w:val="20"/>
                <w:vertAlign w:val="superscript"/>
              </w:rPr>
              <w:t>b</w:t>
            </w:r>
          </w:p>
        </w:tc>
        <w:tc>
          <w:tcPr>
            <w:tcW w:w="1700" w:type="dxa"/>
          </w:tcPr>
          <w:p w14:paraId="1A0E521F" w14:textId="77777777" w:rsidR="00AC630D" w:rsidRPr="0026652C" w:rsidRDefault="00AC630D" w:rsidP="0026652C">
            <w:pPr>
              <w:jc w:val="center"/>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26652C">
              <w:rPr>
                <w:sz w:val="20"/>
                <w:szCs w:val="20"/>
              </w:rPr>
              <w:t>5</w:t>
            </w:r>
          </w:p>
        </w:tc>
      </w:tr>
      <w:tr w:rsidR="00AC630D" w:rsidRPr="00AC630D" w14:paraId="458FAFE2" w14:textId="77777777" w:rsidTr="0026652C">
        <w:trPr>
          <w:jc w:val="center"/>
        </w:trPr>
        <w:tc>
          <w:tcPr>
            <w:cnfStyle w:val="001000000000" w:firstRow="0" w:lastRow="0" w:firstColumn="1" w:lastColumn="0" w:oddVBand="0" w:evenVBand="0" w:oddHBand="0" w:evenHBand="0" w:firstRowFirstColumn="0" w:firstRowLastColumn="0" w:lastRowFirstColumn="0" w:lastRowLastColumn="0"/>
            <w:tcW w:w="856" w:type="dxa"/>
            <w:vMerge/>
          </w:tcPr>
          <w:p w14:paraId="385FE911" w14:textId="77777777" w:rsidR="00AC630D" w:rsidRPr="0026652C" w:rsidRDefault="00AC630D" w:rsidP="0026652C">
            <w:pPr>
              <w:rPr>
                <w:sz w:val="20"/>
                <w:szCs w:val="20"/>
              </w:rPr>
            </w:pPr>
          </w:p>
        </w:tc>
        <w:tc>
          <w:tcPr>
            <w:tcW w:w="4526" w:type="dxa"/>
          </w:tcPr>
          <w:p w14:paraId="218F9077" w14:textId="4D1D8B46" w:rsidR="00AC630D" w:rsidRPr="0026652C" w:rsidRDefault="00AC630D" w:rsidP="0026652C">
            <w:pPr>
              <w:cnfStyle w:val="000000000000" w:firstRow="0" w:lastRow="0" w:firstColumn="0" w:lastColumn="0" w:oddVBand="0" w:evenVBand="0" w:oddHBand="0" w:evenHBand="0" w:firstRowFirstColumn="0" w:firstRowLastColumn="0" w:lastRowFirstColumn="0" w:lastRowLastColumn="0"/>
              <w:rPr>
                <w:sz w:val="20"/>
                <w:szCs w:val="20"/>
              </w:rPr>
            </w:pPr>
            <w:r w:rsidRPr="0026652C">
              <w:rPr>
                <w:sz w:val="20"/>
                <w:szCs w:val="20"/>
              </w:rPr>
              <w:t>G1-1, G1-2, G1-5, G1-11, G1-13, G1-14, G1-16, G1-17, G-1-18, G1-19, G1-20, G1-21, G1-22(all UV), G1-26</w:t>
            </w:r>
          </w:p>
        </w:tc>
        <w:tc>
          <w:tcPr>
            <w:tcW w:w="1276" w:type="dxa"/>
          </w:tcPr>
          <w:p w14:paraId="1BA5E260" w14:textId="77777777" w:rsidR="00AC630D" w:rsidRPr="0026652C" w:rsidRDefault="00AC630D" w:rsidP="0026652C">
            <w:pPr>
              <w:jc w:val="center"/>
              <w:cnfStyle w:val="000000000000" w:firstRow="0" w:lastRow="0" w:firstColumn="0" w:lastColumn="0" w:oddVBand="0" w:evenVBand="0" w:oddHBand="0" w:evenHBand="0" w:firstRowFirstColumn="0" w:firstRowLastColumn="0" w:lastRowFirstColumn="0" w:lastRowLastColumn="0"/>
              <w:rPr>
                <w:sz w:val="20"/>
                <w:szCs w:val="20"/>
                <w:vertAlign w:val="superscript"/>
              </w:rPr>
            </w:pPr>
            <w:r w:rsidRPr="0026652C">
              <w:rPr>
                <w:sz w:val="20"/>
                <w:szCs w:val="20"/>
              </w:rPr>
              <w:t>6</w:t>
            </w:r>
            <w:r w:rsidRPr="0026652C">
              <w:rPr>
                <w:sz w:val="20"/>
                <w:szCs w:val="20"/>
                <w:vertAlign w:val="superscript"/>
              </w:rPr>
              <w:t>b</w:t>
            </w:r>
          </w:p>
        </w:tc>
        <w:tc>
          <w:tcPr>
            <w:tcW w:w="1700" w:type="dxa"/>
          </w:tcPr>
          <w:p w14:paraId="45EA38BE" w14:textId="77777777" w:rsidR="00AC630D" w:rsidRPr="0026652C" w:rsidRDefault="00AC630D" w:rsidP="0026652C">
            <w:pPr>
              <w:jc w:val="center"/>
              <w:cnfStyle w:val="000000000000" w:firstRow="0" w:lastRow="0" w:firstColumn="0" w:lastColumn="0" w:oddVBand="0" w:evenVBand="0" w:oddHBand="0" w:evenHBand="0" w:firstRowFirstColumn="0" w:firstRowLastColumn="0" w:lastRowFirstColumn="0" w:lastRowLastColumn="0"/>
              <w:rPr>
                <w:sz w:val="20"/>
                <w:szCs w:val="20"/>
                <w:vertAlign w:val="superscript"/>
              </w:rPr>
            </w:pPr>
            <w:r w:rsidRPr="0026652C">
              <w:rPr>
                <w:sz w:val="20"/>
                <w:szCs w:val="20"/>
              </w:rPr>
              <w:t>6</w:t>
            </w:r>
          </w:p>
        </w:tc>
      </w:tr>
    </w:tbl>
    <w:p w14:paraId="38B34923" w14:textId="77777777" w:rsidR="00AC630D" w:rsidRPr="0026652C" w:rsidRDefault="00AC630D" w:rsidP="0026652C">
      <w:pPr>
        <w:pStyle w:val="ListParagraph"/>
        <w:numPr>
          <w:ilvl w:val="0"/>
          <w:numId w:val="6"/>
        </w:numPr>
        <w:rPr>
          <w:sz w:val="16"/>
          <w:szCs w:val="16"/>
        </w:rPr>
      </w:pPr>
      <w:r w:rsidRPr="0026652C">
        <w:rPr>
          <w:sz w:val="16"/>
          <w:szCs w:val="16"/>
        </w:rPr>
        <w:t>B</w:t>
      </w:r>
      <w:r w:rsidR="00291059" w:rsidRPr="0026652C">
        <w:rPr>
          <w:sz w:val="16"/>
          <w:szCs w:val="16"/>
        </w:rPr>
        <w:t>ased on hazard grouping Schedule 3C, Part 1 ARPANS Regulations</w:t>
      </w:r>
    </w:p>
    <w:p w14:paraId="6A0B846E" w14:textId="2457004D" w:rsidR="00291059" w:rsidRPr="0026652C" w:rsidRDefault="004D6859" w:rsidP="0026652C">
      <w:pPr>
        <w:pStyle w:val="ListParagraph"/>
        <w:numPr>
          <w:ilvl w:val="0"/>
          <w:numId w:val="6"/>
        </w:numPr>
        <w:rPr>
          <w:sz w:val="16"/>
          <w:szCs w:val="16"/>
        </w:rPr>
      </w:pPr>
      <w:r w:rsidRPr="0026652C">
        <w:rPr>
          <w:sz w:val="16"/>
          <w:szCs w:val="16"/>
        </w:rPr>
        <w:t>A s</w:t>
      </w:r>
      <w:r w:rsidR="00291059" w:rsidRPr="0026652C">
        <w:rPr>
          <w:sz w:val="16"/>
          <w:szCs w:val="16"/>
        </w:rPr>
        <w:t xml:space="preserve">implified approach </w:t>
      </w:r>
      <w:r w:rsidR="00CF7C77" w:rsidRPr="0026652C">
        <w:rPr>
          <w:sz w:val="16"/>
          <w:szCs w:val="16"/>
        </w:rPr>
        <w:t>is su</w:t>
      </w:r>
      <w:r w:rsidRPr="0026652C">
        <w:rPr>
          <w:sz w:val="16"/>
          <w:szCs w:val="16"/>
        </w:rPr>
        <w:t>i</w:t>
      </w:r>
      <w:r w:rsidR="00CF7C77" w:rsidRPr="0026652C">
        <w:rPr>
          <w:sz w:val="16"/>
          <w:szCs w:val="16"/>
        </w:rPr>
        <w:t>table</w:t>
      </w:r>
      <w:r w:rsidR="000416EF" w:rsidRPr="0026652C">
        <w:rPr>
          <w:sz w:val="16"/>
          <w:szCs w:val="16"/>
        </w:rPr>
        <w:t xml:space="preserve"> </w:t>
      </w:r>
      <w:r w:rsidR="005C7EEB" w:rsidRPr="0026652C">
        <w:rPr>
          <w:sz w:val="16"/>
          <w:szCs w:val="16"/>
        </w:rPr>
        <w:t>(e</w:t>
      </w:r>
      <w:r w:rsidR="00997243" w:rsidRPr="0026652C">
        <w:rPr>
          <w:sz w:val="16"/>
          <w:szCs w:val="16"/>
        </w:rPr>
        <w:t>.</w:t>
      </w:r>
      <w:r w:rsidR="005C7EEB" w:rsidRPr="0026652C">
        <w:rPr>
          <w:sz w:val="16"/>
          <w:szCs w:val="16"/>
        </w:rPr>
        <w:t>g</w:t>
      </w:r>
      <w:r w:rsidR="00997243" w:rsidRPr="0026652C">
        <w:rPr>
          <w:sz w:val="16"/>
          <w:szCs w:val="16"/>
        </w:rPr>
        <w:t>.</w:t>
      </w:r>
      <w:r w:rsidR="005C7EEB" w:rsidRPr="0026652C">
        <w:rPr>
          <w:sz w:val="16"/>
          <w:szCs w:val="16"/>
        </w:rPr>
        <w:t xml:space="preserve"> </w:t>
      </w:r>
      <w:r w:rsidR="00236862" w:rsidRPr="0026652C">
        <w:rPr>
          <w:sz w:val="16"/>
          <w:szCs w:val="16"/>
        </w:rPr>
        <w:t>e-inspection</w:t>
      </w:r>
      <w:r w:rsidR="005C7EEB" w:rsidRPr="0026652C">
        <w:rPr>
          <w:sz w:val="16"/>
          <w:szCs w:val="16"/>
        </w:rPr>
        <w:t xml:space="preserve">, limited scope inspection, </w:t>
      </w:r>
      <w:r w:rsidR="00193D19" w:rsidRPr="0026652C">
        <w:rPr>
          <w:sz w:val="16"/>
          <w:szCs w:val="16"/>
        </w:rPr>
        <w:t>review of licence hold</w:t>
      </w:r>
      <w:r w:rsidR="00236862" w:rsidRPr="0026652C">
        <w:rPr>
          <w:sz w:val="16"/>
          <w:szCs w:val="16"/>
        </w:rPr>
        <w:t>er quarter</w:t>
      </w:r>
      <w:r w:rsidR="00961A41" w:rsidRPr="0026652C">
        <w:rPr>
          <w:sz w:val="16"/>
          <w:szCs w:val="16"/>
        </w:rPr>
        <w:t>ly</w:t>
      </w:r>
      <w:r w:rsidR="00236862" w:rsidRPr="0026652C">
        <w:rPr>
          <w:sz w:val="16"/>
          <w:szCs w:val="16"/>
        </w:rPr>
        <w:t xml:space="preserve"> or biannual reports</w:t>
      </w:r>
      <w:r w:rsidR="005C7EEB" w:rsidRPr="0026652C">
        <w:rPr>
          <w:sz w:val="16"/>
          <w:szCs w:val="16"/>
        </w:rPr>
        <w:t>)</w:t>
      </w:r>
    </w:p>
    <w:p w14:paraId="3740DFF0" w14:textId="77777777" w:rsidR="0026652C" w:rsidRDefault="0026652C">
      <w:pPr>
        <w:spacing w:before="0" w:after="200" w:line="276" w:lineRule="auto"/>
        <w:rPr>
          <w:b/>
          <w:bCs/>
          <w:color w:val="4E1A74"/>
          <w:sz w:val="20"/>
          <w:szCs w:val="18"/>
        </w:rPr>
      </w:pPr>
      <w:r>
        <w:br w:type="page"/>
      </w:r>
    </w:p>
    <w:p w14:paraId="25EE84AA" w14:textId="4D4DA85D" w:rsidR="00291059" w:rsidRPr="00310B73" w:rsidRDefault="00E15CC5" w:rsidP="0026652C">
      <w:pPr>
        <w:pStyle w:val="Caption"/>
        <w:spacing w:before="240" w:after="120"/>
        <w:jc w:val="center"/>
      </w:pPr>
      <w:r w:rsidRPr="00310B73">
        <w:lastRenderedPageBreak/>
        <w:t xml:space="preserve">Table </w:t>
      </w:r>
      <w:r w:rsidR="00A911BF" w:rsidRPr="00310B73">
        <w:t>5</w:t>
      </w:r>
      <w:r w:rsidR="00DF6D80" w:rsidRPr="00310B73">
        <w:t>:</w:t>
      </w:r>
      <w:r w:rsidRPr="00310B73">
        <w:t xml:space="preserve"> R</w:t>
      </w:r>
      <w:r w:rsidR="006039B8">
        <w:t>egulatory Priority &amp; Inspector N</w:t>
      </w:r>
      <w:r w:rsidRPr="00310B73">
        <w:t>umbers</w:t>
      </w:r>
    </w:p>
    <w:tbl>
      <w:tblPr>
        <w:tblStyle w:val="ARPANSA"/>
        <w:tblW w:w="0" w:type="auto"/>
        <w:jc w:val="center"/>
        <w:tblLook w:val="04A0" w:firstRow="1" w:lastRow="0" w:firstColumn="1" w:lastColumn="0" w:noHBand="0" w:noVBand="1"/>
      </w:tblPr>
      <w:tblGrid>
        <w:gridCol w:w="4719"/>
        <w:gridCol w:w="1842"/>
        <w:gridCol w:w="1843"/>
      </w:tblGrid>
      <w:tr w:rsidR="00310B73" w:rsidRPr="00310B73" w14:paraId="50252813" w14:textId="77777777" w:rsidTr="00310B73">
        <w:trPr>
          <w:cnfStyle w:val="100000000000" w:firstRow="1" w:lastRow="0" w:firstColumn="0" w:lastColumn="0" w:oddVBand="0" w:evenVBand="0" w:oddHBand="0" w:evenHBand="0" w:firstRowFirstColumn="0" w:firstRowLastColumn="0" w:lastRowFirstColumn="0" w:lastRowLastColumn="0"/>
          <w:trHeight w:val="395"/>
          <w:jc w:val="center"/>
        </w:trPr>
        <w:tc>
          <w:tcPr>
            <w:tcW w:w="4719" w:type="dxa"/>
            <w:hideMark/>
          </w:tcPr>
          <w:p w14:paraId="68F77312" w14:textId="77777777" w:rsidR="00576DA4" w:rsidRPr="00AC630D" w:rsidRDefault="00576DA4" w:rsidP="0026652C">
            <w:pPr>
              <w:pStyle w:val="TableStyle"/>
              <w:jc w:val="center"/>
            </w:pPr>
            <w:r w:rsidRPr="00AC630D">
              <w:t>Regulatory Priority Based on Inherent Hazard of Source/Apparatus</w:t>
            </w:r>
          </w:p>
        </w:tc>
        <w:tc>
          <w:tcPr>
            <w:tcW w:w="1842" w:type="dxa"/>
            <w:hideMark/>
          </w:tcPr>
          <w:p w14:paraId="78066F8C" w14:textId="0B6585E3" w:rsidR="00576DA4" w:rsidRPr="00AC630D" w:rsidRDefault="00576DA4" w:rsidP="0026652C">
            <w:pPr>
              <w:pStyle w:val="TableStyle"/>
              <w:jc w:val="center"/>
            </w:pPr>
            <w:r w:rsidRPr="00AC630D">
              <w:t>Number of Inspectors</w:t>
            </w:r>
          </w:p>
        </w:tc>
        <w:tc>
          <w:tcPr>
            <w:tcW w:w="1843" w:type="dxa"/>
            <w:hideMark/>
          </w:tcPr>
          <w:p w14:paraId="29F25149" w14:textId="77777777" w:rsidR="00576DA4" w:rsidRPr="00AC630D" w:rsidRDefault="00576DA4" w:rsidP="0026652C">
            <w:pPr>
              <w:pStyle w:val="TableStyle"/>
              <w:jc w:val="center"/>
            </w:pPr>
            <w:r w:rsidRPr="00AC630D">
              <w:t>Frequency of Inspection (years)</w:t>
            </w:r>
          </w:p>
        </w:tc>
      </w:tr>
      <w:tr w:rsidR="00576DA4" w:rsidRPr="00E60AAF" w14:paraId="7950E587" w14:textId="77777777" w:rsidTr="00310B73">
        <w:trPr>
          <w:trHeight w:val="284"/>
          <w:jc w:val="center"/>
        </w:trPr>
        <w:tc>
          <w:tcPr>
            <w:tcW w:w="4719" w:type="dxa"/>
            <w:hideMark/>
          </w:tcPr>
          <w:p w14:paraId="3C7F307A" w14:textId="77777777" w:rsidR="00576DA4" w:rsidRPr="00AC630D" w:rsidRDefault="00576DA4" w:rsidP="0026652C">
            <w:pPr>
              <w:pStyle w:val="TableStyle"/>
              <w:jc w:val="center"/>
            </w:pPr>
            <w:r w:rsidRPr="00AC630D">
              <w:t>1</w:t>
            </w:r>
          </w:p>
        </w:tc>
        <w:tc>
          <w:tcPr>
            <w:tcW w:w="1842" w:type="dxa"/>
            <w:hideMark/>
          </w:tcPr>
          <w:p w14:paraId="76738E69" w14:textId="77777777" w:rsidR="00576DA4" w:rsidRPr="00AC630D" w:rsidRDefault="00576DA4" w:rsidP="0026652C">
            <w:pPr>
              <w:pStyle w:val="TableStyle"/>
              <w:jc w:val="center"/>
            </w:pPr>
            <w:r w:rsidRPr="00AC630D">
              <w:t>2 or more</w:t>
            </w:r>
          </w:p>
        </w:tc>
        <w:tc>
          <w:tcPr>
            <w:tcW w:w="1843" w:type="dxa"/>
            <w:hideMark/>
          </w:tcPr>
          <w:p w14:paraId="4A2B4708" w14:textId="77777777" w:rsidR="00576DA4" w:rsidRPr="00AC630D" w:rsidRDefault="00576DA4" w:rsidP="0026652C">
            <w:pPr>
              <w:pStyle w:val="TableStyle"/>
              <w:jc w:val="center"/>
            </w:pPr>
            <w:r w:rsidRPr="00AC630D">
              <w:t>1</w:t>
            </w:r>
          </w:p>
        </w:tc>
      </w:tr>
      <w:tr w:rsidR="00576DA4" w:rsidRPr="00E60AAF" w14:paraId="11A9EA50" w14:textId="77777777" w:rsidTr="00310B73">
        <w:trPr>
          <w:trHeight w:val="284"/>
          <w:jc w:val="center"/>
        </w:trPr>
        <w:tc>
          <w:tcPr>
            <w:tcW w:w="4719" w:type="dxa"/>
            <w:hideMark/>
          </w:tcPr>
          <w:p w14:paraId="2F827444" w14:textId="77777777" w:rsidR="00576DA4" w:rsidRPr="00AC630D" w:rsidRDefault="00576DA4" w:rsidP="0026652C">
            <w:pPr>
              <w:pStyle w:val="TableStyle"/>
              <w:jc w:val="center"/>
            </w:pPr>
            <w:r w:rsidRPr="00AC630D">
              <w:t>2</w:t>
            </w:r>
          </w:p>
        </w:tc>
        <w:tc>
          <w:tcPr>
            <w:tcW w:w="1842" w:type="dxa"/>
            <w:hideMark/>
          </w:tcPr>
          <w:p w14:paraId="3AB310DF" w14:textId="77777777" w:rsidR="00576DA4" w:rsidRPr="00AC630D" w:rsidRDefault="00576DA4" w:rsidP="0026652C">
            <w:pPr>
              <w:pStyle w:val="TableStyle"/>
              <w:jc w:val="center"/>
            </w:pPr>
            <w:r w:rsidRPr="00AC630D">
              <w:t>1 or 2</w:t>
            </w:r>
          </w:p>
        </w:tc>
        <w:tc>
          <w:tcPr>
            <w:tcW w:w="1843" w:type="dxa"/>
            <w:hideMark/>
          </w:tcPr>
          <w:p w14:paraId="029B0F63" w14:textId="77777777" w:rsidR="00576DA4" w:rsidRPr="00AC630D" w:rsidRDefault="00576DA4" w:rsidP="0026652C">
            <w:pPr>
              <w:pStyle w:val="TableStyle"/>
              <w:jc w:val="center"/>
            </w:pPr>
            <w:r w:rsidRPr="00AC630D">
              <w:t>2</w:t>
            </w:r>
          </w:p>
        </w:tc>
      </w:tr>
      <w:tr w:rsidR="00576DA4" w:rsidRPr="00E60AAF" w14:paraId="49B24317" w14:textId="77777777" w:rsidTr="00310B73">
        <w:trPr>
          <w:trHeight w:val="284"/>
          <w:jc w:val="center"/>
        </w:trPr>
        <w:tc>
          <w:tcPr>
            <w:tcW w:w="4719" w:type="dxa"/>
            <w:hideMark/>
          </w:tcPr>
          <w:p w14:paraId="3E8EAC06" w14:textId="77777777" w:rsidR="00576DA4" w:rsidRPr="00AC630D" w:rsidRDefault="00576DA4" w:rsidP="0026652C">
            <w:pPr>
              <w:pStyle w:val="TableStyle"/>
              <w:jc w:val="center"/>
            </w:pPr>
            <w:r w:rsidRPr="00AC630D">
              <w:t>3</w:t>
            </w:r>
          </w:p>
        </w:tc>
        <w:tc>
          <w:tcPr>
            <w:tcW w:w="1842" w:type="dxa"/>
            <w:hideMark/>
          </w:tcPr>
          <w:p w14:paraId="026A2C10" w14:textId="77777777" w:rsidR="00576DA4" w:rsidRPr="00AC630D" w:rsidRDefault="00576DA4" w:rsidP="0026652C">
            <w:pPr>
              <w:pStyle w:val="TableStyle"/>
              <w:jc w:val="center"/>
            </w:pPr>
            <w:r w:rsidRPr="00AC630D">
              <w:t>1</w:t>
            </w:r>
          </w:p>
        </w:tc>
        <w:tc>
          <w:tcPr>
            <w:tcW w:w="1843" w:type="dxa"/>
            <w:hideMark/>
          </w:tcPr>
          <w:p w14:paraId="3E291909" w14:textId="77777777" w:rsidR="00576DA4" w:rsidRPr="00AC630D" w:rsidRDefault="00576DA4" w:rsidP="0026652C">
            <w:pPr>
              <w:pStyle w:val="TableStyle"/>
              <w:jc w:val="center"/>
            </w:pPr>
            <w:r w:rsidRPr="00AC630D">
              <w:t>3</w:t>
            </w:r>
          </w:p>
        </w:tc>
      </w:tr>
      <w:tr w:rsidR="00576DA4" w:rsidRPr="00E60AAF" w14:paraId="6FD04215" w14:textId="77777777" w:rsidTr="00310B73">
        <w:trPr>
          <w:trHeight w:val="284"/>
          <w:jc w:val="center"/>
        </w:trPr>
        <w:tc>
          <w:tcPr>
            <w:tcW w:w="4719" w:type="dxa"/>
            <w:hideMark/>
          </w:tcPr>
          <w:p w14:paraId="56C4AB83" w14:textId="77777777" w:rsidR="00576DA4" w:rsidRPr="00AC630D" w:rsidRDefault="00576DA4" w:rsidP="0026652C">
            <w:pPr>
              <w:pStyle w:val="TableStyle"/>
              <w:jc w:val="center"/>
            </w:pPr>
            <w:r w:rsidRPr="00AC630D">
              <w:t>4</w:t>
            </w:r>
          </w:p>
        </w:tc>
        <w:tc>
          <w:tcPr>
            <w:tcW w:w="1842" w:type="dxa"/>
            <w:hideMark/>
          </w:tcPr>
          <w:p w14:paraId="51F4987B" w14:textId="77777777" w:rsidR="00576DA4" w:rsidRPr="00AC630D" w:rsidRDefault="00576DA4" w:rsidP="0026652C">
            <w:pPr>
              <w:pStyle w:val="TableStyle"/>
              <w:jc w:val="center"/>
            </w:pPr>
            <w:r w:rsidRPr="00AC630D">
              <w:t>1</w:t>
            </w:r>
          </w:p>
        </w:tc>
        <w:tc>
          <w:tcPr>
            <w:tcW w:w="1843" w:type="dxa"/>
            <w:hideMark/>
          </w:tcPr>
          <w:p w14:paraId="2F8A82FF" w14:textId="77777777" w:rsidR="00576DA4" w:rsidRPr="00AC630D" w:rsidRDefault="00576DA4" w:rsidP="0026652C">
            <w:pPr>
              <w:pStyle w:val="TableStyle"/>
              <w:jc w:val="center"/>
            </w:pPr>
            <w:r w:rsidRPr="00AC630D">
              <w:t>4</w:t>
            </w:r>
          </w:p>
        </w:tc>
      </w:tr>
      <w:tr w:rsidR="00576DA4" w:rsidRPr="00E60AAF" w14:paraId="29C6CCC1" w14:textId="77777777" w:rsidTr="00310B73">
        <w:trPr>
          <w:trHeight w:val="284"/>
          <w:jc w:val="center"/>
        </w:trPr>
        <w:tc>
          <w:tcPr>
            <w:tcW w:w="4719" w:type="dxa"/>
            <w:hideMark/>
          </w:tcPr>
          <w:p w14:paraId="23840A7B" w14:textId="307A072B" w:rsidR="00576DA4" w:rsidRPr="00AC630D" w:rsidRDefault="00576DA4" w:rsidP="0026652C">
            <w:pPr>
              <w:pStyle w:val="TableStyle"/>
              <w:jc w:val="center"/>
              <w:rPr>
                <w:vertAlign w:val="superscript"/>
              </w:rPr>
            </w:pPr>
            <w:r w:rsidRPr="00AC630D">
              <w:t>5</w:t>
            </w:r>
          </w:p>
        </w:tc>
        <w:tc>
          <w:tcPr>
            <w:tcW w:w="1842" w:type="dxa"/>
            <w:hideMark/>
          </w:tcPr>
          <w:p w14:paraId="1B92C510" w14:textId="77777777" w:rsidR="00576DA4" w:rsidRPr="00AC630D" w:rsidRDefault="00576DA4" w:rsidP="0026652C">
            <w:pPr>
              <w:pStyle w:val="TableStyle"/>
              <w:jc w:val="center"/>
              <w:rPr>
                <w:vertAlign w:val="superscript"/>
              </w:rPr>
            </w:pPr>
            <w:r w:rsidRPr="00AC630D">
              <w:t>1</w:t>
            </w:r>
          </w:p>
        </w:tc>
        <w:tc>
          <w:tcPr>
            <w:tcW w:w="1843" w:type="dxa"/>
            <w:hideMark/>
          </w:tcPr>
          <w:p w14:paraId="689EA903" w14:textId="07F413F1" w:rsidR="00576DA4" w:rsidRPr="00AC630D" w:rsidRDefault="00576DA4" w:rsidP="0026652C">
            <w:pPr>
              <w:pStyle w:val="TableStyle"/>
              <w:jc w:val="center"/>
            </w:pPr>
            <w:r w:rsidRPr="00AC630D">
              <w:t>5</w:t>
            </w:r>
            <w:r w:rsidR="00073870" w:rsidRPr="00AC630D">
              <w:rPr>
                <w:vertAlign w:val="superscript"/>
              </w:rPr>
              <w:t>a</w:t>
            </w:r>
          </w:p>
        </w:tc>
      </w:tr>
      <w:tr w:rsidR="00576DA4" w:rsidRPr="00E60AAF" w14:paraId="76CF8240" w14:textId="77777777" w:rsidTr="00310B73">
        <w:trPr>
          <w:trHeight w:val="284"/>
          <w:jc w:val="center"/>
        </w:trPr>
        <w:tc>
          <w:tcPr>
            <w:tcW w:w="4719" w:type="dxa"/>
          </w:tcPr>
          <w:p w14:paraId="4AA9DAD5" w14:textId="29D4B832" w:rsidR="00576DA4" w:rsidRPr="00AC630D" w:rsidRDefault="00576DA4" w:rsidP="0026652C">
            <w:pPr>
              <w:pStyle w:val="TableStyle"/>
              <w:jc w:val="center"/>
              <w:rPr>
                <w:vertAlign w:val="superscript"/>
              </w:rPr>
            </w:pPr>
            <w:r w:rsidRPr="00AC630D">
              <w:t>6</w:t>
            </w:r>
          </w:p>
        </w:tc>
        <w:tc>
          <w:tcPr>
            <w:tcW w:w="1842" w:type="dxa"/>
          </w:tcPr>
          <w:p w14:paraId="713D0B99" w14:textId="77777777" w:rsidR="00576DA4" w:rsidRPr="00AC630D" w:rsidRDefault="00576DA4" w:rsidP="0026652C">
            <w:pPr>
              <w:pStyle w:val="TableStyle"/>
              <w:jc w:val="center"/>
              <w:rPr>
                <w:vertAlign w:val="superscript"/>
              </w:rPr>
            </w:pPr>
            <w:r w:rsidRPr="00AC630D">
              <w:t>1</w:t>
            </w:r>
          </w:p>
        </w:tc>
        <w:tc>
          <w:tcPr>
            <w:tcW w:w="1843" w:type="dxa"/>
          </w:tcPr>
          <w:p w14:paraId="4DF2CDD7" w14:textId="503ACC7B" w:rsidR="00576DA4" w:rsidRPr="00AC630D" w:rsidRDefault="00576DA4" w:rsidP="0026652C">
            <w:pPr>
              <w:pStyle w:val="TableStyle"/>
              <w:jc w:val="center"/>
              <w:rPr>
                <w:vertAlign w:val="superscript"/>
              </w:rPr>
            </w:pPr>
            <w:r w:rsidRPr="00AC630D">
              <w:t>6</w:t>
            </w:r>
            <w:r w:rsidR="00073870" w:rsidRPr="00AC630D">
              <w:rPr>
                <w:vertAlign w:val="superscript"/>
              </w:rPr>
              <w:t>a</w:t>
            </w:r>
          </w:p>
        </w:tc>
      </w:tr>
      <w:tr w:rsidR="00576DA4" w:rsidRPr="00E60AAF" w14:paraId="03975940" w14:textId="77777777" w:rsidTr="00310B73">
        <w:trPr>
          <w:trHeight w:val="284"/>
          <w:jc w:val="center"/>
        </w:trPr>
        <w:tc>
          <w:tcPr>
            <w:tcW w:w="4719" w:type="dxa"/>
          </w:tcPr>
          <w:p w14:paraId="11C4C697" w14:textId="77777777" w:rsidR="00576DA4" w:rsidRPr="00AC630D" w:rsidRDefault="00576DA4" w:rsidP="0026652C">
            <w:pPr>
              <w:pStyle w:val="TableStyle"/>
              <w:jc w:val="center"/>
            </w:pPr>
            <w:r w:rsidRPr="00AC630D">
              <w:t>Complex Sites</w:t>
            </w:r>
          </w:p>
        </w:tc>
        <w:tc>
          <w:tcPr>
            <w:tcW w:w="1842" w:type="dxa"/>
          </w:tcPr>
          <w:p w14:paraId="450353B7" w14:textId="77777777" w:rsidR="00576DA4" w:rsidRPr="00AC630D" w:rsidRDefault="00576DA4" w:rsidP="0026652C">
            <w:pPr>
              <w:pStyle w:val="TableStyle"/>
              <w:jc w:val="center"/>
            </w:pPr>
            <w:r w:rsidRPr="00AC630D">
              <w:t>2 or more</w:t>
            </w:r>
          </w:p>
        </w:tc>
        <w:tc>
          <w:tcPr>
            <w:tcW w:w="1843" w:type="dxa"/>
          </w:tcPr>
          <w:p w14:paraId="2BAF6A8C" w14:textId="77777777" w:rsidR="00576DA4" w:rsidRPr="00AC630D" w:rsidRDefault="00576DA4" w:rsidP="0026652C">
            <w:pPr>
              <w:pStyle w:val="TableStyle"/>
              <w:jc w:val="center"/>
            </w:pPr>
            <w:r w:rsidRPr="00AC630D">
              <w:t>3</w:t>
            </w:r>
          </w:p>
        </w:tc>
      </w:tr>
      <w:tr w:rsidR="00576DA4" w:rsidRPr="00E60AAF" w14:paraId="4C00B661" w14:textId="77777777" w:rsidTr="00310B73">
        <w:trPr>
          <w:trHeight w:val="284"/>
          <w:jc w:val="center"/>
        </w:trPr>
        <w:tc>
          <w:tcPr>
            <w:tcW w:w="4719" w:type="dxa"/>
            <w:hideMark/>
          </w:tcPr>
          <w:p w14:paraId="60479E4D" w14:textId="77777777" w:rsidR="00576DA4" w:rsidRPr="00AC630D" w:rsidRDefault="00576DA4" w:rsidP="0026652C">
            <w:pPr>
              <w:pStyle w:val="TableStyle"/>
              <w:jc w:val="center"/>
            </w:pPr>
            <w:r w:rsidRPr="00AC630D">
              <w:t>Augmented Inspections</w:t>
            </w:r>
          </w:p>
        </w:tc>
        <w:tc>
          <w:tcPr>
            <w:tcW w:w="1842" w:type="dxa"/>
            <w:hideMark/>
          </w:tcPr>
          <w:p w14:paraId="3690D6B3" w14:textId="77777777" w:rsidR="00576DA4" w:rsidRPr="00AC630D" w:rsidRDefault="00576DA4" w:rsidP="0026652C">
            <w:pPr>
              <w:pStyle w:val="TableStyle"/>
              <w:jc w:val="center"/>
            </w:pPr>
            <w:r w:rsidRPr="00AC630D">
              <w:t>As required</w:t>
            </w:r>
          </w:p>
        </w:tc>
        <w:tc>
          <w:tcPr>
            <w:tcW w:w="1843" w:type="dxa"/>
            <w:hideMark/>
          </w:tcPr>
          <w:p w14:paraId="6D896BFD" w14:textId="77777777" w:rsidR="00576DA4" w:rsidRPr="00AC630D" w:rsidRDefault="00576DA4" w:rsidP="0026652C">
            <w:pPr>
              <w:pStyle w:val="TableStyle"/>
              <w:jc w:val="center"/>
              <w:rPr>
                <w:vertAlign w:val="superscript"/>
              </w:rPr>
            </w:pPr>
            <w:r w:rsidRPr="00AC630D">
              <w:t>0</w:t>
            </w:r>
            <w:r w:rsidRPr="00AC630D">
              <w:rPr>
                <w:vertAlign w:val="superscript"/>
              </w:rPr>
              <w:t>b</w:t>
            </w:r>
          </w:p>
        </w:tc>
      </w:tr>
    </w:tbl>
    <w:p w14:paraId="03CF54DA" w14:textId="5C17F30E" w:rsidR="00576DA4" w:rsidRPr="0026652C" w:rsidRDefault="00576DA4" w:rsidP="0026652C">
      <w:pPr>
        <w:pStyle w:val="ListParagraph"/>
        <w:numPr>
          <w:ilvl w:val="0"/>
          <w:numId w:val="7"/>
        </w:numPr>
        <w:rPr>
          <w:sz w:val="16"/>
          <w:szCs w:val="16"/>
        </w:rPr>
      </w:pPr>
      <w:r w:rsidRPr="0026652C">
        <w:rPr>
          <w:sz w:val="16"/>
          <w:szCs w:val="16"/>
        </w:rPr>
        <w:t xml:space="preserve">A simplified inspection approach may be used (e.g. </w:t>
      </w:r>
      <w:r w:rsidR="00236862" w:rsidRPr="0026652C">
        <w:rPr>
          <w:sz w:val="16"/>
          <w:szCs w:val="16"/>
        </w:rPr>
        <w:t>e-inspection</w:t>
      </w:r>
      <w:r w:rsidRPr="0026652C">
        <w:rPr>
          <w:sz w:val="16"/>
          <w:szCs w:val="16"/>
        </w:rPr>
        <w:t>, limited scope inspection)</w:t>
      </w:r>
    </w:p>
    <w:p w14:paraId="43F6E85E" w14:textId="3B342F1B" w:rsidR="00576DA4" w:rsidRPr="0026652C" w:rsidRDefault="00073870" w:rsidP="0026652C">
      <w:pPr>
        <w:pStyle w:val="ListParagraph"/>
        <w:numPr>
          <w:ilvl w:val="0"/>
          <w:numId w:val="7"/>
        </w:numPr>
        <w:rPr>
          <w:sz w:val="16"/>
          <w:szCs w:val="16"/>
        </w:rPr>
      </w:pPr>
      <w:r w:rsidRPr="0026652C">
        <w:rPr>
          <w:sz w:val="16"/>
          <w:szCs w:val="16"/>
        </w:rPr>
        <w:t>May be t</w:t>
      </w:r>
      <w:r w:rsidR="00576DA4" w:rsidRPr="0026652C">
        <w:rPr>
          <w:sz w:val="16"/>
          <w:szCs w:val="16"/>
        </w:rPr>
        <w:t>riggered by</w:t>
      </w:r>
      <w:r w:rsidR="00961A41" w:rsidRPr="0026652C">
        <w:rPr>
          <w:sz w:val="16"/>
          <w:szCs w:val="16"/>
        </w:rPr>
        <w:t>,</w:t>
      </w:r>
      <w:r w:rsidR="00576DA4" w:rsidRPr="0026652C">
        <w:rPr>
          <w:sz w:val="16"/>
          <w:szCs w:val="16"/>
        </w:rPr>
        <w:t xml:space="preserve"> </w:t>
      </w:r>
      <w:r w:rsidR="00961A41" w:rsidRPr="0026652C">
        <w:rPr>
          <w:sz w:val="16"/>
          <w:szCs w:val="16"/>
        </w:rPr>
        <w:t>but not limited to,</w:t>
      </w:r>
      <w:r w:rsidR="00576DA4" w:rsidRPr="0026652C">
        <w:rPr>
          <w:sz w:val="16"/>
          <w:szCs w:val="16"/>
        </w:rPr>
        <w:t xml:space="preserve"> poor inspection results, notifications, incidents, accidents or significant compliance issues</w:t>
      </w:r>
    </w:p>
    <w:p w14:paraId="1829DF03" w14:textId="4B9A97F5" w:rsidR="00107068" w:rsidRPr="00310B73" w:rsidRDefault="00107068" w:rsidP="0026652C">
      <w:pPr>
        <w:pStyle w:val="Heading4"/>
      </w:pPr>
      <w:bookmarkStart w:id="35" w:name="_Toc5290064"/>
      <w:bookmarkStart w:id="36" w:name="_Toc492399349"/>
      <w:bookmarkStart w:id="37" w:name="_Toc492399343"/>
      <w:bookmarkStart w:id="38" w:name="_Toc483572274"/>
      <w:bookmarkStart w:id="39" w:name="_Toc483572275"/>
      <w:bookmarkStart w:id="40" w:name="_Toc492399350"/>
      <w:r w:rsidRPr="00310B73">
        <w:t>Complex Sites</w:t>
      </w:r>
      <w:bookmarkEnd w:id="35"/>
      <w:r w:rsidRPr="00310B73">
        <w:t xml:space="preserve"> </w:t>
      </w:r>
      <w:bookmarkEnd w:id="36"/>
    </w:p>
    <w:p w14:paraId="195D357B" w14:textId="4A215704" w:rsidR="00107068" w:rsidRDefault="00107068" w:rsidP="0026652C">
      <w:r>
        <w:t xml:space="preserve">With the approval of the </w:t>
      </w:r>
      <w:r w:rsidR="00106C4D">
        <w:t>Director</w:t>
      </w:r>
      <w:r w:rsidR="00434CC3">
        <w:t xml:space="preserve"> </w:t>
      </w:r>
      <w:r>
        <w:t xml:space="preserve">Source </w:t>
      </w:r>
      <w:r w:rsidR="009F4BFB">
        <w:t>Safety and Security</w:t>
      </w:r>
      <w:r w:rsidR="00EF262E">
        <w:t>,</w:t>
      </w:r>
      <w:r>
        <w:t xml:space="preserve"> a </w:t>
      </w:r>
      <w:r w:rsidRPr="00923379">
        <w:t xml:space="preserve">CSIRO site </w:t>
      </w:r>
      <w:r>
        <w:t xml:space="preserve">or geographical location with multiple </w:t>
      </w:r>
      <w:r w:rsidRPr="00923379">
        <w:t xml:space="preserve">CSIRO Business Units </w:t>
      </w:r>
      <w:r>
        <w:t xml:space="preserve">may be </w:t>
      </w:r>
      <w:r w:rsidRPr="00923379">
        <w:t>regarded as a ‘</w:t>
      </w:r>
      <w:r w:rsidR="00AC630D">
        <w:t>c</w:t>
      </w:r>
      <w:r w:rsidRPr="00923379">
        <w:t xml:space="preserve">omplex </w:t>
      </w:r>
      <w:r w:rsidR="00AC630D">
        <w:t>s</w:t>
      </w:r>
      <w:r w:rsidRPr="00923379">
        <w:t>ite’ and inspected by a team of two or more</w:t>
      </w:r>
      <w:r>
        <w:t xml:space="preserve"> inspectors</w:t>
      </w:r>
      <w:r w:rsidRPr="00923379">
        <w:t>. A similar approach may be taken to inspections of Defence and Australian Federal Police sites or regions.</w:t>
      </w:r>
    </w:p>
    <w:p w14:paraId="23B6143B" w14:textId="4B05A766" w:rsidR="00107068" w:rsidRDefault="00107068" w:rsidP="0026652C">
      <w:pPr>
        <w:pStyle w:val="Heading3"/>
      </w:pPr>
      <w:bookmarkStart w:id="41" w:name="_Toc5290065"/>
      <w:r>
        <w:t>Types of Inspection</w:t>
      </w:r>
      <w:bookmarkEnd w:id="41"/>
      <w:r>
        <w:t xml:space="preserve"> </w:t>
      </w:r>
      <w:bookmarkEnd w:id="37"/>
    </w:p>
    <w:p w14:paraId="1B32E803" w14:textId="56BD523F" w:rsidR="00107068" w:rsidRDefault="00137680" w:rsidP="0026652C">
      <w:pPr>
        <w:pStyle w:val="Heading4"/>
      </w:pPr>
      <w:bookmarkStart w:id="42" w:name="_Toc492399344"/>
      <w:r>
        <w:tab/>
      </w:r>
      <w:bookmarkStart w:id="43" w:name="_Toc5290066"/>
      <w:r w:rsidR="00107068">
        <w:t>Scheduled, augmented and unannounced inspections</w:t>
      </w:r>
      <w:bookmarkEnd w:id="42"/>
      <w:bookmarkEnd w:id="43"/>
    </w:p>
    <w:p w14:paraId="0AFB86FF" w14:textId="74E27A89" w:rsidR="00107068" w:rsidRDefault="00107068" w:rsidP="0026652C">
      <w:r>
        <w:t xml:space="preserve">Inspections are </w:t>
      </w:r>
      <w:r w:rsidR="00961A41">
        <w:t xml:space="preserve">usually </w:t>
      </w:r>
      <w:r>
        <w:t xml:space="preserve">scheduled according to the baseline frequency described in </w:t>
      </w:r>
      <w:r w:rsidR="00EF262E">
        <w:t xml:space="preserve">section </w:t>
      </w:r>
      <w:r w:rsidR="002F454F">
        <w:fldChar w:fldCharType="begin"/>
      </w:r>
      <w:r w:rsidR="002F454F">
        <w:instrText xml:space="preserve"> REF _Ref527721088 \r \h </w:instrText>
      </w:r>
      <w:r w:rsidR="002F454F">
        <w:fldChar w:fldCharType="separate"/>
      </w:r>
      <w:r w:rsidR="002F454F">
        <w:t>1.7</w:t>
      </w:r>
      <w:r w:rsidR="002F454F">
        <w:fldChar w:fldCharType="end"/>
      </w:r>
      <w:r w:rsidR="002F454F">
        <w:t xml:space="preserve">. </w:t>
      </w:r>
      <w:r>
        <w:t>Unscheduled i</w:t>
      </w:r>
      <w:r w:rsidRPr="00BA6C12">
        <w:t xml:space="preserve">nspections beyond the baseline </w:t>
      </w:r>
      <w:r>
        <w:t xml:space="preserve">may also </w:t>
      </w:r>
      <w:r w:rsidRPr="00BA6C12">
        <w:t>be conducted</w:t>
      </w:r>
      <w:r>
        <w:t>. T</w:t>
      </w:r>
      <w:r w:rsidRPr="00BA6C12">
        <w:t xml:space="preserve">hese </w:t>
      </w:r>
      <w:r>
        <w:t xml:space="preserve">‘augmented’ </w:t>
      </w:r>
      <w:r w:rsidRPr="00BA6C12">
        <w:t>inspections are likely to occur in response to specific circumstances such as an incident, accident</w:t>
      </w:r>
      <w:r>
        <w:t xml:space="preserve">, </w:t>
      </w:r>
      <w:r w:rsidRPr="00BA6C12">
        <w:t>non-compliance</w:t>
      </w:r>
      <w:r>
        <w:t xml:space="preserve"> or area for improvement</w:t>
      </w:r>
      <w:r w:rsidRPr="00BA6C12">
        <w:t>.</w:t>
      </w:r>
      <w:r w:rsidRPr="00B13990">
        <w:t xml:space="preserve"> </w:t>
      </w:r>
      <w:r w:rsidRPr="007A1E20">
        <w:t>In such cases, targeted inspections of a defined scope will be planned, scheduled, and communicated to the licence holder.</w:t>
      </w:r>
    </w:p>
    <w:p w14:paraId="6E76982F" w14:textId="7980B0A6" w:rsidR="00107068" w:rsidRDefault="00107068" w:rsidP="0026652C">
      <w:r w:rsidRPr="00BA6C12">
        <w:t xml:space="preserve">In </w:t>
      </w:r>
      <w:r w:rsidR="00F00FF2">
        <w:t>certain</w:t>
      </w:r>
      <w:r w:rsidR="00F00FF2" w:rsidRPr="00BA6C12">
        <w:t xml:space="preserve"> </w:t>
      </w:r>
      <w:r>
        <w:t>circumstances</w:t>
      </w:r>
      <w:r w:rsidRPr="00BA6C12">
        <w:t xml:space="preserve">, it may be necessary to conduct an unannounced inspection. </w:t>
      </w:r>
      <w:r>
        <w:t xml:space="preserve">Such </w:t>
      </w:r>
      <w:r w:rsidRPr="00BA6C12">
        <w:t>inspections are in response to a specific situation or event</w:t>
      </w:r>
      <w:r w:rsidR="003962B5">
        <w:t xml:space="preserve">. </w:t>
      </w:r>
      <w:r>
        <w:t>T</w:t>
      </w:r>
      <w:r w:rsidRPr="00BA6C12">
        <w:t xml:space="preserve">he licence holder </w:t>
      </w:r>
      <w:r>
        <w:t xml:space="preserve">will be notified of the inspection prior to </w:t>
      </w:r>
      <w:r w:rsidRPr="00BA6C12">
        <w:t>entry.</w:t>
      </w:r>
      <w:r>
        <w:t xml:space="preserve"> </w:t>
      </w:r>
    </w:p>
    <w:p w14:paraId="56B94214" w14:textId="53A820E6" w:rsidR="00107068" w:rsidRDefault="00137680" w:rsidP="0026652C">
      <w:pPr>
        <w:pStyle w:val="Heading4"/>
      </w:pPr>
      <w:bookmarkStart w:id="44" w:name="_Toc492399345"/>
      <w:r>
        <w:tab/>
      </w:r>
      <w:bookmarkStart w:id="45" w:name="_Toc5290067"/>
      <w:proofErr w:type="gramStart"/>
      <w:r w:rsidR="00236862">
        <w:t>e-inspection</w:t>
      </w:r>
      <w:r w:rsidR="00107068">
        <w:t>s</w:t>
      </w:r>
      <w:bookmarkEnd w:id="44"/>
      <w:bookmarkEnd w:id="45"/>
      <w:proofErr w:type="gramEnd"/>
    </w:p>
    <w:p w14:paraId="1C28CE9D" w14:textId="0FF02BC3" w:rsidR="00107068" w:rsidRDefault="00107068" w:rsidP="0026652C">
      <w:r>
        <w:t xml:space="preserve">Licence holders with low hazard sources or with sources located in remote locations may be asked to </w:t>
      </w:r>
      <w:r w:rsidRPr="00AA572D">
        <w:t>provide evidence of effective control in the form of documentation and photographs</w:t>
      </w:r>
      <w:r w:rsidRPr="0014761C">
        <w:t xml:space="preserve"> </w:t>
      </w:r>
      <w:r>
        <w:t>for desktop review as an alternative to an inspector visiting the site</w:t>
      </w:r>
      <w:r w:rsidRPr="00AA572D">
        <w:t>. This inspection method is especially useful for sources located in remote areas or overseas</w:t>
      </w:r>
      <w:r>
        <w:t>,</w:t>
      </w:r>
      <w:r w:rsidRPr="00AA572D">
        <w:t xml:space="preserve"> </w:t>
      </w:r>
      <w:r>
        <w:t>for example</w:t>
      </w:r>
      <w:r w:rsidRPr="00AA572D">
        <w:t xml:space="preserve"> an X-ray baggage scanner located at an overseas embassy</w:t>
      </w:r>
      <w:r w:rsidR="003962B5">
        <w:t xml:space="preserve">. </w:t>
      </w:r>
    </w:p>
    <w:p w14:paraId="648B0C3D" w14:textId="00FC5DC9" w:rsidR="00107068" w:rsidRDefault="00107068" w:rsidP="0026652C">
      <w:r>
        <w:t xml:space="preserve">Inspectors </w:t>
      </w:r>
      <w:r w:rsidR="00961A41">
        <w:t>may</w:t>
      </w:r>
      <w:r w:rsidR="00961A41" w:rsidRPr="006774D6">
        <w:t xml:space="preserve"> </w:t>
      </w:r>
      <w:r w:rsidRPr="006774D6">
        <w:t xml:space="preserve">also consider relevant aspects of </w:t>
      </w:r>
      <w:r>
        <w:t xml:space="preserve">the </w:t>
      </w:r>
      <w:hyperlink r:id="rId14" w:history="1">
        <w:r w:rsidRPr="0009456B">
          <w:rPr>
            <w:rStyle w:val="Hyperlink"/>
            <w:rFonts w:eastAsia="Times New Roman"/>
          </w:rPr>
          <w:t>Performance Objectives and Criteria (PO&amp;C)</w:t>
        </w:r>
      </w:hyperlink>
      <w:r>
        <w:rPr>
          <w:rFonts w:eastAsia="Times New Roman"/>
        </w:rPr>
        <w:t xml:space="preserve"> </w:t>
      </w:r>
      <w:r>
        <w:t xml:space="preserve">including cross cutting aspects </w:t>
      </w:r>
      <w:r w:rsidRPr="006774D6">
        <w:t xml:space="preserve">when undertaking an </w:t>
      </w:r>
      <w:r w:rsidR="00236862">
        <w:t>e-inspection</w:t>
      </w:r>
      <w:r w:rsidRPr="006774D6">
        <w:t xml:space="preserve">. </w:t>
      </w:r>
    </w:p>
    <w:p w14:paraId="7429242F" w14:textId="734907BA" w:rsidR="0064184D" w:rsidRDefault="0064184D" w:rsidP="0026652C">
      <w:pPr>
        <w:pStyle w:val="Heading3"/>
      </w:pPr>
      <w:bookmarkStart w:id="46" w:name="_Toc5290068"/>
      <w:bookmarkEnd w:id="38"/>
      <w:r w:rsidRPr="0064184D">
        <w:t>Functional</w:t>
      </w:r>
      <w:r>
        <w:t xml:space="preserve"> inspection areas</w:t>
      </w:r>
      <w:bookmarkEnd w:id="39"/>
      <w:bookmarkEnd w:id="40"/>
      <w:bookmarkEnd w:id="46"/>
    </w:p>
    <w:p w14:paraId="136E78B5" w14:textId="6A801D3C" w:rsidR="007D5DA0" w:rsidRDefault="0064184D" w:rsidP="0026652C">
      <w:r w:rsidRPr="001F10A6">
        <w:t xml:space="preserve">Each inspection will focus on one or more of the </w:t>
      </w:r>
      <w:r>
        <w:t xml:space="preserve">eight </w:t>
      </w:r>
      <w:r w:rsidRPr="001F10A6">
        <w:t>functional areas</w:t>
      </w:r>
      <w:r w:rsidR="007D5DA0">
        <w:t xml:space="preserve"> in Table </w:t>
      </w:r>
      <w:r w:rsidR="00A911BF">
        <w:t>6</w:t>
      </w:r>
      <w:r w:rsidR="007D5DA0">
        <w:t>.</w:t>
      </w:r>
    </w:p>
    <w:p w14:paraId="695E099F" w14:textId="1A726E19" w:rsidR="0064184D" w:rsidRPr="00CC483B" w:rsidRDefault="007D5DA0" w:rsidP="0026652C">
      <w:pPr>
        <w:pStyle w:val="Caption"/>
      </w:pPr>
      <w:r w:rsidRPr="00D26D28">
        <w:lastRenderedPageBreak/>
        <w:t xml:space="preserve">TABLE </w:t>
      </w:r>
      <w:r w:rsidR="00A911BF">
        <w:t>6</w:t>
      </w:r>
      <w:r w:rsidRPr="00CC483B">
        <w:t xml:space="preserve">: </w:t>
      </w:r>
      <w:r w:rsidR="006039B8" w:rsidRPr="00CC483B">
        <w:t>Functional Inspection Areas</w:t>
      </w:r>
    </w:p>
    <w:tbl>
      <w:tblPr>
        <w:tblStyle w:val="ARPANSA"/>
        <w:tblW w:w="0" w:type="auto"/>
        <w:tblLook w:val="0680" w:firstRow="0" w:lastRow="0" w:firstColumn="1" w:lastColumn="0" w:noHBand="1" w:noVBand="1"/>
      </w:tblPr>
      <w:tblGrid>
        <w:gridCol w:w="567"/>
        <w:gridCol w:w="3959"/>
        <w:gridCol w:w="3959"/>
      </w:tblGrid>
      <w:tr w:rsidR="006E18E5" w:rsidRPr="008217C5" w14:paraId="2C5E992C" w14:textId="5806F84C" w:rsidTr="008F3505">
        <w:trPr>
          <w:trHeight w:val="397"/>
        </w:trPr>
        <w:tc>
          <w:tcPr>
            <w:tcW w:w="567" w:type="dxa"/>
            <w:shd w:val="clear" w:color="auto" w:fill="4E1A74" w:themeFill="accent2"/>
          </w:tcPr>
          <w:p w14:paraId="57A3FDFD" w14:textId="77777777" w:rsidR="006E18E5" w:rsidRPr="00AC630D" w:rsidRDefault="006E18E5" w:rsidP="0026652C">
            <w:pPr>
              <w:pStyle w:val="TableStyle"/>
            </w:pPr>
            <w:r w:rsidRPr="00AC630D">
              <w:t>1</w:t>
            </w:r>
          </w:p>
        </w:tc>
        <w:tc>
          <w:tcPr>
            <w:tcW w:w="3959" w:type="dxa"/>
          </w:tcPr>
          <w:p w14:paraId="4953BBF6" w14:textId="08FCE884" w:rsidR="006E18E5" w:rsidRPr="00AC630D" w:rsidRDefault="006E18E5" w:rsidP="0026652C">
            <w:pPr>
              <w:pStyle w:val="TableStyle"/>
            </w:pPr>
            <w:r w:rsidRPr="00AC630D">
              <w:t>Perfor</w:t>
            </w:r>
            <w:r w:rsidR="00434CC3" w:rsidRPr="00AC630D">
              <w:t>m</w:t>
            </w:r>
            <w:r w:rsidRPr="00AC630D">
              <w:t>ance Reporting Verification</w:t>
            </w:r>
          </w:p>
        </w:tc>
        <w:tc>
          <w:tcPr>
            <w:tcW w:w="3959" w:type="dxa"/>
            <w:vMerge w:val="restart"/>
            <w:vAlign w:val="center"/>
          </w:tcPr>
          <w:p w14:paraId="0D2C3382" w14:textId="77777777" w:rsidR="006E18E5" w:rsidRPr="00D26D28" w:rsidRDefault="006E18E5" w:rsidP="0026652C">
            <w:pPr>
              <w:pStyle w:val="TableStyle"/>
            </w:pPr>
            <w:r w:rsidRPr="00A911BF">
              <w:t>A.</w:t>
            </w:r>
            <w:r w:rsidRPr="00A911BF">
              <w:tab/>
              <w:t>Human Performance</w:t>
            </w:r>
          </w:p>
          <w:p w14:paraId="73C0B074" w14:textId="77777777" w:rsidR="006E18E5" w:rsidRPr="00D26D28" w:rsidRDefault="006E18E5" w:rsidP="0026652C">
            <w:pPr>
              <w:pStyle w:val="TableStyle"/>
            </w:pPr>
            <w:r w:rsidRPr="00A911BF">
              <w:t>B.</w:t>
            </w:r>
            <w:r w:rsidRPr="00A911BF">
              <w:tab/>
              <w:t>Safety Culture</w:t>
            </w:r>
          </w:p>
          <w:p w14:paraId="1E7061D0" w14:textId="423E551E" w:rsidR="006E18E5" w:rsidRPr="003C5D77" w:rsidRDefault="006E18E5" w:rsidP="0026652C">
            <w:pPr>
              <w:pStyle w:val="TableStyle"/>
            </w:pPr>
            <w:r w:rsidRPr="00A911BF">
              <w:t>C.</w:t>
            </w:r>
            <w:r w:rsidRPr="00A911BF">
              <w:tab/>
              <w:t>Performance improvement</w:t>
            </w:r>
          </w:p>
        </w:tc>
      </w:tr>
      <w:tr w:rsidR="006E18E5" w:rsidRPr="008217C5" w14:paraId="61B05F5A" w14:textId="5865391C" w:rsidTr="008F3505">
        <w:trPr>
          <w:trHeight w:val="397"/>
        </w:trPr>
        <w:tc>
          <w:tcPr>
            <w:tcW w:w="567" w:type="dxa"/>
            <w:shd w:val="clear" w:color="auto" w:fill="4E1A74" w:themeFill="accent2"/>
          </w:tcPr>
          <w:p w14:paraId="4426E76E" w14:textId="77777777" w:rsidR="006E18E5" w:rsidRPr="00AC630D" w:rsidRDefault="006E18E5" w:rsidP="0026652C">
            <w:pPr>
              <w:pStyle w:val="TableStyle"/>
            </w:pPr>
            <w:r w:rsidRPr="00AC630D">
              <w:t>2</w:t>
            </w:r>
          </w:p>
        </w:tc>
        <w:tc>
          <w:tcPr>
            <w:tcW w:w="3959" w:type="dxa"/>
          </w:tcPr>
          <w:p w14:paraId="23893484" w14:textId="77777777" w:rsidR="006E18E5" w:rsidRPr="00AC630D" w:rsidRDefault="006E18E5" w:rsidP="0026652C">
            <w:pPr>
              <w:pStyle w:val="TableStyle"/>
            </w:pPr>
            <w:r w:rsidRPr="00AC630D">
              <w:t>Configuration Control</w:t>
            </w:r>
          </w:p>
        </w:tc>
        <w:tc>
          <w:tcPr>
            <w:tcW w:w="3959" w:type="dxa"/>
            <w:vMerge/>
          </w:tcPr>
          <w:p w14:paraId="3E4CCB20" w14:textId="77777777" w:rsidR="006E18E5" w:rsidRPr="003C5D77" w:rsidRDefault="006E18E5" w:rsidP="0026652C">
            <w:pPr>
              <w:pStyle w:val="TableStyle"/>
            </w:pPr>
          </w:p>
        </w:tc>
      </w:tr>
      <w:tr w:rsidR="006E18E5" w:rsidRPr="008217C5" w14:paraId="558AB88B" w14:textId="2319704E" w:rsidTr="008F3505">
        <w:trPr>
          <w:trHeight w:val="397"/>
        </w:trPr>
        <w:tc>
          <w:tcPr>
            <w:tcW w:w="567" w:type="dxa"/>
            <w:shd w:val="clear" w:color="auto" w:fill="4E1A74" w:themeFill="accent2"/>
          </w:tcPr>
          <w:p w14:paraId="4646F0C3" w14:textId="77777777" w:rsidR="006E18E5" w:rsidRPr="00AC630D" w:rsidRDefault="006E18E5" w:rsidP="0026652C">
            <w:pPr>
              <w:pStyle w:val="TableStyle"/>
            </w:pPr>
            <w:r w:rsidRPr="00AC630D">
              <w:t>3</w:t>
            </w:r>
          </w:p>
        </w:tc>
        <w:tc>
          <w:tcPr>
            <w:tcW w:w="3959" w:type="dxa"/>
          </w:tcPr>
          <w:p w14:paraId="2A8F465A" w14:textId="77777777" w:rsidR="006E18E5" w:rsidRPr="00AC630D" w:rsidRDefault="006E18E5" w:rsidP="0026652C">
            <w:pPr>
              <w:pStyle w:val="TableStyle"/>
            </w:pPr>
            <w:r w:rsidRPr="00AC630D">
              <w:t>Inspection, Testing and Maintenance</w:t>
            </w:r>
          </w:p>
        </w:tc>
        <w:tc>
          <w:tcPr>
            <w:tcW w:w="3959" w:type="dxa"/>
            <w:vMerge/>
          </w:tcPr>
          <w:p w14:paraId="21F62679" w14:textId="77777777" w:rsidR="006E18E5" w:rsidRPr="003C5D77" w:rsidRDefault="006E18E5" w:rsidP="0026652C">
            <w:pPr>
              <w:pStyle w:val="TableStyle"/>
            </w:pPr>
          </w:p>
        </w:tc>
      </w:tr>
      <w:tr w:rsidR="006E18E5" w:rsidRPr="008217C5" w14:paraId="44A6F9D5" w14:textId="7B2EA407" w:rsidTr="008F3505">
        <w:trPr>
          <w:trHeight w:val="397"/>
        </w:trPr>
        <w:tc>
          <w:tcPr>
            <w:tcW w:w="567" w:type="dxa"/>
            <w:shd w:val="clear" w:color="auto" w:fill="4E1A74" w:themeFill="accent2"/>
          </w:tcPr>
          <w:p w14:paraId="45D6A222" w14:textId="77777777" w:rsidR="006E18E5" w:rsidRPr="00AC630D" w:rsidRDefault="006E18E5" w:rsidP="0026652C">
            <w:pPr>
              <w:pStyle w:val="TableStyle"/>
            </w:pPr>
            <w:r w:rsidRPr="00AC630D">
              <w:t>4</w:t>
            </w:r>
          </w:p>
        </w:tc>
        <w:tc>
          <w:tcPr>
            <w:tcW w:w="3959" w:type="dxa"/>
          </w:tcPr>
          <w:p w14:paraId="5616D2EF" w14:textId="77777777" w:rsidR="006E18E5" w:rsidRPr="00AC630D" w:rsidRDefault="006E18E5" w:rsidP="0026652C">
            <w:pPr>
              <w:pStyle w:val="TableStyle"/>
            </w:pPr>
            <w:r w:rsidRPr="00AC630D">
              <w:t>Training</w:t>
            </w:r>
          </w:p>
        </w:tc>
        <w:tc>
          <w:tcPr>
            <w:tcW w:w="3959" w:type="dxa"/>
            <w:vMerge/>
          </w:tcPr>
          <w:p w14:paraId="4757A9F6" w14:textId="77777777" w:rsidR="006E18E5" w:rsidRPr="003C5D77" w:rsidRDefault="006E18E5" w:rsidP="0026652C">
            <w:pPr>
              <w:pStyle w:val="TableStyle"/>
            </w:pPr>
          </w:p>
        </w:tc>
      </w:tr>
      <w:tr w:rsidR="006E18E5" w:rsidRPr="008217C5" w14:paraId="204470EA" w14:textId="0920214E" w:rsidTr="008F3505">
        <w:trPr>
          <w:trHeight w:val="397"/>
        </w:trPr>
        <w:tc>
          <w:tcPr>
            <w:tcW w:w="567" w:type="dxa"/>
            <w:shd w:val="clear" w:color="auto" w:fill="4E1A74" w:themeFill="accent2"/>
          </w:tcPr>
          <w:p w14:paraId="54CB4681" w14:textId="77777777" w:rsidR="006E18E5" w:rsidRPr="00AC630D" w:rsidRDefault="006E18E5" w:rsidP="0026652C">
            <w:pPr>
              <w:pStyle w:val="TableStyle"/>
            </w:pPr>
            <w:r w:rsidRPr="00AC630D">
              <w:t>5</w:t>
            </w:r>
          </w:p>
        </w:tc>
        <w:tc>
          <w:tcPr>
            <w:tcW w:w="3959" w:type="dxa"/>
          </w:tcPr>
          <w:p w14:paraId="155CB2CF" w14:textId="77777777" w:rsidR="006E18E5" w:rsidRPr="00AC630D" w:rsidRDefault="006E18E5" w:rsidP="0026652C">
            <w:pPr>
              <w:pStyle w:val="TableStyle"/>
            </w:pPr>
            <w:r w:rsidRPr="00AC630D">
              <w:t>Event Protection</w:t>
            </w:r>
          </w:p>
        </w:tc>
        <w:tc>
          <w:tcPr>
            <w:tcW w:w="3959" w:type="dxa"/>
            <w:vMerge/>
          </w:tcPr>
          <w:p w14:paraId="30AA6622" w14:textId="77777777" w:rsidR="006E18E5" w:rsidRPr="003C5D77" w:rsidRDefault="006E18E5" w:rsidP="0026652C">
            <w:pPr>
              <w:pStyle w:val="TableStyle"/>
            </w:pPr>
          </w:p>
        </w:tc>
      </w:tr>
      <w:tr w:rsidR="006E18E5" w:rsidRPr="008217C5" w14:paraId="47D4D794" w14:textId="141CF40E" w:rsidTr="008F3505">
        <w:trPr>
          <w:trHeight w:val="397"/>
        </w:trPr>
        <w:tc>
          <w:tcPr>
            <w:tcW w:w="567" w:type="dxa"/>
            <w:shd w:val="clear" w:color="auto" w:fill="4E1A74" w:themeFill="accent2"/>
          </w:tcPr>
          <w:p w14:paraId="7CAC7FF2" w14:textId="77777777" w:rsidR="006E18E5" w:rsidRPr="00AC630D" w:rsidRDefault="006E18E5" w:rsidP="0026652C">
            <w:pPr>
              <w:pStyle w:val="TableStyle"/>
            </w:pPr>
            <w:r w:rsidRPr="00AC630D">
              <w:t>6</w:t>
            </w:r>
          </w:p>
        </w:tc>
        <w:tc>
          <w:tcPr>
            <w:tcW w:w="3959" w:type="dxa"/>
          </w:tcPr>
          <w:p w14:paraId="00B556F0" w14:textId="77777777" w:rsidR="006E18E5" w:rsidRPr="00AC630D" w:rsidRDefault="006E18E5" w:rsidP="0026652C">
            <w:pPr>
              <w:pStyle w:val="TableStyle"/>
            </w:pPr>
            <w:r w:rsidRPr="00AC630D">
              <w:t>Security</w:t>
            </w:r>
          </w:p>
        </w:tc>
        <w:tc>
          <w:tcPr>
            <w:tcW w:w="3959" w:type="dxa"/>
            <w:vMerge/>
          </w:tcPr>
          <w:p w14:paraId="35CB7E6D" w14:textId="77777777" w:rsidR="006E18E5" w:rsidRPr="003C5D77" w:rsidRDefault="006E18E5" w:rsidP="0026652C">
            <w:pPr>
              <w:pStyle w:val="TableStyle"/>
            </w:pPr>
          </w:p>
        </w:tc>
      </w:tr>
      <w:tr w:rsidR="006E18E5" w:rsidRPr="008217C5" w14:paraId="60F8F4E7" w14:textId="5ABDDE0F" w:rsidTr="008F3505">
        <w:trPr>
          <w:trHeight w:val="397"/>
        </w:trPr>
        <w:tc>
          <w:tcPr>
            <w:tcW w:w="567" w:type="dxa"/>
            <w:shd w:val="clear" w:color="auto" w:fill="4E1A74" w:themeFill="accent2"/>
          </w:tcPr>
          <w:p w14:paraId="4B5F30EB" w14:textId="77777777" w:rsidR="006E18E5" w:rsidRPr="00AC630D" w:rsidRDefault="006E18E5" w:rsidP="0026652C">
            <w:pPr>
              <w:pStyle w:val="TableStyle"/>
            </w:pPr>
            <w:r w:rsidRPr="00AC630D">
              <w:t>7</w:t>
            </w:r>
          </w:p>
        </w:tc>
        <w:tc>
          <w:tcPr>
            <w:tcW w:w="3959" w:type="dxa"/>
          </w:tcPr>
          <w:p w14:paraId="1DE478BF" w14:textId="77777777" w:rsidR="006E18E5" w:rsidRPr="00AC630D" w:rsidRDefault="006E18E5" w:rsidP="0026652C">
            <w:pPr>
              <w:pStyle w:val="TableStyle"/>
            </w:pPr>
            <w:r w:rsidRPr="00AC630D">
              <w:t>Radiation Protection</w:t>
            </w:r>
          </w:p>
        </w:tc>
        <w:tc>
          <w:tcPr>
            <w:tcW w:w="3959" w:type="dxa"/>
            <w:vMerge/>
          </w:tcPr>
          <w:p w14:paraId="40FCC3B6" w14:textId="77777777" w:rsidR="006E18E5" w:rsidRPr="003C5D77" w:rsidRDefault="006E18E5" w:rsidP="0026652C">
            <w:pPr>
              <w:pStyle w:val="TableStyle"/>
            </w:pPr>
          </w:p>
        </w:tc>
      </w:tr>
      <w:tr w:rsidR="006E18E5" w:rsidRPr="008217C5" w14:paraId="5C9F7516" w14:textId="3BECE3ED" w:rsidTr="008F3505">
        <w:trPr>
          <w:trHeight w:val="397"/>
        </w:trPr>
        <w:tc>
          <w:tcPr>
            <w:tcW w:w="567" w:type="dxa"/>
            <w:shd w:val="clear" w:color="auto" w:fill="4E1A74" w:themeFill="accent2"/>
          </w:tcPr>
          <w:p w14:paraId="49D820A1" w14:textId="77777777" w:rsidR="006E18E5" w:rsidRPr="00AC630D" w:rsidRDefault="006E18E5" w:rsidP="0026652C">
            <w:pPr>
              <w:pStyle w:val="TableStyle"/>
            </w:pPr>
            <w:r w:rsidRPr="00AC630D">
              <w:t>8</w:t>
            </w:r>
          </w:p>
        </w:tc>
        <w:tc>
          <w:tcPr>
            <w:tcW w:w="3959" w:type="dxa"/>
          </w:tcPr>
          <w:p w14:paraId="03688ABF" w14:textId="77777777" w:rsidR="006E18E5" w:rsidRPr="00AC630D" w:rsidRDefault="006E18E5" w:rsidP="0026652C">
            <w:pPr>
              <w:pStyle w:val="TableStyle"/>
            </w:pPr>
            <w:r w:rsidRPr="00AC630D">
              <w:t>Emergency Preparedness</w:t>
            </w:r>
          </w:p>
        </w:tc>
        <w:tc>
          <w:tcPr>
            <w:tcW w:w="3959" w:type="dxa"/>
            <w:vMerge/>
          </w:tcPr>
          <w:p w14:paraId="09F0C787" w14:textId="77777777" w:rsidR="006E18E5" w:rsidRPr="003C5D77" w:rsidRDefault="006E18E5" w:rsidP="0026652C">
            <w:pPr>
              <w:pStyle w:val="TableStyle"/>
            </w:pPr>
          </w:p>
        </w:tc>
      </w:tr>
    </w:tbl>
    <w:p w14:paraId="70DFB00A" w14:textId="23DCF8FD" w:rsidR="00AA572D" w:rsidRDefault="0064184D" w:rsidP="0026652C">
      <w:r w:rsidRPr="001F10A6">
        <w:t xml:space="preserve">The cross-cutting aspects of human performance, safety culture, performance improvement </w:t>
      </w:r>
      <w:r w:rsidR="00961A41">
        <w:t xml:space="preserve">usually </w:t>
      </w:r>
      <w:r w:rsidRPr="001F10A6">
        <w:t xml:space="preserve">apply to </w:t>
      </w:r>
      <w:r w:rsidR="00961A41">
        <w:t>most</w:t>
      </w:r>
      <w:r w:rsidR="00961A41" w:rsidRPr="001F10A6">
        <w:t xml:space="preserve"> </w:t>
      </w:r>
      <w:r w:rsidR="00961A41">
        <w:t>inspected entities</w:t>
      </w:r>
      <w:r w:rsidR="003962B5">
        <w:t xml:space="preserve">. </w:t>
      </w:r>
      <w:r w:rsidR="00EF671A">
        <w:t xml:space="preserve">PO&amp;C </w:t>
      </w:r>
      <w:r w:rsidR="007628CF">
        <w:t>are defined</w:t>
      </w:r>
      <w:r w:rsidR="007628CF" w:rsidRPr="001F10A6">
        <w:t xml:space="preserve"> for </w:t>
      </w:r>
      <w:r w:rsidR="007628CF">
        <w:t xml:space="preserve">each </w:t>
      </w:r>
      <w:r w:rsidR="007628CF" w:rsidRPr="001F10A6">
        <w:t>area</w:t>
      </w:r>
      <w:r w:rsidR="00AC630D">
        <w:t xml:space="preserve"> and</w:t>
      </w:r>
      <w:r w:rsidR="007628CF">
        <w:t xml:space="preserve"> t</w:t>
      </w:r>
      <w:r>
        <w:t xml:space="preserve">here is a single set of PO&amp;C for sources. </w:t>
      </w:r>
      <w:bookmarkStart w:id="47" w:name="_Toc483572276"/>
    </w:p>
    <w:p w14:paraId="0A6E0209" w14:textId="59DE2190" w:rsidR="00CE228A" w:rsidRDefault="00137680" w:rsidP="0026652C">
      <w:pPr>
        <w:pStyle w:val="Heading3"/>
      </w:pPr>
      <w:bookmarkStart w:id="48" w:name="_Toc483572277"/>
      <w:bookmarkStart w:id="49" w:name="_Toc492399351"/>
      <w:bookmarkEnd w:id="47"/>
      <w:r>
        <w:tab/>
      </w:r>
      <w:bookmarkStart w:id="50" w:name="_Toc5290069"/>
      <w:r w:rsidR="00CE228A" w:rsidRPr="002B1F56">
        <w:t>Prepar</w:t>
      </w:r>
      <w:r w:rsidR="009D57E8" w:rsidRPr="002B1F56">
        <w:t>i</w:t>
      </w:r>
      <w:r w:rsidR="00CE228A" w:rsidRPr="002B1F56">
        <w:t>n</w:t>
      </w:r>
      <w:r w:rsidR="009D57E8" w:rsidRPr="002B1F56">
        <w:t>g</w:t>
      </w:r>
      <w:r w:rsidR="00CE228A">
        <w:t xml:space="preserve"> for an </w:t>
      </w:r>
      <w:r w:rsidR="00656531">
        <w:t>i</w:t>
      </w:r>
      <w:r w:rsidR="00CE228A">
        <w:t>nspection</w:t>
      </w:r>
      <w:bookmarkEnd w:id="48"/>
      <w:bookmarkEnd w:id="49"/>
      <w:bookmarkEnd w:id="50"/>
      <w:r w:rsidR="00CE228A">
        <w:t xml:space="preserve"> </w:t>
      </w:r>
    </w:p>
    <w:p w14:paraId="3950D116" w14:textId="5D860FCA" w:rsidR="00CE228A" w:rsidRDefault="00E24849" w:rsidP="0026652C">
      <w:r>
        <w:t>I</w:t>
      </w:r>
      <w:r w:rsidR="00CE228A">
        <w:t xml:space="preserve">nspectors should </w:t>
      </w:r>
      <w:r>
        <w:t xml:space="preserve">be </w:t>
      </w:r>
      <w:r w:rsidR="00CE228A">
        <w:t>thoroughly prepare</w:t>
      </w:r>
      <w:r>
        <w:t>d</w:t>
      </w:r>
      <w:r w:rsidR="00CE228A">
        <w:t xml:space="preserve">. Preparation will depend on the type of inspection, and </w:t>
      </w:r>
      <w:r w:rsidR="00F239B7">
        <w:t>its</w:t>
      </w:r>
      <w:r w:rsidR="00CE228A">
        <w:t xml:space="preserve"> scope and complexity</w:t>
      </w:r>
      <w:r w:rsidR="003962B5">
        <w:t xml:space="preserve">. </w:t>
      </w:r>
      <w:r w:rsidR="00CE228A">
        <w:t>Preparation may include a review of the following:</w:t>
      </w:r>
      <w:r w:rsidR="002943E1">
        <w:t xml:space="preserve"> </w:t>
      </w:r>
    </w:p>
    <w:p w14:paraId="6C720D36" w14:textId="77777777" w:rsidR="00CE228A" w:rsidRPr="00475DC2" w:rsidRDefault="00CE228A" w:rsidP="0026652C">
      <w:pPr>
        <w:pStyle w:val="ListParagraph"/>
        <w:numPr>
          <w:ilvl w:val="0"/>
          <w:numId w:val="8"/>
        </w:numPr>
      </w:pPr>
      <w:r w:rsidRPr="00475DC2">
        <w:t>regulatory requirements relating to the</w:t>
      </w:r>
      <w:r w:rsidR="00E654AB" w:rsidRPr="00475DC2">
        <w:t xml:space="preserve"> source or facility</w:t>
      </w:r>
      <w:r w:rsidRPr="00475DC2">
        <w:t xml:space="preserve"> and conditions o</w:t>
      </w:r>
      <w:r w:rsidR="00E654AB" w:rsidRPr="00475DC2">
        <w:t>f</w:t>
      </w:r>
      <w:r w:rsidRPr="00475DC2">
        <w:t xml:space="preserve"> </w:t>
      </w:r>
      <w:r w:rsidR="00E654AB" w:rsidRPr="00475DC2">
        <w:t>licence</w:t>
      </w:r>
    </w:p>
    <w:p w14:paraId="6E71B0BF" w14:textId="77777777" w:rsidR="00CE228A" w:rsidRPr="00475DC2" w:rsidRDefault="00CE228A" w:rsidP="0026652C">
      <w:pPr>
        <w:pStyle w:val="ListParagraph"/>
        <w:numPr>
          <w:ilvl w:val="0"/>
          <w:numId w:val="8"/>
        </w:numPr>
      </w:pPr>
      <w:r w:rsidRPr="00475DC2">
        <w:t xml:space="preserve">experience feedback relating to the inspection area </w:t>
      </w:r>
    </w:p>
    <w:p w14:paraId="1A969164" w14:textId="77777777" w:rsidR="00E654AB" w:rsidRPr="00475DC2" w:rsidRDefault="00CE228A" w:rsidP="0026652C">
      <w:pPr>
        <w:pStyle w:val="ListParagraph"/>
        <w:numPr>
          <w:ilvl w:val="0"/>
          <w:numId w:val="8"/>
        </w:numPr>
      </w:pPr>
      <w:r w:rsidRPr="00475DC2">
        <w:t>findings and any unresolved issues from previous inspections</w:t>
      </w:r>
      <w:r w:rsidR="00D114E7" w:rsidRPr="00475DC2">
        <w:t xml:space="preserve"> (including areas for improvement)</w:t>
      </w:r>
    </w:p>
    <w:p w14:paraId="1D546280" w14:textId="75E0FA39" w:rsidR="00CE228A" w:rsidRPr="00475DC2" w:rsidRDefault="00E654AB" w:rsidP="0026652C">
      <w:pPr>
        <w:pStyle w:val="ListParagraph"/>
        <w:numPr>
          <w:ilvl w:val="0"/>
          <w:numId w:val="8"/>
        </w:numPr>
      </w:pPr>
      <w:r w:rsidRPr="00475DC2">
        <w:t xml:space="preserve">any enforcement actions </w:t>
      </w:r>
      <w:r w:rsidR="005746C0" w:rsidRPr="00475DC2">
        <w:t>in connection with the licence holder</w:t>
      </w:r>
    </w:p>
    <w:p w14:paraId="495392AE" w14:textId="77777777" w:rsidR="00CE228A" w:rsidRPr="00475DC2" w:rsidRDefault="00CE228A" w:rsidP="0026652C">
      <w:pPr>
        <w:pStyle w:val="ListParagraph"/>
        <w:numPr>
          <w:ilvl w:val="0"/>
          <w:numId w:val="8"/>
        </w:numPr>
      </w:pPr>
      <w:r w:rsidRPr="00475DC2">
        <w:t xml:space="preserve">past correspondence between the regulatory body and the </w:t>
      </w:r>
      <w:r w:rsidR="00E654AB" w:rsidRPr="00475DC2">
        <w:t>licence holder</w:t>
      </w:r>
      <w:r w:rsidRPr="00475DC2">
        <w:t xml:space="preserve"> relating to the inspection area</w:t>
      </w:r>
    </w:p>
    <w:p w14:paraId="262EF04F" w14:textId="77777777" w:rsidR="00CE228A" w:rsidRPr="00475DC2" w:rsidRDefault="00CE228A" w:rsidP="0026652C">
      <w:pPr>
        <w:pStyle w:val="ListParagraph"/>
        <w:numPr>
          <w:ilvl w:val="0"/>
          <w:numId w:val="8"/>
        </w:numPr>
      </w:pPr>
      <w:r w:rsidRPr="00475DC2">
        <w:t xml:space="preserve">safety documentation and operational limits and conditions </w:t>
      </w:r>
    </w:p>
    <w:p w14:paraId="71C5CB08" w14:textId="77777777" w:rsidR="00CE228A" w:rsidRPr="00475DC2" w:rsidRDefault="00CE228A" w:rsidP="0026652C">
      <w:pPr>
        <w:pStyle w:val="ListParagraph"/>
        <w:numPr>
          <w:ilvl w:val="0"/>
          <w:numId w:val="8"/>
        </w:numPr>
      </w:pPr>
      <w:r w:rsidRPr="00475DC2">
        <w:t xml:space="preserve">documentation on operation and design </w:t>
      </w:r>
      <w:r w:rsidR="00D114E7" w:rsidRPr="00475DC2">
        <w:t>of</w:t>
      </w:r>
      <w:r w:rsidRPr="00475DC2">
        <w:t xml:space="preserve"> the </w:t>
      </w:r>
      <w:r w:rsidR="00E654AB" w:rsidRPr="00475DC2">
        <w:t xml:space="preserve">source or </w:t>
      </w:r>
      <w:r w:rsidRPr="00475DC2">
        <w:t xml:space="preserve">facility </w:t>
      </w:r>
    </w:p>
    <w:p w14:paraId="5C02307D" w14:textId="77777777" w:rsidR="00507DDA" w:rsidRPr="00475DC2" w:rsidRDefault="00CE228A" w:rsidP="0026652C">
      <w:pPr>
        <w:pStyle w:val="ListParagraph"/>
        <w:numPr>
          <w:ilvl w:val="0"/>
          <w:numId w:val="8"/>
        </w:numPr>
      </w:pPr>
      <w:r w:rsidRPr="00475DC2">
        <w:t xml:space="preserve">the </w:t>
      </w:r>
      <w:r w:rsidR="00E654AB" w:rsidRPr="00475DC2">
        <w:t>licence holder’s</w:t>
      </w:r>
      <w:r w:rsidRPr="00475DC2">
        <w:t xml:space="preserve"> management system</w:t>
      </w:r>
    </w:p>
    <w:p w14:paraId="58FD04AE" w14:textId="11B42D8E" w:rsidR="00922C49" w:rsidRPr="00475DC2" w:rsidRDefault="00507DDA" w:rsidP="0026652C">
      <w:pPr>
        <w:pStyle w:val="ListParagraph"/>
        <w:numPr>
          <w:ilvl w:val="0"/>
          <w:numId w:val="8"/>
        </w:numPr>
      </w:pPr>
      <w:r w:rsidRPr="00475DC2">
        <w:t>performance history</w:t>
      </w:r>
      <w:r w:rsidR="00CE228A" w:rsidRPr="00475DC2">
        <w:t xml:space="preserve"> </w:t>
      </w:r>
    </w:p>
    <w:p w14:paraId="48446C57" w14:textId="174030B2" w:rsidR="00961A41" w:rsidRPr="00475DC2" w:rsidRDefault="00961A41" w:rsidP="0026652C">
      <w:pPr>
        <w:pStyle w:val="ListParagraph"/>
        <w:numPr>
          <w:ilvl w:val="0"/>
          <w:numId w:val="8"/>
        </w:numPr>
      </w:pPr>
      <w:r w:rsidRPr="00475DC2">
        <w:t>any other information made available to the lead inspector, including self-reported and independently reported information</w:t>
      </w:r>
    </w:p>
    <w:p w14:paraId="7DA963F8" w14:textId="77569995" w:rsidR="00E01A04" w:rsidRDefault="00137680" w:rsidP="0026652C">
      <w:pPr>
        <w:pStyle w:val="Heading3"/>
      </w:pPr>
      <w:bookmarkStart w:id="51" w:name="_Toc483572278"/>
      <w:bookmarkStart w:id="52" w:name="_Toc492399352"/>
      <w:r>
        <w:tab/>
      </w:r>
      <w:bookmarkStart w:id="53" w:name="_Toc5290070"/>
      <w:r w:rsidR="00F6036B">
        <w:t>Conducting</w:t>
      </w:r>
      <w:r w:rsidR="00250058">
        <w:t xml:space="preserve"> an </w:t>
      </w:r>
      <w:r w:rsidR="00656531">
        <w:t>i</w:t>
      </w:r>
      <w:r w:rsidR="00E01A04">
        <w:t>nspection</w:t>
      </w:r>
      <w:bookmarkEnd w:id="51"/>
      <w:bookmarkEnd w:id="52"/>
      <w:bookmarkEnd w:id="53"/>
      <w:r w:rsidR="00E01A04">
        <w:t xml:space="preserve"> </w:t>
      </w:r>
    </w:p>
    <w:p w14:paraId="666D1C59" w14:textId="4918C5FD" w:rsidR="00001DCE" w:rsidRPr="00850BAE" w:rsidRDefault="00001DCE" w:rsidP="0026652C">
      <w:r w:rsidRPr="00001DCE">
        <w:t xml:space="preserve">All inspections </w:t>
      </w:r>
      <w:r w:rsidR="0009456B">
        <w:t xml:space="preserve">(other than </w:t>
      </w:r>
      <w:r w:rsidR="00236862">
        <w:t>e-inspection</w:t>
      </w:r>
      <w:r w:rsidR="0009456B">
        <w:t xml:space="preserve">s) </w:t>
      </w:r>
      <w:r w:rsidRPr="00001DCE">
        <w:t xml:space="preserve">are </w:t>
      </w:r>
      <w:r w:rsidR="003C7878">
        <w:t>conducted</w:t>
      </w:r>
      <w:r w:rsidR="001951D7">
        <w:t xml:space="preserve"> </w:t>
      </w:r>
      <w:r w:rsidRPr="00001DCE">
        <w:t xml:space="preserve">in accordance with the procedure </w:t>
      </w:r>
      <w:r w:rsidRPr="000C64A0">
        <w:t xml:space="preserve">described in </w:t>
      </w:r>
      <w:r w:rsidR="00CC0A97">
        <w:t>s</w:t>
      </w:r>
      <w:r w:rsidR="00E91AA9" w:rsidRPr="007B0CD1">
        <w:t xml:space="preserve">ection </w:t>
      </w:r>
      <w:r w:rsidR="00691B1E">
        <w:t>2</w:t>
      </w:r>
      <w:r w:rsidR="00E91AA9">
        <w:t xml:space="preserve"> of this </w:t>
      </w:r>
      <w:r w:rsidR="00CC0A97">
        <w:t>m</w:t>
      </w:r>
      <w:r w:rsidR="00E91AA9">
        <w:t>anual using one or more of the following methods:</w:t>
      </w:r>
      <w:r w:rsidR="002943E1">
        <w:t xml:space="preserve"> </w:t>
      </w:r>
    </w:p>
    <w:p w14:paraId="02E57AE5" w14:textId="77777777" w:rsidR="00F22850" w:rsidRPr="00475DC2" w:rsidRDefault="00E01A04" w:rsidP="0026652C">
      <w:pPr>
        <w:pStyle w:val="ListParagraph"/>
        <w:numPr>
          <w:ilvl w:val="0"/>
          <w:numId w:val="9"/>
        </w:numPr>
      </w:pPr>
      <w:r w:rsidRPr="00475DC2">
        <w:t>monitoring and direct observation such as of work</w:t>
      </w:r>
      <w:r w:rsidR="00E91AA9" w:rsidRPr="00475DC2">
        <w:t xml:space="preserve"> </w:t>
      </w:r>
      <w:r w:rsidRPr="00475DC2">
        <w:t>practices</w:t>
      </w:r>
      <w:r w:rsidR="00E91AA9" w:rsidRPr="00475DC2">
        <w:t xml:space="preserve">, </w:t>
      </w:r>
      <w:r w:rsidR="0046601B" w:rsidRPr="00475DC2">
        <w:t xml:space="preserve">performance of personnel, managerial attitudes, </w:t>
      </w:r>
      <w:r w:rsidR="00E91AA9" w:rsidRPr="00475DC2">
        <w:t>sources</w:t>
      </w:r>
      <w:r w:rsidRPr="00475DC2">
        <w:t xml:space="preserve"> and equipment </w:t>
      </w:r>
    </w:p>
    <w:p w14:paraId="2E8FFE99" w14:textId="1968BE62" w:rsidR="00331AAE" w:rsidRPr="00475DC2" w:rsidRDefault="00E01A04" w:rsidP="0026652C">
      <w:pPr>
        <w:pStyle w:val="ListParagraph"/>
        <w:numPr>
          <w:ilvl w:val="0"/>
          <w:numId w:val="9"/>
        </w:numPr>
      </w:pPr>
      <w:r w:rsidRPr="00475DC2">
        <w:t>discussions with personnel</w:t>
      </w:r>
      <w:r w:rsidR="00E91AA9" w:rsidRPr="00475DC2">
        <w:t xml:space="preserve"> </w:t>
      </w:r>
    </w:p>
    <w:p w14:paraId="2235A835" w14:textId="77777777" w:rsidR="00E01A04" w:rsidRPr="00475DC2" w:rsidRDefault="00E01A04" w:rsidP="0026652C">
      <w:pPr>
        <w:pStyle w:val="ListParagraph"/>
        <w:numPr>
          <w:ilvl w:val="0"/>
          <w:numId w:val="9"/>
        </w:numPr>
      </w:pPr>
      <w:r w:rsidRPr="00475DC2">
        <w:t xml:space="preserve">examinations of procedures, records and documentation </w:t>
      </w:r>
      <w:r w:rsidR="006B1A53" w:rsidRPr="00475DC2">
        <w:t xml:space="preserve">such as </w:t>
      </w:r>
      <w:r w:rsidR="00331AAE" w:rsidRPr="00475DC2">
        <w:t>procedures and schedules for maintenance and testing;</w:t>
      </w:r>
      <w:r w:rsidR="006B1A53" w:rsidRPr="00475DC2">
        <w:t xml:space="preserve"> </w:t>
      </w:r>
      <w:r w:rsidR="0064184D" w:rsidRPr="00475DC2">
        <w:t>survey</w:t>
      </w:r>
      <w:r w:rsidR="006B1A53" w:rsidRPr="00475DC2">
        <w:t xml:space="preserve"> </w:t>
      </w:r>
      <w:r w:rsidR="00331AAE" w:rsidRPr="00475DC2">
        <w:t xml:space="preserve">results and data; operational and maintenance records; records of deficiencies and incidents; modification records; training records; dose records </w:t>
      </w:r>
    </w:p>
    <w:p w14:paraId="55B8B61E" w14:textId="39E24E75" w:rsidR="00E01A04" w:rsidRPr="00475DC2" w:rsidRDefault="00E01A04" w:rsidP="0026652C">
      <w:pPr>
        <w:pStyle w:val="ListParagraph"/>
        <w:numPr>
          <w:ilvl w:val="0"/>
          <w:numId w:val="9"/>
        </w:numPr>
      </w:pPr>
      <w:r w:rsidRPr="00475DC2">
        <w:lastRenderedPageBreak/>
        <w:t xml:space="preserve">confirmatory tests </w:t>
      </w:r>
      <w:r w:rsidR="0046601B" w:rsidRPr="00475DC2">
        <w:t xml:space="preserve">or </w:t>
      </w:r>
      <w:r w:rsidRPr="00475DC2">
        <w:t xml:space="preserve">measurements </w:t>
      </w:r>
      <w:r w:rsidR="006B1A53" w:rsidRPr="00475DC2">
        <w:t>such as dose rate measurements</w:t>
      </w:r>
    </w:p>
    <w:p w14:paraId="2A2F89EC" w14:textId="7192DFC9" w:rsidR="00656531" w:rsidRPr="00CC0A97" w:rsidRDefault="00447E6E" w:rsidP="0026652C">
      <w:r w:rsidRPr="00CC0A97">
        <w:t xml:space="preserve">Inspectors </w:t>
      </w:r>
      <w:r w:rsidR="000C1F74">
        <w:t>do</w:t>
      </w:r>
      <w:r w:rsidR="000C1F74" w:rsidRPr="00CC0A97">
        <w:t xml:space="preserve"> </w:t>
      </w:r>
      <w:r w:rsidR="006B1A53" w:rsidRPr="00CC0A97">
        <w:t>not</w:t>
      </w:r>
      <w:r w:rsidR="000C1F74">
        <w:t xml:space="preserve"> normally</w:t>
      </w:r>
      <w:r w:rsidR="006B1A53" w:rsidRPr="00CC0A97">
        <w:t xml:space="preserve"> conduct confirmatory tests or measurements </w:t>
      </w:r>
      <w:r w:rsidR="006C52B1" w:rsidRPr="00CC0A97">
        <w:t xml:space="preserve">that make it necessary to </w:t>
      </w:r>
      <w:r w:rsidR="006B1A53" w:rsidRPr="00CC0A97">
        <w:t>assum</w:t>
      </w:r>
      <w:r w:rsidR="006C52B1" w:rsidRPr="00CC0A97">
        <w:t>e</w:t>
      </w:r>
      <w:r w:rsidR="006B1A53" w:rsidRPr="00CC0A97">
        <w:t xml:space="preserve"> operational control of </w:t>
      </w:r>
      <w:r w:rsidRPr="00CC0A97">
        <w:t xml:space="preserve">a source or </w:t>
      </w:r>
      <w:r w:rsidR="006B1A53" w:rsidRPr="00CC0A97">
        <w:t>facility or any of its systems.</w:t>
      </w:r>
      <w:r w:rsidR="005701CA" w:rsidRPr="00CC0A97">
        <w:t xml:space="preserve"> Where necessary</w:t>
      </w:r>
      <w:r w:rsidR="000C1F74">
        <w:t>,</w:t>
      </w:r>
      <w:r w:rsidR="003C7878" w:rsidRPr="00CC0A97">
        <w:t xml:space="preserve"> </w:t>
      </w:r>
      <w:r w:rsidR="005701CA" w:rsidRPr="00CC0A97">
        <w:t>inspectors should seek the cooperation of the licence holder</w:t>
      </w:r>
      <w:r w:rsidR="006C52B1" w:rsidRPr="00CC0A97">
        <w:t>;</w:t>
      </w:r>
      <w:r w:rsidR="005701CA" w:rsidRPr="00CC0A97">
        <w:t xml:space="preserve"> for example</w:t>
      </w:r>
      <w:r w:rsidR="006C52B1" w:rsidRPr="00CC0A97">
        <w:t>,</w:t>
      </w:r>
      <w:r w:rsidR="005701CA" w:rsidRPr="00CC0A97">
        <w:t xml:space="preserve"> if </w:t>
      </w:r>
      <w:r w:rsidR="005F7A13" w:rsidRPr="00CC0A97">
        <w:t xml:space="preserve">an inspector wants to take </w:t>
      </w:r>
      <w:r w:rsidR="009352B7" w:rsidRPr="00CC0A97">
        <w:t xml:space="preserve">measurements </w:t>
      </w:r>
      <w:r w:rsidR="005F7A13" w:rsidRPr="00CC0A97">
        <w:t xml:space="preserve">while </w:t>
      </w:r>
      <w:r w:rsidR="00E24849" w:rsidRPr="00CC0A97">
        <w:t xml:space="preserve">a </w:t>
      </w:r>
      <w:r w:rsidR="00AE3790" w:rsidRPr="00CC0A97">
        <w:t xml:space="preserve">facility or </w:t>
      </w:r>
      <w:r w:rsidR="00E24849" w:rsidRPr="00CC0A97">
        <w:t>source is in use</w:t>
      </w:r>
      <w:r w:rsidR="005F7A13" w:rsidRPr="00CC0A97">
        <w:t xml:space="preserve">, </w:t>
      </w:r>
      <w:r w:rsidR="005701CA" w:rsidRPr="00CC0A97">
        <w:t>the licence holder should be asked to</w:t>
      </w:r>
      <w:r w:rsidR="009352B7" w:rsidRPr="00CC0A97">
        <w:t xml:space="preserve"> </w:t>
      </w:r>
      <w:r w:rsidR="000C1F74">
        <w:t>assist</w:t>
      </w:r>
      <w:r w:rsidR="005F7A13" w:rsidRPr="00CC0A97">
        <w:t xml:space="preserve">. </w:t>
      </w:r>
    </w:p>
    <w:p w14:paraId="7CCAE139" w14:textId="4FB62B1E" w:rsidR="00E01A04" w:rsidRPr="001F5DE0" w:rsidRDefault="00137680" w:rsidP="0026652C">
      <w:pPr>
        <w:pStyle w:val="Heading3"/>
      </w:pPr>
      <w:bookmarkStart w:id="54" w:name="_Toc483572279"/>
      <w:bookmarkStart w:id="55" w:name="_Toc492399353"/>
      <w:r>
        <w:tab/>
      </w:r>
      <w:bookmarkStart w:id="56" w:name="_Toc5290071"/>
      <w:r w:rsidR="00E01A04" w:rsidRPr="001F5DE0">
        <w:t>Inspect</w:t>
      </w:r>
      <w:r w:rsidR="0064184D">
        <w:t>i</w:t>
      </w:r>
      <w:r w:rsidR="00E01A04" w:rsidRPr="001F5DE0">
        <w:t xml:space="preserve">on </w:t>
      </w:r>
      <w:r w:rsidR="00AD24CD">
        <w:t>r</w:t>
      </w:r>
      <w:r w:rsidR="00E01A04" w:rsidRPr="001F5DE0">
        <w:t xml:space="preserve">eports and </w:t>
      </w:r>
      <w:r w:rsidR="00AD24CD">
        <w:t>f</w:t>
      </w:r>
      <w:r w:rsidR="00E01A04" w:rsidRPr="001F5DE0">
        <w:t>indings</w:t>
      </w:r>
      <w:bookmarkEnd w:id="54"/>
      <w:bookmarkEnd w:id="55"/>
      <w:bookmarkEnd w:id="56"/>
      <w:r w:rsidR="00E01A04" w:rsidRPr="001F5DE0">
        <w:t xml:space="preserve"> </w:t>
      </w:r>
    </w:p>
    <w:p w14:paraId="0E2F3448" w14:textId="5265C220" w:rsidR="00E01A04" w:rsidRPr="00B84BA8" w:rsidRDefault="00E24849" w:rsidP="0026652C">
      <w:r>
        <w:t>The lead inspector prepare</w:t>
      </w:r>
      <w:r w:rsidR="00AE3790">
        <w:t>s</w:t>
      </w:r>
      <w:r>
        <w:t xml:space="preserve"> an </w:t>
      </w:r>
      <w:r w:rsidR="00E01A04">
        <w:t xml:space="preserve">inspection </w:t>
      </w:r>
      <w:r w:rsidR="003C7878">
        <w:t xml:space="preserve">report </w:t>
      </w:r>
      <w:r w:rsidR="00E01A04">
        <w:t>to</w:t>
      </w:r>
      <w:r w:rsidR="0011051A">
        <w:t xml:space="preserve"> document </w:t>
      </w:r>
      <w:r w:rsidR="00682C51">
        <w:t xml:space="preserve">the </w:t>
      </w:r>
      <w:r w:rsidR="00E01A04">
        <w:t>assessment of</w:t>
      </w:r>
      <w:r w:rsidR="0011051A">
        <w:t xml:space="preserve"> </w:t>
      </w:r>
      <w:r w:rsidR="00737B40">
        <w:t>licence holder performance</w:t>
      </w:r>
      <w:r w:rsidR="00E01A04">
        <w:t xml:space="preserve"> </w:t>
      </w:r>
      <w:r w:rsidR="00D31F7E">
        <w:t>and record inspection findings</w:t>
      </w:r>
      <w:r w:rsidR="003962B5">
        <w:t xml:space="preserve">. </w:t>
      </w:r>
      <w:r w:rsidR="004662C3">
        <w:t xml:space="preserve">The report should be reviewed and approved according to the procedure described </w:t>
      </w:r>
      <w:r w:rsidR="004662C3" w:rsidRPr="002269B9">
        <w:t xml:space="preserve">in </w:t>
      </w:r>
      <w:r w:rsidR="00CC0A97">
        <w:t>s</w:t>
      </w:r>
      <w:r w:rsidR="004662C3" w:rsidRPr="002269B9">
        <w:t xml:space="preserve">ection </w:t>
      </w:r>
      <w:r w:rsidR="004662C3" w:rsidRPr="00CB7F47">
        <w:t>2</w:t>
      </w:r>
      <w:r w:rsidR="004662C3">
        <w:t>.</w:t>
      </w:r>
    </w:p>
    <w:p w14:paraId="38D48855" w14:textId="0B363C11" w:rsidR="00E01A04" w:rsidRDefault="00E01A04" w:rsidP="0026652C">
      <w:r>
        <w:t xml:space="preserve">Inspection reports </w:t>
      </w:r>
      <w:r w:rsidR="009D57E8">
        <w:t>are</w:t>
      </w:r>
      <w:r>
        <w:t xml:space="preserve"> distributed electronically, </w:t>
      </w:r>
      <w:r w:rsidR="009D57E8">
        <w:t xml:space="preserve">as per </w:t>
      </w:r>
      <w:r w:rsidR="00C03D62">
        <w:t xml:space="preserve">the </w:t>
      </w:r>
      <w:r w:rsidR="005B6E97">
        <w:t>procedure</w:t>
      </w:r>
      <w:r w:rsidR="00C03D62">
        <w:t xml:space="preserve"> </w:t>
      </w:r>
      <w:r w:rsidR="004628E4">
        <w:t xml:space="preserve">in </w:t>
      </w:r>
      <w:r w:rsidR="00CC0A97">
        <w:t>s</w:t>
      </w:r>
      <w:r w:rsidR="004628E4">
        <w:t>ection 2</w:t>
      </w:r>
      <w:r w:rsidR="00901706">
        <w:t>.</w:t>
      </w:r>
      <w:r w:rsidR="005B6E97">
        <w:t xml:space="preserve"> </w:t>
      </w:r>
      <w:r w:rsidR="00901706">
        <w:t>I</w:t>
      </w:r>
      <w:r w:rsidR="00CC0A97">
        <w:t xml:space="preserve">nspectors should </w:t>
      </w:r>
      <w:r w:rsidRPr="00300195">
        <w:t>discuss</w:t>
      </w:r>
      <w:r w:rsidR="00CC0A97">
        <w:t xml:space="preserve"> inspection findings</w:t>
      </w:r>
      <w:r w:rsidRPr="00300195">
        <w:t xml:space="preserve"> at </w:t>
      </w:r>
      <w:r w:rsidR="004628E4" w:rsidRPr="00850BAE">
        <w:t xml:space="preserve">regular </w:t>
      </w:r>
      <w:r w:rsidRPr="00300195">
        <w:t>meetings</w:t>
      </w:r>
      <w:r w:rsidR="004628E4" w:rsidRPr="00300195">
        <w:t xml:space="preserve"> to share lessons learned</w:t>
      </w:r>
      <w:r>
        <w:t xml:space="preserve">. </w:t>
      </w:r>
    </w:p>
    <w:p w14:paraId="3F2CA872" w14:textId="0A9F8392" w:rsidR="00E01A04" w:rsidRDefault="00E24849" w:rsidP="0026652C">
      <w:r>
        <w:t xml:space="preserve">Inspection reports </w:t>
      </w:r>
      <w:r w:rsidR="00B84BA8">
        <w:t xml:space="preserve">are </w:t>
      </w:r>
      <w:r>
        <w:t>published</w:t>
      </w:r>
      <w:r w:rsidR="00B84BA8">
        <w:t xml:space="preserve"> on the ARPANSA website. </w:t>
      </w:r>
      <w:r w:rsidR="00AE3790">
        <w:t xml:space="preserve">Security or </w:t>
      </w:r>
      <w:r w:rsidR="00B84BA8">
        <w:t>commercial</w:t>
      </w:r>
      <w:r w:rsidR="00E92619">
        <w:t>ly sensitive</w:t>
      </w:r>
      <w:r w:rsidR="00B84BA8">
        <w:t xml:space="preserve"> </w:t>
      </w:r>
      <w:r w:rsidR="00AE3790">
        <w:t>information is</w:t>
      </w:r>
      <w:r w:rsidR="007253A9">
        <w:t xml:space="preserve"> </w:t>
      </w:r>
      <w:r w:rsidR="00AE3790">
        <w:t>withheld</w:t>
      </w:r>
      <w:r w:rsidR="00E01A04">
        <w:t xml:space="preserve">. </w:t>
      </w:r>
    </w:p>
    <w:p w14:paraId="2F470198" w14:textId="5C80EF8C" w:rsidR="00E01A04" w:rsidRDefault="00137680" w:rsidP="0026652C">
      <w:pPr>
        <w:pStyle w:val="Heading3"/>
      </w:pPr>
      <w:bookmarkStart w:id="57" w:name="_Toc492399356"/>
      <w:r>
        <w:tab/>
      </w:r>
      <w:bookmarkStart w:id="58" w:name="_Toc5290072"/>
      <w:r w:rsidR="00E01A04">
        <w:t>Follow-up</w:t>
      </w:r>
      <w:bookmarkEnd w:id="58"/>
      <w:r w:rsidR="00E01A04">
        <w:t xml:space="preserve"> </w:t>
      </w:r>
      <w:bookmarkEnd w:id="57"/>
    </w:p>
    <w:p w14:paraId="5214F870" w14:textId="0DE1F08E" w:rsidR="00CC4357" w:rsidRDefault="00CC4357" w:rsidP="0026652C">
      <w:r w:rsidRPr="00850BAE">
        <w:t xml:space="preserve">Inspectors are required to follow-up on inspection findings </w:t>
      </w:r>
      <w:r>
        <w:t xml:space="preserve">within three months </w:t>
      </w:r>
      <w:r w:rsidRPr="00850BAE">
        <w:t xml:space="preserve">and </w:t>
      </w:r>
      <w:r w:rsidR="00107068">
        <w:t xml:space="preserve">record </w:t>
      </w:r>
      <w:r w:rsidR="00D34A44" w:rsidRPr="00850BAE">
        <w:t xml:space="preserve">actions </w:t>
      </w:r>
      <w:r w:rsidRPr="00850BAE">
        <w:t xml:space="preserve">in </w:t>
      </w:r>
      <w:r w:rsidR="00107068">
        <w:t xml:space="preserve">the </w:t>
      </w:r>
      <w:r w:rsidR="00746D51">
        <w:t xml:space="preserve">appropriate </w:t>
      </w:r>
      <w:r w:rsidR="00D34A44">
        <w:t xml:space="preserve">RMS </w:t>
      </w:r>
      <w:r w:rsidR="007253A9">
        <w:t xml:space="preserve">file and </w:t>
      </w:r>
      <w:r w:rsidR="00746D51">
        <w:t xml:space="preserve">in </w:t>
      </w:r>
      <w:r w:rsidRPr="00850BAE">
        <w:t>LAD</w:t>
      </w:r>
      <w:r>
        <w:t xml:space="preserve">. </w:t>
      </w:r>
    </w:p>
    <w:p w14:paraId="098BC0D3" w14:textId="230D15D5" w:rsidR="00003B0F" w:rsidRPr="009D790F" w:rsidRDefault="00137680" w:rsidP="0026652C">
      <w:pPr>
        <w:pStyle w:val="Heading3"/>
      </w:pPr>
      <w:bookmarkStart w:id="59" w:name="_Toc483572280"/>
      <w:bookmarkStart w:id="60" w:name="_Toc492399357"/>
      <w:r>
        <w:tab/>
      </w:r>
      <w:bookmarkStart w:id="61" w:name="_Toc5290073"/>
      <w:r w:rsidR="00003B0F" w:rsidRPr="009D790F">
        <w:t>Site Visits</w:t>
      </w:r>
      <w:bookmarkEnd w:id="59"/>
      <w:bookmarkEnd w:id="60"/>
      <w:bookmarkEnd w:id="61"/>
    </w:p>
    <w:p w14:paraId="6A1D77EF" w14:textId="58F91211" w:rsidR="00472E1F" w:rsidRDefault="00472E1F" w:rsidP="0026652C">
      <w:r w:rsidRPr="00472E1F">
        <w:t>Site visits supplement the inspection program but are not inspections</w:t>
      </w:r>
      <w:r w:rsidR="003962B5">
        <w:t xml:space="preserve">. </w:t>
      </w:r>
      <w:r w:rsidRPr="00472E1F">
        <w:t xml:space="preserve">Generally, site visits are used by inspectors to familiarise themselves with processes, procedures or personnel. The information gathered is </w:t>
      </w:r>
      <w:r w:rsidR="000C1F74">
        <w:t>usually</w:t>
      </w:r>
      <w:r w:rsidR="000C1F74" w:rsidRPr="00472E1F">
        <w:t xml:space="preserve"> </w:t>
      </w:r>
      <w:r w:rsidRPr="00472E1F">
        <w:t xml:space="preserve">used to inform a decision-making process such as licence assessment, </w:t>
      </w:r>
      <w:r w:rsidR="00284CCA">
        <w:t>section 63 or section 65</w:t>
      </w:r>
      <w:r w:rsidRPr="00472E1F">
        <w:t xml:space="preserve"> request, or some other approval required under a licence condition. Site visits may also be used to share information with a licence holder or educate them on regulatory matters relevant to the activities they undertake.</w:t>
      </w:r>
    </w:p>
    <w:p w14:paraId="1D1809CA" w14:textId="10CD5E39" w:rsidR="0022559C" w:rsidRDefault="00AD24CD" w:rsidP="0026652C">
      <w:r>
        <w:t>O</w:t>
      </w:r>
      <w:r w:rsidR="006C52B1">
        <w:t>bservations and i</w:t>
      </w:r>
      <w:r w:rsidR="0008382B" w:rsidRPr="00AE3790">
        <w:t xml:space="preserve">nformation </w:t>
      </w:r>
      <w:r>
        <w:t>are recorded in</w:t>
      </w:r>
      <w:r w:rsidR="00E24849">
        <w:t xml:space="preserve"> </w:t>
      </w:r>
      <w:r>
        <w:t>a</w:t>
      </w:r>
      <w:r w:rsidR="00434CC3">
        <w:t xml:space="preserve"> </w:t>
      </w:r>
      <w:r w:rsidR="00434CC3" w:rsidRPr="0096627F">
        <w:t>Site Visit Report</w:t>
      </w:r>
      <w:r w:rsidR="0008382B" w:rsidRPr="00AE3790">
        <w:t>. This report is not provided to the licence holder or published</w:t>
      </w:r>
      <w:r w:rsidR="00D34A44">
        <w:t>,</w:t>
      </w:r>
      <w:r w:rsidR="006F7B87" w:rsidRPr="00AE3790">
        <w:t xml:space="preserve"> however</w:t>
      </w:r>
      <w:r w:rsidR="006F7B87">
        <w:t xml:space="preserve"> observations are </w:t>
      </w:r>
      <w:r w:rsidR="000C1F74">
        <w:t xml:space="preserve">expected to be </w:t>
      </w:r>
      <w:r w:rsidR="006F7B87">
        <w:t>discussed with management/personnel during the visit where relevant</w:t>
      </w:r>
      <w:r w:rsidR="003962B5">
        <w:t xml:space="preserve">. </w:t>
      </w:r>
    </w:p>
    <w:p w14:paraId="2F9342F0" w14:textId="517907D4" w:rsidR="0060558B" w:rsidRDefault="007037BD" w:rsidP="0026652C">
      <w:r>
        <w:t xml:space="preserve">If non-compliance is identified during a site visit an unannounced inspection may be initiated. In this situation, the </w:t>
      </w:r>
      <w:r w:rsidR="0008382B">
        <w:t>inspector</w:t>
      </w:r>
      <w:r>
        <w:t xml:space="preserve"> should announce that they are now collecting evidence on behalf of the CEO of ARPANSA to assess compliance with the Act and </w:t>
      </w:r>
      <w:r w:rsidR="007E6E75">
        <w:t>R</w:t>
      </w:r>
      <w:r>
        <w:t>egulations</w:t>
      </w:r>
      <w:r w:rsidR="003962B5">
        <w:t xml:space="preserve">. </w:t>
      </w:r>
      <w:r>
        <w:t xml:space="preserve">The inspection should proceed in accordance with </w:t>
      </w:r>
      <w:r w:rsidR="00BC0F85">
        <w:t>the procedure in s</w:t>
      </w:r>
      <w:r w:rsidR="0008382B">
        <w:t xml:space="preserve">ection </w:t>
      </w:r>
      <w:r>
        <w:t>2 of th</w:t>
      </w:r>
      <w:r w:rsidR="0008382B">
        <w:t xml:space="preserve">is </w:t>
      </w:r>
      <w:r w:rsidR="00767CC0">
        <w:t>m</w:t>
      </w:r>
      <w:r w:rsidR="0008382B">
        <w:t xml:space="preserve">anual </w:t>
      </w:r>
      <w:r>
        <w:t>as appropriate.</w:t>
      </w:r>
      <w:r w:rsidR="0060558B" w:rsidRPr="0060558B">
        <w:t xml:space="preserve"> </w:t>
      </w:r>
    </w:p>
    <w:p w14:paraId="0D4079E4" w14:textId="4000ED62" w:rsidR="0026652C" w:rsidRDefault="0060558B" w:rsidP="0026652C">
      <w:pPr>
        <w:spacing w:after="120"/>
      </w:pPr>
      <w:r>
        <w:t>The inspector must record s</w:t>
      </w:r>
      <w:r w:rsidRPr="0070283C">
        <w:t>ite visits in LAD</w:t>
      </w:r>
      <w:r>
        <w:t xml:space="preserve"> as they would for an inspection</w:t>
      </w:r>
      <w:r w:rsidRPr="0070283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E3F9"/>
        <w:tblLook w:val="04A0" w:firstRow="1" w:lastRow="0" w:firstColumn="1" w:lastColumn="0" w:noHBand="0" w:noVBand="1"/>
      </w:tblPr>
      <w:tblGrid>
        <w:gridCol w:w="9354"/>
      </w:tblGrid>
      <w:tr w:rsidR="00691508" w14:paraId="27F191D9" w14:textId="77777777" w:rsidTr="00B564AA">
        <w:trPr>
          <w:trHeight w:val="980"/>
        </w:trPr>
        <w:tc>
          <w:tcPr>
            <w:tcW w:w="9354" w:type="dxa"/>
            <w:shd w:val="clear" w:color="auto" w:fill="F0E3F9"/>
          </w:tcPr>
          <w:p w14:paraId="2B0C68DF" w14:textId="77777777" w:rsidR="0026652C" w:rsidRPr="0026652C" w:rsidRDefault="0026652C" w:rsidP="0026652C">
            <w:pPr>
              <w:spacing w:before="120" w:line="276" w:lineRule="auto"/>
              <w:rPr>
                <w:rFonts w:eastAsiaTheme="minorEastAsia"/>
                <w:sz w:val="20"/>
                <w:szCs w:val="20"/>
              </w:rPr>
            </w:pPr>
            <w:bookmarkStart w:id="62" w:name="_Toc483572281"/>
            <w:r w:rsidRPr="0026652C">
              <w:rPr>
                <w:rFonts w:eastAsiaTheme="minorEastAsia"/>
                <w:sz w:val="20"/>
                <w:szCs w:val="20"/>
              </w:rPr>
              <w:t>International guidance relevant to inspection:</w:t>
            </w:r>
          </w:p>
          <w:p w14:paraId="1620006A" w14:textId="77777777" w:rsidR="0026652C" w:rsidRPr="0026652C" w:rsidRDefault="0026652C" w:rsidP="0026652C">
            <w:pPr>
              <w:numPr>
                <w:ilvl w:val="0"/>
                <w:numId w:val="30"/>
              </w:numPr>
              <w:spacing w:before="120" w:after="120" w:line="276" w:lineRule="auto"/>
              <w:contextualSpacing/>
              <w:rPr>
                <w:rFonts w:eastAsiaTheme="minorEastAsia"/>
                <w:i/>
                <w:sz w:val="20"/>
                <w:szCs w:val="20"/>
              </w:rPr>
            </w:pPr>
            <w:r w:rsidRPr="0026652C">
              <w:rPr>
                <w:rFonts w:eastAsiaTheme="minorEastAsia"/>
                <w:sz w:val="20"/>
                <w:szCs w:val="20"/>
              </w:rPr>
              <w:t xml:space="preserve">TECDOC-1526 Inspection of Radiation Sources and Regulatory Enforcement (IAEA, 2007) </w:t>
            </w:r>
          </w:p>
          <w:p w14:paraId="64BCAE55" w14:textId="77777777" w:rsidR="0026652C" w:rsidRPr="0026652C" w:rsidRDefault="0026652C" w:rsidP="0026652C">
            <w:pPr>
              <w:spacing w:before="0" w:line="276" w:lineRule="auto"/>
              <w:rPr>
                <w:rFonts w:eastAsiaTheme="minorEastAsia"/>
                <w:sz w:val="20"/>
                <w:szCs w:val="20"/>
              </w:rPr>
            </w:pPr>
            <w:r w:rsidRPr="0026652C">
              <w:rPr>
                <w:rFonts w:eastAsiaTheme="minorEastAsia"/>
                <w:sz w:val="20"/>
                <w:szCs w:val="20"/>
              </w:rPr>
              <w:tab/>
              <w:t>[Contains sample checklists for a variety of sources and facilities]</w:t>
            </w:r>
          </w:p>
          <w:p w14:paraId="75A29EAF" w14:textId="77777777" w:rsidR="0026652C" w:rsidRDefault="0026652C" w:rsidP="0026652C">
            <w:pPr>
              <w:numPr>
                <w:ilvl w:val="0"/>
                <w:numId w:val="30"/>
              </w:numPr>
              <w:spacing w:before="120" w:after="240" w:line="276" w:lineRule="auto"/>
              <w:ind w:left="714" w:hanging="357"/>
              <w:rPr>
                <w:rFonts w:ascii="Calibri" w:eastAsia="Calibri" w:hAnsi="Calibri" w:cs="Times New Roman"/>
                <w:snapToGrid w:val="0"/>
                <w:sz w:val="20"/>
                <w:szCs w:val="20"/>
              </w:rPr>
            </w:pPr>
            <w:r w:rsidRPr="0026652C">
              <w:rPr>
                <w:rFonts w:ascii="Calibri" w:eastAsia="Calibri" w:hAnsi="Calibri" w:cs="Times New Roman"/>
                <w:snapToGrid w:val="0"/>
                <w:sz w:val="20"/>
                <w:szCs w:val="20"/>
              </w:rPr>
              <w:t>GSG-12 Organization, Management and Staffing of the Regulatory Body for Safety (2018)</w:t>
            </w:r>
          </w:p>
          <w:p w14:paraId="76E0C4FA" w14:textId="288AF340" w:rsidR="00691508" w:rsidRPr="0026652C" w:rsidRDefault="0026652C" w:rsidP="0026652C">
            <w:pPr>
              <w:numPr>
                <w:ilvl w:val="0"/>
                <w:numId w:val="30"/>
              </w:numPr>
              <w:spacing w:before="120" w:after="240" w:line="276" w:lineRule="auto"/>
              <w:ind w:left="714" w:hanging="357"/>
              <w:rPr>
                <w:rFonts w:ascii="Calibri" w:eastAsia="Calibri" w:hAnsi="Calibri" w:cs="Times New Roman"/>
                <w:snapToGrid w:val="0"/>
                <w:sz w:val="20"/>
                <w:szCs w:val="20"/>
              </w:rPr>
            </w:pPr>
            <w:r w:rsidRPr="0026652C">
              <w:rPr>
                <w:rFonts w:eastAsiaTheme="minorEastAsia"/>
                <w:sz w:val="20"/>
                <w:szCs w:val="20"/>
              </w:rPr>
              <w:t>GSG-13 Functions and Processes of the Regulatory Body for Safety (IAEA, 2018)</w:t>
            </w:r>
          </w:p>
        </w:tc>
      </w:tr>
    </w:tbl>
    <w:p w14:paraId="12BD0686" w14:textId="77777777" w:rsidR="00E5572C" w:rsidRDefault="00E5572C" w:rsidP="0026652C">
      <w:pPr>
        <w:rPr>
          <w:rFonts w:ascii="Calibri" w:eastAsiaTheme="majorEastAsia" w:hAnsi="Calibri" w:cstheme="majorBidi"/>
          <w:color w:val="4E1A74"/>
          <w:sz w:val="32"/>
          <w:szCs w:val="28"/>
        </w:rPr>
      </w:pPr>
      <w:bookmarkStart w:id="63" w:name="_Inspection_procedure"/>
      <w:bookmarkStart w:id="64" w:name="_Toc492399359"/>
      <w:bookmarkEnd w:id="63"/>
      <w:r>
        <w:br w:type="page"/>
      </w:r>
    </w:p>
    <w:p w14:paraId="432E136F" w14:textId="447334CA" w:rsidR="008104A6" w:rsidRDefault="00AD384F" w:rsidP="0026652C">
      <w:pPr>
        <w:pStyle w:val="Heading1"/>
        <w:numPr>
          <w:ilvl w:val="0"/>
          <w:numId w:val="17"/>
        </w:numPr>
      </w:pPr>
      <w:r w:rsidRPr="00DA25FF">
        <w:lastRenderedPageBreak/>
        <w:t>I</w:t>
      </w:r>
      <w:r w:rsidR="00FA6233">
        <w:t>nspection procedure</w:t>
      </w:r>
      <w:bookmarkEnd w:id="62"/>
      <w:bookmarkEnd w:id="64"/>
    </w:p>
    <w:p w14:paraId="01ECDEFD" w14:textId="77777777" w:rsidR="00137680" w:rsidRPr="00137680" w:rsidRDefault="006644CB" w:rsidP="0026652C">
      <w:bookmarkStart w:id="65" w:name="_Toc483572282"/>
      <w:r w:rsidRPr="00137680">
        <w:t xml:space="preserve">NOTE: </w:t>
      </w:r>
    </w:p>
    <w:p w14:paraId="269CE542" w14:textId="77777777" w:rsidR="00137680" w:rsidRDefault="00137680" w:rsidP="0026652C">
      <w:pPr>
        <w:pStyle w:val="ListParagraph"/>
        <w:numPr>
          <w:ilvl w:val="0"/>
          <w:numId w:val="21"/>
        </w:numPr>
      </w:pPr>
      <w:r w:rsidRPr="00137680">
        <w:t>The lead inspector is responsible for implementing this proced</w:t>
      </w:r>
      <w:r>
        <w:t xml:space="preserve">ure unless otherwise indicated </w:t>
      </w:r>
    </w:p>
    <w:p w14:paraId="5D45382C" w14:textId="4F55B8BC" w:rsidR="006644CB" w:rsidRPr="00137680" w:rsidRDefault="006644CB" w:rsidP="0026652C">
      <w:pPr>
        <w:pStyle w:val="ListParagraph"/>
        <w:numPr>
          <w:ilvl w:val="0"/>
          <w:numId w:val="21"/>
        </w:numPr>
        <w:rPr>
          <w:rFonts w:eastAsiaTheme="minorEastAsia"/>
        </w:rPr>
      </w:pPr>
      <w:r w:rsidRPr="00137680">
        <w:t xml:space="preserve">Not all parts of this procedure apply to </w:t>
      </w:r>
      <w:r w:rsidR="00236862" w:rsidRPr="00137680">
        <w:t>e-inspection</w:t>
      </w:r>
      <w:r w:rsidRPr="00137680">
        <w:t xml:space="preserve">s </w:t>
      </w:r>
    </w:p>
    <w:p w14:paraId="59AC58D3" w14:textId="4970E52C" w:rsidR="00EF4ED7" w:rsidRPr="00FF3049" w:rsidRDefault="00EF4ED7" w:rsidP="0026652C">
      <w:pPr>
        <w:pStyle w:val="Heading1"/>
        <w:numPr>
          <w:ilvl w:val="0"/>
          <w:numId w:val="18"/>
        </w:numPr>
      </w:pPr>
      <w:bookmarkStart w:id="66" w:name="_Toc492399360"/>
      <w:r w:rsidRPr="00FF3049">
        <w:t>Preparation</w:t>
      </w:r>
      <w:r w:rsidR="003125AB" w:rsidRPr="00FF3049">
        <w:t xml:space="preserve"> &amp; planning</w:t>
      </w:r>
      <w:bookmarkEnd w:id="65"/>
      <w:bookmarkEnd w:id="66"/>
    </w:p>
    <w:p w14:paraId="43D8713E" w14:textId="6D6D7297" w:rsidR="008104A6" w:rsidRPr="00137680" w:rsidRDefault="00493D25" w:rsidP="0026652C">
      <w:pPr>
        <w:pStyle w:val="Heading4"/>
        <w:numPr>
          <w:ilvl w:val="1"/>
          <w:numId w:val="19"/>
        </w:numPr>
      </w:pPr>
      <w:bookmarkStart w:id="67" w:name="_Toc492399361"/>
      <w:bookmarkStart w:id="68" w:name="_Toc5290074"/>
      <w:r w:rsidRPr="00137680">
        <w:t>P</w:t>
      </w:r>
      <w:r w:rsidR="008104A6" w:rsidRPr="00137680">
        <w:t>urpose</w:t>
      </w:r>
      <w:r w:rsidRPr="00137680">
        <w:t xml:space="preserve"> &amp; </w:t>
      </w:r>
      <w:r w:rsidR="00125C83" w:rsidRPr="00137680">
        <w:t>s</w:t>
      </w:r>
      <w:r w:rsidRPr="00137680">
        <w:t>cope</w:t>
      </w:r>
      <w:bookmarkEnd w:id="67"/>
      <w:bookmarkEnd w:id="68"/>
    </w:p>
    <w:p w14:paraId="617D2226" w14:textId="2827A448" w:rsidR="00E057E3" w:rsidRDefault="008E44D8" w:rsidP="0026652C">
      <w:pPr>
        <w:rPr>
          <w:rFonts w:eastAsia="Times New Roman"/>
        </w:rPr>
      </w:pPr>
      <w:r>
        <w:t>T</w:t>
      </w:r>
      <w:r w:rsidR="00E26230" w:rsidRPr="00E26230">
        <w:t xml:space="preserve">he purpose </w:t>
      </w:r>
      <w:r w:rsidR="00493D25">
        <w:t xml:space="preserve">and scope </w:t>
      </w:r>
      <w:r w:rsidR="00E26230" w:rsidRPr="00E26230">
        <w:t xml:space="preserve">of </w:t>
      </w:r>
      <w:r>
        <w:t xml:space="preserve">every </w:t>
      </w:r>
      <w:r w:rsidR="00E26230" w:rsidRPr="00E26230">
        <w:t>inspection</w:t>
      </w:r>
      <w:r>
        <w:t xml:space="preserve"> must be defined</w:t>
      </w:r>
      <w:r w:rsidR="00C53403">
        <w:t xml:space="preserve">. For </w:t>
      </w:r>
      <w:r w:rsidR="009829A3">
        <w:t xml:space="preserve">scheduled </w:t>
      </w:r>
      <w:r w:rsidR="00C53403">
        <w:t xml:space="preserve">inspections this </w:t>
      </w:r>
      <w:r w:rsidR="000C1F74">
        <w:t>is usually focussed on</w:t>
      </w:r>
      <w:r w:rsidR="00C53403">
        <w:t xml:space="preserve"> one or more of the </w:t>
      </w:r>
      <w:r w:rsidR="00E057E3" w:rsidRPr="001F10A6">
        <w:rPr>
          <w:rFonts w:eastAsia="Times New Roman"/>
        </w:rPr>
        <w:t xml:space="preserve">eight </w:t>
      </w:r>
      <w:r w:rsidR="009829A3">
        <w:rPr>
          <w:rFonts w:eastAsia="Times New Roman"/>
        </w:rPr>
        <w:t xml:space="preserve">baseline </w:t>
      </w:r>
      <w:r w:rsidR="00E057E3" w:rsidRPr="001F10A6">
        <w:rPr>
          <w:rFonts w:eastAsia="Times New Roman"/>
        </w:rPr>
        <w:t>inspection areas</w:t>
      </w:r>
      <w:r w:rsidR="00A26BB4">
        <w:rPr>
          <w:rFonts w:eastAsia="Times New Roman"/>
        </w:rPr>
        <w:t xml:space="preserve"> </w:t>
      </w:r>
      <w:r w:rsidR="009829A3">
        <w:rPr>
          <w:rFonts w:eastAsia="Times New Roman"/>
        </w:rPr>
        <w:t>plus the three cross cutting areas</w:t>
      </w:r>
      <w:r w:rsidR="008F0003">
        <w:rPr>
          <w:rFonts w:eastAsia="Times New Roman"/>
        </w:rPr>
        <w:t xml:space="preserve">. The </w:t>
      </w:r>
      <w:r w:rsidR="00A26BB4">
        <w:rPr>
          <w:rFonts w:eastAsia="Times New Roman"/>
        </w:rPr>
        <w:t>associated PO</w:t>
      </w:r>
      <w:r>
        <w:rPr>
          <w:rFonts w:eastAsia="Times New Roman"/>
        </w:rPr>
        <w:t>&amp;</w:t>
      </w:r>
      <w:r w:rsidR="00A26BB4">
        <w:rPr>
          <w:rFonts w:eastAsia="Times New Roman"/>
        </w:rPr>
        <w:t>C</w:t>
      </w:r>
      <w:r w:rsidR="008F0003">
        <w:rPr>
          <w:rFonts w:eastAsia="Times New Roman"/>
        </w:rPr>
        <w:t xml:space="preserve"> </w:t>
      </w:r>
      <w:r w:rsidR="003A67D8">
        <w:rPr>
          <w:rFonts w:eastAsia="Times New Roman"/>
        </w:rPr>
        <w:t>are</w:t>
      </w:r>
      <w:r w:rsidR="008F0003">
        <w:rPr>
          <w:rFonts w:eastAsia="Times New Roman"/>
        </w:rPr>
        <w:t xml:space="preserve"> used to aid inspection planning and conduct</w:t>
      </w:r>
      <w:r w:rsidR="003962B5">
        <w:rPr>
          <w:rFonts w:eastAsia="Times New Roman"/>
        </w:rPr>
        <w:t xml:space="preserve">. </w:t>
      </w:r>
    </w:p>
    <w:p w14:paraId="189408B6" w14:textId="498C1FCD" w:rsidR="00C53403" w:rsidRDefault="006474EF" w:rsidP="0026652C">
      <w:r>
        <w:t xml:space="preserve">Augmented inspections will generally </w:t>
      </w:r>
      <w:r w:rsidR="00E26230" w:rsidRPr="00E26230">
        <w:t xml:space="preserve">focus on a particular area where there is evidence </w:t>
      </w:r>
      <w:r>
        <w:t>of</w:t>
      </w:r>
      <w:r w:rsidRPr="00E26230">
        <w:t xml:space="preserve"> </w:t>
      </w:r>
      <w:r w:rsidR="00E26230" w:rsidRPr="00E26230">
        <w:t>possible non</w:t>
      </w:r>
      <w:r w:rsidR="00FD1A8D">
        <w:noBreakHyphen/>
      </w:r>
      <w:r w:rsidR="00E26230" w:rsidRPr="00E26230">
        <w:t xml:space="preserve">compliance or </w:t>
      </w:r>
      <w:r w:rsidR="00F8323C">
        <w:t>need</w:t>
      </w:r>
      <w:r w:rsidR="004973EA">
        <w:t xml:space="preserve"> for improvement</w:t>
      </w:r>
      <w:r w:rsidR="003962B5">
        <w:t xml:space="preserve">. </w:t>
      </w:r>
    </w:p>
    <w:p w14:paraId="021F0018" w14:textId="1BDA3432" w:rsidR="00BF0C2B" w:rsidRPr="00137680" w:rsidRDefault="00993EB0" w:rsidP="0026652C">
      <w:pPr>
        <w:pStyle w:val="Heading4"/>
        <w:numPr>
          <w:ilvl w:val="1"/>
          <w:numId w:val="19"/>
        </w:numPr>
      </w:pPr>
      <w:bookmarkStart w:id="69" w:name="_Toc492399362"/>
      <w:bookmarkStart w:id="70" w:name="_Toc5290075"/>
      <w:r w:rsidRPr="00137680">
        <w:t>I</w:t>
      </w:r>
      <w:r w:rsidR="009331BA" w:rsidRPr="00137680">
        <w:t>nspection file</w:t>
      </w:r>
      <w:r w:rsidR="004F49BA" w:rsidRPr="00137680">
        <w:t xml:space="preserve"> (</w:t>
      </w:r>
      <w:r w:rsidRPr="00137680">
        <w:t>optional</w:t>
      </w:r>
      <w:r w:rsidR="004F49BA" w:rsidRPr="00137680">
        <w:t>)</w:t>
      </w:r>
      <w:bookmarkEnd w:id="69"/>
      <w:bookmarkEnd w:id="70"/>
    </w:p>
    <w:p w14:paraId="7A534140" w14:textId="2987E158" w:rsidR="004F49BA" w:rsidRDefault="009E3F56" w:rsidP="0026652C">
      <w:r>
        <w:t>T</w:t>
      </w:r>
      <w:r w:rsidR="00BF0C2B">
        <w:t xml:space="preserve">he lead inspector </w:t>
      </w:r>
      <w:r w:rsidR="00512BC8">
        <w:t>may</w:t>
      </w:r>
      <w:r w:rsidR="009331BA">
        <w:t xml:space="preserve"> </w:t>
      </w:r>
      <w:r w:rsidR="00512BC8">
        <w:t>ask the Licence Admin Officer</w:t>
      </w:r>
      <w:r w:rsidR="00264822">
        <w:t xml:space="preserve"> (LAO)</w:t>
      </w:r>
      <w:r w:rsidR="00434CC3">
        <w:t xml:space="preserve"> </w:t>
      </w:r>
      <w:r w:rsidR="00512BC8">
        <w:t xml:space="preserve">to create </w:t>
      </w:r>
      <w:r w:rsidR="00BF0C2B">
        <w:t>a</w:t>
      </w:r>
      <w:r w:rsidR="00512BC8">
        <w:t>n</w:t>
      </w:r>
      <w:r w:rsidR="002D3343">
        <w:t xml:space="preserve"> inspection file in the licence holder’s </w:t>
      </w:r>
      <w:r w:rsidR="00434CC3">
        <w:t xml:space="preserve">file </w:t>
      </w:r>
      <w:r w:rsidR="002D3343">
        <w:t>container</w:t>
      </w:r>
      <w:r w:rsidR="00512BC8">
        <w:t xml:space="preserve"> </w:t>
      </w:r>
      <w:r w:rsidR="00434CC3">
        <w:t xml:space="preserve">in the records management system (RMS) </w:t>
      </w:r>
      <w:r w:rsidR="00512BC8">
        <w:t>where a</w:t>
      </w:r>
      <w:r w:rsidR="009331BA">
        <w:t xml:space="preserve">ll records relating to the inspection </w:t>
      </w:r>
      <w:r w:rsidR="000C1F74">
        <w:t xml:space="preserve">should </w:t>
      </w:r>
      <w:r w:rsidR="009331BA">
        <w:t xml:space="preserve">be </w:t>
      </w:r>
      <w:r w:rsidR="000C1F74">
        <w:t xml:space="preserve">maintained </w:t>
      </w:r>
      <w:r w:rsidR="009331BA">
        <w:t xml:space="preserve">(see Record Keeping in </w:t>
      </w:r>
      <w:r w:rsidR="00434CC3">
        <w:t>section</w:t>
      </w:r>
      <w:r w:rsidR="002F454F">
        <w:t xml:space="preserve"> </w:t>
      </w:r>
      <w:r w:rsidR="002F454F">
        <w:fldChar w:fldCharType="begin"/>
      </w:r>
      <w:r w:rsidR="002F454F">
        <w:instrText xml:space="preserve"> REF _Ref527720959 \r \h </w:instrText>
      </w:r>
      <w:r w:rsidR="002F454F">
        <w:fldChar w:fldCharType="separate"/>
      </w:r>
      <w:r w:rsidR="002F454F">
        <w:t>2.3.4</w:t>
      </w:r>
      <w:r w:rsidR="002F454F">
        <w:fldChar w:fldCharType="end"/>
      </w:r>
      <w:r w:rsidR="009331BA">
        <w:t>)</w:t>
      </w:r>
      <w:r w:rsidR="003962B5">
        <w:t xml:space="preserve">. </w:t>
      </w:r>
      <w:r w:rsidR="004F49BA">
        <w:t xml:space="preserve">Alternatively, records </w:t>
      </w:r>
      <w:r w:rsidR="00023173">
        <w:t xml:space="preserve">may be </w:t>
      </w:r>
      <w:r w:rsidR="004F49BA">
        <w:t xml:space="preserve">saved </w:t>
      </w:r>
      <w:r w:rsidR="00512BC8">
        <w:t>i</w:t>
      </w:r>
      <w:r w:rsidR="004F49BA">
        <w:t>n the licence file.</w:t>
      </w:r>
    </w:p>
    <w:p w14:paraId="66FB3EB8" w14:textId="20351761" w:rsidR="008104A6" w:rsidRPr="00137680" w:rsidRDefault="00E26230" w:rsidP="0026652C">
      <w:pPr>
        <w:pStyle w:val="Heading4"/>
        <w:numPr>
          <w:ilvl w:val="1"/>
          <w:numId w:val="19"/>
        </w:numPr>
      </w:pPr>
      <w:bookmarkStart w:id="71" w:name="_Toc492399363"/>
      <w:bookmarkStart w:id="72" w:name="_Toc5290076"/>
      <w:r w:rsidRPr="00137680">
        <w:t xml:space="preserve">Inspection </w:t>
      </w:r>
      <w:r w:rsidR="00125C83" w:rsidRPr="00137680">
        <w:t>t</w:t>
      </w:r>
      <w:r w:rsidR="008104A6" w:rsidRPr="00137680">
        <w:t>eam</w:t>
      </w:r>
      <w:bookmarkEnd w:id="71"/>
      <w:bookmarkEnd w:id="72"/>
    </w:p>
    <w:p w14:paraId="4FA1FD2C" w14:textId="7C863F33" w:rsidR="00E26230" w:rsidRDefault="00E26230" w:rsidP="0026652C">
      <w:r>
        <w:t xml:space="preserve">Members </w:t>
      </w:r>
      <w:r w:rsidR="00552985">
        <w:t xml:space="preserve">of the </w:t>
      </w:r>
      <w:r w:rsidR="00A93287">
        <w:t xml:space="preserve">inspection </w:t>
      </w:r>
      <w:r w:rsidR="00552985">
        <w:t xml:space="preserve">team </w:t>
      </w:r>
      <w:r>
        <w:t xml:space="preserve">are selected based on the purpose and scope of the inspection and on the relevant experience and expertise </w:t>
      </w:r>
      <w:r w:rsidR="00634A83">
        <w:t>required</w:t>
      </w:r>
      <w:r w:rsidR="003962B5">
        <w:t xml:space="preserve">. </w:t>
      </w:r>
      <w:r w:rsidR="00B50A2B">
        <w:t>E</w:t>
      </w:r>
      <w:r>
        <w:t>xpert advice or technical assistance from other branches</w:t>
      </w:r>
      <w:r w:rsidR="00F922FC">
        <w:t xml:space="preserve">, </w:t>
      </w:r>
      <w:r>
        <w:t>jurisdictions</w:t>
      </w:r>
      <w:r w:rsidR="00B50A2B">
        <w:t xml:space="preserve"> </w:t>
      </w:r>
      <w:r w:rsidR="00F922FC">
        <w:t xml:space="preserve">or consultants </w:t>
      </w:r>
      <w:r w:rsidR="00B50A2B">
        <w:t>may be sought where appropriate</w:t>
      </w:r>
      <w:r w:rsidR="003962B5">
        <w:t xml:space="preserve">. </w:t>
      </w:r>
      <w:r w:rsidR="00B50A2B">
        <w:t xml:space="preserve">The lead inspector should determine </w:t>
      </w:r>
      <w:r>
        <w:t xml:space="preserve">whether officers from another agency (e.g. </w:t>
      </w:r>
      <w:proofErr w:type="spellStart"/>
      <w:r>
        <w:t>Comcare</w:t>
      </w:r>
      <w:proofErr w:type="spellEnd"/>
      <w:r w:rsidR="003F6107">
        <w:t xml:space="preserve"> or</w:t>
      </w:r>
      <w:r>
        <w:t xml:space="preserve"> ASNO) </w:t>
      </w:r>
      <w:r w:rsidR="0032795D">
        <w:t xml:space="preserve">should </w:t>
      </w:r>
      <w:r>
        <w:t>be involved</w:t>
      </w:r>
      <w:r w:rsidR="003962B5">
        <w:t xml:space="preserve">. </w:t>
      </w:r>
      <w:r w:rsidR="00B50A2B">
        <w:t>S</w:t>
      </w:r>
      <w:r w:rsidR="00B4569D">
        <w:t>ecurity clearance</w:t>
      </w:r>
      <w:r w:rsidR="00562F51">
        <w:t>s</w:t>
      </w:r>
      <w:r w:rsidR="00B50A2B">
        <w:t xml:space="preserve"> should be considered</w:t>
      </w:r>
      <w:r w:rsidR="00B4569D">
        <w:t xml:space="preserve"> as necessary</w:t>
      </w:r>
      <w:r w:rsidR="00CE1745">
        <w:t xml:space="preserve"> depending on the licence holder’s access requirements</w:t>
      </w:r>
      <w:r w:rsidR="00B4569D">
        <w:t>.</w:t>
      </w:r>
      <w:r w:rsidR="00F0236E">
        <w:t xml:space="preserve"> The lead inspector should ensure that team member</w:t>
      </w:r>
      <w:r w:rsidR="00FD12C0">
        <w:t>s</w:t>
      </w:r>
      <w:r w:rsidR="00F0236E">
        <w:t xml:space="preserve"> ha</w:t>
      </w:r>
      <w:r w:rsidR="00FD12C0">
        <w:t>ve</w:t>
      </w:r>
      <w:r w:rsidR="00F0236E">
        <w:t xml:space="preserve"> completed conflict of interest and confidentiality agreement </w:t>
      </w:r>
      <w:r w:rsidR="003A67D8">
        <w:t>declarations</w:t>
      </w:r>
      <w:r w:rsidR="00FD12C0">
        <w:t xml:space="preserve"> where appropriate</w:t>
      </w:r>
      <w:r w:rsidR="00F0236E">
        <w:t>.</w:t>
      </w:r>
    </w:p>
    <w:p w14:paraId="363A33F8" w14:textId="39D11F3F" w:rsidR="00E26230" w:rsidRDefault="00E26230" w:rsidP="0026652C">
      <w:r>
        <w:t>Where the inspection in</w:t>
      </w:r>
      <w:r w:rsidR="00F9782C">
        <w:t>volves</w:t>
      </w:r>
      <w:r>
        <w:t xml:space="preserve"> </w:t>
      </w:r>
      <w:r w:rsidR="000C1F74">
        <w:t xml:space="preserve">facilities, </w:t>
      </w:r>
      <w:r>
        <w:t xml:space="preserve">sources </w:t>
      </w:r>
      <w:r w:rsidR="000C1F74">
        <w:t xml:space="preserve">or controlled apparatus </w:t>
      </w:r>
      <w:r>
        <w:t xml:space="preserve">used for medical purposes, </w:t>
      </w:r>
      <w:r w:rsidR="007C4E02">
        <w:t xml:space="preserve">the lead inspector should </w:t>
      </w:r>
      <w:r>
        <w:t>liais</w:t>
      </w:r>
      <w:r w:rsidR="000C36F1">
        <w:t>e</w:t>
      </w:r>
      <w:r>
        <w:t xml:space="preserve"> with Medical Radiation Services Branch to involve officers from that branch in the inspection or to </w:t>
      </w:r>
      <w:r w:rsidR="00634A83">
        <w:t>seek</w:t>
      </w:r>
      <w:r>
        <w:t xml:space="preserve"> advice</w:t>
      </w:r>
      <w:r w:rsidR="00684B3B">
        <w:t xml:space="preserve"> in planning</w:t>
      </w:r>
      <w:r>
        <w:t>.</w:t>
      </w:r>
      <w:r w:rsidR="000C1F74">
        <w:t xml:space="preserve"> Further, if additional emergency preparedness and response expertise is required, advice should be sought from staff within the Radiation Health Services Branch – Monitoring and Emergency Response section.</w:t>
      </w:r>
    </w:p>
    <w:p w14:paraId="71E88D67" w14:textId="65A89A25" w:rsidR="00F9782C" w:rsidRDefault="00772CE5" w:rsidP="0026652C">
      <w:r>
        <w:t xml:space="preserve">Where ARPANSA is the licence holder, </w:t>
      </w:r>
      <w:r w:rsidR="00E26230">
        <w:t>a</w:t>
      </w:r>
      <w:r w:rsidR="00512BC8">
        <w:t xml:space="preserve">n </w:t>
      </w:r>
      <w:r w:rsidR="00E26230">
        <w:t xml:space="preserve">officer from a </w:t>
      </w:r>
      <w:r w:rsidR="00300195">
        <w:t>s</w:t>
      </w:r>
      <w:r>
        <w:t xml:space="preserve">tate </w:t>
      </w:r>
      <w:r w:rsidR="00E26230">
        <w:t xml:space="preserve">or </w:t>
      </w:r>
      <w:r w:rsidR="00300195">
        <w:t>t</w:t>
      </w:r>
      <w:r>
        <w:t xml:space="preserve">erritory </w:t>
      </w:r>
      <w:r w:rsidR="00E26230">
        <w:t>regulator</w:t>
      </w:r>
      <w:r w:rsidR="00F377AE">
        <w:t>y authority</w:t>
      </w:r>
      <w:r w:rsidR="00E26230">
        <w:t xml:space="preserve"> </w:t>
      </w:r>
      <w:r w:rsidR="00562F51">
        <w:t xml:space="preserve">must </w:t>
      </w:r>
      <w:r w:rsidR="00E26230">
        <w:t xml:space="preserve">accompany ARPANSA inspectors </w:t>
      </w:r>
      <w:r w:rsidR="00772A8F">
        <w:t>to provide independent oversight</w:t>
      </w:r>
      <w:r w:rsidR="003962B5">
        <w:t xml:space="preserve">. </w:t>
      </w:r>
      <w:r w:rsidR="00772A8F">
        <w:t xml:space="preserve">This is </w:t>
      </w:r>
      <w:r w:rsidR="00E26230">
        <w:t xml:space="preserve">to </w:t>
      </w:r>
      <w:r w:rsidR="00F377AE">
        <w:t>fulfil the CEO’s obligation</w:t>
      </w:r>
      <w:r w:rsidR="0022128B">
        <w:t>, and the obligation of all staff carrying out inspections on behalf of the CEO</w:t>
      </w:r>
      <w:r w:rsidR="00F377AE">
        <w:t xml:space="preserve"> under subsection 15(2) of the Act</w:t>
      </w:r>
      <w:r w:rsidR="00772A8F">
        <w:t>,</w:t>
      </w:r>
      <w:r w:rsidR="00F377AE">
        <w:t xml:space="preserve"> to take all reasonable steps to avoid any conflict of interest</w:t>
      </w:r>
      <w:r w:rsidR="00823D2C">
        <w:t xml:space="preserve"> between regulatory functions and other functions</w:t>
      </w:r>
      <w:r w:rsidR="00F377AE">
        <w:t xml:space="preserve">. </w:t>
      </w:r>
      <w:r w:rsidR="00E26230">
        <w:t>Th</w:t>
      </w:r>
      <w:r w:rsidR="008E43E7">
        <w:t>e lead inspector</w:t>
      </w:r>
      <w:r w:rsidR="00E26230">
        <w:t xml:space="preserve"> should discuss </w:t>
      </w:r>
      <w:r w:rsidR="008E43E7">
        <w:t xml:space="preserve">this </w:t>
      </w:r>
      <w:r w:rsidR="00E26230">
        <w:t xml:space="preserve">with the </w:t>
      </w:r>
      <w:r w:rsidR="00300195">
        <w:t>relevant</w:t>
      </w:r>
      <w:r w:rsidR="00512BC8">
        <w:t xml:space="preserve"> section </w:t>
      </w:r>
      <w:r w:rsidR="005D6201">
        <w:t xml:space="preserve">director </w:t>
      </w:r>
      <w:r w:rsidR="00113DF2">
        <w:t>who will</w:t>
      </w:r>
      <w:r w:rsidR="003D3349">
        <w:t xml:space="preserve"> arrange for </w:t>
      </w:r>
      <w:r w:rsidR="00E26230">
        <w:t xml:space="preserve">an appropriate regulator to </w:t>
      </w:r>
      <w:r w:rsidR="003D3349">
        <w:t>participate in the inspection</w:t>
      </w:r>
      <w:r w:rsidR="00E26230">
        <w:t>.</w:t>
      </w:r>
      <w:r w:rsidR="00F9782C" w:rsidRPr="00F9782C">
        <w:t xml:space="preserve"> </w:t>
      </w:r>
    </w:p>
    <w:p w14:paraId="7E60BBFD" w14:textId="39A67A1A" w:rsidR="008104A6" w:rsidRPr="00137680" w:rsidRDefault="008104A6" w:rsidP="0026652C">
      <w:pPr>
        <w:pStyle w:val="Heading4"/>
        <w:numPr>
          <w:ilvl w:val="1"/>
          <w:numId w:val="19"/>
        </w:numPr>
      </w:pPr>
      <w:bookmarkStart w:id="73" w:name="_Toc492399364"/>
      <w:bookmarkStart w:id="74" w:name="_Toc5290077"/>
      <w:r w:rsidRPr="00137680">
        <w:lastRenderedPageBreak/>
        <w:t xml:space="preserve">Document </w:t>
      </w:r>
      <w:r w:rsidR="00125C83" w:rsidRPr="00137680">
        <w:t>r</w:t>
      </w:r>
      <w:r w:rsidRPr="00137680">
        <w:t>eview</w:t>
      </w:r>
      <w:bookmarkEnd w:id="73"/>
      <w:bookmarkEnd w:id="74"/>
    </w:p>
    <w:p w14:paraId="6018E0D4" w14:textId="671C1830" w:rsidR="00EA14FC" w:rsidRDefault="006E09CF" w:rsidP="0026652C">
      <w:r>
        <w:t>D</w:t>
      </w:r>
      <w:r w:rsidR="00EA14FC">
        <w:t xml:space="preserve">ocuments </w:t>
      </w:r>
      <w:r>
        <w:t xml:space="preserve">are reviewed </w:t>
      </w:r>
      <w:r w:rsidR="00EA14FC">
        <w:t>to identify issues relevant to the inspection</w:t>
      </w:r>
      <w:r w:rsidR="00F22850">
        <w:t xml:space="preserve">. Such documents </w:t>
      </w:r>
      <w:r w:rsidR="00F922FC">
        <w:t xml:space="preserve">should </w:t>
      </w:r>
      <w:r w:rsidR="00F22850">
        <w:t>include</w:t>
      </w:r>
      <w:r w:rsidR="00EA14FC">
        <w:t>:</w:t>
      </w:r>
    </w:p>
    <w:p w14:paraId="35761D6D" w14:textId="20D75864" w:rsidR="00EA14FC" w:rsidRPr="00475DC2" w:rsidRDefault="00E057E3" w:rsidP="0026652C">
      <w:pPr>
        <w:pStyle w:val="ListParagraph"/>
        <w:numPr>
          <w:ilvl w:val="0"/>
          <w:numId w:val="11"/>
        </w:numPr>
      </w:pPr>
      <w:r w:rsidRPr="00475DC2">
        <w:t>PO</w:t>
      </w:r>
      <w:r w:rsidR="004126A1" w:rsidRPr="00475DC2">
        <w:t>&amp;</w:t>
      </w:r>
      <w:r w:rsidRPr="00475DC2">
        <w:t>C</w:t>
      </w:r>
      <w:r w:rsidR="00EA14FC" w:rsidRPr="00475DC2">
        <w:t xml:space="preserve"> </w:t>
      </w:r>
    </w:p>
    <w:p w14:paraId="0F53B478" w14:textId="4B4E719C" w:rsidR="002269B9" w:rsidRPr="00475DC2" w:rsidRDefault="002269B9" w:rsidP="0026652C">
      <w:pPr>
        <w:pStyle w:val="ListParagraph"/>
        <w:numPr>
          <w:ilvl w:val="0"/>
          <w:numId w:val="11"/>
        </w:numPr>
      </w:pPr>
      <w:r w:rsidRPr="00475DC2">
        <w:t xml:space="preserve">Current </w:t>
      </w:r>
      <w:r w:rsidR="00AE25C5" w:rsidRPr="00475DC2">
        <w:t>l</w:t>
      </w:r>
      <w:r w:rsidRPr="00475DC2">
        <w:t xml:space="preserve">icensing </w:t>
      </w:r>
      <w:r w:rsidR="00AE25C5" w:rsidRPr="00475DC2">
        <w:t>b</w:t>
      </w:r>
      <w:r w:rsidRPr="00475DC2">
        <w:t>asis</w:t>
      </w:r>
    </w:p>
    <w:p w14:paraId="193F1937" w14:textId="77777777" w:rsidR="00240C1E" w:rsidRPr="00475DC2" w:rsidRDefault="00240C1E" w:rsidP="0026652C">
      <w:pPr>
        <w:pStyle w:val="ListParagraph"/>
        <w:numPr>
          <w:ilvl w:val="0"/>
          <w:numId w:val="11"/>
        </w:numPr>
      </w:pPr>
      <w:r w:rsidRPr="00475DC2">
        <w:t>Recent applications for changes</w:t>
      </w:r>
    </w:p>
    <w:p w14:paraId="206ABB0B" w14:textId="77777777" w:rsidR="00EA14FC" w:rsidRPr="00475DC2" w:rsidRDefault="00EB2189" w:rsidP="0026652C">
      <w:pPr>
        <w:pStyle w:val="ListParagraph"/>
        <w:numPr>
          <w:ilvl w:val="0"/>
          <w:numId w:val="11"/>
        </w:numPr>
      </w:pPr>
      <w:r w:rsidRPr="00475DC2">
        <w:t xml:space="preserve">Recent regulatory </w:t>
      </w:r>
      <w:r w:rsidR="00EA14FC" w:rsidRPr="00475DC2">
        <w:t>assessment reports</w:t>
      </w:r>
    </w:p>
    <w:p w14:paraId="39965B94" w14:textId="6F8E5FC0" w:rsidR="00EA14FC" w:rsidRPr="00475DC2" w:rsidRDefault="00EA14FC" w:rsidP="0026652C">
      <w:pPr>
        <w:pStyle w:val="ListParagraph"/>
        <w:numPr>
          <w:ilvl w:val="0"/>
          <w:numId w:val="11"/>
        </w:numPr>
      </w:pPr>
      <w:r w:rsidRPr="00475DC2">
        <w:t>Licence holder’s policies/plans/procedures/</w:t>
      </w:r>
      <w:r w:rsidR="00AE25C5" w:rsidRPr="00475DC2">
        <w:t>s</w:t>
      </w:r>
      <w:r w:rsidRPr="00475DC2">
        <w:t>ource</w:t>
      </w:r>
      <w:r w:rsidR="00E74190" w:rsidRPr="00475DC2">
        <w:t xml:space="preserve"> </w:t>
      </w:r>
      <w:r w:rsidR="00AE25C5" w:rsidRPr="00475DC2">
        <w:t>i</w:t>
      </w:r>
      <w:r w:rsidRPr="00475DC2">
        <w:t xml:space="preserve">nventory </w:t>
      </w:r>
      <w:r w:rsidR="00AE25C5" w:rsidRPr="00475DC2">
        <w:t>w</w:t>
      </w:r>
      <w:r w:rsidRPr="00475DC2">
        <w:t xml:space="preserve">orkbook or other documentation </w:t>
      </w:r>
    </w:p>
    <w:p w14:paraId="58441AA6" w14:textId="77777777" w:rsidR="00EA14FC" w:rsidRPr="00475DC2" w:rsidRDefault="00A35085" w:rsidP="0026652C">
      <w:pPr>
        <w:pStyle w:val="ListParagraph"/>
        <w:numPr>
          <w:ilvl w:val="0"/>
          <w:numId w:val="11"/>
        </w:numPr>
      </w:pPr>
      <w:r w:rsidRPr="00475DC2">
        <w:t>Relevant c</w:t>
      </w:r>
      <w:r w:rsidR="00EA14FC" w:rsidRPr="00475DC2">
        <w:t xml:space="preserve">orrespondence between ARPANSA and the licence holder </w:t>
      </w:r>
    </w:p>
    <w:p w14:paraId="47BF42FF" w14:textId="77777777" w:rsidR="00EA14FC" w:rsidRPr="00475DC2" w:rsidRDefault="00EA14FC" w:rsidP="0026652C">
      <w:pPr>
        <w:pStyle w:val="ListParagraph"/>
        <w:numPr>
          <w:ilvl w:val="0"/>
          <w:numId w:val="11"/>
        </w:numPr>
      </w:pPr>
      <w:r w:rsidRPr="00475DC2">
        <w:t xml:space="preserve">Previous inspection reports and </w:t>
      </w:r>
      <w:r w:rsidR="003F6107" w:rsidRPr="00475DC2">
        <w:t>outcomes</w:t>
      </w:r>
    </w:p>
    <w:p w14:paraId="0F7A11AC" w14:textId="77777777" w:rsidR="00240C1E" w:rsidRPr="00475DC2" w:rsidRDefault="00240C1E" w:rsidP="0026652C">
      <w:pPr>
        <w:pStyle w:val="ListParagraph"/>
        <w:numPr>
          <w:ilvl w:val="0"/>
          <w:numId w:val="11"/>
        </w:numPr>
      </w:pPr>
      <w:r w:rsidRPr="00475DC2">
        <w:t>Recent site visit reports and observations made</w:t>
      </w:r>
    </w:p>
    <w:p w14:paraId="5904AF93" w14:textId="1CAA31B1" w:rsidR="00A35085" w:rsidRPr="00475DC2" w:rsidRDefault="00A35085" w:rsidP="0026652C">
      <w:pPr>
        <w:pStyle w:val="ListParagraph"/>
        <w:numPr>
          <w:ilvl w:val="0"/>
          <w:numId w:val="11"/>
        </w:numPr>
      </w:pPr>
      <w:r w:rsidRPr="00475DC2">
        <w:t xml:space="preserve">Regulatory </w:t>
      </w:r>
      <w:r w:rsidR="00BD31EE" w:rsidRPr="00475DC2">
        <w:t>g</w:t>
      </w:r>
      <w:r w:rsidRPr="00475DC2">
        <w:t xml:space="preserve">uides </w:t>
      </w:r>
    </w:p>
    <w:p w14:paraId="23D08E2B" w14:textId="77777777" w:rsidR="00EA14FC" w:rsidRPr="00475DC2" w:rsidRDefault="00EA14FC" w:rsidP="0026652C">
      <w:pPr>
        <w:pStyle w:val="ListParagraph"/>
        <w:numPr>
          <w:ilvl w:val="0"/>
          <w:numId w:val="11"/>
        </w:numPr>
      </w:pPr>
      <w:r w:rsidRPr="00475DC2">
        <w:t>International Best Practice</w:t>
      </w:r>
      <w:r w:rsidR="00E35707" w:rsidRPr="00475DC2">
        <w:t xml:space="preserve">/ </w:t>
      </w:r>
      <w:r w:rsidR="003F6107" w:rsidRPr="00475DC2">
        <w:t>relevant i</w:t>
      </w:r>
      <w:r w:rsidR="00E35707" w:rsidRPr="00475DC2">
        <w:t xml:space="preserve">nternational </w:t>
      </w:r>
      <w:r w:rsidR="003F6107" w:rsidRPr="00475DC2">
        <w:t>publications</w:t>
      </w:r>
    </w:p>
    <w:p w14:paraId="12EAD374" w14:textId="77777777" w:rsidR="00EA14FC" w:rsidRPr="00475DC2" w:rsidRDefault="00EA14FC" w:rsidP="0026652C">
      <w:pPr>
        <w:pStyle w:val="ListParagraph"/>
        <w:numPr>
          <w:ilvl w:val="0"/>
          <w:numId w:val="11"/>
        </w:numPr>
      </w:pPr>
      <w:r w:rsidRPr="00475DC2">
        <w:t>Previous inspection file notes</w:t>
      </w:r>
    </w:p>
    <w:p w14:paraId="55BEB5B9" w14:textId="77777777" w:rsidR="00EA14FC" w:rsidRPr="00475DC2" w:rsidRDefault="00EA14FC" w:rsidP="0026652C">
      <w:pPr>
        <w:pStyle w:val="ListParagraph"/>
        <w:numPr>
          <w:ilvl w:val="0"/>
          <w:numId w:val="11"/>
        </w:numPr>
      </w:pPr>
      <w:r w:rsidRPr="00475DC2">
        <w:t xml:space="preserve">Licence holder’s </w:t>
      </w:r>
      <w:r w:rsidR="00CC5DCA" w:rsidRPr="00475DC2">
        <w:t>quarterly</w:t>
      </w:r>
      <w:r w:rsidR="003F6107" w:rsidRPr="00475DC2">
        <w:t>/</w:t>
      </w:r>
      <w:r w:rsidR="00CC5DCA" w:rsidRPr="00475DC2">
        <w:t>annual</w:t>
      </w:r>
      <w:r w:rsidR="00E74190" w:rsidRPr="00475DC2">
        <w:t xml:space="preserve"> </w:t>
      </w:r>
      <w:r w:rsidR="0068047B" w:rsidRPr="00475DC2">
        <w:t xml:space="preserve">compliance </w:t>
      </w:r>
      <w:r w:rsidRPr="00475DC2">
        <w:t>reports</w:t>
      </w:r>
    </w:p>
    <w:p w14:paraId="76769399" w14:textId="77777777" w:rsidR="00084222" w:rsidRPr="00475DC2" w:rsidRDefault="00EA14FC" w:rsidP="0026652C">
      <w:pPr>
        <w:pStyle w:val="ListParagraph"/>
        <w:numPr>
          <w:ilvl w:val="0"/>
          <w:numId w:val="11"/>
        </w:numPr>
      </w:pPr>
      <w:r w:rsidRPr="00475DC2">
        <w:t>Any reports of accidents or incidents, including abnormal occurrences or near misses</w:t>
      </w:r>
    </w:p>
    <w:p w14:paraId="7DAA56D3" w14:textId="77777777" w:rsidR="00F8323C" w:rsidRPr="00F8323C" w:rsidRDefault="00F8323C" w:rsidP="0026652C">
      <w:pPr>
        <w:pStyle w:val="ListParagraph"/>
        <w:numPr>
          <w:ilvl w:val="0"/>
          <w:numId w:val="11"/>
        </w:numPr>
        <w:rPr>
          <w:rStyle w:val="Normalbold"/>
          <w:b w:val="0"/>
        </w:rPr>
      </w:pPr>
      <w:bookmarkStart w:id="75" w:name="_Toc492399365"/>
      <w:r w:rsidRPr="00F8323C">
        <w:rPr>
          <w:rStyle w:val="Normalbold"/>
          <w:b w:val="0"/>
        </w:rPr>
        <w:t>Endorsed security plan or other specific security considerations relevant to RPS11</w:t>
      </w:r>
    </w:p>
    <w:p w14:paraId="350F8808" w14:textId="164E8DD6" w:rsidR="008104A6" w:rsidRPr="00137680" w:rsidRDefault="008104A6" w:rsidP="0026652C">
      <w:pPr>
        <w:pStyle w:val="Heading4"/>
        <w:numPr>
          <w:ilvl w:val="1"/>
          <w:numId w:val="19"/>
        </w:numPr>
      </w:pPr>
      <w:bookmarkStart w:id="76" w:name="_Toc5290078"/>
      <w:r w:rsidRPr="00137680">
        <w:t>Timetable</w:t>
      </w:r>
      <w:bookmarkEnd w:id="75"/>
      <w:bookmarkEnd w:id="76"/>
      <w:r w:rsidR="00AD384F" w:rsidRPr="00137680">
        <w:t xml:space="preserve"> </w:t>
      </w:r>
    </w:p>
    <w:p w14:paraId="2FE277BE" w14:textId="3118ACCC" w:rsidR="00EA14FC" w:rsidRDefault="0022128B" w:rsidP="0026652C">
      <w:r>
        <w:t>A</w:t>
      </w:r>
      <w:r w:rsidR="003B3850" w:rsidRPr="003B3850">
        <w:t xml:space="preserve">n inspection plan </w:t>
      </w:r>
      <w:r>
        <w:t xml:space="preserve">should be drafted which entails </w:t>
      </w:r>
      <w:r w:rsidR="003B3850" w:rsidRPr="003B3850">
        <w:t xml:space="preserve">sufficient flexibility to allow for unforeseen events or </w:t>
      </w:r>
      <w:r w:rsidR="000C1F74">
        <w:t xml:space="preserve">the </w:t>
      </w:r>
      <w:r w:rsidR="003B3850" w:rsidRPr="003B3850">
        <w:t xml:space="preserve">pursuit of </w:t>
      </w:r>
      <w:r w:rsidR="000C1F74">
        <w:t>further enquiries</w:t>
      </w:r>
      <w:r w:rsidR="000C1F74" w:rsidRPr="003B3850">
        <w:t xml:space="preserve"> </w:t>
      </w:r>
      <w:r w:rsidR="003B3850" w:rsidRPr="003B3850">
        <w:t>that emerge during the inspection.</w:t>
      </w:r>
    </w:p>
    <w:p w14:paraId="62284371" w14:textId="32D60852" w:rsidR="00240C1E" w:rsidRPr="00EA14FC" w:rsidRDefault="003B3850" w:rsidP="0026652C">
      <w:r>
        <w:t>Inspections should be performed during the licence holder’s normal working hours, unless special circumstances dictate otherwise</w:t>
      </w:r>
      <w:r w:rsidR="003962B5">
        <w:t xml:space="preserve">. </w:t>
      </w:r>
      <w:r>
        <w:t xml:space="preserve">If performing an inspection outside working hours, the consent of the licence holder or occupier of the premises </w:t>
      </w:r>
      <w:r w:rsidR="00884F28">
        <w:t>should be obtained</w:t>
      </w:r>
      <w:r w:rsidR="003962B5">
        <w:t xml:space="preserve">. </w:t>
      </w:r>
      <w:r w:rsidR="00240C1E">
        <w:t>Whe</w:t>
      </w:r>
      <w:r w:rsidR="006E5BE7">
        <w:t>re</w:t>
      </w:r>
      <w:r w:rsidR="00240C1E">
        <w:t xml:space="preserve"> possible, </w:t>
      </w:r>
      <w:r w:rsidR="00CF5A0D">
        <w:t xml:space="preserve">the </w:t>
      </w:r>
      <w:r w:rsidR="000F4257">
        <w:t xml:space="preserve">timing </w:t>
      </w:r>
      <w:r w:rsidR="00CF5A0D">
        <w:t xml:space="preserve">should </w:t>
      </w:r>
      <w:r w:rsidR="00240C1E">
        <w:t xml:space="preserve">consider </w:t>
      </w:r>
      <w:r w:rsidR="00CF5A0D">
        <w:t xml:space="preserve">the </w:t>
      </w:r>
      <w:r w:rsidR="00684B3B">
        <w:t>licence holder</w:t>
      </w:r>
      <w:r w:rsidR="00CF5A0D">
        <w:t>’s operations.</w:t>
      </w:r>
    </w:p>
    <w:p w14:paraId="3DB01E64" w14:textId="35CB260C" w:rsidR="008104A6" w:rsidRPr="00137680" w:rsidRDefault="008104A6" w:rsidP="0026652C">
      <w:pPr>
        <w:pStyle w:val="Heading4"/>
        <w:numPr>
          <w:ilvl w:val="1"/>
          <w:numId w:val="19"/>
        </w:numPr>
      </w:pPr>
      <w:bookmarkStart w:id="77" w:name="_Toc492399366"/>
      <w:bookmarkStart w:id="78" w:name="_Toc5290079"/>
      <w:r w:rsidRPr="00137680">
        <w:t>Notification</w:t>
      </w:r>
      <w:bookmarkEnd w:id="77"/>
      <w:bookmarkEnd w:id="78"/>
      <w:r w:rsidR="00AD384F" w:rsidRPr="00137680">
        <w:t xml:space="preserve"> </w:t>
      </w:r>
    </w:p>
    <w:p w14:paraId="288AC217" w14:textId="13AF39B3" w:rsidR="00B35930" w:rsidRPr="00AA6990" w:rsidRDefault="000C1F74" w:rsidP="0026652C">
      <w:r>
        <w:t>For scheduled inspections p</w:t>
      </w:r>
      <w:r w:rsidR="00B35930" w:rsidRPr="00AA6990">
        <w:t xml:space="preserve">rior notification must be </w:t>
      </w:r>
      <w:r>
        <w:t>provided</w:t>
      </w:r>
      <w:r w:rsidRPr="00AA6990">
        <w:t xml:space="preserve"> </w:t>
      </w:r>
      <w:r w:rsidR="00B35930" w:rsidRPr="00AA6990">
        <w:t>to avoid disruption of the licence holder’s operations, and to ensure that appropriate personnel are available</w:t>
      </w:r>
      <w:r w:rsidR="003962B5">
        <w:t xml:space="preserve">. </w:t>
      </w:r>
    </w:p>
    <w:p w14:paraId="19F09DF7" w14:textId="2F7B905D" w:rsidR="00B140FD" w:rsidRDefault="006B1CBE" w:rsidP="0026652C">
      <w:r>
        <w:t xml:space="preserve">The </w:t>
      </w:r>
      <w:r w:rsidR="00684B3B">
        <w:t>l</w:t>
      </w:r>
      <w:r>
        <w:t xml:space="preserve">ead </w:t>
      </w:r>
      <w:r w:rsidR="00684B3B">
        <w:t>i</w:t>
      </w:r>
      <w:r>
        <w:t xml:space="preserve">nspector </w:t>
      </w:r>
      <w:r w:rsidR="000C1F74">
        <w:t xml:space="preserve">should </w:t>
      </w:r>
      <w:r w:rsidR="004B14B9">
        <w:t xml:space="preserve">send an </w:t>
      </w:r>
      <w:r>
        <w:t>email</w:t>
      </w:r>
      <w:r w:rsidR="00F9782C">
        <w:t xml:space="preserve"> </w:t>
      </w:r>
      <w:r w:rsidR="004B14B9">
        <w:t>notification</w:t>
      </w:r>
      <w:r w:rsidR="006D2BDA">
        <w:t xml:space="preserve"> t</w:t>
      </w:r>
      <w:r w:rsidR="00AA6990" w:rsidRPr="00AA6990">
        <w:t>o the licence holder/nominee and licence holder contact person at least two weeks prior to the inspection</w:t>
      </w:r>
      <w:r w:rsidR="003962B5">
        <w:t xml:space="preserve">. </w:t>
      </w:r>
      <w:r w:rsidR="00B140FD">
        <w:t xml:space="preserve">The notification email should be copied to the relevant </w:t>
      </w:r>
      <w:r w:rsidR="005D6201">
        <w:t>director</w:t>
      </w:r>
      <w:r w:rsidR="00B140FD">
        <w:t xml:space="preserve">. </w:t>
      </w:r>
    </w:p>
    <w:p w14:paraId="29D64BF2" w14:textId="6F670C6F" w:rsidR="00B140FD" w:rsidRPr="00AA6990" w:rsidRDefault="00B140FD" w:rsidP="0026652C">
      <w:r w:rsidRPr="00AA6990">
        <w:t xml:space="preserve">In </w:t>
      </w:r>
      <w:r>
        <w:t xml:space="preserve">the </w:t>
      </w:r>
      <w:r w:rsidRPr="00AA6990">
        <w:t xml:space="preserve">case of </w:t>
      </w:r>
      <w:r>
        <w:t xml:space="preserve">an unannounced </w:t>
      </w:r>
      <w:r w:rsidRPr="00AA6990">
        <w:t xml:space="preserve">inspection, </w:t>
      </w:r>
      <w:r>
        <w:t>the notification email</w:t>
      </w:r>
      <w:r w:rsidRPr="00AA6990">
        <w:t xml:space="preserve"> </w:t>
      </w:r>
      <w:r>
        <w:t xml:space="preserve">must be authorised by </w:t>
      </w:r>
      <w:r w:rsidRPr="00AA6990">
        <w:t xml:space="preserve">the </w:t>
      </w:r>
      <w:r>
        <w:t xml:space="preserve">Chief </w:t>
      </w:r>
      <w:r w:rsidR="002709D2">
        <w:t>Regulatory Officer</w:t>
      </w:r>
      <w:r w:rsidRPr="00AA6990">
        <w:t xml:space="preserve"> or delegate and provided to the licence holder </w:t>
      </w:r>
      <w:r>
        <w:t>prior to entry</w:t>
      </w:r>
      <w:r w:rsidR="00084222">
        <w:t>, where applicable</w:t>
      </w:r>
      <w:r w:rsidRPr="00AA6990">
        <w:t>.</w:t>
      </w:r>
    </w:p>
    <w:p w14:paraId="23E24076" w14:textId="77777777" w:rsidR="009B5584" w:rsidRDefault="00A55427" w:rsidP="0026652C">
      <w:r>
        <w:t xml:space="preserve">The notification process </w:t>
      </w:r>
      <w:r w:rsidR="008666E1">
        <w:t xml:space="preserve">may </w:t>
      </w:r>
      <w:r w:rsidR="009B5584">
        <w:t xml:space="preserve">also </w:t>
      </w:r>
      <w:r>
        <w:t xml:space="preserve">include phone calls or emails to request documents before the inspection and/or </w:t>
      </w:r>
      <w:r w:rsidR="009B5584">
        <w:t xml:space="preserve">to </w:t>
      </w:r>
      <w:r>
        <w:t xml:space="preserve">identify any documents to be produced at the inspection (such as internal audit reports, logbooks). Inspectors should identify persons or groups required for interview, any plant and equipment to be available, and any demonstration that may be required. </w:t>
      </w:r>
    </w:p>
    <w:p w14:paraId="06E1F5BD" w14:textId="42B25D9E" w:rsidR="00084222" w:rsidRDefault="00084222" w:rsidP="0026652C">
      <w:pPr>
        <w:rPr>
          <w:rFonts w:eastAsia="Batang"/>
          <w:lang w:eastAsia="ko-KR"/>
        </w:rPr>
      </w:pPr>
      <w:r>
        <w:lastRenderedPageBreak/>
        <w:t xml:space="preserve">A </w:t>
      </w:r>
      <w:r w:rsidRPr="003962B5">
        <w:rPr>
          <w:i/>
        </w:rPr>
        <w:t xml:space="preserve">Workplace Hazard Identification Checklist </w:t>
      </w:r>
      <w:r>
        <w:t xml:space="preserve">should be emailed to the licence holder for completion prior to the inspection where possible. Alternatively, the appraisal of hazards that may be encountered during an inspection may be discussed over the phone or during the entrance meeting and the information recorded. </w:t>
      </w:r>
      <w:r w:rsidRPr="006D3BA0">
        <w:t xml:space="preserve">Workplace Identification Checklists should be saved </w:t>
      </w:r>
      <w:r>
        <w:t xml:space="preserve">in the RMS </w:t>
      </w:r>
      <w:r w:rsidRPr="006D3BA0">
        <w:t xml:space="preserve">for </w:t>
      </w:r>
      <w:r>
        <w:t>work health safety p</w:t>
      </w:r>
      <w:r w:rsidRPr="006D3BA0">
        <w:t>urposes</w:t>
      </w:r>
      <w:r>
        <w:t>.</w:t>
      </w:r>
      <w:r w:rsidRPr="006D3BA0">
        <w:rPr>
          <w:rFonts w:eastAsia="Batang"/>
          <w:lang w:eastAsia="ko-KR"/>
        </w:rPr>
        <w:t xml:space="preserve"> </w:t>
      </w:r>
    </w:p>
    <w:p w14:paraId="031E178A" w14:textId="1CB91310" w:rsidR="00BA233D" w:rsidRDefault="00BA233D" w:rsidP="0026652C">
      <w:r>
        <w:t xml:space="preserve">For </w:t>
      </w:r>
      <w:r w:rsidR="00236862">
        <w:t>e-inspection</w:t>
      </w:r>
      <w:r>
        <w:t>s the notification will include a request for specific information</w:t>
      </w:r>
      <w:r w:rsidR="002943E1">
        <w:t xml:space="preserve"> </w:t>
      </w:r>
      <w:r w:rsidR="00DA7F52">
        <w:t>and declaration</w:t>
      </w:r>
      <w:r w:rsidRPr="006774D6">
        <w:t xml:space="preserve">. The date for submission </w:t>
      </w:r>
      <w:r>
        <w:t>will</w:t>
      </w:r>
      <w:r w:rsidRPr="006774D6">
        <w:t xml:space="preserve"> typically </w:t>
      </w:r>
      <w:r>
        <w:t xml:space="preserve">be </w:t>
      </w:r>
      <w:r w:rsidRPr="006774D6">
        <w:t>14 days</w:t>
      </w:r>
      <w:r>
        <w:t xml:space="preserve"> from the date of notification</w:t>
      </w:r>
      <w:r w:rsidR="003962B5">
        <w:t xml:space="preserve">. </w:t>
      </w:r>
    </w:p>
    <w:p w14:paraId="0F940F8E" w14:textId="14ED5BA5" w:rsidR="00B140FD" w:rsidRPr="00AA6990" w:rsidRDefault="00B140FD" w:rsidP="0026652C">
      <w:r>
        <w:t>The lead inspector must update LAD with details of the inspection when the notification is sent.</w:t>
      </w:r>
    </w:p>
    <w:p w14:paraId="1FB93EDC" w14:textId="28A8B4B6" w:rsidR="000B2A64" w:rsidRPr="00137680" w:rsidRDefault="00993EB0" w:rsidP="0026652C">
      <w:pPr>
        <w:pStyle w:val="Heading4"/>
        <w:numPr>
          <w:ilvl w:val="1"/>
          <w:numId w:val="19"/>
        </w:numPr>
      </w:pPr>
      <w:bookmarkStart w:id="79" w:name="_Toc492399367"/>
      <w:bookmarkStart w:id="80" w:name="_Toc5290080"/>
      <w:r w:rsidRPr="00137680">
        <w:t>L</w:t>
      </w:r>
      <w:r w:rsidR="000B2A64" w:rsidRPr="00137680">
        <w:t>ogistics</w:t>
      </w:r>
      <w:bookmarkEnd w:id="79"/>
      <w:bookmarkEnd w:id="80"/>
    </w:p>
    <w:p w14:paraId="20AD4D7F" w14:textId="76827FCC" w:rsidR="009B1829" w:rsidRPr="009B1829" w:rsidRDefault="006E09CF" w:rsidP="0026652C">
      <w:pPr>
        <w:rPr>
          <w:snapToGrid w:val="0"/>
        </w:rPr>
      </w:pPr>
      <w:r>
        <w:rPr>
          <w:snapToGrid w:val="0"/>
        </w:rPr>
        <w:t>R</w:t>
      </w:r>
      <w:r w:rsidR="00684B3B">
        <w:rPr>
          <w:snapToGrid w:val="0"/>
        </w:rPr>
        <w:t xml:space="preserve">elevant </w:t>
      </w:r>
      <w:r w:rsidR="00684B3B" w:rsidRPr="009B1829">
        <w:rPr>
          <w:snapToGrid w:val="0"/>
        </w:rPr>
        <w:t>checklists</w:t>
      </w:r>
      <w:r>
        <w:rPr>
          <w:snapToGrid w:val="0"/>
        </w:rPr>
        <w:t xml:space="preserve"> should be prepared and any </w:t>
      </w:r>
      <w:r w:rsidR="009B1829" w:rsidRPr="009B1829">
        <w:rPr>
          <w:snapToGrid w:val="0"/>
        </w:rPr>
        <w:t>equipment</w:t>
      </w:r>
      <w:r>
        <w:rPr>
          <w:snapToGrid w:val="0"/>
        </w:rPr>
        <w:t xml:space="preserve"> identified</w:t>
      </w:r>
      <w:r w:rsidR="000C1F74">
        <w:rPr>
          <w:snapToGrid w:val="0"/>
        </w:rPr>
        <w:t>.</w:t>
      </w:r>
      <w:r>
        <w:rPr>
          <w:snapToGrid w:val="0"/>
        </w:rPr>
        <w:t xml:space="preserve"> </w:t>
      </w:r>
      <w:r w:rsidR="000C1F74">
        <w:rPr>
          <w:snapToGrid w:val="0"/>
        </w:rPr>
        <w:t xml:space="preserve">For </w:t>
      </w:r>
      <w:r>
        <w:rPr>
          <w:snapToGrid w:val="0"/>
        </w:rPr>
        <w:t>example</w:t>
      </w:r>
      <w:r w:rsidR="000C1F74">
        <w:rPr>
          <w:snapToGrid w:val="0"/>
        </w:rPr>
        <w:t>:</w:t>
      </w:r>
      <w:r w:rsidR="009B1829" w:rsidRPr="009B1829">
        <w:rPr>
          <w:snapToGrid w:val="0"/>
        </w:rPr>
        <w:t xml:space="preserve"> radiation </w:t>
      </w:r>
      <w:r w:rsidR="000C1F74">
        <w:rPr>
          <w:snapToGrid w:val="0"/>
        </w:rPr>
        <w:t>detection equipment, specialised safety equipment</w:t>
      </w:r>
      <w:r w:rsidR="005E5469">
        <w:rPr>
          <w:snapToGrid w:val="0"/>
        </w:rPr>
        <w:t xml:space="preserve"> or</w:t>
      </w:r>
      <w:r w:rsidR="009B1829" w:rsidRPr="009B1829">
        <w:rPr>
          <w:snapToGrid w:val="0"/>
        </w:rPr>
        <w:t xml:space="preserve"> </w:t>
      </w:r>
      <w:r w:rsidR="000C1F74">
        <w:rPr>
          <w:snapToGrid w:val="0"/>
        </w:rPr>
        <w:t xml:space="preserve">other electronics such as </w:t>
      </w:r>
      <w:r w:rsidR="009B1829" w:rsidRPr="009B1829">
        <w:rPr>
          <w:snapToGrid w:val="0"/>
        </w:rPr>
        <w:t xml:space="preserve">recording devices. </w:t>
      </w:r>
    </w:p>
    <w:p w14:paraId="1C025EA2" w14:textId="43DE7CD3" w:rsidR="00EF4ED7" w:rsidRDefault="006E09CF" w:rsidP="0026652C">
      <w:pPr>
        <w:rPr>
          <w:snapToGrid w:val="0"/>
        </w:rPr>
      </w:pPr>
      <w:r>
        <w:t>The lead inspector should determine t</w:t>
      </w:r>
      <w:r w:rsidR="009B1829" w:rsidRPr="009B1829">
        <w:t xml:space="preserve">he inspection timetable and travel arrangements and co-ordinate with any team members outside </w:t>
      </w:r>
      <w:r w:rsidR="009B1829" w:rsidRPr="009B1829">
        <w:rPr>
          <w:snapToGrid w:val="0"/>
        </w:rPr>
        <w:t>of Regulatory Services.</w:t>
      </w:r>
      <w:r w:rsidR="000628A7">
        <w:rPr>
          <w:snapToGrid w:val="0"/>
        </w:rPr>
        <w:t xml:space="preserve"> </w:t>
      </w:r>
      <w:r>
        <w:rPr>
          <w:snapToGrid w:val="0"/>
        </w:rPr>
        <w:t>A</w:t>
      </w:r>
      <w:r w:rsidR="000628A7">
        <w:rPr>
          <w:snapToGrid w:val="0"/>
        </w:rPr>
        <w:t xml:space="preserve">pprovals </w:t>
      </w:r>
      <w:r>
        <w:rPr>
          <w:snapToGrid w:val="0"/>
        </w:rPr>
        <w:t xml:space="preserve">are sought </w:t>
      </w:r>
      <w:r w:rsidR="000628A7">
        <w:rPr>
          <w:snapToGrid w:val="0"/>
        </w:rPr>
        <w:t>as necessary</w:t>
      </w:r>
      <w:r w:rsidR="003962B5">
        <w:rPr>
          <w:snapToGrid w:val="0"/>
        </w:rPr>
        <w:t xml:space="preserve"> </w:t>
      </w:r>
      <w:r w:rsidR="00850C5F">
        <w:rPr>
          <w:snapToGrid w:val="0"/>
        </w:rPr>
        <w:t>(</w:t>
      </w:r>
      <w:r w:rsidR="00684B3B" w:rsidRPr="00850C5F">
        <w:rPr>
          <w:snapToGrid w:val="0"/>
        </w:rPr>
        <w:t xml:space="preserve">See </w:t>
      </w:r>
      <w:hyperlink w:anchor="_Appendix_1:_Report" w:history="1">
        <w:r w:rsidR="001D34F3" w:rsidRPr="003962B5">
          <w:rPr>
            <w:rStyle w:val="Hyperlink"/>
            <w:rFonts w:eastAsia="Times New Roman"/>
            <w:snapToGrid w:val="0"/>
            <w:color w:val="auto"/>
            <w:u w:val="none"/>
          </w:rPr>
          <w:t>Appendix C</w:t>
        </w:r>
        <w:r w:rsidR="00041F73" w:rsidRPr="003962B5">
          <w:rPr>
            <w:rStyle w:val="Hyperlink"/>
            <w:rFonts w:eastAsia="Times New Roman"/>
            <w:snapToGrid w:val="0"/>
            <w:color w:val="auto"/>
            <w:u w:val="none"/>
          </w:rPr>
          <w:t xml:space="preserve"> - </w:t>
        </w:r>
        <w:r w:rsidR="00964F58" w:rsidRPr="003962B5">
          <w:rPr>
            <w:rStyle w:val="Hyperlink"/>
            <w:rFonts w:eastAsia="Times New Roman"/>
            <w:snapToGrid w:val="0"/>
            <w:color w:val="auto"/>
            <w:u w:val="none"/>
          </w:rPr>
          <w:t>Inspection flowchart</w:t>
        </w:r>
      </w:hyperlink>
      <w:r w:rsidR="00964F58" w:rsidRPr="00850C5F">
        <w:rPr>
          <w:snapToGrid w:val="0"/>
        </w:rPr>
        <w:t>)</w:t>
      </w:r>
      <w:r w:rsidR="008C1150">
        <w:rPr>
          <w:snapToGrid w:val="0"/>
        </w:rPr>
        <w:t>.</w:t>
      </w:r>
    </w:p>
    <w:p w14:paraId="21F52859" w14:textId="5515F9A9" w:rsidR="008104A6" w:rsidRPr="00FF3049" w:rsidRDefault="004C7DA5" w:rsidP="0026652C">
      <w:pPr>
        <w:pStyle w:val="Heading1"/>
        <w:numPr>
          <w:ilvl w:val="0"/>
          <w:numId w:val="20"/>
        </w:numPr>
      </w:pPr>
      <w:bookmarkStart w:id="81" w:name="_Toc483572283"/>
      <w:bookmarkStart w:id="82" w:name="_Toc492399368"/>
      <w:r w:rsidRPr="00FF3049">
        <w:t>Co</w:t>
      </w:r>
      <w:r w:rsidR="006A5FB5" w:rsidRPr="00FF3049">
        <w:t>n</w:t>
      </w:r>
      <w:r w:rsidRPr="00FF3049">
        <w:t>duct</w:t>
      </w:r>
      <w:r w:rsidR="00481859" w:rsidRPr="00FF3049">
        <w:t xml:space="preserve">ing the </w:t>
      </w:r>
      <w:r w:rsidR="006A5FB5" w:rsidRPr="00FF3049">
        <w:t>i</w:t>
      </w:r>
      <w:r w:rsidR="00CF41BA" w:rsidRPr="00FF3049">
        <w:t>nspection</w:t>
      </w:r>
      <w:bookmarkEnd w:id="81"/>
      <w:bookmarkEnd w:id="82"/>
    </w:p>
    <w:p w14:paraId="55199A59" w14:textId="35834580" w:rsidR="001F10A6" w:rsidRPr="00137680" w:rsidRDefault="008104A6" w:rsidP="0026652C">
      <w:pPr>
        <w:pStyle w:val="Heading4"/>
        <w:numPr>
          <w:ilvl w:val="1"/>
          <w:numId w:val="19"/>
        </w:numPr>
      </w:pPr>
      <w:bookmarkStart w:id="83" w:name="_Toc492399369"/>
      <w:bookmarkStart w:id="84" w:name="_Toc5290081"/>
      <w:r w:rsidRPr="00137680">
        <w:t xml:space="preserve">Entrance </w:t>
      </w:r>
      <w:r w:rsidR="00125C83" w:rsidRPr="00137680">
        <w:t>m</w:t>
      </w:r>
      <w:r w:rsidRPr="00137680">
        <w:t>eeting</w:t>
      </w:r>
      <w:bookmarkEnd w:id="83"/>
      <w:bookmarkEnd w:id="84"/>
    </w:p>
    <w:p w14:paraId="52433521" w14:textId="561ACFFA" w:rsidR="001F10A6" w:rsidRPr="00886BF2" w:rsidRDefault="006E09CF" w:rsidP="0026652C">
      <w:r>
        <w:t>A</w:t>
      </w:r>
      <w:r w:rsidR="001F10A6">
        <w:t>n</w:t>
      </w:r>
      <w:r w:rsidR="001F10A6" w:rsidRPr="00886BF2">
        <w:t xml:space="preserve"> initial meeting with licence holder</w:t>
      </w:r>
      <w:r w:rsidR="00D03B62">
        <w:t xml:space="preserve"> </w:t>
      </w:r>
      <w:r w:rsidR="001F10A6" w:rsidRPr="00886BF2">
        <w:t xml:space="preserve">representatives </w:t>
      </w:r>
      <w:r>
        <w:t xml:space="preserve">is </w:t>
      </w:r>
      <w:r w:rsidR="000C1F74">
        <w:t xml:space="preserve">typically </w:t>
      </w:r>
      <w:r>
        <w:t xml:space="preserve">held </w:t>
      </w:r>
      <w:r w:rsidR="001F10A6" w:rsidRPr="00886BF2">
        <w:t xml:space="preserve">for introductions and to: </w:t>
      </w:r>
    </w:p>
    <w:p w14:paraId="775A02EF" w14:textId="730E3078" w:rsidR="001F10A6" w:rsidRPr="00475DC2" w:rsidRDefault="001F10A6" w:rsidP="0026652C">
      <w:pPr>
        <w:pStyle w:val="ListParagraph"/>
        <w:numPr>
          <w:ilvl w:val="0"/>
          <w:numId w:val="12"/>
        </w:numPr>
      </w:pPr>
      <w:r w:rsidRPr="00475DC2">
        <w:t>Confirm inspection purposes, scope, and timetable. In case of a</w:t>
      </w:r>
      <w:r w:rsidR="004E6002" w:rsidRPr="00475DC2">
        <w:t>n unannounced</w:t>
      </w:r>
      <w:r w:rsidRPr="00475DC2">
        <w:t xml:space="preserve"> inspection,</w:t>
      </w:r>
      <w:r w:rsidR="005545E6" w:rsidRPr="00475DC2">
        <w:t xml:space="preserve"> where applicable,</w:t>
      </w:r>
      <w:r w:rsidRPr="00475DC2">
        <w:t xml:space="preserve"> the inspection </w:t>
      </w:r>
      <w:r w:rsidR="004E6002" w:rsidRPr="00475DC2">
        <w:t>notific</w:t>
      </w:r>
      <w:r w:rsidRPr="00475DC2">
        <w:t>ation letter</w:t>
      </w:r>
      <w:r w:rsidR="004E6002" w:rsidRPr="00475DC2">
        <w:t xml:space="preserve"> (signed by the branch head)</w:t>
      </w:r>
      <w:r w:rsidRPr="00475DC2">
        <w:t xml:space="preserve"> is shown to the licence holder</w:t>
      </w:r>
    </w:p>
    <w:p w14:paraId="532F83C2" w14:textId="77777777" w:rsidR="001F10A6" w:rsidRPr="00475DC2" w:rsidRDefault="001F10A6" w:rsidP="0026652C">
      <w:pPr>
        <w:pStyle w:val="ListParagraph"/>
        <w:numPr>
          <w:ilvl w:val="0"/>
          <w:numId w:val="12"/>
        </w:numPr>
      </w:pPr>
      <w:r w:rsidRPr="00475DC2">
        <w:t>Reiterate inspection criteria</w:t>
      </w:r>
    </w:p>
    <w:p w14:paraId="60DE89E8" w14:textId="77777777" w:rsidR="001F10A6" w:rsidRPr="00475DC2" w:rsidRDefault="001F10A6" w:rsidP="0026652C">
      <w:pPr>
        <w:pStyle w:val="ListParagraph"/>
        <w:numPr>
          <w:ilvl w:val="0"/>
          <w:numId w:val="12"/>
        </w:numPr>
      </w:pPr>
      <w:r w:rsidRPr="00475DC2">
        <w:t>Determine the approximate timing for the exit meeting</w:t>
      </w:r>
    </w:p>
    <w:p w14:paraId="545D80B7" w14:textId="3A0B5327" w:rsidR="001F10A6" w:rsidRPr="00475DC2" w:rsidRDefault="001F10A6" w:rsidP="0026652C">
      <w:pPr>
        <w:pStyle w:val="ListParagraph"/>
        <w:numPr>
          <w:ilvl w:val="0"/>
          <w:numId w:val="12"/>
        </w:numPr>
      </w:pPr>
      <w:r w:rsidRPr="00475DC2">
        <w:t>Review relevant site safety and emergency procedures for the inspection team</w:t>
      </w:r>
      <w:r w:rsidR="002943E1" w:rsidRPr="00475DC2">
        <w:t xml:space="preserve"> </w:t>
      </w:r>
      <w:r w:rsidRPr="00475DC2">
        <w:t>(review hazard notification form if necessary)</w:t>
      </w:r>
    </w:p>
    <w:p w14:paraId="4A5DAE89" w14:textId="77777777" w:rsidR="00B31AF4" w:rsidRPr="00475DC2" w:rsidRDefault="001F10A6" w:rsidP="0026652C">
      <w:pPr>
        <w:pStyle w:val="ListParagraph"/>
        <w:numPr>
          <w:ilvl w:val="0"/>
          <w:numId w:val="12"/>
        </w:numPr>
      </w:pPr>
      <w:r w:rsidRPr="00475DC2">
        <w:t xml:space="preserve">Explain </w:t>
      </w:r>
      <w:r w:rsidR="00877AF0" w:rsidRPr="00475DC2">
        <w:t xml:space="preserve">the </w:t>
      </w:r>
      <w:r w:rsidRPr="00475DC2">
        <w:t>role of inspectors</w:t>
      </w:r>
    </w:p>
    <w:p w14:paraId="3B1BA607" w14:textId="5270BF09" w:rsidR="001F10A6" w:rsidRPr="00475DC2" w:rsidRDefault="001F10A6" w:rsidP="0026652C">
      <w:pPr>
        <w:pStyle w:val="ListParagraph"/>
        <w:numPr>
          <w:ilvl w:val="0"/>
          <w:numId w:val="12"/>
        </w:numPr>
      </w:pPr>
      <w:r w:rsidRPr="00475DC2">
        <w:t>In some cases</w:t>
      </w:r>
      <w:r w:rsidR="005E1E93" w:rsidRPr="00475DC2">
        <w:t>,</w:t>
      </w:r>
      <w:r w:rsidRPr="00475DC2">
        <w:t xml:space="preserve"> an introduction to ARPANSA and its regulatory functions may be </w:t>
      </w:r>
      <w:r w:rsidR="005E1E93" w:rsidRPr="00475DC2">
        <w:t>a</w:t>
      </w:r>
      <w:r w:rsidR="00964F58" w:rsidRPr="00475DC2">
        <w:t>ppropriate</w:t>
      </w:r>
      <w:r w:rsidRPr="00475DC2">
        <w:t>.</w:t>
      </w:r>
    </w:p>
    <w:p w14:paraId="2EBD234D" w14:textId="164FE586" w:rsidR="001F10A6" w:rsidRPr="00886BF2" w:rsidRDefault="00964F58" w:rsidP="0026652C">
      <w:pPr>
        <w:rPr>
          <w:rFonts w:eastAsia="Times New Roman"/>
        </w:rPr>
      </w:pPr>
      <w:r>
        <w:t>The inspector must record all attendees. This may be done using</w:t>
      </w:r>
      <w:r w:rsidR="00C7781F">
        <w:t xml:space="preserve"> the </w:t>
      </w:r>
      <w:r w:rsidR="00C7781F" w:rsidRPr="003962B5">
        <w:rPr>
          <w:i/>
        </w:rPr>
        <w:t>Record of Meeting template</w:t>
      </w:r>
      <w:r w:rsidR="00C7781F" w:rsidRPr="00C7781F">
        <w:t>.</w:t>
      </w:r>
      <w:r>
        <w:rPr>
          <w:rStyle w:val="CommentReference"/>
        </w:rPr>
        <w:t xml:space="preserve"> </w:t>
      </w:r>
    </w:p>
    <w:p w14:paraId="290002C3" w14:textId="047C0B70" w:rsidR="001F10A6" w:rsidRPr="00137680" w:rsidRDefault="00334895" w:rsidP="0026652C">
      <w:pPr>
        <w:pStyle w:val="Heading4"/>
        <w:numPr>
          <w:ilvl w:val="1"/>
          <w:numId w:val="19"/>
        </w:numPr>
      </w:pPr>
      <w:bookmarkStart w:id="85" w:name="_Toc492399370"/>
      <w:bookmarkStart w:id="86" w:name="_Toc5290082"/>
      <w:r w:rsidRPr="00137680">
        <w:t>I</w:t>
      </w:r>
      <w:r w:rsidR="00AD384F" w:rsidRPr="00137680">
        <w:t>nformation</w:t>
      </w:r>
      <w:r w:rsidRPr="00137680">
        <w:t xml:space="preserve"> gathering</w:t>
      </w:r>
      <w:bookmarkEnd w:id="85"/>
      <w:bookmarkEnd w:id="86"/>
    </w:p>
    <w:p w14:paraId="0076B8C1" w14:textId="77777777" w:rsidR="000C64A0" w:rsidRDefault="001F10A6" w:rsidP="0026652C">
      <w:r w:rsidRPr="001F10A6">
        <w:t xml:space="preserve">As outlined in section 67 of the Act, inspectors can gather information by searching, inspecting, examining, questioning, taking measurements of, conducting tests, taking photographs, video recordings, audio recordings or making sketches, and taking extracts and copies. </w:t>
      </w:r>
    </w:p>
    <w:p w14:paraId="57ABF44F" w14:textId="3899E6D1" w:rsidR="000F4257" w:rsidRDefault="00412BB8" w:rsidP="0026652C">
      <w:r>
        <w:t xml:space="preserve">Problem </w:t>
      </w:r>
      <w:r w:rsidR="00F82A12">
        <w:t>d</w:t>
      </w:r>
      <w:r>
        <w:t xml:space="preserve">evelopment </w:t>
      </w:r>
      <w:r w:rsidR="00F82A12">
        <w:t>s</w:t>
      </w:r>
      <w:r>
        <w:t>tatements should be prepared during the course of the inspection and used as discussion points</w:t>
      </w:r>
      <w:r w:rsidR="00CC56DA">
        <w:t>. These will</w:t>
      </w:r>
      <w:r>
        <w:t xml:space="preserve"> form the basis of the inspection findings</w:t>
      </w:r>
      <w:r w:rsidR="003F6C31">
        <w:t xml:space="preserve"> in addition to any </w:t>
      </w:r>
      <w:r w:rsidR="00877AF0">
        <w:t xml:space="preserve">identified </w:t>
      </w:r>
      <w:r w:rsidR="00F82A12">
        <w:t xml:space="preserve">potential </w:t>
      </w:r>
      <w:r w:rsidR="003F6C31">
        <w:t>non-compliance</w:t>
      </w:r>
      <w:r>
        <w:t xml:space="preserve">. Good practices should also be noted. </w:t>
      </w:r>
    </w:p>
    <w:p w14:paraId="659A6348" w14:textId="102A5793" w:rsidR="00FB0138" w:rsidRPr="00FB0138" w:rsidRDefault="000E147C" w:rsidP="0026652C">
      <w:r>
        <w:lastRenderedPageBreak/>
        <w:t xml:space="preserve">The </w:t>
      </w:r>
      <w:r w:rsidR="004E6002">
        <w:t>i</w:t>
      </w:r>
      <w:r w:rsidR="00295DED" w:rsidRPr="001F10A6">
        <w:t>nspect</w:t>
      </w:r>
      <w:r>
        <w:t>ion</w:t>
      </w:r>
      <w:r w:rsidR="00295DED" w:rsidRPr="001F10A6">
        <w:t xml:space="preserve"> </w:t>
      </w:r>
      <w:r w:rsidR="004E6002">
        <w:t>t</w:t>
      </w:r>
      <w:r w:rsidR="00295DED" w:rsidRPr="001F10A6">
        <w:t xml:space="preserve">eam </w:t>
      </w:r>
      <w:r>
        <w:t xml:space="preserve">should review the </w:t>
      </w:r>
      <w:r w:rsidR="008051A7" w:rsidRPr="00FB0138">
        <w:t xml:space="preserve">facts relating to the scope of the inspection to ensure information is </w:t>
      </w:r>
      <w:r w:rsidR="00FC63B4">
        <w:t>a</w:t>
      </w:r>
      <w:r w:rsidR="008051A7" w:rsidRPr="00FB0138">
        <w:t xml:space="preserve">dequately </w:t>
      </w:r>
      <w:r w:rsidR="00FC63B4">
        <w:t>recorded</w:t>
      </w:r>
      <w:r w:rsidR="008051A7" w:rsidRPr="00FB0138">
        <w:t xml:space="preserve">. </w:t>
      </w:r>
      <w:r w:rsidR="00FB0138" w:rsidRPr="00994721">
        <w:t>Draw</w:t>
      </w:r>
      <w:r w:rsidR="00FB0138" w:rsidRPr="00FB0138">
        <w:t xml:space="preserve"> preliminary conclusions and recommendations. All statements should be clear and substantiated</w:t>
      </w:r>
      <w:r w:rsidR="003962B5">
        <w:t xml:space="preserve">. </w:t>
      </w:r>
      <w:r w:rsidR="00994721">
        <w:t xml:space="preserve">Agreement </w:t>
      </w:r>
      <w:r w:rsidR="00FB0138" w:rsidRPr="00FB0138">
        <w:t>amongst team members is important</w:t>
      </w:r>
      <w:r w:rsidR="003962B5">
        <w:t xml:space="preserve">. </w:t>
      </w:r>
    </w:p>
    <w:p w14:paraId="6EDFB093" w14:textId="594B9F94" w:rsidR="00595AA6" w:rsidRPr="00850BAE" w:rsidRDefault="00595AA6" w:rsidP="0026652C">
      <w:pPr>
        <w:rPr>
          <w:i/>
        </w:rPr>
      </w:pPr>
      <w:r w:rsidRPr="00FB0138">
        <w:t xml:space="preserve">If during the </w:t>
      </w:r>
      <w:r>
        <w:t xml:space="preserve">inspection or </w:t>
      </w:r>
      <w:r w:rsidRPr="00FB0138">
        <w:t xml:space="preserve">analysis of an inspection an issue is identified which has an immediate and significant impact on radiation or nuclear safety, it must be dealt with urgently and in advance of the formal inspection reporting process. The </w:t>
      </w:r>
      <w:r>
        <w:t xml:space="preserve">Chief </w:t>
      </w:r>
      <w:r w:rsidR="00806FAE">
        <w:t>Regulatory Officer</w:t>
      </w:r>
      <w:r w:rsidRPr="00FB0138">
        <w:t xml:space="preserve"> must be notified</w:t>
      </w:r>
      <w:r w:rsidR="000C1F74">
        <w:t xml:space="preserve"> as soon as reasonably practicable</w:t>
      </w:r>
      <w:r w:rsidR="003962B5">
        <w:t xml:space="preserve">. </w:t>
      </w:r>
      <w:r w:rsidR="00220E83">
        <w:t>Issuing a</w:t>
      </w:r>
      <w:r w:rsidR="00790F67">
        <w:t xml:space="preserve">n improvement notice may be </w:t>
      </w:r>
      <w:r w:rsidR="00220E83">
        <w:t>appropriate</w:t>
      </w:r>
      <w:r w:rsidR="00790F67">
        <w:t xml:space="preserve"> under certain circumstances</w:t>
      </w:r>
      <w:r w:rsidR="00800C79">
        <w:t>.</w:t>
      </w:r>
      <w:r w:rsidR="005E512A">
        <w:t xml:space="preserve"> </w:t>
      </w:r>
    </w:p>
    <w:p w14:paraId="3F5BE1F5" w14:textId="32585498" w:rsidR="00FC63B4" w:rsidRDefault="00FB0138" w:rsidP="0026652C">
      <w:r w:rsidRPr="00FB0138">
        <w:t>For multi-day inspections it may be useful for inspectors to conduct a review at the end of each day and a planning meeting each morning.</w:t>
      </w:r>
      <w:r w:rsidR="00863C0E">
        <w:t xml:space="preserve"> </w:t>
      </w:r>
    </w:p>
    <w:p w14:paraId="29036EE4" w14:textId="0CA0C56B" w:rsidR="003C3F29" w:rsidRDefault="00FC63B4" w:rsidP="0026652C">
      <w:r>
        <w:t>The transparency about findings is important so the licence holder has an opportunity to supply further information. Inspectors should not prescribe a solution for any identified issue</w:t>
      </w:r>
      <w:r w:rsidR="00D75008">
        <w:t xml:space="preserve"> as this </w:t>
      </w:r>
      <w:r>
        <w:t>responsibility rests with the licence holder.</w:t>
      </w:r>
    </w:p>
    <w:p w14:paraId="03C1DE20" w14:textId="31B28DB6" w:rsidR="008104A6" w:rsidRPr="00137680" w:rsidRDefault="008104A6" w:rsidP="0026652C">
      <w:pPr>
        <w:pStyle w:val="Heading4"/>
        <w:numPr>
          <w:ilvl w:val="1"/>
          <w:numId w:val="19"/>
        </w:numPr>
      </w:pPr>
      <w:bookmarkStart w:id="87" w:name="_Toc492399371"/>
      <w:bookmarkStart w:id="88" w:name="_Toc5290083"/>
      <w:r w:rsidRPr="00137680">
        <w:t xml:space="preserve">Exit </w:t>
      </w:r>
      <w:r w:rsidR="00125C83" w:rsidRPr="00137680">
        <w:t>m</w:t>
      </w:r>
      <w:r w:rsidRPr="00137680">
        <w:t>eeting</w:t>
      </w:r>
      <w:bookmarkEnd w:id="87"/>
      <w:bookmarkEnd w:id="88"/>
    </w:p>
    <w:p w14:paraId="3F731511" w14:textId="7EB2F12A" w:rsidR="00177470" w:rsidRDefault="006E09CF" w:rsidP="0026652C">
      <w:r>
        <w:t>A</w:t>
      </w:r>
      <w:r w:rsidR="00FB0138" w:rsidRPr="00FB0138">
        <w:t xml:space="preserve">n exit meeting </w:t>
      </w:r>
      <w:r>
        <w:t xml:space="preserve">is held </w:t>
      </w:r>
      <w:r w:rsidR="00FB0138" w:rsidRPr="00FB0138">
        <w:t>with licence holder representatives to outline observations and preliminary findings</w:t>
      </w:r>
      <w:r w:rsidR="00DA1E3F">
        <w:t xml:space="preserve"> and</w:t>
      </w:r>
      <w:r w:rsidR="00DA1E3F" w:rsidRPr="00FB0138">
        <w:t xml:space="preserve"> reach agreement on the facts</w:t>
      </w:r>
      <w:r w:rsidR="00DA1E3F">
        <w:t xml:space="preserve">. </w:t>
      </w:r>
      <w:r w:rsidR="0026058A" w:rsidRPr="00FC63B4">
        <w:t>The exit meeting does not have to be immediately after the inspection especially if there are documents to review or complex issues to resolve</w:t>
      </w:r>
      <w:r w:rsidR="003962B5">
        <w:t xml:space="preserve">. </w:t>
      </w:r>
      <w:r w:rsidR="0026058A">
        <w:t xml:space="preserve">The meeting </w:t>
      </w:r>
      <w:r w:rsidR="0026058A" w:rsidRPr="00FC63B4">
        <w:t>may be held by phone</w:t>
      </w:r>
      <w:r w:rsidR="0026058A">
        <w:t xml:space="preserve"> or video conference as necessary</w:t>
      </w:r>
      <w:r w:rsidR="003962B5">
        <w:t xml:space="preserve">. </w:t>
      </w:r>
    </w:p>
    <w:p w14:paraId="3CFC03CB" w14:textId="3224832E" w:rsidR="00E429B8" w:rsidRDefault="006E09CF" w:rsidP="0026652C">
      <w:r>
        <w:t>L</w:t>
      </w:r>
      <w:r w:rsidR="00177470" w:rsidRPr="00FB0138">
        <w:t xml:space="preserve">icence holder representatives </w:t>
      </w:r>
      <w:r>
        <w:t xml:space="preserve">should be informed </w:t>
      </w:r>
      <w:r w:rsidR="00177470" w:rsidRPr="00FB0138">
        <w:t xml:space="preserve">that the inspection report will be made available for </w:t>
      </w:r>
      <w:r w:rsidR="00E429B8">
        <w:t>verification of technical accuracy</w:t>
      </w:r>
      <w:r w:rsidR="00D75008">
        <w:t xml:space="preserve"> and the final report will be published on the ARPANSA website. W</w:t>
      </w:r>
      <w:r w:rsidR="00256AC6">
        <w:t xml:space="preserve">here </w:t>
      </w:r>
      <w:r w:rsidR="00FB0138" w:rsidRPr="00FB0138">
        <w:t xml:space="preserve">the </w:t>
      </w:r>
      <w:r w:rsidR="00256AC6">
        <w:t xml:space="preserve">report </w:t>
      </w:r>
      <w:r w:rsidR="00FB0138" w:rsidRPr="00FB0138">
        <w:t>identif</w:t>
      </w:r>
      <w:r w:rsidR="00256AC6">
        <w:t>ies</w:t>
      </w:r>
      <w:r w:rsidR="00FB0138" w:rsidRPr="00FB0138">
        <w:t xml:space="preserve"> </w:t>
      </w:r>
      <w:r w:rsidR="004973EA">
        <w:t>areas for improvement</w:t>
      </w:r>
      <w:r w:rsidR="00DA60CF">
        <w:t xml:space="preserve"> </w:t>
      </w:r>
      <w:r w:rsidR="00D75008">
        <w:t xml:space="preserve">they are expected to be </w:t>
      </w:r>
      <w:r w:rsidR="00FB0138" w:rsidRPr="00FB0138">
        <w:t>address</w:t>
      </w:r>
      <w:r w:rsidR="00D75008">
        <w:t>ed</w:t>
      </w:r>
      <w:r w:rsidR="00FB0138" w:rsidRPr="00FB0138">
        <w:t xml:space="preserve"> in a timely </w:t>
      </w:r>
      <w:r w:rsidR="00300521" w:rsidRPr="00FB0138">
        <w:t>manner</w:t>
      </w:r>
      <w:r w:rsidR="004E6002">
        <w:t xml:space="preserve"> and within three months where </w:t>
      </w:r>
      <w:r w:rsidR="00863C0E">
        <w:t>possible</w:t>
      </w:r>
      <w:r w:rsidR="00863C0E" w:rsidRPr="00FB0138">
        <w:t>.</w:t>
      </w:r>
      <w:r w:rsidR="00863C0E">
        <w:t xml:space="preserve"> </w:t>
      </w:r>
    </w:p>
    <w:p w14:paraId="17FE5F29" w14:textId="06C93778" w:rsidR="00FC63B4" w:rsidRDefault="00FB0138" w:rsidP="0026652C">
      <w:r w:rsidRPr="00FB0138">
        <w:t xml:space="preserve">Potential non-compliance, such as suspected failure to comply with the requirements of a licence condition, is more significant. Although the inspection team may describe a finding as a potential non-compliance, </w:t>
      </w:r>
      <w:r w:rsidR="00C20965">
        <w:t>only the CEO</w:t>
      </w:r>
      <w:r w:rsidR="00FC63B4">
        <w:t xml:space="preserve"> </w:t>
      </w:r>
      <w:r w:rsidR="00D75008">
        <w:t>(</w:t>
      </w:r>
      <w:r w:rsidR="00FC63B4">
        <w:t>o</w:t>
      </w:r>
      <w:r w:rsidR="00D75008">
        <w:t>r</w:t>
      </w:r>
      <w:r w:rsidR="00FC63B4">
        <w:t xml:space="preserve"> </w:t>
      </w:r>
      <w:r w:rsidR="00D75008">
        <w:t>d</w:t>
      </w:r>
      <w:r w:rsidR="00FC63B4">
        <w:t>elegate</w:t>
      </w:r>
      <w:r w:rsidR="00D75008">
        <w:t>)</w:t>
      </w:r>
      <w:r w:rsidR="00FC63B4">
        <w:t xml:space="preserve"> </w:t>
      </w:r>
      <w:r w:rsidR="00C20965">
        <w:t xml:space="preserve">can decide whether it is a breach. </w:t>
      </w:r>
      <w:r w:rsidR="006E09CF">
        <w:t>S</w:t>
      </w:r>
      <w:r w:rsidRPr="00FB0138">
        <w:t xml:space="preserve">hould a potential non-compliance be identified </w:t>
      </w:r>
      <w:r w:rsidR="00256AC6">
        <w:t xml:space="preserve">in </w:t>
      </w:r>
      <w:r w:rsidRPr="00FB0138">
        <w:t>the</w:t>
      </w:r>
      <w:r w:rsidR="00177470">
        <w:t xml:space="preserve"> </w:t>
      </w:r>
      <w:r w:rsidR="00256AC6">
        <w:t xml:space="preserve">report the </w:t>
      </w:r>
      <w:r w:rsidR="00177470">
        <w:t>licence holder</w:t>
      </w:r>
      <w:r w:rsidRPr="00FB0138">
        <w:t xml:space="preserve"> will have an opportunity to make a written response</w:t>
      </w:r>
      <w:r w:rsidR="0097269E">
        <w:t xml:space="preserve">. </w:t>
      </w:r>
      <w:r w:rsidR="006E09CF">
        <w:t>The l</w:t>
      </w:r>
      <w:r w:rsidR="00177470">
        <w:t xml:space="preserve">icence holder </w:t>
      </w:r>
      <w:r w:rsidR="006E09CF">
        <w:t xml:space="preserve">should be reminded </w:t>
      </w:r>
      <w:r w:rsidR="00177470">
        <w:t>of their obligation u</w:t>
      </w:r>
      <w:r w:rsidR="00177470" w:rsidRPr="00FB0138">
        <w:t xml:space="preserve">nder </w:t>
      </w:r>
      <w:r w:rsidR="00800C79">
        <w:t xml:space="preserve">section 57 of the </w:t>
      </w:r>
      <w:r w:rsidR="00177470" w:rsidRPr="00FB0138">
        <w:t>Regulation</w:t>
      </w:r>
      <w:r w:rsidR="00800C79">
        <w:t>s</w:t>
      </w:r>
      <w:r w:rsidR="00177470" w:rsidRPr="00FB0138">
        <w:t xml:space="preserve"> to investigate and rectify any potential breach as soon as reasonabl</w:t>
      </w:r>
      <w:r w:rsidR="00595AA6">
        <w:t>y</w:t>
      </w:r>
      <w:r w:rsidR="00177470" w:rsidRPr="00FB0138">
        <w:t xml:space="preserve"> practicable.</w:t>
      </w:r>
    </w:p>
    <w:p w14:paraId="06B1F6C9" w14:textId="5F8C6B47" w:rsidR="00022B6B" w:rsidRPr="0026058A" w:rsidRDefault="00FC63B4" w:rsidP="0026652C">
      <w:r>
        <w:t>Ensure a record of attendees is made</w:t>
      </w:r>
      <w:r w:rsidR="0096627F">
        <w:t>.</w:t>
      </w:r>
      <w:r w:rsidR="00C7781F">
        <w:t xml:space="preserve"> </w:t>
      </w:r>
      <w:r w:rsidR="00C7781F" w:rsidRPr="0096627F">
        <w:t xml:space="preserve">Record of Meeting </w:t>
      </w:r>
      <w:r w:rsidR="0096627F" w:rsidRPr="0096627F">
        <w:t>template</w:t>
      </w:r>
      <w:r w:rsidR="0096627F">
        <w:rPr>
          <w:i/>
        </w:rPr>
        <w:t xml:space="preserve"> </w:t>
      </w:r>
      <w:r w:rsidRPr="008F3505">
        <w:t>may be used for this purpose</w:t>
      </w:r>
      <w:r w:rsidR="00D54D0D" w:rsidRPr="008F3505">
        <w:t xml:space="preserve">. </w:t>
      </w:r>
      <w:bookmarkStart w:id="89" w:name="_Toc483572284"/>
    </w:p>
    <w:p w14:paraId="76647818" w14:textId="11172B17" w:rsidR="008104A6" w:rsidRPr="00137680" w:rsidRDefault="008104A6" w:rsidP="0026652C">
      <w:pPr>
        <w:pStyle w:val="Heading1"/>
        <w:numPr>
          <w:ilvl w:val="0"/>
          <w:numId w:val="22"/>
        </w:numPr>
      </w:pPr>
      <w:bookmarkStart w:id="90" w:name="_Toc492399372"/>
      <w:r w:rsidRPr="00137680">
        <w:t>Reporting</w:t>
      </w:r>
      <w:r w:rsidR="00EF4ED7" w:rsidRPr="00137680">
        <w:t xml:space="preserve"> </w:t>
      </w:r>
      <w:r w:rsidR="00AE4FAF" w:rsidRPr="00137680">
        <w:t xml:space="preserve">Inspection </w:t>
      </w:r>
      <w:r w:rsidR="00EF4ED7" w:rsidRPr="00137680">
        <w:t>Outcomes</w:t>
      </w:r>
      <w:bookmarkEnd w:id="89"/>
      <w:bookmarkEnd w:id="90"/>
    </w:p>
    <w:p w14:paraId="076026BC" w14:textId="490250B5" w:rsidR="00FB0138" w:rsidRPr="00137680" w:rsidRDefault="00F24A52" w:rsidP="0026652C">
      <w:pPr>
        <w:pStyle w:val="Heading4"/>
        <w:numPr>
          <w:ilvl w:val="1"/>
          <w:numId w:val="19"/>
        </w:numPr>
      </w:pPr>
      <w:bookmarkStart w:id="91" w:name="_Toc492399373"/>
      <w:bookmarkStart w:id="92" w:name="_Toc5290084"/>
      <w:r w:rsidRPr="00137680">
        <w:t xml:space="preserve">Inspection </w:t>
      </w:r>
      <w:r w:rsidR="00125C83" w:rsidRPr="00137680">
        <w:t>r</w:t>
      </w:r>
      <w:r w:rsidR="008104A6" w:rsidRPr="00137680">
        <w:t>eport</w:t>
      </w:r>
      <w:bookmarkEnd w:id="91"/>
      <w:bookmarkEnd w:id="92"/>
    </w:p>
    <w:p w14:paraId="4325BAF5" w14:textId="3307EF0F" w:rsidR="00257F92" w:rsidRDefault="006E09CF" w:rsidP="0026652C">
      <w:r>
        <w:t>The</w:t>
      </w:r>
      <w:r w:rsidR="00577AEC">
        <w:t xml:space="preserve"> appropriate report template</w:t>
      </w:r>
      <w:r w:rsidR="00577AEC" w:rsidRPr="003962B5">
        <w:rPr>
          <w:i/>
        </w:rPr>
        <w:t xml:space="preserve"> </w:t>
      </w:r>
      <w:r>
        <w:t xml:space="preserve">is used </w:t>
      </w:r>
      <w:r w:rsidR="00FB0138" w:rsidRPr="00FB0138">
        <w:t xml:space="preserve">to </w:t>
      </w:r>
      <w:r w:rsidR="006874CF">
        <w:t>document</w:t>
      </w:r>
      <w:r w:rsidR="00FB0138" w:rsidRPr="00FB0138">
        <w:t xml:space="preserve"> the</w:t>
      </w:r>
      <w:r w:rsidR="006874CF">
        <w:t xml:space="preserve"> inspection</w:t>
      </w:r>
      <w:r w:rsidR="003962B5">
        <w:t xml:space="preserve">. </w:t>
      </w:r>
    </w:p>
    <w:p w14:paraId="2A924157" w14:textId="3D8E451E" w:rsidR="00FB0138" w:rsidRDefault="00E81B6D" w:rsidP="0026652C">
      <w:r>
        <w:t xml:space="preserve">The report should be </w:t>
      </w:r>
      <w:r w:rsidR="00091074">
        <w:t>factual and</w:t>
      </w:r>
      <w:r>
        <w:t xml:space="preserve"> concise</w:t>
      </w:r>
      <w:r w:rsidR="003F3771">
        <w:t>, and</w:t>
      </w:r>
      <w:r w:rsidR="00257F92">
        <w:t xml:space="preserve"> should focus on the inspection scope</w:t>
      </w:r>
      <w:r w:rsidR="008516BE">
        <w:rPr>
          <w:i/>
        </w:rPr>
        <w:t>.</w:t>
      </w:r>
      <w:r w:rsidR="00FB0138" w:rsidRPr="00FB0138">
        <w:t xml:space="preserve"> </w:t>
      </w:r>
      <w:r w:rsidR="003F3771">
        <w:t xml:space="preserve">It </w:t>
      </w:r>
      <w:r w:rsidR="003F3771" w:rsidRPr="00FB0138">
        <w:t xml:space="preserve">should not identify any security or commercially sensitive </w:t>
      </w:r>
      <w:r w:rsidR="00DB54EF">
        <w:t>information, such as security arrangements</w:t>
      </w:r>
      <w:r w:rsidR="00A23C4C">
        <w:t>,</w:t>
      </w:r>
      <w:r w:rsidR="00DB54EF">
        <w:t xml:space="preserve"> or r</w:t>
      </w:r>
      <w:r w:rsidR="00A23C4C">
        <w:t xml:space="preserve">eveal any </w:t>
      </w:r>
      <w:r w:rsidR="00A23C4C">
        <w:lastRenderedPageBreak/>
        <w:t>intellectual property</w:t>
      </w:r>
      <w:r w:rsidR="003F3771" w:rsidRPr="00FB0138">
        <w:t>.</w:t>
      </w:r>
      <w:r w:rsidR="003F3771">
        <w:t xml:space="preserve"> </w:t>
      </w:r>
      <w:r w:rsidR="008516BE">
        <w:t>There must be evidence to support all</w:t>
      </w:r>
      <w:r w:rsidR="00FB0138" w:rsidRPr="00FB0138">
        <w:t xml:space="preserve"> potential non-compliance</w:t>
      </w:r>
      <w:r w:rsidR="00FB0138" w:rsidRPr="00886BF2">
        <w:rPr>
          <w:sz w:val="24"/>
          <w:szCs w:val="24"/>
          <w:vertAlign w:val="superscript"/>
        </w:rPr>
        <w:footnoteReference w:id="3"/>
      </w:r>
      <w:r w:rsidR="00722ABB">
        <w:t xml:space="preserve"> or </w:t>
      </w:r>
      <w:r w:rsidR="004973EA">
        <w:t>areas for improvement</w:t>
      </w:r>
      <w:r w:rsidR="003962B5">
        <w:t xml:space="preserve">. </w:t>
      </w:r>
      <w:r w:rsidR="00FB0138" w:rsidRPr="00FB0138">
        <w:t xml:space="preserve">The body of the report </w:t>
      </w:r>
      <w:r w:rsidR="004940FA">
        <w:t>should</w:t>
      </w:r>
      <w:r w:rsidR="00FB0138" w:rsidRPr="00FB0138">
        <w:t xml:space="preserve"> not contain the names of </w:t>
      </w:r>
      <w:r w:rsidR="000F4025">
        <w:t>individuals</w:t>
      </w:r>
      <w:r w:rsidR="00FB0138" w:rsidRPr="00FB0138">
        <w:t>; refer</w:t>
      </w:r>
      <w:r w:rsidR="0029766C">
        <w:t xml:space="preserve"> only</w:t>
      </w:r>
      <w:r w:rsidR="00FB0138" w:rsidRPr="00FB0138">
        <w:t xml:space="preserve"> to position title e.g. CEO, RSO, Nominee, </w:t>
      </w:r>
      <w:proofErr w:type="gramStart"/>
      <w:r w:rsidR="0007233E">
        <w:t>W</w:t>
      </w:r>
      <w:r w:rsidR="00FB0138" w:rsidRPr="00FB0138">
        <w:t>HS</w:t>
      </w:r>
      <w:proofErr w:type="gramEnd"/>
      <w:r w:rsidR="00FB0138" w:rsidRPr="00FB0138">
        <w:t xml:space="preserve"> Manager. A </w:t>
      </w:r>
      <w:r w:rsidR="00537853">
        <w:t xml:space="preserve">table </w:t>
      </w:r>
      <w:r w:rsidR="00FB0138" w:rsidRPr="00FB0138">
        <w:t>of names</w:t>
      </w:r>
      <w:r w:rsidR="005E5E3F">
        <w:t xml:space="preserve">, </w:t>
      </w:r>
      <w:r w:rsidR="00FB0138" w:rsidRPr="00FB0138">
        <w:t xml:space="preserve">positions </w:t>
      </w:r>
      <w:r w:rsidR="005E5E3F">
        <w:t xml:space="preserve">and email addresses is </w:t>
      </w:r>
      <w:r w:rsidR="00FB0138" w:rsidRPr="00FB0138">
        <w:t xml:space="preserve">included in </w:t>
      </w:r>
      <w:r w:rsidR="00577AEC">
        <w:t>the</w:t>
      </w:r>
      <w:r w:rsidR="00FB0138" w:rsidRPr="00FB0138">
        <w:t xml:space="preserve"> addendum </w:t>
      </w:r>
      <w:r w:rsidR="003F3771">
        <w:t xml:space="preserve">that </w:t>
      </w:r>
      <w:r w:rsidR="0029766C">
        <w:t xml:space="preserve">is removed before the report is </w:t>
      </w:r>
      <w:r w:rsidR="00420E58">
        <w:t>published</w:t>
      </w:r>
      <w:r w:rsidR="00FB0138" w:rsidRPr="00FB0138">
        <w:t>.</w:t>
      </w:r>
    </w:p>
    <w:p w14:paraId="07C9B3EF" w14:textId="38462CD1" w:rsidR="003F3771" w:rsidRDefault="00563504" w:rsidP="0026652C">
      <w:r w:rsidRPr="0029766C">
        <w:t xml:space="preserve">If measurements were taken </w:t>
      </w:r>
      <w:r>
        <w:t xml:space="preserve">during the inspection, </w:t>
      </w:r>
      <w:r w:rsidRPr="0029766C">
        <w:t xml:space="preserve">the instrument used should be identified by make, model and serial number, and calibration details noted. If samples were taken, there should be a </w:t>
      </w:r>
      <w:r w:rsidRPr="0029766C">
        <w:rPr>
          <w:lang w:val="en-US"/>
        </w:rPr>
        <w:t>description of the sampling method and information on where, when, and how the samples were taken</w:t>
      </w:r>
      <w:r>
        <w:rPr>
          <w:lang w:val="en-US"/>
        </w:rPr>
        <w:t>, and the process for measurement or assessment described</w:t>
      </w:r>
      <w:r w:rsidRPr="0029766C">
        <w:rPr>
          <w:lang w:val="en-US"/>
        </w:rPr>
        <w:t>.</w:t>
      </w:r>
      <w:r w:rsidRPr="00850BAE">
        <w:t xml:space="preserve"> </w:t>
      </w:r>
    </w:p>
    <w:p w14:paraId="1BF92DDB" w14:textId="77777777" w:rsidR="00C570D8" w:rsidRDefault="003F3771" w:rsidP="0026652C">
      <w:r w:rsidRPr="00FB0138">
        <w:t>Any additional matters identified during the inspection should be noted and addressed separately.</w:t>
      </w:r>
      <w:r w:rsidR="00C570D8" w:rsidRPr="00C570D8">
        <w:t xml:space="preserve"> </w:t>
      </w:r>
    </w:p>
    <w:p w14:paraId="6B5399D1" w14:textId="38BF45F3" w:rsidR="00C570D8" w:rsidRDefault="00C570D8" w:rsidP="0026652C">
      <w:r w:rsidRPr="00FB0138">
        <w:t xml:space="preserve">Where </w:t>
      </w:r>
      <w:r>
        <w:t xml:space="preserve">there has been </w:t>
      </w:r>
      <w:r w:rsidRPr="00FB0138">
        <w:t>independent oversight</w:t>
      </w:r>
      <w:r>
        <w:t xml:space="preserve"> of the inspection</w:t>
      </w:r>
      <w:r w:rsidRPr="00FB0138">
        <w:t xml:space="preserve">, this </w:t>
      </w:r>
      <w:r w:rsidR="005E5C9B">
        <w:t>must</w:t>
      </w:r>
      <w:r w:rsidRPr="00FB0138">
        <w:t xml:space="preserve"> be indicated </w:t>
      </w:r>
      <w:r>
        <w:t xml:space="preserve">and where possible the report </w:t>
      </w:r>
      <w:r w:rsidRPr="00FB0138">
        <w:t xml:space="preserve">signed by the officer </w:t>
      </w:r>
      <w:r>
        <w:t>involved</w:t>
      </w:r>
      <w:r w:rsidRPr="00FB0138">
        <w:t xml:space="preserve">. </w:t>
      </w:r>
      <w:bookmarkStart w:id="93" w:name="OLE_LINK3"/>
      <w:bookmarkStart w:id="94" w:name="OLE_LINK1"/>
    </w:p>
    <w:p w14:paraId="504175F1" w14:textId="606F2373" w:rsidR="00FB0138" w:rsidRPr="00137680" w:rsidRDefault="008104A6" w:rsidP="0026652C">
      <w:pPr>
        <w:pStyle w:val="Heading4"/>
        <w:numPr>
          <w:ilvl w:val="1"/>
          <w:numId w:val="19"/>
        </w:numPr>
      </w:pPr>
      <w:bookmarkStart w:id="95" w:name="_Toc492399374"/>
      <w:bookmarkStart w:id="96" w:name="_Toc5290085"/>
      <w:bookmarkEnd w:id="93"/>
      <w:bookmarkEnd w:id="94"/>
      <w:r w:rsidRPr="00137680">
        <w:t xml:space="preserve">Review </w:t>
      </w:r>
      <w:r w:rsidR="003E59E1" w:rsidRPr="00137680">
        <w:t>draft report</w:t>
      </w:r>
      <w:bookmarkEnd w:id="95"/>
      <w:bookmarkEnd w:id="96"/>
    </w:p>
    <w:p w14:paraId="7937C76E" w14:textId="2F58F958" w:rsidR="0029766C" w:rsidRDefault="00E66DC4" w:rsidP="0026652C">
      <w:r>
        <w:t>Draft i</w:t>
      </w:r>
      <w:r w:rsidR="0029766C">
        <w:t xml:space="preserve">nspection reports </w:t>
      </w:r>
      <w:r w:rsidR="00DB54EF">
        <w:t xml:space="preserve">generally </w:t>
      </w:r>
      <w:r w:rsidR="008F4EF0">
        <w:t xml:space="preserve">undergo </w:t>
      </w:r>
      <w:r w:rsidR="0029766C">
        <w:t>the following review</w:t>
      </w:r>
      <w:r w:rsidR="003A5D52">
        <w:t>s</w:t>
      </w:r>
      <w:r w:rsidR="00A64F58">
        <w:t xml:space="preserve"> prior to sign-off</w:t>
      </w:r>
      <w:r w:rsidR="008E43E7">
        <w:t xml:space="preserve">: </w:t>
      </w:r>
    </w:p>
    <w:p w14:paraId="1D8EA202" w14:textId="77777777" w:rsidR="006255E9" w:rsidRDefault="00A856C8" w:rsidP="0026652C">
      <w:pPr>
        <w:pStyle w:val="ListParagraph"/>
        <w:numPr>
          <w:ilvl w:val="0"/>
          <w:numId w:val="29"/>
        </w:numPr>
      </w:pPr>
      <w:r w:rsidRPr="0096627F">
        <w:rPr>
          <w:b/>
        </w:rPr>
        <w:t>P</w:t>
      </w:r>
      <w:r w:rsidR="008F4EF0" w:rsidRPr="0096627F">
        <w:rPr>
          <w:b/>
        </w:rPr>
        <w:t>eer review</w:t>
      </w:r>
      <w:r w:rsidR="008F4EF0" w:rsidRPr="00475DC2">
        <w:t xml:space="preserve"> by </w:t>
      </w:r>
      <w:r w:rsidR="00A64F58" w:rsidRPr="00475DC2">
        <w:t xml:space="preserve">alternate inspector, </w:t>
      </w:r>
      <w:r w:rsidR="008F4EF0" w:rsidRPr="00475DC2">
        <w:t xml:space="preserve">other inspection team member </w:t>
      </w:r>
      <w:r w:rsidRPr="00475DC2">
        <w:t>(</w:t>
      </w:r>
      <w:r w:rsidR="008F4EF0" w:rsidRPr="00475DC2">
        <w:t xml:space="preserve">or </w:t>
      </w:r>
      <w:r w:rsidRPr="00475DC2">
        <w:t xml:space="preserve">optional review by </w:t>
      </w:r>
      <w:r w:rsidR="00A64F58" w:rsidRPr="00475DC2">
        <w:t>an</w:t>
      </w:r>
      <w:r w:rsidR="008F4EF0" w:rsidRPr="00475DC2">
        <w:t>other inspector</w:t>
      </w:r>
      <w:r w:rsidRPr="00475DC2">
        <w:t>)</w:t>
      </w:r>
    </w:p>
    <w:p w14:paraId="39FD2708" w14:textId="77777777" w:rsidR="006255E9" w:rsidRPr="006255E9" w:rsidRDefault="003F3771" w:rsidP="0026652C">
      <w:pPr>
        <w:pStyle w:val="ListParagraph"/>
        <w:numPr>
          <w:ilvl w:val="0"/>
          <w:numId w:val="29"/>
        </w:numPr>
      </w:pPr>
      <w:r w:rsidRPr="006255E9">
        <w:rPr>
          <w:b/>
        </w:rPr>
        <w:t>Licence holder review</w:t>
      </w:r>
      <w:r w:rsidR="006255E9" w:rsidRPr="006255E9">
        <w:rPr>
          <w:b/>
        </w:rPr>
        <w:t xml:space="preserve">: </w:t>
      </w:r>
      <w:r w:rsidR="002943E1" w:rsidRPr="006255E9">
        <w:rPr>
          <w:b/>
        </w:rPr>
        <w:t xml:space="preserve"> </w:t>
      </w:r>
      <w:r w:rsidR="006255E9" w:rsidRPr="006255E9">
        <w:rPr>
          <w:b/>
        </w:rPr>
        <w:t xml:space="preserve"> </w:t>
      </w:r>
      <w:r w:rsidRPr="006255E9">
        <w:t xml:space="preserve">Where </w:t>
      </w:r>
      <w:r w:rsidR="00F03D1C" w:rsidRPr="006255E9">
        <w:t xml:space="preserve">no </w:t>
      </w:r>
      <w:r w:rsidRPr="006255E9">
        <w:t xml:space="preserve">non-compliance </w:t>
      </w:r>
      <w:r w:rsidR="008E43E7" w:rsidRPr="006255E9">
        <w:t xml:space="preserve">is found </w:t>
      </w:r>
      <w:r w:rsidR="00F03D1C" w:rsidRPr="006255E9">
        <w:t xml:space="preserve">the </w:t>
      </w:r>
      <w:r w:rsidRPr="006255E9">
        <w:t>inspector should send the draft report to the licence holder within 10 working days. The accuracy of the report should be agreed</w:t>
      </w:r>
      <w:r w:rsidR="00C570D8" w:rsidRPr="006255E9">
        <w:t xml:space="preserve"> and</w:t>
      </w:r>
      <w:r w:rsidRPr="006255E9">
        <w:t xml:space="preserve"> any sensitive issues regarding publication of the report should be discussed</w:t>
      </w:r>
      <w:r w:rsidR="003962B5" w:rsidRPr="006255E9">
        <w:t xml:space="preserve">. </w:t>
      </w:r>
    </w:p>
    <w:p w14:paraId="05652055" w14:textId="6869B2CC" w:rsidR="003F3771" w:rsidRPr="006255E9" w:rsidRDefault="00475DC2" w:rsidP="0026652C">
      <w:pPr>
        <w:pStyle w:val="ListParagraph"/>
        <w:numPr>
          <w:ilvl w:val="0"/>
          <w:numId w:val="29"/>
        </w:numPr>
      </w:pPr>
      <w:r w:rsidRPr="006255E9">
        <w:rPr>
          <w:b/>
        </w:rPr>
        <w:t>S</w:t>
      </w:r>
      <w:r w:rsidR="008F4EF0" w:rsidRPr="006255E9">
        <w:rPr>
          <w:b/>
        </w:rPr>
        <w:t xml:space="preserve">ection </w:t>
      </w:r>
      <w:r w:rsidR="005D6201" w:rsidRPr="006255E9">
        <w:rPr>
          <w:b/>
        </w:rPr>
        <w:t xml:space="preserve">Director </w:t>
      </w:r>
      <w:proofErr w:type="gramStart"/>
      <w:r w:rsidR="008F4EF0" w:rsidRPr="006255E9">
        <w:rPr>
          <w:b/>
        </w:rPr>
        <w:t>review</w:t>
      </w:r>
      <w:proofErr w:type="gramEnd"/>
      <w:r w:rsidR="006255E9" w:rsidRPr="006255E9">
        <w:rPr>
          <w:b/>
        </w:rPr>
        <w:t xml:space="preserve">: </w:t>
      </w:r>
      <w:r w:rsidR="003F3771" w:rsidRPr="006255E9">
        <w:t xml:space="preserve">The </w:t>
      </w:r>
      <w:r w:rsidR="005D6201" w:rsidRPr="006255E9">
        <w:t xml:space="preserve">directors </w:t>
      </w:r>
      <w:r w:rsidR="003F3771" w:rsidRPr="006255E9">
        <w:t xml:space="preserve">of Source </w:t>
      </w:r>
      <w:r w:rsidR="00C7781F" w:rsidRPr="006255E9">
        <w:t xml:space="preserve">Safety and Security </w:t>
      </w:r>
      <w:r w:rsidR="003F3771" w:rsidRPr="006255E9">
        <w:t xml:space="preserve">and Facility </w:t>
      </w:r>
      <w:r w:rsidR="00FE1BA0" w:rsidRPr="006255E9">
        <w:t>Safety</w:t>
      </w:r>
      <w:r w:rsidR="003F3771" w:rsidRPr="006255E9">
        <w:t xml:space="preserve"> are responsible for the quality of inspection reports. The </w:t>
      </w:r>
      <w:r w:rsidR="005D6201" w:rsidRPr="006255E9">
        <w:t xml:space="preserve">director </w:t>
      </w:r>
      <w:r w:rsidR="003F3771" w:rsidRPr="006255E9">
        <w:t>should check the following:</w:t>
      </w:r>
    </w:p>
    <w:p w14:paraId="1396111B" w14:textId="77777777" w:rsidR="003F3771" w:rsidRPr="00475DC2" w:rsidRDefault="003F3771" w:rsidP="0026652C">
      <w:pPr>
        <w:pStyle w:val="ListParagraph"/>
        <w:numPr>
          <w:ilvl w:val="1"/>
          <w:numId w:val="29"/>
        </w:numPr>
      </w:pPr>
      <w:r w:rsidRPr="00475DC2">
        <w:t xml:space="preserve">Use of correct template </w:t>
      </w:r>
    </w:p>
    <w:p w14:paraId="7F1B036F" w14:textId="77777777" w:rsidR="003F3771" w:rsidRPr="00475DC2" w:rsidRDefault="003F3771" w:rsidP="0026652C">
      <w:pPr>
        <w:pStyle w:val="ListParagraph"/>
        <w:numPr>
          <w:ilvl w:val="1"/>
          <w:numId w:val="29"/>
        </w:numPr>
      </w:pPr>
      <w:r w:rsidRPr="00475DC2">
        <w:t>Observations address the scope of the inspection and provide sufficient detail and evidence to support findings</w:t>
      </w:r>
    </w:p>
    <w:p w14:paraId="4A5FB63B" w14:textId="4FFE82AC" w:rsidR="003F3771" w:rsidRPr="00475DC2" w:rsidRDefault="003F3771" w:rsidP="0026652C">
      <w:pPr>
        <w:pStyle w:val="ListParagraph"/>
        <w:numPr>
          <w:ilvl w:val="1"/>
          <w:numId w:val="29"/>
        </w:numPr>
      </w:pPr>
      <w:r w:rsidRPr="00475DC2">
        <w:t>Areas for improvement, potential non-compliance, and good practices are appropriate</w:t>
      </w:r>
      <w:r w:rsidR="002943E1" w:rsidRPr="00475DC2">
        <w:t xml:space="preserve"> </w:t>
      </w:r>
    </w:p>
    <w:p w14:paraId="54DEC77B" w14:textId="77777777" w:rsidR="003F3771" w:rsidRPr="00475DC2" w:rsidRDefault="003F3771" w:rsidP="0026652C">
      <w:pPr>
        <w:pStyle w:val="ListParagraph"/>
        <w:numPr>
          <w:ilvl w:val="1"/>
          <w:numId w:val="29"/>
        </w:numPr>
      </w:pPr>
      <w:r w:rsidRPr="00475DC2">
        <w:t>Consideration is given to common cause and extent of condition when defining areas for improvement or potential non-compliance</w:t>
      </w:r>
    </w:p>
    <w:p w14:paraId="01978F8E" w14:textId="44195214" w:rsidR="003F3771" w:rsidRPr="00475DC2" w:rsidRDefault="003F3771" w:rsidP="0026652C">
      <w:pPr>
        <w:pStyle w:val="ListParagraph"/>
        <w:numPr>
          <w:ilvl w:val="1"/>
          <w:numId w:val="29"/>
        </w:numPr>
      </w:pPr>
      <w:r w:rsidRPr="00475DC2">
        <w:t>Findings are described clearly and accurately and are within scope</w:t>
      </w:r>
    </w:p>
    <w:p w14:paraId="2DF81328" w14:textId="35EA01EF" w:rsidR="008E43E7" w:rsidRPr="0096627F" w:rsidRDefault="005D6201" w:rsidP="0026652C">
      <w:pPr>
        <w:pStyle w:val="ListParagraph"/>
        <w:numPr>
          <w:ilvl w:val="1"/>
          <w:numId w:val="29"/>
        </w:numPr>
      </w:pPr>
      <w:r w:rsidRPr="0096627F">
        <w:t xml:space="preserve">Directors </w:t>
      </w:r>
      <w:r w:rsidR="00235B64" w:rsidRPr="0096627F">
        <w:t>will also determine whether a factual check by other expertise in ARPANSA is required and seek as necessary</w:t>
      </w:r>
    </w:p>
    <w:p w14:paraId="2A4181E3" w14:textId="77777777" w:rsidR="006255E9" w:rsidRPr="006255E9" w:rsidRDefault="008F4EF0" w:rsidP="0026652C">
      <w:pPr>
        <w:pStyle w:val="ListParagraph"/>
        <w:numPr>
          <w:ilvl w:val="0"/>
          <w:numId w:val="29"/>
        </w:numPr>
      </w:pPr>
      <w:r w:rsidRPr="006255E9">
        <w:rPr>
          <w:b/>
        </w:rPr>
        <w:t>Quality review</w:t>
      </w:r>
      <w:r w:rsidR="008E43E7" w:rsidRPr="006255E9">
        <w:t>:</w:t>
      </w:r>
      <w:r w:rsidR="006255E9">
        <w:t xml:space="preserve"> </w:t>
      </w:r>
      <w:r w:rsidR="008A6562" w:rsidRPr="006255E9">
        <w:t xml:space="preserve">After </w:t>
      </w:r>
      <w:r w:rsidR="003F3771" w:rsidRPr="006255E9">
        <w:t xml:space="preserve">the </w:t>
      </w:r>
      <w:r w:rsidR="00F03D1C" w:rsidRPr="006255E9">
        <w:t xml:space="preserve">draft </w:t>
      </w:r>
      <w:r w:rsidR="003F3771" w:rsidRPr="006255E9">
        <w:t xml:space="preserve">is cleared </w:t>
      </w:r>
      <w:r w:rsidR="009F13EC" w:rsidRPr="006255E9">
        <w:t xml:space="preserve">by the section </w:t>
      </w:r>
      <w:r w:rsidR="005D6201" w:rsidRPr="006255E9">
        <w:t xml:space="preserve">director </w:t>
      </w:r>
      <w:r w:rsidR="008A6562" w:rsidRPr="006255E9">
        <w:t>the lead inspector seek</w:t>
      </w:r>
      <w:r w:rsidR="00D97B19" w:rsidRPr="006255E9">
        <w:t>s</w:t>
      </w:r>
      <w:r w:rsidR="008A6562" w:rsidRPr="006255E9">
        <w:t xml:space="preserve"> a review </w:t>
      </w:r>
      <w:r w:rsidR="00607DC1" w:rsidRPr="006255E9">
        <w:t xml:space="preserve">from </w:t>
      </w:r>
      <w:r w:rsidR="00BA6E06" w:rsidRPr="006255E9">
        <w:t>Safety Systems</w:t>
      </w:r>
      <w:r w:rsidR="003962B5" w:rsidRPr="006255E9">
        <w:t xml:space="preserve">. </w:t>
      </w:r>
      <w:r w:rsidR="003B6666" w:rsidRPr="006255E9">
        <w:t>Th</w:t>
      </w:r>
      <w:r w:rsidR="00607DC1" w:rsidRPr="006255E9">
        <w:t xml:space="preserve">e </w:t>
      </w:r>
      <w:r w:rsidR="00BA6E06" w:rsidRPr="006255E9">
        <w:t xml:space="preserve">reviewing </w:t>
      </w:r>
      <w:r w:rsidR="003B6666" w:rsidRPr="006255E9">
        <w:t xml:space="preserve">officer will provide advice on the report to the lead inspector and section </w:t>
      </w:r>
      <w:r w:rsidR="005D6201" w:rsidRPr="006255E9">
        <w:t>director</w:t>
      </w:r>
      <w:r w:rsidR="003B6666" w:rsidRPr="006255E9">
        <w:t>.</w:t>
      </w:r>
      <w:r w:rsidR="00F73C89" w:rsidRPr="006255E9">
        <w:t xml:space="preserve"> Acceptance of advice is at the discretion of the section </w:t>
      </w:r>
      <w:r w:rsidR="005D6201" w:rsidRPr="006255E9">
        <w:t>director</w:t>
      </w:r>
      <w:r w:rsidR="006255E9">
        <w:t>.</w:t>
      </w:r>
    </w:p>
    <w:p w14:paraId="046B1254" w14:textId="42C9B256" w:rsidR="00C570D8" w:rsidRPr="00475DC2" w:rsidRDefault="00C570D8" w:rsidP="0026652C">
      <w:pPr>
        <w:pStyle w:val="ListParagraph"/>
        <w:numPr>
          <w:ilvl w:val="0"/>
          <w:numId w:val="29"/>
        </w:numPr>
      </w:pPr>
      <w:r w:rsidRPr="006255E9">
        <w:rPr>
          <w:b/>
        </w:rPr>
        <w:t>Legal review</w:t>
      </w:r>
      <w:r w:rsidR="006255E9">
        <w:rPr>
          <w:b/>
        </w:rPr>
        <w:t>:</w:t>
      </w:r>
      <w:r w:rsidR="00F03D1C" w:rsidRPr="00475DC2">
        <w:t xml:space="preserve"> only required where there is potential non-compliance</w:t>
      </w:r>
    </w:p>
    <w:p w14:paraId="33B02095" w14:textId="6FBA91D1" w:rsidR="00E66DC4" w:rsidRDefault="00DB54EF" w:rsidP="0026652C">
      <w:pPr>
        <w:pStyle w:val="ListParagraph"/>
      </w:pPr>
      <w:r w:rsidRPr="001A0AA1">
        <w:t>The lead inspector must also seek the</w:t>
      </w:r>
      <w:r w:rsidR="00E66DC4" w:rsidRPr="001A0AA1">
        <w:t xml:space="preserve"> legal opinion </w:t>
      </w:r>
      <w:r w:rsidR="00F03D1C" w:rsidRPr="001A0AA1">
        <w:t>from</w:t>
      </w:r>
      <w:r w:rsidR="00FE1BA0" w:rsidRPr="001A0AA1">
        <w:t xml:space="preserve"> the </w:t>
      </w:r>
      <w:r w:rsidR="006255E9" w:rsidRPr="001A0AA1">
        <w:t>Legal Officer/</w:t>
      </w:r>
      <w:r w:rsidR="00F03D1C" w:rsidRPr="001A0AA1">
        <w:t>General Counsel on potential non-compliance</w:t>
      </w:r>
      <w:r w:rsidRPr="001A0AA1">
        <w:t>s</w:t>
      </w:r>
      <w:r w:rsidR="00E66DC4" w:rsidRPr="001A0AA1">
        <w:rPr>
          <w:i/>
        </w:rPr>
        <w:t xml:space="preserve"> </w:t>
      </w:r>
      <w:r w:rsidR="00E66DC4" w:rsidRPr="00300A38">
        <w:t>(Refer to</w:t>
      </w:r>
      <w:r w:rsidR="00C7781F">
        <w:t xml:space="preserve"> the </w:t>
      </w:r>
      <w:r w:rsidR="00C7781F" w:rsidRPr="001A0AA1">
        <w:rPr>
          <w:i/>
        </w:rPr>
        <w:t>Compliance &amp; Enforcement Manual</w:t>
      </w:r>
      <w:r w:rsidR="00E66DC4" w:rsidRPr="00300A38">
        <w:t>)</w:t>
      </w:r>
      <w:r w:rsidR="00E66DC4" w:rsidRPr="001A0AA1">
        <w:rPr>
          <w:i/>
        </w:rPr>
        <w:t xml:space="preserve">. </w:t>
      </w:r>
    </w:p>
    <w:p w14:paraId="09553195" w14:textId="67087AA1" w:rsidR="00DB54EF" w:rsidRPr="006255E9" w:rsidRDefault="00DB54EF" w:rsidP="0026652C">
      <w:pPr>
        <w:pStyle w:val="ListParagraph"/>
        <w:numPr>
          <w:ilvl w:val="0"/>
          <w:numId w:val="29"/>
        </w:numPr>
      </w:pPr>
      <w:r w:rsidRPr="0096627F">
        <w:rPr>
          <w:b/>
        </w:rPr>
        <w:lastRenderedPageBreak/>
        <w:t xml:space="preserve">Independent review </w:t>
      </w:r>
      <w:r w:rsidRPr="0096627F">
        <w:rPr>
          <w:i/>
        </w:rPr>
        <w:t xml:space="preserve">– </w:t>
      </w:r>
      <w:r w:rsidRPr="0096627F">
        <w:t>only required where an inspection of ARPANSA is conducted</w:t>
      </w:r>
      <w:r w:rsidR="006255E9">
        <w:t xml:space="preserve">. </w:t>
      </w:r>
      <w:r w:rsidRPr="006255E9">
        <w:t>The lead inspector will seek the views of the independent regulatory officer (currently from Q</w:t>
      </w:r>
      <w:r w:rsidR="00C7781F" w:rsidRPr="006255E9">
        <w:t xml:space="preserve">ueensland </w:t>
      </w:r>
      <w:r w:rsidRPr="006255E9">
        <w:t>Health) for independent verification purposes</w:t>
      </w:r>
    </w:p>
    <w:p w14:paraId="69BDDC56" w14:textId="504F1FFD" w:rsidR="00FB0138" w:rsidRPr="00137680" w:rsidRDefault="003E59E1" w:rsidP="0026652C">
      <w:pPr>
        <w:pStyle w:val="Heading4"/>
        <w:numPr>
          <w:ilvl w:val="1"/>
          <w:numId w:val="19"/>
        </w:numPr>
      </w:pPr>
      <w:bookmarkStart w:id="97" w:name="_Toc492399375"/>
      <w:bookmarkStart w:id="98" w:name="_Toc5290086"/>
      <w:r w:rsidRPr="00137680">
        <w:t>Approval and i</w:t>
      </w:r>
      <w:r w:rsidR="00731C4A" w:rsidRPr="00137680">
        <w:t>ssue</w:t>
      </w:r>
      <w:bookmarkEnd w:id="97"/>
      <w:bookmarkEnd w:id="98"/>
      <w:r w:rsidR="00BB6122" w:rsidRPr="00137680">
        <w:t xml:space="preserve"> </w:t>
      </w:r>
    </w:p>
    <w:p w14:paraId="12AF927E" w14:textId="70C1E8FD" w:rsidR="003E59E1" w:rsidRPr="003E59E1" w:rsidRDefault="003E59E1" w:rsidP="0026652C">
      <w:r w:rsidRPr="003E59E1">
        <w:t xml:space="preserve">The final report is signed </w:t>
      </w:r>
      <w:r w:rsidR="00DA7F52">
        <w:t xml:space="preserve">(electronically) </w:t>
      </w:r>
      <w:r w:rsidRPr="003E59E1">
        <w:t xml:space="preserve">by the lead inspector and the Chief </w:t>
      </w:r>
      <w:r w:rsidR="00DB54EF">
        <w:t xml:space="preserve">Regulatory Officer </w:t>
      </w:r>
      <w:r w:rsidR="007675F7">
        <w:t>(or d</w:t>
      </w:r>
      <w:r w:rsidRPr="003E59E1">
        <w:t>elegate</w:t>
      </w:r>
      <w:r w:rsidR="007675F7">
        <w:t>)</w:t>
      </w:r>
      <w:r w:rsidR="003962B5">
        <w:t xml:space="preserve">. </w:t>
      </w:r>
      <w:r w:rsidRPr="003E59E1">
        <w:t xml:space="preserve">Where there is potential non-compliance the Chief </w:t>
      </w:r>
      <w:r w:rsidR="002709D2">
        <w:t>Regulatory Officer</w:t>
      </w:r>
      <w:r w:rsidRPr="003E59E1">
        <w:t xml:space="preserve"> must sign</w:t>
      </w:r>
      <w:r w:rsidR="002709D2">
        <w:t xml:space="preserve"> the report</w:t>
      </w:r>
      <w:r w:rsidR="003962B5">
        <w:t xml:space="preserve">. </w:t>
      </w:r>
    </w:p>
    <w:p w14:paraId="72E077B6" w14:textId="459670E0" w:rsidR="00100E32" w:rsidRDefault="00DE2FEB" w:rsidP="0026652C">
      <w:r w:rsidRPr="00DE2FEB">
        <w:t>Where there is no non-compliance the final report should be issued within 20 working days</w:t>
      </w:r>
      <w:r w:rsidR="003962B5">
        <w:t xml:space="preserve">. </w:t>
      </w:r>
      <w:r w:rsidRPr="00DE2FEB">
        <w:t xml:space="preserve">This period includes </w:t>
      </w:r>
      <w:r w:rsidR="00C570D8">
        <w:t xml:space="preserve">steps 1–4 </w:t>
      </w:r>
      <w:r w:rsidR="00DB54EF">
        <w:t xml:space="preserve">and 6 </w:t>
      </w:r>
      <w:r w:rsidR="00C570D8">
        <w:t xml:space="preserve">in </w:t>
      </w:r>
      <w:r w:rsidR="003E59E1">
        <w:t xml:space="preserve">paragraph </w:t>
      </w:r>
      <w:r w:rsidR="00C570D8">
        <w:t>2.</w:t>
      </w:r>
      <w:r w:rsidR="001A0AA1">
        <w:t>1</w:t>
      </w:r>
      <w:r w:rsidR="00A57183">
        <w:t>2</w:t>
      </w:r>
      <w:r w:rsidR="001A0AA1">
        <w:t>.</w:t>
      </w:r>
      <w:r w:rsidR="003962B5">
        <w:t xml:space="preserve"> </w:t>
      </w:r>
    </w:p>
    <w:p w14:paraId="44EC97D4" w14:textId="24B00C61" w:rsidR="00DE2FEB" w:rsidRDefault="00C570D8" w:rsidP="0026652C">
      <w:r w:rsidRPr="00FB0138">
        <w:t xml:space="preserve">Where </w:t>
      </w:r>
      <w:r w:rsidR="003E59E1">
        <w:t xml:space="preserve">there is </w:t>
      </w:r>
      <w:r w:rsidRPr="00FB0138">
        <w:t xml:space="preserve">potential non-compliance the </w:t>
      </w:r>
      <w:r>
        <w:t xml:space="preserve">inspector should issue the final </w:t>
      </w:r>
      <w:r w:rsidRPr="00FB0138">
        <w:t xml:space="preserve">report </w:t>
      </w:r>
      <w:r>
        <w:t>within</w:t>
      </w:r>
      <w:r w:rsidRPr="00FB0138">
        <w:t xml:space="preserve"> </w:t>
      </w:r>
      <w:r>
        <w:t>4</w:t>
      </w:r>
      <w:r w:rsidRPr="009F13EC">
        <w:t>0</w:t>
      </w:r>
      <w:r w:rsidRPr="00FB0138">
        <w:t xml:space="preserve"> working days</w:t>
      </w:r>
      <w:r w:rsidR="003962B5">
        <w:t xml:space="preserve">. </w:t>
      </w:r>
      <w:r w:rsidR="00DE2FEB" w:rsidRPr="00DE2FEB">
        <w:t xml:space="preserve">This period allows for </w:t>
      </w:r>
      <w:r w:rsidR="003E59E1">
        <w:t>all review steps 1-</w:t>
      </w:r>
      <w:r w:rsidR="00DB54EF">
        <w:t xml:space="preserve">6 </w:t>
      </w:r>
      <w:r w:rsidR="003E59E1">
        <w:t>in paragraph 2.</w:t>
      </w:r>
      <w:r w:rsidR="001A0AA1">
        <w:t>1</w:t>
      </w:r>
      <w:r w:rsidR="00A57183">
        <w:t>2</w:t>
      </w:r>
      <w:r w:rsidR="001A0AA1">
        <w:t>.</w:t>
      </w:r>
      <w:r w:rsidR="00DE2FEB" w:rsidRPr="00DE2FEB">
        <w:t xml:space="preserve"> </w:t>
      </w:r>
    </w:p>
    <w:p w14:paraId="7E3164D3" w14:textId="19D93246" w:rsidR="003E59E1" w:rsidRDefault="003E59E1" w:rsidP="0026652C">
      <w:r>
        <w:t>The lead inspector should c</w:t>
      </w:r>
      <w:r w:rsidRPr="00FB0138">
        <w:t xml:space="preserve">onsider any information sharing that may be relevant under a MOU with another agency such as </w:t>
      </w:r>
      <w:proofErr w:type="spellStart"/>
      <w:r w:rsidRPr="00FB0138">
        <w:t>Comcare</w:t>
      </w:r>
      <w:proofErr w:type="spellEnd"/>
      <w:r w:rsidRPr="00FB0138">
        <w:t xml:space="preserve"> or ASNO.</w:t>
      </w:r>
    </w:p>
    <w:p w14:paraId="3C6A653F" w14:textId="0DED3B59" w:rsidR="002E04C1" w:rsidRDefault="002E04C1" w:rsidP="0026652C">
      <w:r>
        <w:t xml:space="preserve">The lead inspector should also consider whether the report contains any sensitive </w:t>
      </w:r>
      <w:r w:rsidR="00096A20">
        <w:t>findings</w:t>
      </w:r>
      <w:r>
        <w:t xml:space="preserve"> likely to require media management or that need to be brought to the </w:t>
      </w:r>
      <w:r w:rsidR="00096A20">
        <w:t xml:space="preserve">Minister’s </w:t>
      </w:r>
      <w:r>
        <w:t>attention</w:t>
      </w:r>
      <w:r w:rsidR="00096A20">
        <w:t>. In such cases the O</w:t>
      </w:r>
      <w:r w:rsidR="00C7781F">
        <w:t xml:space="preserve">ffice of the </w:t>
      </w:r>
      <w:r w:rsidR="00096A20">
        <w:t xml:space="preserve">CEO </w:t>
      </w:r>
      <w:r w:rsidR="00A5432C">
        <w:t xml:space="preserve">(OCEO) </w:t>
      </w:r>
      <w:r w:rsidR="00096A20">
        <w:t xml:space="preserve">should be advised </w:t>
      </w:r>
      <w:r>
        <w:t>to allow sufficient lead-time to prepare talking points, briefs etc.</w:t>
      </w:r>
    </w:p>
    <w:p w14:paraId="1F33EB6B" w14:textId="1ED14675" w:rsidR="00FE051A" w:rsidRDefault="007D0E8C" w:rsidP="0026652C">
      <w:r>
        <w:t xml:space="preserve">The </w:t>
      </w:r>
      <w:r w:rsidR="00DA7F52">
        <w:t xml:space="preserve">final </w:t>
      </w:r>
      <w:r w:rsidR="003E59E1">
        <w:t xml:space="preserve">report is sent to the </w:t>
      </w:r>
      <w:r w:rsidR="006869DC">
        <w:t>LAO</w:t>
      </w:r>
      <w:r w:rsidR="005E5C9B">
        <w:rPr>
          <w:rStyle w:val="FootnoteReference"/>
          <w:rFonts w:eastAsia="Times New Roman"/>
        </w:rPr>
        <w:footnoteReference w:id="4"/>
      </w:r>
      <w:r w:rsidR="006869DC">
        <w:t xml:space="preserve"> </w:t>
      </w:r>
      <w:r w:rsidR="003E59E1">
        <w:t xml:space="preserve">who </w:t>
      </w:r>
      <w:r>
        <w:t>convert</w:t>
      </w:r>
      <w:r w:rsidR="006869DC">
        <w:t xml:space="preserve">s </w:t>
      </w:r>
      <w:r w:rsidR="003E59E1">
        <w:t xml:space="preserve">it </w:t>
      </w:r>
      <w:r>
        <w:t>to a pdf and email</w:t>
      </w:r>
      <w:r w:rsidR="006869DC">
        <w:t>s it</w:t>
      </w:r>
      <w:r>
        <w:t xml:space="preserve"> to the nominee and licence holder representatives</w:t>
      </w:r>
      <w:r w:rsidR="00A5432C">
        <w:t>.</w:t>
      </w:r>
    </w:p>
    <w:p w14:paraId="25DB2A09" w14:textId="3572443C" w:rsidR="007B0CD1" w:rsidRPr="00BA6E06" w:rsidRDefault="007B0CD1" w:rsidP="0026652C">
      <w:r w:rsidRPr="00BA6E06">
        <w:t>N</w:t>
      </w:r>
      <w:r w:rsidR="00065BA5" w:rsidRPr="00BA6E06">
        <w:t>OTE</w:t>
      </w:r>
      <w:r w:rsidRPr="00BA6E06">
        <w:t xml:space="preserve">: Because the inspection report is agreed with the licence holder prior to </w:t>
      </w:r>
      <w:r w:rsidR="00562A0F" w:rsidRPr="00BA6E06">
        <w:t xml:space="preserve">its </w:t>
      </w:r>
      <w:r w:rsidRPr="00BA6E06">
        <w:t>issue</w:t>
      </w:r>
      <w:r w:rsidR="00562A0F" w:rsidRPr="00BA6E06">
        <w:t xml:space="preserve"> the need to </w:t>
      </w:r>
      <w:r w:rsidRPr="00BA6E06">
        <w:t>reissue a report is unlikely to occur</w:t>
      </w:r>
      <w:r w:rsidR="00562A0F" w:rsidRPr="00BA6E06">
        <w:t>. However</w:t>
      </w:r>
      <w:r w:rsidR="00832E73" w:rsidRPr="00BA6E06">
        <w:t>,</w:t>
      </w:r>
      <w:r w:rsidR="00562A0F" w:rsidRPr="00BA6E06">
        <w:t xml:space="preserve"> should this be required</w:t>
      </w:r>
      <w:r w:rsidR="00832E73" w:rsidRPr="00BA6E06">
        <w:t>,</w:t>
      </w:r>
      <w:r w:rsidR="00562A0F" w:rsidRPr="00BA6E06">
        <w:t xml:space="preserve"> the reason for reissue should be clearly documented and the same approval process followed</w:t>
      </w:r>
      <w:r w:rsidR="003962B5" w:rsidRPr="00BA6E06">
        <w:t xml:space="preserve">. </w:t>
      </w:r>
      <w:r w:rsidR="00562A0F" w:rsidRPr="00BA6E06">
        <w:t>The report should be marked accordingly</w:t>
      </w:r>
      <w:r w:rsidR="003962B5" w:rsidRPr="00BA6E06">
        <w:t xml:space="preserve">. </w:t>
      </w:r>
    </w:p>
    <w:p w14:paraId="645DCD52" w14:textId="59CE14AD" w:rsidR="00952AD7" w:rsidRPr="00137680" w:rsidRDefault="00952AD7" w:rsidP="0026652C">
      <w:pPr>
        <w:pStyle w:val="Heading4"/>
        <w:numPr>
          <w:ilvl w:val="1"/>
          <w:numId w:val="19"/>
        </w:numPr>
      </w:pPr>
      <w:bookmarkStart w:id="99" w:name="_Toc492399376"/>
      <w:bookmarkStart w:id="100" w:name="_Ref527720959"/>
      <w:bookmarkStart w:id="101" w:name="_Toc5290087"/>
      <w:r w:rsidRPr="00137680">
        <w:t xml:space="preserve">Record </w:t>
      </w:r>
      <w:r w:rsidR="00125C83" w:rsidRPr="00137680">
        <w:t>k</w:t>
      </w:r>
      <w:r w:rsidRPr="00137680">
        <w:t>eeping</w:t>
      </w:r>
      <w:bookmarkEnd w:id="99"/>
      <w:bookmarkEnd w:id="100"/>
      <w:bookmarkEnd w:id="101"/>
    </w:p>
    <w:p w14:paraId="2892855A" w14:textId="0E5419AA" w:rsidR="00A96BE4" w:rsidRDefault="00A96BE4" w:rsidP="0026652C">
      <w:r w:rsidRPr="00065BA5">
        <w:t xml:space="preserve">The report must be saved </w:t>
      </w:r>
      <w:r>
        <w:t xml:space="preserve">in </w:t>
      </w:r>
      <w:r w:rsidR="00A5432C">
        <w:t>the RMS</w:t>
      </w:r>
      <w:r>
        <w:t xml:space="preserve"> using the </w:t>
      </w:r>
      <w:r w:rsidRPr="00065BA5">
        <w:t>‘Inspection Report’ record type</w:t>
      </w:r>
      <w:r w:rsidR="003962B5">
        <w:t xml:space="preserve">. </w:t>
      </w:r>
    </w:p>
    <w:p w14:paraId="32FB55AF" w14:textId="1F7810F9" w:rsidR="00A65BD0" w:rsidRPr="00065BA5" w:rsidRDefault="00952AD7" w:rsidP="0026652C">
      <w:r w:rsidRPr="00886BF2">
        <w:t xml:space="preserve">All documents associated with preparation, </w:t>
      </w:r>
      <w:r>
        <w:t>performance</w:t>
      </w:r>
      <w:r w:rsidRPr="00886BF2">
        <w:t>, reporting and follow-up of the inspect</w:t>
      </w:r>
      <w:r>
        <w:t xml:space="preserve">ion must be </w:t>
      </w:r>
      <w:r w:rsidR="00F35E3F">
        <w:t xml:space="preserve">saved in </w:t>
      </w:r>
      <w:r w:rsidR="0093604F">
        <w:t xml:space="preserve">the appropriate </w:t>
      </w:r>
      <w:r w:rsidR="00A5432C">
        <w:t xml:space="preserve">the RMS </w:t>
      </w:r>
      <w:r w:rsidR="00096A20">
        <w:t xml:space="preserve">records </w:t>
      </w:r>
      <w:r w:rsidR="00D30E5E">
        <w:t>file</w:t>
      </w:r>
      <w:r w:rsidR="00914D7C">
        <w:t>; this may include</w:t>
      </w:r>
      <w:r>
        <w:t xml:space="preserve"> </w:t>
      </w:r>
      <w:r w:rsidR="00914D7C">
        <w:t xml:space="preserve">scanned </w:t>
      </w:r>
      <w:r w:rsidR="00C45B61">
        <w:t>checklists</w:t>
      </w:r>
      <w:r w:rsidR="00D30E5E">
        <w:t xml:space="preserve"> or</w:t>
      </w:r>
      <w:r w:rsidR="00C45B61">
        <w:t xml:space="preserve"> handwritten</w:t>
      </w:r>
      <w:r w:rsidRPr="00886BF2">
        <w:t xml:space="preserve"> notes</w:t>
      </w:r>
      <w:r w:rsidR="00914D7C">
        <w:t>, p</w:t>
      </w:r>
      <w:r w:rsidRPr="00886BF2">
        <w:t>hotos and/or electronic recordings</w:t>
      </w:r>
      <w:r w:rsidR="003962B5">
        <w:t xml:space="preserve">. </w:t>
      </w:r>
    </w:p>
    <w:p w14:paraId="1109585B" w14:textId="33243B03" w:rsidR="00B13990" w:rsidRPr="00996297" w:rsidRDefault="00952AD7" w:rsidP="0026652C">
      <w:r>
        <w:t>Re</w:t>
      </w:r>
      <w:r w:rsidR="00D30E5E">
        <w:t xml:space="preserve">levant </w:t>
      </w:r>
      <w:r w:rsidRPr="00531310">
        <w:t xml:space="preserve">information </w:t>
      </w:r>
      <w:r>
        <w:t xml:space="preserve">must be entered </w:t>
      </w:r>
      <w:r w:rsidRPr="00531310">
        <w:t>in</w:t>
      </w:r>
      <w:r>
        <w:t>to LAD</w:t>
      </w:r>
      <w:r w:rsidR="003962B5">
        <w:t xml:space="preserve">. </w:t>
      </w:r>
      <w:r w:rsidR="00B25E2E">
        <w:t>A</w:t>
      </w:r>
      <w:r w:rsidR="004973EA">
        <w:t>reas for improvement</w:t>
      </w:r>
      <w:r w:rsidR="00B25E2E">
        <w:t xml:space="preserve"> must be </w:t>
      </w:r>
      <w:r w:rsidR="00CC1F6D">
        <w:t xml:space="preserve">separately </w:t>
      </w:r>
      <w:r w:rsidR="00B25E2E">
        <w:t>entered</w:t>
      </w:r>
      <w:r w:rsidR="00B13990">
        <w:t xml:space="preserve">. </w:t>
      </w:r>
      <w:r w:rsidR="00B13990" w:rsidRPr="00996297">
        <w:t xml:space="preserve">Where an inspection report covers more than one licence any areas for improvement </w:t>
      </w:r>
      <w:r w:rsidR="00B13990">
        <w:t xml:space="preserve">should </w:t>
      </w:r>
      <w:r w:rsidR="00B13990" w:rsidRPr="00996297">
        <w:t>be assigned against the relevant licence.</w:t>
      </w:r>
      <w:r w:rsidR="00B13990">
        <w:t xml:space="preserve"> </w:t>
      </w:r>
    </w:p>
    <w:p w14:paraId="6620B1AC" w14:textId="65C0C4CD" w:rsidR="0095394E" w:rsidRPr="00BB7721" w:rsidRDefault="00996297" w:rsidP="0026652C">
      <w:r>
        <w:t>W</w:t>
      </w:r>
      <w:r w:rsidR="00952AD7" w:rsidRPr="00886BF2">
        <w:t xml:space="preserve">here </w:t>
      </w:r>
      <w:r>
        <w:t>an inspection file has been raised actions against any potential non-compliances or areas for improvement</w:t>
      </w:r>
      <w:r w:rsidR="00125C83">
        <w:t xml:space="preserve"> should be recorded before it is </w:t>
      </w:r>
      <w:r w:rsidR="00952AD7" w:rsidRPr="00886BF2">
        <w:t>closed.</w:t>
      </w:r>
      <w:r w:rsidR="00B13990">
        <w:t xml:space="preserve"> </w:t>
      </w:r>
      <w:r w:rsidR="00A75F9B">
        <w:t>Potential Non Compliances must also be entered into LAD.</w:t>
      </w:r>
    </w:p>
    <w:p w14:paraId="0F4D0FB8" w14:textId="79CF8CD8" w:rsidR="008104A6" w:rsidRPr="00137680" w:rsidRDefault="008104A6" w:rsidP="0026652C">
      <w:pPr>
        <w:pStyle w:val="Heading4"/>
        <w:numPr>
          <w:ilvl w:val="1"/>
          <w:numId w:val="19"/>
        </w:numPr>
      </w:pPr>
      <w:bookmarkStart w:id="102" w:name="_Toc492399377"/>
      <w:bookmarkStart w:id="103" w:name="_Toc5290088"/>
      <w:r w:rsidRPr="00137680">
        <w:lastRenderedPageBreak/>
        <w:t xml:space="preserve">Publish </w:t>
      </w:r>
      <w:r w:rsidR="00125C83" w:rsidRPr="00137680">
        <w:t>r</w:t>
      </w:r>
      <w:r w:rsidRPr="00137680">
        <w:t>eport</w:t>
      </w:r>
      <w:r w:rsidR="00125C83" w:rsidRPr="00137680">
        <w:t xml:space="preserve"> &amp; request post-inspection survey</w:t>
      </w:r>
      <w:bookmarkEnd w:id="102"/>
      <w:bookmarkEnd w:id="103"/>
    </w:p>
    <w:p w14:paraId="07DEA641" w14:textId="129B63AC" w:rsidR="0089311C" w:rsidRPr="00F854FD" w:rsidRDefault="0089311C" w:rsidP="0026652C">
      <w:pPr>
        <w:rPr>
          <w:color w:val="4E1A74" w:themeColor="accent2"/>
        </w:rPr>
      </w:pPr>
      <w:bookmarkStart w:id="104" w:name="_Toc483572285"/>
      <w:r w:rsidRPr="00F854FD">
        <w:t xml:space="preserve">The </w:t>
      </w:r>
      <w:r>
        <w:t xml:space="preserve">LAO </w:t>
      </w:r>
      <w:r w:rsidRPr="00F854FD">
        <w:t xml:space="preserve">removes the addendum and sends a request to the </w:t>
      </w:r>
      <w:r w:rsidR="00FF3049">
        <w:t>Office of the CEO (</w:t>
      </w:r>
      <w:r w:rsidRPr="00F854FD">
        <w:t>OCEO</w:t>
      </w:r>
      <w:r w:rsidR="00FF3049">
        <w:t>)</w:t>
      </w:r>
      <w:r w:rsidRPr="00F854FD">
        <w:t xml:space="preserve"> for th</w:t>
      </w:r>
      <w:r>
        <w:t>is</w:t>
      </w:r>
      <w:r w:rsidRPr="00F854FD">
        <w:t xml:space="preserve"> public version of the final report to be published after taking into account any security or sensitive issues. The LAO </w:t>
      </w:r>
      <w:r>
        <w:t xml:space="preserve">also requests the OCEO to </w:t>
      </w:r>
      <w:proofErr w:type="gramStart"/>
      <w:r>
        <w:t>organised</w:t>
      </w:r>
      <w:proofErr w:type="gramEnd"/>
      <w:r>
        <w:t xml:space="preserve"> a </w:t>
      </w:r>
      <w:r w:rsidRPr="00F854FD">
        <w:t>post-inspection survey</w:t>
      </w:r>
      <w:r>
        <w:t>.</w:t>
      </w:r>
      <w:r w:rsidRPr="00F854FD">
        <w:t xml:space="preserve"> </w:t>
      </w:r>
    </w:p>
    <w:p w14:paraId="37002BF6" w14:textId="394FC46E" w:rsidR="005D59CE" w:rsidRPr="005868BA" w:rsidRDefault="00C45B61" w:rsidP="0026652C">
      <w:pPr>
        <w:pStyle w:val="Heading1"/>
        <w:numPr>
          <w:ilvl w:val="0"/>
          <w:numId w:val="23"/>
        </w:numPr>
      </w:pPr>
      <w:r w:rsidRPr="005868BA">
        <w:t>Review &amp; Follow-up</w:t>
      </w:r>
      <w:bookmarkEnd w:id="104"/>
    </w:p>
    <w:p w14:paraId="36A094E7" w14:textId="057ACA06" w:rsidR="008104A6" w:rsidRPr="005868BA" w:rsidRDefault="005D59CE" w:rsidP="0026652C">
      <w:pPr>
        <w:pStyle w:val="Heading4"/>
        <w:numPr>
          <w:ilvl w:val="1"/>
          <w:numId w:val="19"/>
        </w:numPr>
      </w:pPr>
      <w:bookmarkStart w:id="105" w:name="_Toc5290089"/>
      <w:r w:rsidRPr="005868BA">
        <w:t>Review of facility regulatory priority</w:t>
      </w:r>
      <w:bookmarkEnd w:id="105"/>
    </w:p>
    <w:p w14:paraId="497D2C3F" w14:textId="137221EB" w:rsidR="00B25E2E" w:rsidRDefault="00503465" w:rsidP="0026652C">
      <w:r>
        <w:t>T</w:t>
      </w:r>
      <w:r w:rsidR="00D6152F" w:rsidRPr="00886BF2">
        <w:t xml:space="preserve">he </w:t>
      </w:r>
      <w:r w:rsidR="005D59CE">
        <w:t>regulatory priority for facilities</w:t>
      </w:r>
      <w:r w:rsidR="001D7239">
        <w:t xml:space="preserve"> </w:t>
      </w:r>
      <w:r>
        <w:t xml:space="preserve">should be reviewed and </w:t>
      </w:r>
      <w:r w:rsidR="00D6152F" w:rsidRPr="00886BF2">
        <w:t>revise</w:t>
      </w:r>
      <w:r>
        <w:t>d</w:t>
      </w:r>
      <w:r w:rsidR="00D6152F" w:rsidRPr="00886BF2">
        <w:t xml:space="preserve"> as</w:t>
      </w:r>
      <w:r w:rsidR="00870BB3">
        <w:t xml:space="preserve"> per </w:t>
      </w:r>
      <w:r w:rsidR="001D34F3">
        <w:t>Appendix A</w:t>
      </w:r>
      <w:r w:rsidR="00DE4A65">
        <w:t xml:space="preserve"> and</w:t>
      </w:r>
      <w:r>
        <w:t xml:space="preserve"> </w:t>
      </w:r>
      <w:r w:rsidR="00D6152F" w:rsidRPr="00531310">
        <w:t xml:space="preserve">LAD </w:t>
      </w:r>
      <w:r>
        <w:t xml:space="preserve">updated </w:t>
      </w:r>
      <w:r w:rsidR="00D6152F">
        <w:t>accordingly</w:t>
      </w:r>
      <w:r w:rsidR="00D6152F" w:rsidRPr="00531310">
        <w:t>.</w:t>
      </w:r>
    </w:p>
    <w:p w14:paraId="62174DEB" w14:textId="5F1804A5" w:rsidR="00B25E2E" w:rsidRPr="005868BA" w:rsidRDefault="00B25E2E" w:rsidP="0026652C">
      <w:pPr>
        <w:pStyle w:val="Heading4"/>
        <w:numPr>
          <w:ilvl w:val="1"/>
          <w:numId w:val="19"/>
        </w:numPr>
      </w:pPr>
      <w:bookmarkStart w:id="106" w:name="_Toc492399379"/>
      <w:bookmarkStart w:id="107" w:name="_Toc5290090"/>
      <w:r w:rsidRPr="005868BA">
        <w:t xml:space="preserve">Follow-up </w:t>
      </w:r>
      <w:r w:rsidR="004973EA" w:rsidRPr="005868BA">
        <w:t>areas for improvement</w:t>
      </w:r>
      <w:r w:rsidR="00E045D6" w:rsidRPr="005868BA">
        <w:t xml:space="preserve"> and potential non-compliance</w:t>
      </w:r>
      <w:bookmarkEnd w:id="106"/>
      <w:bookmarkEnd w:id="107"/>
    </w:p>
    <w:p w14:paraId="05A814A7" w14:textId="6293BAFD" w:rsidR="00E045D6" w:rsidRDefault="00C45B61" w:rsidP="0026652C">
      <w:r>
        <w:t>Actions to address areas for improvement are expected to be taken within three months</w:t>
      </w:r>
      <w:r w:rsidR="003962B5">
        <w:t xml:space="preserve">. </w:t>
      </w:r>
      <w:r>
        <w:t>Inspectors should follow</w:t>
      </w:r>
      <w:r w:rsidR="0060010D">
        <w:t xml:space="preserve"> </w:t>
      </w:r>
      <w:r>
        <w:t xml:space="preserve">up with the licence holder and record the actions in LAD. </w:t>
      </w:r>
    </w:p>
    <w:p w14:paraId="4A801C6B" w14:textId="45A14CF8" w:rsidR="00952AD7" w:rsidRDefault="00E045D6" w:rsidP="0026652C">
      <w:r>
        <w:t>In the case of potential non-compliance, the inspector should ensure that the licence holder responds within the defined period</w:t>
      </w:r>
      <w:r w:rsidR="003962B5">
        <w:t xml:space="preserve">. </w:t>
      </w:r>
      <w:r w:rsidR="007232DD">
        <w:t xml:space="preserve">The licence holder’s response should be taken into account to determine the </w:t>
      </w:r>
      <w:r>
        <w:t>appropriate action</w:t>
      </w:r>
      <w:r w:rsidR="007232DD">
        <w:t xml:space="preserve"> in accordance with the</w:t>
      </w:r>
      <w:r w:rsidR="00A5432C">
        <w:t xml:space="preserve"> Compliance and Enforcement Manual</w:t>
      </w:r>
      <w:r w:rsidR="007232DD">
        <w:t>.</w:t>
      </w:r>
    </w:p>
    <w:p w14:paraId="379E1E38" w14:textId="25BB5FE9" w:rsidR="00D6152F" w:rsidRPr="005868BA" w:rsidRDefault="00B341EF" w:rsidP="0026652C">
      <w:pPr>
        <w:pStyle w:val="Heading4"/>
        <w:numPr>
          <w:ilvl w:val="1"/>
          <w:numId w:val="19"/>
        </w:numPr>
      </w:pPr>
      <w:bookmarkStart w:id="108" w:name="_Toc492399380"/>
      <w:bookmarkStart w:id="109" w:name="_Toc5290091"/>
      <w:r w:rsidRPr="005868BA">
        <w:t>F</w:t>
      </w:r>
      <w:r w:rsidR="00D6152F" w:rsidRPr="005868BA">
        <w:t>eedback</w:t>
      </w:r>
      <w:r w:rsidRPr="005868BA">
        <w:t xml:space="preserve"> &amp; </w:t>
      </w:r>
      <w:r w:rsidR="00FF6FD9" w:rsidRPr="005868BA">
        <w:t>l</w:t>
      </w:r>
      <w:r w:rsidRPr="005868BA">
        <w:t xml:space="preserve">essons </w:t>
      </w:r>
      <w:r w:rsidR="00FF6FD9" w:rsidRPr="005868BA">
        <w:t>l</w:t>
      </w:r>
      <w:r w:rsidRPr="005868BA">
        <w:t>earned</w:t>
      </w:r>
      <w:bookmarkEnd w:id="108"/>
      <w:bookmarkEnd w:id="109"/>
    </w:p>
    <w:p w14:paraId="618D3948" w14:textId="1E7309B8" w:rsidR="00B341EF" w:rsidRDefault="00B341EF" w:rsidP="0026652C">
      <w:r>
        <w:t xml:space="preserve">Feedback from </w:t>
      </w:r>
      <w:r w:rsidRPr="00886BF2">
        <w:t xml:space="preserve">the online survey </w:t>
      </w:r>
      <w:r>
        <w:t xml:space="preserve">is </w:t>
      </w:r>
      <w:r w:rsidR="00454EA7">
        <w:t xml:space="preserve">regularly </w:t>
      </w:r>
      <w:r w:rsidR="001C5BCA">
        <w:t>collated</w:t>
      </w:r>
      <w:r w:rsidR="00474D8F" w:rsidRPr="00886BF2">
        <w:t xml:space="preserve"> </w:t>
      </w:r>
      <w:r w:rsidR="00875673">
        <w:t xml:space="preserve">and analysed by </w:t>
      </w:r>
      <w:r w:rsidR="00DB54EF">
        <w:t>Safety Systems section</w:t>
      </w:r>
      <w:r w:rsidR="003962B5">
        <w:t xml:space="preserve">. </w:t>
      </w:r>
      <w:r w:rsidR="00FF3049">
        <w:t xml:space="preserve"> </w:t>
      </w:r>
      <w:r w:rsidRPr="00886BF2">
        <w:t xml:space="preserve">Outcomes from inspections and licence holder feedback </w:t>
      </w:r>
      <w:r w:rsidR="007B2E2F">
        <w:t>should be</w:t>
      </w:r>
      <w:r w:rsidRPr="00886BF2">
        <w:t xml:space="preserve"> discussed at section meetings</w:t>
      </w:r>
      <w:r w:rsidR="007F2390">
        <w:t xml:space="preserve"> and </w:t>
      </w:r>
      <w:r w:rsidR="00D50CA9">
        <w:t xml:space="preserve">are </w:t>
      </w:r>
      <w:r w:rsidR="007F2390">
        <w:t>evaluated during review</w:t>
      </w:r>
      <w:r w:rsidR="00D50CA9">
        <w:t xml:space="preserve"> of the inspection program described in section</w:t>
      </w:r>
      <w:r w:rsidR="002F454F">
        <w:t xml:space="preserve"> </w:t>
      </w:r>
      <w:r w:rsidR="002F454F">
        <w:fldChar w:fldCharType="begin"/>
      </w:r>
      <w:r w:rsidR="002F454F">
        <w:instrText xml:space="preserve"> REF _Ref527721021 \r \h </w:instrText>
      </w:r>
      <w:r w:rsidR="002F454F">
        <w:fldChar w:fldCharType="separate"/>
      </w:r>
      <w:r w:rsidR="002F454F">
        <w:t>1</w:t>
      </w:r>
      <w:r w:rsidR="002F454F">
        <w:fldChar w:fldCharType="end"/>
      </w:r>
      <w:r w:rsidR="003962B5">
        <w:t xml:space="preserve">. </w:t>
      </w:r>
      <w:r w:rsidR="00007B15">
        <w:t xml:space="preserve">An analysis of inspection outcomes is </w:t>
      </w:r>
      <w:r w:rsidR="00DB54EF">
        <w:t xml:space="preserve">periodically </w:t>
      </w:r>
      <w:r w:rsidR="00007B15">
        <w:t>published on the ARPANSA website</w:t>
      </w:r>
      <w:r w:rsidR="003962B5">
        <w:t xml:space="preserve">. </w:t>
      </w:r>
    </w:p>
    <w:p w14:paraId="0E0E66B8" w14:textId="641496A7" w:rsidR="00B61A3B" w:rsidRDefault="006F2231" w:rsidP="0026652C">
      <w:pPr>
        <w:pStyle w:val="Heading1"/>
        <w:numPr>
          <w:ilvl w:val="0"/>
          <w:numId w:val="24"/>
        </w:numPr>
      </w:pPr>
      <w:bookmarkStart w:id="110" w:name="_Radiation_monitoring_equipment"/>
      <w:bookmarkStart w:id="111" w:name="_4._Inspector_competencies"/>
      <w:bookmarkStart w:id="112" w:name="_Toc483572298"/>
      <w:bookmarkStart w:id="113" w:name="_Toc492399388"/>
      <w:bookmarkStart w:id="114" w:name="_Ref527720905"/>
      <w:bookmarkEnd w:id="110"/>
      <w:bookmarkEnd w:id="111"/>
      <w:r w:rsidRPr="00A83C2D">
        <w:t>I</w:t>
      </w:r>
      <w:r w:rsidR="00FA6233">
        <w:t>nspector competencies</w:t>
      </w:r>
      <w:bookmarkEnd w:id="112"/>
      <w:bookmarkEnd w:id="113"/>
      <w:bookmarkEnd w:id="114"/>
    </w:p>
    <w:p w14:paraId="598748C8" w14:textId="63520D96" w:rsidR="0078572E" w:rsidRPr="0041789C" w:rsidRDefault="0078572E" w:rsidP="0026652C">
      <w:pPr>
        <w:pStyle w:val="Heading3"/>
        <w:numPr>
          <w:ilvl w:val="1"/>
          <w:numId w:val="24"/>
        </w:numPr>
      </w:pPr>
      <w:bookmarkStart w:id="115" w:name="_Toc483572299"/>
      <w:bookmarkStart w:id="116" w:name="_Toc492399389"/>
      <w:bookmarkStart w:id="117" w:name="_Toc5290092"/>
      <w:r w:rsidRPr="0041789C">
        <w:t>Skills</w:t>
      </w:r>
      <w:bookmarkEnd w:id="115"/>
      <w:bookmarkEnd w:id="116"/>
      <w:bookmarkEnd w:id="117"/>
    </w:p>
    <w:p w14:paraId="35FFF361" w14:textId="77777777" w:rsidR="0078572E" w:rsidRPr="008607F3" w:rsidRDefault="0078572E" w:rsidP="0026652C">
      <w:r w:rsidRPr="008607F3">
        <w:t>Inspectors should</w:t>
      </w:r>
      <w:r w:rsidRPr="008607F3">
        <w:rPr>
          <w:b/>
        </w:rPr>
        <w:t xml:space="preserve"> </w:t>
      </w:r>
      <w:r w:rsidRPr="008607F3">
        <w:t>possess or be actively acquiring the following skills, and periodically undertake refresher training in the use of these skills:</w:t>
      </w:r>
    </w:p>
    <w:p w14:paraId="37289818" w14:textId="77777777" w:rsidR="0078572E" w:rsidRPr="00475DC2" w:rsidRDefault="0078572E" w:rsidP="0026652C">
      <w:pPr>
        <w:pStyle w:val="ListParagraph"/>
        <w:numPr>
          <w:ilvl w:val="0"/>
          <w:numId w:val="25"/>
        </w:numPr>
      </w:pPr>
      <w:r w:rsidRPr="00475DC2">
        <w:t>Methods of audit and investigation</w:t>
      </w:r>
    </w:p>
    <w:p w14:paraId="2B5FB1FA" w14:textId="77777777" w:rsidR="0078572E" w:rsidRPr="00475DC2" w:rsidRDefault="0078572E" w:rsidP="0026652C">
      <w:pPr>
        <w:pStyle w:val="ListParagraph"/>
        <w:numPr>
          <w:ilvl w:val="0"/>
          <w:numId w:val="25"/>
        </w:numPr>
      </w:pPr>
      <w:r w:rsidRPr="00475DC2">
        <w:t>Report writing</w:t>
      </w:r>
    </w:p>
    <w:p w14:paraId="113B94D2" w14:textId="77777777" w:rsidR="0078572E" w:rsidRPr="00475DC2" w:rsidRDefault="0078572E" w:rsidP="0026652C">
      <w:pPr>
        <w:pStyle w:val="ListParagraph"/>
        <w:numPr>
          <w:ilvl w:val="0"/>
          <w:numId w:val="25"/>
        </w:numPr>
      </w:pPr>
      <w:r w:rsidRPr="00475DC2">
        <w:t>Radiation monitoring and measurement</w:t>
      </w:r>
    </w:p>
    <w:p w14:paraId="35C8FD54" w14:textId="77777777" w:rsidR="0078572E" w:rsidRPr="00475DC2" w:rsidRDefault="0078572E" w:rsidP="0026652C">
      <w:pPr>
        <w:pStyle w:val="ListParagraph"/>
        <w:numPr>
          <w:ilvl w:val="0"/>
          <w:numId w:val="25"/>
        </w:numPr>
      </w:pPr>
      <w:r w:rsidRPr="00475DC2">
        <w:t>Principles of evidence gathering</w:t>
      </w:r>
    </w:p>
    <w:p w14:paraId="7AAB4C77" w14:textId="74935E52" w:rsidR="0078572E" w:rsidRPr="0041789C" w:rsidRDefault="0078572E" w:rsidP="0026652C">
      <w:pPr>
        <w:pStyle w:val="Heading3"/>
        <w:numPr>
          <w:ilvl w:val="1"/>
          <w:numId w:val="24"/>
        </w:numPr>
      </w:pPr>
      <w:bookmarkStart w:id="118" w:name="_Toc483572300"/>
      <w:bookmarkStart w:id="119" w:name="_Toc492399390"/>
      <w:bookmarkStart w:id="120" w:name="_Toc5290093"/>
      <w:r w:rsidRPr="0041789C">
        <w:t>Knowledge</w:t>
      </w:r>
      <w:bookmarkEnd w:id="118"/>
      <w:bookmarkEnd w:id="119"/>
      <w:bookmarkEnd w:id="120"/>
      <w:r w:rsidRPr="0041789C">
        <w:t xml:space="preserve"> </w:t>
      </w:r>
    </w:p>
    <w:p w14:paraId="18A15FFA" w14:textId="05D84CBF" w:rsidR="0078572E" w:rsidRPr="008607F3" w:rsidRDefault="0078572E" w:rsidP="0026652C">
      <w:r w:rsidRPr="008607F3">
        <w:t xml:space="preserve">Inspectors should possess or be actively acquiring </w:t>
      </w:r>
      <w:r w:rsidR="0089293E">
        <w:t xml:space="preserve">knowledge of </w:t>
      </w:r>
      <w:r w:rsidRPr="008607F3">
        <w:t>the following:</w:t>
      </w:r>
      <w:r w:rsidR="002943E1">
        <w:t xml:space="preserve"> </w:t>
      </w:r>
    </w:p>
    <w:p w14:paraId="01EBBF48" w14:textId="6B4D00DA" w:rsidR="0078572E" w:rsidRPr="00475DC2" w:rsidRDefault="0089293E" w:rsidP="0026652C">
      <w:pPr>
        <w:pStyle w:val="ListParagraph"/>
        <w:numPr>
          <w:ilvl w:val="0"/>
          <w:numId w:val="26"/>
        </w:numPr>
      </w:pPr>
      <w:r w:rsidRPr="00475DC2">
        <w:t>R</w:t>
      </w:r>
      <w:r w:rsidR="0078572E" w:rsidRPr="00475DC2">
        <w:t xml:space="preserve">egulatory </w:t>
      </w:r>
      <w:r w:rsidRPr="00475DC2">
        <w:t>framework</w:t>
      </w:r>
      <w:r w:rsidR="0078572E" w:rsidRPr="00475DC2">
        <w:t>: High</w:t>
      </w:r>
      <w:r w:rsidRPr="00475DC2">
        <w:t>-</w:t>
      </w:r>
      <w:r w:rsidR="0078572E" w:rsidRPr="00475DC2">
        <w:t xml:space="preserve">level knowledge of the level of responsibility </w:t>
      </w:r>
      <w:r w:rsidR="00D45F54" w:rsidRPr="00475DC2">
        <w:t xml:space="preserve">of </w:t>
      </w:r>
      <w:r w:rsidR="0078572E" w:rsidRPr="00475DC2">
        <w:t>ARPANSA inspectors and the extent of their authority as set out in the Act</w:t>
      </w:r>
      <w:r w:rsidR="00616C54" w:rsidRPr="00475DC2">
        <w:t xml:space="preserve"> and Regulations</w:t>
      </w:r>
      <w:r w:rsidR="0078572E" w:rsidRPr="00475DC2">
        <w:t>.</w:t>
      </w:r>
    </w:p>
    <w:p w14:paraId="4C15EF3E" w14:textId="05C3C562" w:rsidR="0078572E" w:rsidRPr="00475DC2" w:rsidRDefault="0089293E" w:rsidP="0026652C">
      <w:pPr>
        <w:pStyle w:val="ListParagraph"/>
        <w:numPr>
          <w:ilvl w:val="0"/>
          <w:numId w:val="26"/>
        </w:numPr>
      </w:pPr>
      <w:r w:rsidRPr="00475DC2">
        <w:t>S</w:t>
      </w:r>
      <w:r w:rsidR="0078572E" w:rsidRPr="00475DC2">
        <w:t>afety and security: High</w:t>
      </w:r>
      <w:r w:rsidRPr="00475DC2">
        <w:t>-</w:t>
      </w:r>
      <w:r w:rsidR="0078572E" w:rsidRPr="00475DC2">
        <w:t>level knowledge of applicable radiation protection and nuclear safety requirements, standards and codes of practice.</w:t>
      </w:r>
    </w:p>
    <w:p w14:paraId="0087FF50" w14:textId="3B48C425" w:rsidR="0078572E" w:rsidRPr="00475DC2" w:rsidRDefault="0089293E" w:rsidP="0026652C">
      <w:pPr>
        <w:pStyle w:val="ListParagraph"/>
        <w:numPr>
          <w:ilvl w:val="0"/>
          <w:numId w:val="26"/>
        </w:numPr>
      </w:pPr>
      <w:r w:rsidRPr="00475DC2">
        <w:lastRenderedPageBreak/>
        <w:t>The l</w:t>
      </w:r>
      <w:r w:rsidR="0078572E" w:rsidRPr="00475DC2">
        <w:t>icence: High</w:t>
      </w:r>
      <w:r w:rsidRPr="00475DC2">
        <w:t>-</w:t>
      </w:r>
      <w:r w:rsidR="0078572E" w:rsidRPr="00475DC2">
        <w:t xml:space="preserve">level knowledge of the </w:t>
      </w:r>
      <w:r w:rsidRPr="00475DC2">
        <w:t>controlled facility</w:t>
      </w:r>
      <w:r w:rsidR="0078572E" w:rsidRPr="00475DC2">
        <w:t>, controlled apparatus or controlled material and specific knowledge of the licence holder’s conduct or dealing. This includes expert knowledge of the content of the Act and Regulations, the licence</w:t>
      </w:r>
      <w:r w:rsidR="00730D22" w:rsidRPr="00475DC2">
        <w:t>,</w:t>
      </w:r>
      <w:r w:rsidR="0078572E" w:rsidRPr="00475DC2">
        <w:t xml:space="preserve"> licence conditions</w:t>
      </w:r>
      <w:r w:rsidR="00730D22" w:rsidRPr="00475DC2">
        <w:t xml:space="preserve"> and current licensing basis. </w:t>
      </w:r>
    </w:p>
    <w:p w14:paraId="7C5A45C0" w14:textId="4E41D50D" w:rsidR="0078572E" w:rsidRPr="00475DC2" w:rsidRDefault="0089293E" w:rsidP="0026652C">
      <w:pPr>
        <w:pStyle w:val="ListParagraph"/>
        <w:numPr>
          <w:ilvl w:val="0"/>
          <w:numId w:val="26"/>
        </w:numPr>
      </w:pPr>
      <w:r w:rsidRPr="00475DC2">
        <w:t>The l</w:t>
      </w:r>
      <w:r w:rsidR="0078572E" w:rsidRPr="00475DC2">
        <w:t>icence holders’ systems: Good knowledge of the licence holder’s policies, procedures and practices for ensuring effective control, safety management, radiation protection, radioactive waste management, security</w:t>
      </w:r>
      <w:r w:rsidRPr="00475DC2">
        <w:t>,</w:t>
      </w:r>
      <w:r w:rsidR="0078572E" w:rsidRPr="00475DC2">
        <w:t xml:space="preserve"> emergency response</w:t>
      </w:r>
      <w:r w:rsidRPr="00475DC2">
        <w:t>, and environment protection</w:t>
      </w:r>
      <w:r w:rsidR="0078572E" w:rsidRPr="00475DC2">
        <w:t>.</w:t>
      </w:r>
    </w:p>
    <w:p w14:paraId="2E32BE9A" w14:textId="1C1682EA" w:rsidR="0078572E" w:rsidRPr="00475DC2" w:rsidRDefault="0089293E" w:rsidP="0026652C">
      <w:pPr>
        <w:pStyle w:val="ListParagraph"/>
        <w:numPr>
          <w:ilvl w:val="0"/>
          <w:numId w:val="26"/>
        </w:numPr>
      </w:pPr>
      <w:r w:rsidRPr="00475DC2">
        <w:t>A</w:t>
      </w:r>
      <w:r w:rsidR="0078572E" w:rsidRPr="00475DC2">
        <w:t>ppropriate methods of information/evidence collection, labelling and storage.</w:t>
      </w:r>
    </w:p>
    <w:p w14:paraId="6BC6F5E1" w14:textId="6E26A437" w:rsidR="0078572E" w:rsidRPr="00475DC2" w:rsidRDefault="0089293E" w:rsidP="0026652C">
      <w:pPr>
        <w:pStyle w:val="ListParagraph"/>
        <w:numPr>
          <w:ilvl w:val="0"/>
          <w:numId w:val="26"/>
        </w:numPr>
      </w:pPr>
      <w:r w:rsidRPr="00475DC2">
        <w:t>I</w:t>
      </w:r>
      <w:r w:rsidR="005868BA">
        <w:t>nspection criteria</w:t>
      </w:r>
    </w:p>
    <w:p w14:paraId="4AD3B412" w14:textId="495E9D71" w:rsidR="0078572E" w:rsidRDefault="0078572E" w:rsidP="0026652C">
      <w:pPr>
        <w:pStyle w:val="Heading3"/>
        <w:numPr>
          <w:ilvl w:val="1"/>
          <w:numId w:val="24"/>
        </w:numPr>
      </w:pPr>
      <w:bookmarkStart w:id="121" w:name="_Toc483572301"/>
      <w:bookmarkStart w:id="122" w:name="_Toc492399391"/>
      <w:bookmarkStart w:id="123" w:name="_Toc5290094"/>
      <w:r>
        <w:t xml:space="preserve">Training &amp; </w:t>
      </w:r>
      <w:r w:rsidR="00CC2A8F">
        <w:t>s</w:t>
      </w:r>
      <w:r>
        <w:t xml:space="preserve">kills </w:t>
      </w:r>
      <w:r w:rsidR="00CC2A8F">
        <w:t>d</w:t>
      </w:r>
      <w:r>
        <w:t>evelopment</w:t>
      </w:r>
      <w:bookmarkEnd w:id="121"/>
      <w:bookmarkEnd w:id="122"/>
      <w:bookmarkEnd w:id="123"/>
      <w:r>
        <w:t xml:space="preserve"> </w:t>
      </w:r>
    </w:p>
    <w:p w14:paraId="36AFEFC8" w14:textId="59F00F32" w:rsidR="006B4A61" w:rsidRPr="006F2231" w:rsidRDefault="0078572E" w:rsidP="0026652C">
      <w:r w:rsidRPr="006F2231">
        <w:t xml:space="preserve">The inspector training and skills development program is a set of training courses and workshops approved by the </w:t>
      </w:r>
      <w:r w:rsidR="00B0396E" w:rsidRPr="006F2231">
        <w:t xml:space="preserve">Chief </w:t>
      </w:r>
      <w:r w:rsidR="00753E6E">
        <w:t>Regulatory Officer</w:t>
      </w:r>
      <w:r w:rsidRPr="006F2231">
        <w:t>, to provide an inspector or prospective inspector with the skills and competencies necessary to effectively exercise inspection powers and perform inspection functions under the Act</w:t>
      </w:r>
      <w:r w:rsidR="00CC2A8F">
        <w:t xml:space="preserve"> (see Table </w:t>
      </w:r>
      <w:r w:rsidR="00870BB3">
        <w:t>7</w:t>
      </w:r>
      <w:r w:rsidR="00CC2A8F">
        <w:t>).</w:t>
      </w:r>
    </w:p>
    <w:p w14:paraId="168E8BF3" w14:textId="2CFC4671" w:rsidR="00CC2A8F" w:rsidRPr="00310B73" w:rsidRDefault="005868BA" w:rsidP="0026652C">
      <w:pPr>
        <w:pStyle w:val="Heading4"/>
      </w:pPr>
      <w:bookmarkStart w:id="124" w:name="_Toc483572302"/>
      <w:bookmarkStart w:id="125" w:name="_Toc492399392"/>
      <w:r>
        <w:tab/>
      </w:r>
      <w:bookmarkStart w:id="126" w:name="_Toc5290095"/>
      <w:r w:rsidR="00CC2A8F" w:rsidRPr="008F3505">
        <w:t>Recognition of prior learning</w:t>
      </w:r>
      <w:bookmarkEnd w:id="124"/>
      <w:bookmarkEnd w:id="125"/>
      <w:bookmarkEnd w:id="126"/>
      <w:r w:rsidR="00CC2A8F" w:rsidRPr="00CC2A8F">
        <w:t xml:space="preserve"> </w:t>
      </w:r>
    </w:p>
    <w:p w14:paraId="759B96E8" w14:textId="77777777" w:rsidR="00CC2A8F" w:rsidRPr="008969E4" w:rsidRDefault="00CC2A8F" w:rsidP="0026652C">
      <w:r w:rsidRPr="008969E4">
        <w:t>Previous training and experience of an individual will be taken into account to determine training requirements</w:t>
      </w:r>
      <w:r w:rsidR="00C03657">
        <w:t>.</w:t>
      </w:r>
      <w:r>
        <w:t xml:space="preserve"> </w:t>
      </w:r>
    </w:p>
    <w:p w14:paraId="6CF933DF" w14:textId="674888AD" w:rsidR="00CC2A8F" w:rsidRDefault="005868BA" w:rsidP="0026652C">
      <w:pPr>
        <w:pStyle w:val="Heading4"/>
      </w:pPr>
      <w:bookmarkStart w:id="127" w:name="_Toc492399393"/>
      <w:r>
        <w:tab/>
      </w:r>
      <w:bookmarkStart w:id="128" w:name="_Toc5290096"/>
      <w:r w:rsidR="00CC2A8F">
        <w:t>Refresher training</w:t>
      </w:r>
      <w:bookmarkEnd w:id="127"/>
      <w:bookmarkEnd w:id="128"/>
    </w:p>
    <w:p w14:paraId="0A56A0B5" w14:textId="77777777" w:rsidR="007D5DA0" w:rsidRDefault="00CC2A8F" w:rsidP="0026652C">
      <w:r w:rsidRPr="008969E4">
        <w:t xml:space="preserve">Inspectors should actively maintain the currency of their knowledge and skills pertinent to inspections and site visits and participate in a sufficient number of inspections per year to maintain proficiency. </w:t>
      </w:r>
    </w:p>
    <w:p w14:paraId="4C12305A" w14:textId="1EDDE3CC" w:rsidR="006B4A61" w:rsidRPr="0026652C" w:rsidRDefault="007D5DA0" w:rsidP="0026652C">
      <w:pPr>
        <w:jc w:val="center"/>
        <w:rPr>
          <w:b/>
          <w:color w:val="4E1A74" w:themeColor="accent2"/>
        </w:rPr>
      </w:pPr>
      <w:r w:rsidRPr="0026652C">
        <w:rPr>
          <w:b/>
          <w:color w:val="4E1A74" w:themeColor="accent2"/>
        </w:rPr>
        <w:t>TA</w:t>
      </w:r>
      <w:r w:rsidR="006B4A61" w:rsidRPr="0026652C">
        <w:rPr>
          <w:b/>
          <w:color w:val="4E1A74" w:themeColor="accent2"/>
        </w:rPr>
        <w:t xml:space="preserve">BLE </w:t>
      </w:r>
      <w:r w:rsidR="00870BB3" w:rsidRPr="0026652C">
        <w:rPr>
          <w:b/>
          <w:color w:val="4E1A74" w:themeColor="accent2"/>
        </w:rPr>
        <w:t>7</w:t>
      </w:r>
      <w:r w:rsidR="007172D3" w:rsidRPr="0026652C">
        <w:rPr>
          <w:b/>
          <w:color w:val="4E1A74" w:themeColor="accent2"/>
        </w:rPr>
        <w:t xml:space="preserve">: </w:t>
      </w:r>
      <w:r w:rsidR="00762E6D" w:rsidRPr="0026652C">
        <w:rPr>
          <w:b/>
          <w:color w:val="4E1A74" w:themeColor="accent2"/>
        </w:rPr>
        <w:t>Inspector Training Requirements</w:t>
      </w:r>
    </w:p>
    <w:tbl>
      <w:tblPr>
        <w:tblStyle w:val="ARPANSA"/>
        <w:tblW w:w="0" w:type="auto"/>
        <w:tblLook w:val="04A0" w:firstRow="1" w:lastRow="0" w:firstColumn="1" w:lastColumn="0" w:noHBand="0" w:noVBand="1"/>
      </w:tblPr>
      <w:tblGrid>
        <w:gridCol w:w="5031"/>
        <w:gridCol w:w="2435"/>
        <w:gridCol w:w="1878"/>
      </w:tblGrid>
      <w:tr w:rsidR="003D3436" w:rsidRPr="003D3436" w14:paraId="71FAD0A0" w14:textId="77777777" w:rsidTr="003D3436">
        <w:trPr>
          <w:cnfStyle w:val="100000000000" w:firstRow="1" w:lastRow="0" w:firstColumn="0" w:lastColumn="0" w:oddVBand="0" w:evenVBand="0" w:oddHBand="0" w:evenHBand="0" w:firstRowFirstColumn="0" w:firstRowLastColumn="0" w:lastRowFirstColumn="0" w:lastRowLastColumn="0"/>
          <w:trHeight w:val="284"/>
        </w:trPr>
        <w:tc>
          <w:tcPr>
            <w:tcW w:w="5031" w:type="dxa"/>
          </w:tcPr>
          <w:p w14:paraId="70D5D704" w14:textId="0EE6F9C6" w:rsidR="006B4A61" w:rsidRPr="005868BA" w:rsidRDefault="003962B5" w:rsidP="0026652C">
            <w:r w:rsidRPr="005868BA">
              <w:t>Training Requirement</w:t>
            </w:r>
          </w:p>
        </w:tc>
        <w:tc>
          <w:tcPr>
            <w:tcW w:w="2435" w:type="dxa"/>
          </w:tcPr>
          <w:p w14:paraId="56A6AAFD" w14:textId="77777777" w:rsidR="006B4A61" w:rsidRPr="005868BA" w:rsidRDefault="006B4A61" w:rsidP="0026652C">
            <w:pPr>
              <w:jc w:val="center"/>
            </w:pPr>
            <w:r w:rsidRPr="005868BA">
              <w:t>Approximate Duration</w:t>
            </w:r>
          </w:p>
        </w:tc>
        <w:tc>
          <w:tcPr>
            <w:tcW w:w="1878" w:type="dxa"/>
          </w:tcPr>
          <w:p w14:paraId="52FA9389" w14:textId="77777777" w:rsidR="006B4A61" w:rsidRPr="005868BA" w:rsidRDefault="006B4A61" w:rsidP="0026652C">
            <w:pPr>
              <w:jc w:val="center"/>
            </w:pPr>
            <w:r w:rsidRPr="005868BA">
              <w:t>Provider</w:t>
            </w:r>
          </w:p>
        </w:tc>
      </w:tr>
      <w:tr w:rsidR="006B4A61" w14:paraId="49C9486E" w14:textId="77777777" w:rsidTr="003D3436">
        <w:tc>
          <w:tcPr>
            <w:tcW w:w="5031" w:type="dxa"/>
          </w:tcPr>
          <w:p w14:paraId="3E226C82" w14:textId="77777777" w:rsidR="006B4A61" w:rsidRPr="005868BA" w:rsidRDefault="006B4A61" w:rsidP="0026652C">
            <w:pPr>
              <w:pStyle w:val="TableStyle"/>
            </w:pPr>
            <w:r w:rsidRPr="005868BA">
              <w:t>Certificate IV in Government (Statutory compliance) or equivalent</w:t>
            </w:r>
          </w:p>
        </w:tc>
        <w:tc>
          <w:tcPr>
            <w:tcW w:w="2435" w:type="dxa"/>
          </w:tcPr>
          <w:p w14:paraId="49A97DBC" w14:textId="77777777" w:rsidR="006B4A61" w:rsidRPr="005868BA" w:rsidRDefault="006B4A61" w:rsidP="0026652C">
            <w:pPr>
              <w:pStyle w:val="TableStyle"/>
              <w:jc w:val="center"/>
            </w:pPr>
            <w:r w:rsidRPr="005868BA">
              <w:t>3 days (face to face) + post-course assignments</w:t>
            </w:r>
          </w:p>
        </w:tc>
        <w:tc>
          <w:tcPr>
            <w:tcW w:w="1878" w:type="dxa"/>
          </w:tcPr>
          <w:p w14:paraId="06496C38" w14:textId="77777777" w:rsidR="006B4A61" w:rsidRPr="005868BA" w:rsidRDefault="006B4A61" w:rsidP="0026652C">
            <w:pPr>
              <w:pStyle w:val="TableStyle"/>
              <w:jc w:val="center"/>
            </w:pPr>
            <w:r w:rsidRPr="005868BA">
              <w:t>External</w:t>
            </w:r>
          </w:p>
        </w:tc>
      </w:tr>
      <w:tr w:rsidR="006B4A61" w14:paraId="022B5B0F" w14:textId="77777777" w:rsidTr="003D3436">
        <w:tc>
          <w:tcPr>
            <w:tcW w:w="5031" w:type="dxa"/>
          </w:tcPr>
          <w:p w14:paraId="49EC849E" w14:textId="77777777" w:rsidR="006B4A61" w:rsidRPr="005868BA" w:rsidRDefault="006B4A61" w:rsidP="0026652C">
            <w:pPr>
              <w:pStyle w:val="TableStyle"/>
            </w:pPr>
            <w:r w:rsidRPr="005868BA">
              <w:t xml:space="preserve">Legal Awareness </w:t>
            </w:r>
          </w:p>
        </w:tc>
        <w:tc>
          <w:tcPr>
            <w:tcW w:w="2435" w:type="dxa"/>
          </w:tcPr>
          <w:p w14:paraId="11A88761" w14:textId="77777777" w:rsidR="006B4A61" w:rsidRPr="005868BA" w:rsidRDefault="006B4A61" w:rsidP="0026652C">
            <w:pPr>
              <w:pStyle w:val="TableStyle"/>
              <w:jc w:val="center"/>
            </w:pPr>
            <w:r w:rsidRPr="005868BA">
              <w:t>½ day</w:t>
            </w:r>
          </w:p>
        </w:tc>
        <w:tc>
          <w:tcPr>
            <w:tcW w:w="1878" w:type="dxa"/>
          </w:tcPr>
          <w:p w14:paraId="095E4FE3" w14:textId="77777777" w:rsidR="006B4A61" w:rsidRPr="005868BA" w:rsidRDefault="006B4A61" w:rsidP="0026652C">
            <w:pPr>
              <w:pStyle w:val="TableStyle"/>
              <w:jc w:val="center"/>
            </w:pPr>
            <w:r w:rsidRPr="005868BA">
              <w:t>In-house</w:t>
            </w:r>
          </w:p>
        </w:tc>
      </w:tr>
      <w:tr w:rsidR="006B4A61" w14:paraId="52ADB285" w14:textId="77777777" w:rsidTr="003D3436">
        <w:tc>
          <w:tcPr>
            <w:tcW w:w="5031" w:type="dxa"/>
          </w:tcPr>
          <w:p w14:paraId="54510CA4" w14:textId="77777777" w:rsidR="006B4A61" w:rsidRPr="005868BA" w:rsidRDefault="006B4A61" w:rsidP="0026652C">
            <w:pPr>
              <w:pStyle w:val="TableStyle"/>
            </w:pPr>
            <w:r w:rsidRPr="005868BA">
              <w:t>Report writing</w:t>
            </w:r>
          </w:p>
        </w:tc>
        <w:tc>
          <w:tcPr>
            <w:tcW w:w="2435" w:type="dxa"/>
          </w:tcPr>
          <w:p w14:paraId="445EC047" w14:textId="1A2E0140" w:rsidR="006B4A61" w:rsidRPr="005868BA" w:rsidRDefault="006B4A61" w:rsidP="0026652C">
            <w:pPr>
              <w:pStyle w:val="TableStyle"/>
              <w:jc w:val="center"/>
            </w:pPr>
            <w:r w:rsidRPr="005868BA">
              <w:t>½</w:t>
            </w:r>
            <w:r w:rsidR="002943E1" w:rsidRPr="005868BA">
              <w:t xml:space="preserve"> </w:t>
            </w:r>
            <w:r w:rsidRPr="005868BA">
              <w:t>day</w:t>
            </w:r>
          </w:p>
        </w:tc>
        <w:tc>
          <w:tcPr>
            <w:tcW w:w="1878" w:type="dxa"/>
          </w:tcPr>
          <w:p w14:paraId="02034654" w14:textId="77777777" w:rsidR="006B4A61" w:rsidRPr="005868BA" w:rsidRDefault="006B4A61" w:rsidP="0026652C">
            <w:pPr>
              <w:pStyle w:val="TableStyle"/>
              <w:jc w:val="center"/>
            </w:pPr>
            <w:r w:rsidRPr="005868BA">
              <w:t>In-house</w:t>
            </w:r>
          </w:p>
        </w:tc>
      </w:tr>
      <w:tr w:rsidR="006B4A61" w14:paraId="2E85296F" w14:textId="77777777" w:rsidTr="003D3436">
        <w:tc>
          <w:tcPr>
            <w:tcW w:w="5031" w:type="dxa"/>
          </w:tcPr>
          <w:p w14:paraId="6CA68663" w14:textId="77777777" w:rsidR="006B4A61" w:rsidRPr="005868BA" w:rsidRDefault="006B4A61" w:rsidP="0026652C">
            <w:pPr>
              <w:pStyle w:val="TableStyle"/>
            </w:pPr>
            <w:r w:rsidRPr="005868BA">
              <w:t>Radiation monitoring instrumentation</w:t>
            </w:r>
          </w:p>
        </w:tc>
        <w:tc>
          <w:tcPr>
            <w:tcW w:w="2435" w:type="dxa"/>
          </w:tcPr>
          <w:p w14:paraId="4B7E6E4A" w14:textId="77777777" w:rsidR="006B4A61" w:rsidRPr="005868BA" w:rsidRDefault="006B4A61" w:rsidP="0026652C">
            <w:pPr>
              <w:pStyle w:val="TableStyle"/>
              <w:jc w:val="center"/>
            </w:pPr>
            <w:r w:rsidRPr="005868BA">
              <w:t>½ day</w:t>
            </w:r>
          </w:p>
        </w:tc>
        <w:tc>
          <w:tcPr>
            <w:tcW w:w="1878" w:type="dxa"/>
          </w:tcPr>
          <w:p w14:paraId="4C59DD21" w14:textId="77777777" w:rsidR="006B4A61" w:rsidRPr="005868BA" w:rsidRDefault="006B4A61" w:rsidP="0026652C">
            <w:pPr>
              <w:pStyle w:val="TableStyle"/>
              <w:jc w:val="center"/>
            </w:pPr>
            <w:r w:rsidRPr="005868BA">
              <w:t>In-house</w:t>
            </w:r>
          </w:p>
        </w:tc>
      </w:tr>
      <w:tr w:rsidR="006B4A61" w14:paraId="6BCDCC8A" w14:textId="77777777" w:rsidTr="003D3436">
        <w:tc>
          <w:tcPr>
            <w:tcW w:w="5031" w:type="dxa"/>
          </w:tcPr>
          <w:p w14:paraId="4593571F" w14:textId="29824124" w:rsidR="006B4A61" w:rsidRPr="005868BA" w:rsidRDefault="006B4A61" w:rsidP="0026652C">
            <w:pPr>
              <w:pStyle w:val="TableStyle"/>
            </w:pPr>
            <w:r w:rsidRPr="005868BA">
              <w:t>WHS for Inspectors and</w:t>
            </w:r>
            <w:r w:rsidR="002943E1" w:rsidRPr="005868BA">
              <w:t xml:space="preserve"> </w:t>
            </w:r>
            <w:r w:rsidRPr="005868BA">
              <w:t>familiarisation with the PACE technique (Preparation, Accountability, Communication, Evacuation route)</w:t>
            </w:r>
          </w:p>
        </w:tc>
        <w:tc>
          <w:tcPr>
            <w:tcW w:w="2435" w:type="dxa"/>
          </w:tcPr>
          <w:p w14:paraId="40822B42" w14:textId="77777777" w:rsidR="006B4A61" w:rsidRPr="005868BA" w:rsidRDefault="006B4A61" w:rsidP="0026652C">
            <w:pPr>
              <w:pStyle w:val="TableStyle"/>
              <w:jc w:val="center"/>
            </w:pPr>
            <w:r w:rsidRPr="005868BA">
              <w:t>1 day</w:t>
            </w:r>
          </w:p>
        </w:tc>
        <w:tc>
          <w:tcPr>
            <w:tcW w:w="1878" w:type="dxa"/>
          </w:tcPr>
          <w:p w14:paraId="5CC26B80" w14:textId="77777777" w:rsidR="006B4A61" w:rsidRPr="005868BA" w:rsidRDefault="006B4A61" w:rsidP="0026652C">
            <w:pPr>
              <w:pStyle w:val="TableStyle"/>
              <w:jc w:val="center"/>
            </w:pPr>
            <w:r w:rsidRPr="005868BA">
              <w:t>External and</w:t>
            </w:r>
          </w:p>
          <w:p w14:paraId="29A2F640" w14:textId="77777777" w:rsidR="006B4A61" w:rsidRPr="005868BA" w:rsidRDefault="006B4A61" w:rsidP="0026652C">
            <w:pPr>
              <w:pStyle w:val="TableStyle"/>
              <w:jc w:val="center"/>
            </w:pPr>
            <w:r w:rsidRPr="005868BA">
              <w:t>In-house</w:t>
            </w:r>
          </w:p>
        </w:tc>
      </w:tr>
      <w:tr w:rsidR="006B4A61" w14:paraId="26B006EE" w14:textId="77777777" w:rsidTr="003D3436">
        <w:tc>
          <w:tcPr>
            <w:tcW w:w="5031" w:type="dxa"/>
          </w:tcPr>
          <w:p w14:paraId="512CBB6C" w14:textId="77777777" w:rsidR="006B4A61" w:rsidRPr="005868BA" w:rsidRDefault="006B4A61" w:rsidP="0026652C">
            <w:pPr>
              <w:pStyle w:val="TableStyle"/>
            </w:pPr>
            <w:r w:rsidRPr="005868BA">
              <w:t xml:space="preserve">Methods of collecting information and evidence </w:t>
            </w:r>
          </w:p>
        </w:tc>
        <w:tc>
          <w:tcPr>
            <w:tcW w:w="2435" w:type="dxa"/>
          </w:tcPr>
          <w:p w14:paraId="3C1F10A7" w14:textId="77777777" w:rsidR="006B4A61" w:rsidRPr="005868BA" w:rsidRDefault="006B4A61" w:rsidP="0026652C">
            <w:pPr>
              <w:pStyle w:val="TableStyle"/>
              <w:jc w:val="center"/>
            </w:pPr>
            <w:r w:rsidRPr="005868BA">
              <w:t>1-2 days</w:t>
            </w:r>
          </w:p>
        </w:tc>
        <w:tc>
          <w:tcPr>
            <w:tcW w:w="1878" w:type="dxa"/>
          </w:tcPr>
          <w:p w14:paraId="0ECE9829" w14:textId="77777777" w:rsidR="006B4A61" w:rsidRPr="005868BA" w:rsidRDefault="006B4A61" w:rsidP="0026652C">
            <w:pPr>
              <w:pStyle w:val="TableStyle"/>
              <w:jc w:val="center"/>
            </w:pPr>
            <w:r w:rsidRPr="005868BA">
              <w:t>External</w:t>
            </w:r>
          </w:p>
        </w:tc>
      </w:tr>
      <w:tr w:rsidR="006B4A61" w14:paraId="6CDDE4E9" w14:textId="77777777" w:rsidTr="003D3436">
        <w:tc>
          <w:tcPr>
            <w:tcW w:w="5031" w:type="dxa"/>
          </w:tcPr>
          <w:p w14:paraId="4A06AE7A" w14:textId="77777777" w:rsidR="006B4A61" w:rsidRPr="005868BA" w:rsidRDefault="006B4A61" w:rsidP="0026652C">
            <w:pPr>
              <w:pStyle w:val="TableStyle"/>
            </w:pPr>
            <w:r w:rsidRPr="005868BA">
              <w:t xml:space="preserve">Security Awareness </w:t>
            </w:r>
          </w:p>
        </w:tc>
        <w:tc>
          <w:tcPr>
            <w:tcW w:w="2435" w:type="dxa"/>
          </w:tcPr>
          <w:p w14:paraId="7D606C3D" w14:textId="77777777" w:rsidR="006B4A61" w:rsidRPr="005868BA" w:rsidRDefault="006B4A61" w:rsidP="0026652C">
            <w:pPr>
              <w:pStyle w:val="TableStyle"/>
              <w:jc w:val="center"/>
            </w:pPr>
            <w:r w:rsidRPr="005868BA">
              <w:t>½ day</w:t>
            </w:r>
          </w:p>
        </w:tc>
        <w:tc>
          <w:tcPr>
            <w:tcW w:w="1878" w:type="dxa"/>
          </w:tcPr>
          <w:p w14:paraId="77254BE7" w14:textId="77777777" w:rsidR="006B4A61" w:rsidRPr="005868BA" w:rsidRDefault="006B4A61" w:rsidP="0026652C">
            <w:pPr>
              <w:pStyle w:val="TableStyle"/>
              <w:jc w:val="center"/>
            </w:pPr>
            <w:r w:rsidRPr="005868BA">
              <w:t>In-house</w:t>
            </w:r>
          </w:p>
        </w:tc>
      </w:tr>
      <w:tr w:rsidR="00733751" w14:paraId="03B786A1" w14:textId="77777777" w:rsidTr="003D3436">
        <w:tc>
          <w:tcPr>
            <w:tcW w:w="5031" w:type="dxa"/>
          </w:tcPr>
          <w:p w14:paraId="17A3B290" w14:textId="77777777" w:rsidR="00733751" w:rsidRPr="005868BA" w:rsidRDefault="00733751" w:rsidP="0026652C">
            <w:pPr>
              <w:pStyle w:val="TableStyle"/>
            </w:pPr>
            <w:r w:rsidRPr="005868BA">
              <w:t xml:space="preserve">Holistic Safety Awareness </w:t>
            </w:r>
          </w:p>
        </w:tc>
        <w:tc>
          <w:tcPr>
            <w:tcW w:w="2435" w:type="dxa"/>
          </w:tcPr>
          <w:p w14:paraId="7E05F1C9" w14:textId="77777777" w:rsidR="00733751" w:rsidRPr="005868BA" w:rsidRDefault="00733751" w:rsidP="0026652C">
            <w:pPr>
              <w:pStyle w:val="TableStyle"/>
              <w:jc w:val="center"/>
            </w:pPr>
            <w:r w:rsidRPr="005868BA">
              <w:t>½ day</w:t>
            </w:r>
          </w:p>
        </w:tc>
        <w:tc>
          <w:tcPr>
            <w:tcW w:w="1878" w:type="dxa"/>
          </w:tcPr>
          <w:p w14:paraId="4519A40E" w14:textId="77777777" w:rsidR="00733751" w:rsidRPr="005868BA" w:rsidRDefault="00733751" w:rsidP="0026652C">
            <w:pPr>
              <w:pStyle w:val="TableStyle"/>
              <w:jc w:val="center"/>
            </w:pPr>
            <w:r w:rsidRPr="005868BA">
              <w:t>In-house</w:t>
            </w:r>
          </w:p>
        </w:tc>
      </w:tr>
    </w:tbl>
    <w:p w14:paraId="32B4844A" w14:textId="77777777" w:rsidR="006F2231" w:rsidRPr="0026652C" w:rsidRDefault="00CC2A8F" w:rsidP="0026652C">
      <w:pPr>
        <w:rPr>
          <w:sz w:val="18"/>
          <w:szCs w:val="18"/>
        </w:rPr>
      </w:pPr>
      <w:r w:rsidRPr="0026652C">
        <w:rPr>
          <w:sz w:val="18"/>
          <w:szCs w:val="18"/>
        </w:rPr>
        <w:t xml:space="preserve">NOTE: </w:t>
      </w:r>
      <w:r w:rsidR="0078572E" w:rsidRPr="0026652C">
        <w:rPr>
          <w:sz w:val="18"/>
          <w:szCs w:val="18"/>
        </w:rPr>
        <w:t xml:space="preserve">Attendance at the </w:t>
      </w:r>
      <w:r w:rsidR="00CC07B6" w:rsidRPr="0026652C">
        <w:rPr>
          <w:sz w:val="18"/>
          <w:szCs w:val="18"/>
        </w:rPr>
        <w:t>nominated</w:t>
      </w:r>
      <w:r w:rsidR="0078572E" w:rsidRPr="0026652C">
        <w:rPr>
          <w:sz w:val="18"/>
          <w:szCs w:val="18"/>
        </w:rPr>
        <w:t xml:space="preserve"> courses is mandatory unless an inspector can demonstrate alternative completion or equivalent experience. </w:t>
      </w:r>
    </w:p>
    <w:p w14:paraId="0E51C56C" w14:textId="7151148B" w:rsidR="00E37D01" w:rsidRPr="003962B5" w:rsidRDefault="00727355" w:rsidP="0026652C">
      <w:pPr>
        <w:pStyle w:val="Heading1"/>
        <w:numPr>
          <w:ilvl w:val="0"/>
          <w:numId w:val="24"/>
        </w:numPr>
      </w:pPr>
      <w:bookmarkStart w:id="129" w:name="_Inspector_health,_safety"/>
      <w:bookmarkEnd w:id="129"/>
      <w:r>
        <w:rPr>
          <w:rFonts w:eastAsia="Times New Roman"/>
          <w:lang w:eastAsia="en-AU"/>
        </w:rPr>
        <w:br w:type="page"/>
      </w:r>
      <w:bookmarkStart w:id="130" w:name="_Toc483572303"/>
      <w:bookmarkStart w:id="131" w:name="_Toc492399394"/>
      <w:r w:rsidR="00E37D01" w:rsidRPr="003962B5">
        <w:lastRenderedPageBreak/>
        <w:t>I</w:t>
      </w:r>
      <w:r w:rsidR="00FA6233" w:rsidRPr="003962B5">
        <w:t xml:space="preserve">nspector health, safety </w:t>
      </w:r>
      <w:r w:rsidR="007774AB" w:rsidRPr="003962B5">
        <w:t>&amp;</w:t>
      </w:r>
      <w:r w:rsidR="00FA6233" w:rsidRPr="003962B5">
        <w:t xml:space="preserve"> security</w:t>
      </w:r>
      <w:r w:rsidR="00E37D01" w:rsidRPr="003962B5">
        <w:t xml:space="preserve"> </w:t>
      </w:r>
      <w:bookmarkEnd w:id="130"/>
      <w:bookmarkEnd w:id="131"/>
    </w:p>
    <w:p w14:paraId="720F73B5" w14:textId="334E1571" w:rsidR="00E37D01" w:rsidRDefault="00E37D01" w:rsidP="0026652C">
      <w:pPr>
        <w:rPr>
          <w:lang w:eastAsia="ko-KR"/>
        </w:rPr>
      </w:pPr>
      <w:r w:rsidRPr="00886BF2">
        <w:rPr>
          <w:rFonts w:eastAsia="Times New Roman"/>
        </w:rPr>
        <w:t>Each inspector must take steps to prot</w:t>
      </w:r>
      <w:r>
        <w:rPr>
          <w:rFonts w:eastAsia="Times New Roman"/>
        </w:rPr>
        <w:t xml:space="preserve">ect </w:t>
      </w:r>
      <w:r w:rsidR="007D3DC1">
        <w:rPr>
          <w:rFonts w:eastAsia="Times New Roman"/>
        </w:rPr>
        <w:t xml:space="preserve">his/her own </w:t>
      </w:r>
      <w:r>
        <w:rPr>
          <w:rFonts w:eastAsia="Times New Roman"/>
        </w:rPr>
        <w:t xml:space="preserve">health and safety. The </w:t>
      </w:r>
      <w:r w:rsidRPr="003962B5">
        <w:rPr>
          <w:i/>
          <w:lang w:eastAsia="ko-KR"/>
        </w:rPr>
        <w:t>ARPANSA Radiation Safety Policy</w:t>
      </w:r>
      <w:r>
        <w:rPr>
          <w:lang w:eastAsia="ko-KR"/>
        </w:rPr>
        <w:t xml:space="preserve">, </w:t>
      </w:r>
      <w:r w:rsidRPr="003962B5">
        <w:rPr>
          <w:i/>
          <w:lang w:eastAsia="ko-KR"/>
        </w:rPr>
        <w:t>Radiation Safety Manual</w:t>
      </w:r>
      <w:r w:rsidRPr="00765D2D">
        <w:rPr>
          <w:lang w:eastAsia="ko-KR"/>
        </w:rPr>
        <w:t xml:space="preserve"> and </w:t>
      </w:r>
      <w:r w:rsidRPr="003962B5">
        <w:rPr>
          <w:i/>
          <w:lang w:eastAsia="ko-KR"/>
        </w:rPr>
        <w:t>Ionising Radiation Safety Procedures</w:t>
      </w:r>
      <w:r w:rsidR="007D3DC1">
        <w:rPr>
          <w:lang w:eastAsia="ko-KR"/>
        </w:rPr>
        <w:t xml:space="preserve"> </w:t>
      </w:r>
      <w:r w:rsidRPr="00765D2D">
        <w:rPr>
          <w:lang w:eastAsia="ko-KR"/>
        </w:rPr>
        <w:t>provide radiation safety advice for general radiation protection situations.</w:t>
      </w:r>
      <w:r>
        <w:rPr>
          <w:lang w:eastAsia="ko-KR"/>
        </w:rPr>
        <w:t xml:space="preserve"> </w:t>
      </w:r>
    </w:p>
    <w:p w14:paraId="0638072D" w14:textId="10C3F9DD" w:rsidR="006D0002" w:rsidRDefault="006D0002" w:rsidP="0026652C">
      <w:pPr>
        <w:pStyle w:val="Heading3"/>
        <w:numPr>
          <w:ilvl w:val="1"/>
          <w:numId w:val="24"/>
        </w:numPr>
        <w:rPr>
          <w:lang w:eastAsia="ko-KR"/>
        </w:rPr>
      </w:pPr>
      <w:bookmarkStart w:id="132" w:name="_Toc492399395"/>
      <w:bookmarkStart w:id="133" w:name="_Toc5290097"/>
      <w:r>
        <w:rPr>
          <w:lang w:eastAsia="ko-KR"/>
        </w:rPr>
        <w:t>Radiation protection</w:t>
      </w:r>
      <w:bookmarkEnd w:id="132"/>
      <w:bookmarkEnd w:id="133"/>
    </w:p>
    <w:p w14:paraId="55D6DECA" w14:textId="0854E816" w:rsidR="00E37D01" w:rsidRDefault="00E37D01" w:rsidP="0026652C">
      <w:pPr>
        <w:rPr>
          <w:lang w:eastAsia="ko-KR"/>
        </w:rPr>
      </w:pPr>
      <w:r>
        <w:rPr>
          <w:lang w:eastAsia="ko-KR"/>
        </w:rPr>
        <w:t>I</w:t>
      </w:r>
      <w:r w:rsidRPr="00765D2D">
        <w:rPr>
          <w:lang w:eastAsia="ko-KR"/>
        </w:rPr>
        <w:t>nspect</w:t>
      </w:r>
      <w:r>
        <w:rPr>
          <w:lang w:eastAsia="ko-KR"/>
        </w:rPr>
        <w:t>or</w:t>
      </w:r>
      <w:r w:rsidRPr="00765D2D">
        <w:rPr>
          <w:lang w:eastAsia="ko-KR"/>
        </w:rPr>
        <w:t xml:space="preserve">s </w:t>
      </w:r>
      <w:r w:rsidR="00281C93">
        <w:rPr>
          <w:lang w:eastAsia="ko-KR"/>
        </w:rPr>
        <w:t xml:space="preserve">and other team members </w:t>
      </w:r>
      <w:r w:rsidRPr="00765D2D">
        <w:rPr>
          <w:lang w:eastAsia="ko-KR"/>
        </w:rPr>
        <w:t xml:space="preserve">should be fully aware of the radiation </w:t>
      </w:r>
      <w:r w:rsidR="00490D4F">
        <w:rPr>
          <w:lang w:eastAsia="ko-KR"/>
        </w:rPr>
        <w:t xml:space="preserve">protection </w:t>
      </w:r>
      <w:r w:rsidRPr="00765D2D">
        <w:rPr>
          <w:lang w:eastAsia="ko-KR"/>
        </w:rPr>
        <w:t>and nuclear safety issues likely to be</w:t>
      </w:r>
      <w:r w:rsidR="00C7495A">
        <w:rPr>
          <w:lang w:eastAsia="ko-KR"/>
        </w:rPr>
        <w:t xml:space="preserve"> </w:t>
      </w:r>
      <w:r w:rsidRPr="00765D2D">
        <w:rPr>
          <w:lang w:eastAsia="ko-KR"/>
        </w:rPr>
        <w:t xml:space="preserve">encountered during </w:t>
      </w:r>
      <w:r>
        <w:rPr>
          <w:lang w:eastAsia="ko-KR"/>
        </w:rPr>
        <w:t>a particular</w:t>
      </w:r>
      <w:r w:rsidRPr="00765D2D">
        <w:rPr>
          <w:lang w:eastAsia="ko-KR"/>
        </w:rPr>
        <w:t xml:space="preserve"> inspection. In preparation for an inspection, </w:t>
      </w:r>
      <w:r>
        <w:rPr>
          <w:lang w:eastAsia="ko-KR"/>
        </w:rPr>
        <w:t xml:space="preserve">the </w:t>
      </w:r>
      <w:r w:rsidRPr="00927A06">
        <w:rPr>
          <w:rFonts w:eastAsia="Times New Roman"/>
        </w:rPr>
        <w:t>Workplace Hazard Identification Checklist</w:t>
      </w:r>
      <w:r>
        <w:rPr>
          <w:rFonts w:eastAsia="Times New Roman"/>
        </w:rPr>
        <w:t xml:space="preserve"> should be reviewed to identify </w:t>
      </w:r>
      <w:r w:rsidRPr="00886BF2">
        <w:rPr>
          <w:rFonts w:eastAsia="Times New Roman"/>
        </w:rPr>
        <w:t>potential hazards t</w:t>
      </w:r>
      <w:r>
        <w:rPr>
          <w:rFonts w:eastAsia="Times New Roman"/>
        </w:rPr>
        <w:t>hat may be encountered on</w:t>
      </w:r>
      <w:r w:rsidRPr="00886BF2">
        <w:rPr>
          <w:rFonts w:eastAsia="Times New Roman"/>
        </w:rPr>
        <w:t>site</w:t>
      </w:r>
      <w:r>
        <w:rPr>
          <w:rFonts w:eastAsia="Times New Roman"/>
        </w:rPr>
        <w:t>. If required, i</w:t>
      </w:r>
      <w:r w:rsidRPr="00765D2D">
        <w:rPr>
          <w:lang w:eastAsia="ko-KR"/>
        </w:rPr>
        <w:t>nspector</w:t>
      </w:r>
      <w:r>
        <w:rPr>
          <w:lang w:eastAsia="ko-KR"/>
        </w:rPr>
        <w:t>s</w:t>
      </w:r>
      <w:r w:rsidRPr="00765D2D">
        <w:rPr>
          <w:lang w:eastAsia="ko-KR"/>
        </w:rPr>
        <w:t xml:space="preserve"> should obtain </w:t>
      </w:r>
      <w:r>
        <w:rPr>
          <w:lang w:eastAsia="ko-KR"/>
        </w:rPr>
        <w:t xml:space="preserve">further </w:t>
      </w:r>
      <w:r w:rsidRPr="00765D2D">
        <w:rPr>
          <w:lang w:eastAsia="ko-KR"/>
        </w:rPr>
        <w:t xml:space="preserve">advice from the licence holder’s Radiation Safety Officer (RSO) or representative. </w:t>
      </w:r>
    </w:p>
    <w:p w14:paraId="78F30463" w14:textId="77777777" w:rsidR="00E37D01" w:rsidRPr="00765D2D" w:rsidRDefault="00E37D01" w:rsidP="0026652C">
      <w:pPr>
        <w:rPr>
          <w:lang w:eastAsia="ko-KR"/>
        </w:rPr>
      </w:pPr>
      <w:r>
        <w:rPr>
          <w:lang w:eastAsia="ko-KR"/>
        </w:rPr>
        <w:t>The following safety measures should be implemented</w:t>
      </w:r>
      <w:r w:rsidRPr="00765D2D">
        <w:rPr>
          <w:lang w:eastAsia="ko-KR"/>
        </w:rPr>
        <w:t>:</w:t>
      </w:r>
    </w:p>
    <w:p w14:paraId="1DFC417A" w14:textId="748B17C2" w:rsidR="00E37D01" w:rsidRPr="00475DC2" w:rsidRDefault="00E37D01" w:rsidP="0026652C">
      <w:pPr>
        <w:pStyle w:val="ListParagraph"/>
        <w:numPr>
          <w:ilvl w:val="0"/>
          <w:numId w:val="27"/>
        </w:numPr>
      </w:pPr>
      <w:r w:rsidRPr="00475DC2">
        <w:t>Inspectors must ensure that a personal dosimeter is worn at all times, positioned externally on the clothing somewhere appropriate between the waist and chest.</w:t>
      </w:r>
    </w:p>
    <w:p w14:paraId="1B2F58F6" w14:textId="5599538F" w:rsidR="00E37D01" w:rsidRPr="00475DC2" w:rsidRDefault="00281C93" w:rsidP="0026652C">
      <w:pPr>
        <w:pStyle w:val="ListParagraph"/>
        <w:numPr>
          <w:ilvl w:val="0"/>
          <w:numId w:val="27"/>
        </w:numPr>
      </w:pPr>
      <w:r w:rsidRPr="00475DC2">
        <w:t>The i</w:t>
      </w:r>
      <w:r w:rsidR="00E37D01" w:rsidRPr="00475DC2">
        <w:t>nspect</w:t>
      </w:r>
      <w:r w:rsidRPr="00475DC2">
        <w:t>ion team</w:t>
      </w:r>
      <w:r w:rsidR="00E37D01" w:rsidRPr="00475DC2">
        <w:t xml:space="preserve"> should ensure they either carry an </w:t>
      </w:r>
      <w:r w:rsidR="00A5432C" w:rsidRPr="00475DC2">
        <w:t xml:space="preserve">electron personal dosimeter (EPD) </w:t>
      </w:r>
      <w:r w:rsidR="00E37D01" w:rsidRPr="00475DC2">
        <w:t xml:space="preserve">if ambient external dose rates are expected to be significantly above background or confirm with the licence holder representative if </w:t>
      </w:r>
      <w:r w:rsidRPr="00475DC2">
        <w:t xml:space="preserve">they </w:t>
      </w:r>
      <w:r w:rsidR="00E37D01" w:rsidRPr="00475DC2">
        <w:t>will be issued for use during the inspection. The EPD should be checked at frequent intervals during the inspection to monitor the dose recorded.</w:t>
      </w:r>
    </w:p>
    <w:p w14:paraId="6BA807D7" w14:textId="30E57D55" w:rsidR="00E37D01" w:rsidRPr="00475DC2" w:rsidRDefault="00BA1D1F" w:rsidP="0026652C">
      <w:pPr>
        <w:pStyle w:val="ListParagraph"/>
        <w:numPr>
          <w:ilvl w:val="0"/>
          <w:numId w:val="27"/>
        </w:numPr>
      </w:pPr>
      <w:r w:rsidRPr="00475DC2">
        <w:t xml:space="preserve">If using an EPD, </w:t>
      </w:r>
      <w:r w:rsidR="00E37D01" w:rsidRPr="00475DC2">
        <w:t xml:space="preserve">the inspector should establish normal ambient radiation levels and set appropriate alarm levels on </w:t>
      </w:r>
      <w:r w:rsidR="00490D4F" w:rsidRPr="00475DC2">
        <w:t>the EPD</w:t>
      </w:r>
      <w:r w:rsidRPr="00475DC2">
        <w:t xml:space="preserve"> before entering any radiation area.</w:t>
      </w:r>
      <w:r w:rsidR="00E37D01" w:rsidRPr="00475DC2">
        <w:t xml:space="preserve"> A</w:t>
      </w:r>
      <w:r w:rsidR="006D0002" w:rsidRPr="00475DC2">
        <w:t xml:space="preserve">ny </w:t>
      </w:r>
      <w:r w:rsidR="00E37D01" w:rsidRPr="00475DC2">
        <w:t>radiation dose recorded on an EPD should be noted</w:t>
      </w:r>
      <w:r w:rsidR="003962B5" w:rsidRPr="00475DC2">
        <w:t xml:space="preserve">. </w:t>
      </w:r>
      <w:r w:rsidR="00E37D01" w:rsidRPr="00475DC2">
        <w:t>If an EPD should alarm, the inspector should move to an area of lower radiation dose rate and assess the situation.</w:t>
      </w:r>
    </w:p>
    <w:p w14:paraId="2841B2C0" w14:textId="3B93866E" w:rsidR="00E37D01" w:rsidRPr="00475DC2" w:rsidRDefault="00E37D01" w:rsidP="0026652C">
      <w:pPr>
        <w:pStyle w:val="ListParagraph"/>
        <w:numPr>
          <w:ilvl w:val="0"/>
          <w:numId w:val="27"/>
        </w:numPr>
      </w:pPr>
      <w:r w:rsidRPr="00475DC2">
        <w:t xml:space="preserve">If the inspector has to enter a clean area, then they should follow the local procedures described by the licence holder representative. </w:t>
      </w:r>
      <w:r w:rsidR="00490D4F" w:rsidRPr="00475DC2">
        <w:t>C</w:t>
      </w:r>
      <w:r w:rsidRPr="00475DC2">
        <w:t>lean area procedures may include the inspector wearing a laboratory coat or apron, gloves, hair cap, shoe covers and using a hand and foot monitor.</w:t>
      </w:r>
    </w:p>
    <w:p w14:paraId="7B733C19" w14:textId="1750CA1E" w:rsidR="00E37D01" w:rsidRPr="00475DC2" w:rsidRDefault="00E37D01" w:rsidP="0026652C">
      <w:pPr>
        <w:pStyle w:val="ListParagraph"/>
        <w:numPr>
          <w:ilvl w:val="0"/>
          <w:numId w:val="27"/>
        </w:numPr>
      </w:pPr>
      <w:r w:rsidRPr="00475DC2">
        <w:t>If there is a radiological incident, the inspector should follow the advice from the licence holder’s RSO and comply with local procedures.</w:t>
      </w:r>
      <w:r w:rsidR="00117842" w:rsidRPr="00475DC2">
        <w:t xml:space="preserve"> On return to the office an ARPANSA incident form should also be completed</w:t>
      </w:r>
      <w:r w:rsidR="003962B5" w:rsidRPr="00475DC2">
        <w:t xml:space="preserve">. </w:t>
      </w:r>
    </w:p>
    <w:p w14:paraId="19668C57" w14:textId="3021992D" w:rsidR="006D0002" w:rsidRPr="006D0002" w:rsidRDefault="006D0002" w:rsidP="0026652C">
      <w:pPr>
        <w:pStyle w:val="Heading3"/>
        <w:numPr>
          <w:ilvl w:val="1"/>
          <w:numId w:val="24"/>
        </w:numPr>
        <w:rPr>
          <w:lang w:eastAsia="ko-KR"/>
        </w:rPr>
      </w:pPr>
      <w:bookmarkStart w:id="134" w:name="_Toc492399396"/>
      <w:bookmarkStart w:id="135" w:name="_Toc5290098"/>
      <w:r>
        <w:rPr>
          <w:lang w:eastAsia="ko-KR"/>
        </w:rPr>
        <w:t>Travel safety and security</w:t>
      </w:r>
      <w:bookmarkEnd w:id="134"/>
      <w:bookmarkEnd w:id="135"/>
    </w:p>
    <w:p w14:paraId="5B08B8D0" w14:textId="231773AC" w:rsidR="0059403D" w:rsidRDefault="0059403D" w:rsidP="0026652C">
      <w:r>
        <w:t>I</w:t>
      </w:r>
      <w:r w:rsidR="000D2604">
        <w:t xml:space="preserve">nter-city travel </w:t>
      </w:r>
      <w:r>
        <w:t xml:space="preserve">and travel to larger regional centres </w:t>
      </w:r>
      <w:r w:rsidR="000D2604">
        <w:t xml:space="preserve">will </w:t>
      </w:r>
      <w:r>
        <w:t xml:space="preserve">generally </w:t>
      </w:r>
      <w:r w:rsidR="000D2604">
        <w:t>not require any special considerations</w:t>
      </w:r>
      <w:r>
        <w:t xml:space="preserve"> beyond normal travel precautions</w:t>
      </w:r>
      <w:r w:rsidR="003962B5">
        <w:t xml:space="preserve">. </w:t>
      </w:r>
    </w:p>
    <w:p w14:paraId="568FD780" w14:textId="26743515" w:rsidR="0059403D" w:rsidRDefault="000D2604" w:rsidP="0026652C">
      <w:r>
        <w:t>However, for i</w:t>
      </w:r>
      <w:r w:rsidR="00F578C5">
        <w:t>nspect</w:t>
      </w:r>
      <w:r>
        <w:t xml:space="preserve">ions or site visits </w:t>
      </w:r>
      <w:r w:rsidR="0059403D">
        <w:t xml:space="preserve">to </w:t>
      </w:r>
      <w:r w:rsidR="003E5E67">
        <w:t xml:space="preserve">remote locations </w:t>
      </w:r>
      <w:r>
        <w:t>a</w:t>
      </w:r>
      <w:r w:rsidR="003E5E67" w:rsidRPr="003E5E67">
        <w:t xml:space="preserve"> risk assessment should be carried out </w:t>
      </w:r>
      <w:r w:rsidR="00753E6E">
        <w:t>by the lead inspector prior</w:t>
      </w:r>
      <w:r w:rsidR="003E5E67" w:rsidRPr="003E5E67">
        <w:t xml:space="preserve"> to </w:t>
      </w:r>
      <w:r w:rsidR="0059403D">
        <w:t>travel</w:t>
      </w:r>
      <w:r w:rsidR="003962B5">
        <w:t xml:space="preserve">. </w:t>
      </w:r>
      <w:r w:rsidR="00B5095E">
        <w:t>I</w:t>
      </w:r>
      <w:r>
        <w:t xml:space="preserve">t should determine whether it is </w:t>
      </w:r>
      <w:r w:rsidR="003E5E67" w:rsidRPr="003E5E67">
        <w:t xml:space="preserve">safe </w:t>
      </w:r>
      <w:r>
        <w:t xml:space="preserve">for an inspector </w:t>
      </w:r>
      <w:r w:rsidR="003E5E67" w:rsidRPr="003E5E67">
        <w:t xml:space="preserve">to </w:t>
      </w:r>
      <w:r w:rsidR="003E5E67">
        <w:t xml:space="preserve">travel and </w:t>
      </w:r>
      <w:r w:rsidR="003E5E67" w:rsidRPr="003E5E67">
        <w:t>work alone</w:t>
      </w:r>
      <w:r w:rsidR="003962B5">
        <w:t xml:space="preserve">. </w:t>
      </w:r>
      <w:r>
        <w:t>The need for s</w:t>
      </w:r>
      <w:r w:rsidR="003E5E67" w:rsidRPr="003E5E67">
        <w:t xml:space="preserve">uitable communication </w:t>
      </w:r>
      <w:r>
        <w:t>equipment</w:t>
      </w:r>
      <w:r w:rsidR="004266CA">
        <w:t xml:space="preserve"> such as </w:t>
      </w:r>
      <w:r w:rsidR="004266CA" w:rsidRPr="004266CA">
        <w:t xml:space="preserve">satellite </w:t>
      </w:r>
      <w:r w:rsidR="004266CA">
        <w:t>phone</w:t>
      </w:r>
      <w:r w:rsidR="0059403D">
        <w:t xml:space="preserve"> or </w:t>
      </w:r>
      <w:r w:rsidR="00B5095E">
        <w:t xml:space="preserve">a </w:t>
      </w:r>
      <w:r w:rsidR="0059403D">
        <w:t>personal satellite tracking</w:t>
      </w:r>
      <w:r w:rsidR="004266CA" w:rsidRPr="004266CA">
        <w:t xml:space="preserve"> </w:t>
      </w:r>
      <w:r w:rsidR="0059403D">
        <w:t xml:space="preserve">device </w:t>
      </w:r>
      <w:r w:rsidR="008E3A68">
        <w:t xml:space="preserve">must </w:t>
      </w:r>
      <w:r>
        <w:t>be considered</w:t>
      </w:r>
      <w:r w:rsidR="003962B5">
        <w:t xml:space="preserve">. </w:t>
      </w:r>
    </w:p>
    <w:p w14:paraId="1678567D" w14:textId="38DAEA6E" w:rsidR="0059403D" w:rsidRDefault="00F233E8" w:rsidP="0026652C">
      <w:hyperlink r:id="rId15" w:history="1">
        <w:proofErr w:type="spellStart"/>
        <w:r w:rsidR="0059403D" w:rsidRPr="005E2AFB">
          <w:rPr>
            <w:rStyle w:val="Hyperlink"/>
          </w:rPr>
          <w:t>Comcare</w:t>
        </w:r>
        <w:proofErr w:type="spellEnd"/>
        <w:r w:rsidR="0059403D" w:rsidRPr="005E2AFB">
          <w:rPr>
            <w:rStyle w:val="Hyperlink"/>
          </w:rPr>
          <w:t xml:space="preserve"> guidance on working in remote and isolated locations</w:t>
        </w:r>
      </w:hyperlink>
      <w:r w:rsidR="005E2AFB">
        <w:t xml:space="preserve"> </w:t>
      </w:r>
      <w:r w:rsidR="00DE0AB8">
        <w:t xml:space="preserve">or </w:t>
      </w:r>
      <w:hyperlink r:id="rId16" w:history="1">
        <w:proofErr w:type="spellStart"/>
        <w:r w:rsidR="00DE0AB8" w:rsidRPr="00DE0AB8">
          <w:rPr>
            <w:rStyle w:val="Hyperlink"/>
          </w:rPr>
          <w:t>Safework</w:t>
        </w:r>
        <w:proofErr w:type="spellEnd"/>
        <w:r w:rsidR="00DE0AB8" w:rsidRPr="00DE0AB8">
          <w:rPr>
            <w:rStyle w:val="Hyperlink"/>
          </w:rPr>
          <w:t xml:space="preserve"> Australia </w:t>
        </w:r>
        <w:r w:rsidR="00017855">
          <w:rPr>
            <w:rStyle w:val="Hyperlink"/>
          </w:rPr>
          <w:t>r</w:t>
        </w:r>
        <w:r w:rsidR="00DE0AB8" w:rsidRPr="00DE0AB8">
          <w:rPr>
            <w:rStyle w:val="Hyperlink"/>
          </w:rPr>
          <w:t>emote or isolated work</w:t>
        </w:r>
      </w:hyperlink>
      <w:r w:rsidR="00DE0AB8">
        <w:t xml:space="preserve"> </w:t>
      </w:r>
      <w:r w:rsidR="005E2AFB">
        <w:t>may be useful in the risk assessment</w:t>
      </w:r>
      <w:r w:rsidR="003962B5">
        <w:t xml:space="preserve">. </w:t>
      </w:r>
    </w:p>
    <w:p w14:paraId="0ED58ECF" w14:textId="30DC7CE2" w:rsidR="00E37D01" w:rsidRPr="003D3436" w:rsidRDefault="00E37D01" w:rsidP="0026652C">
      <w:r>
        <w:br w:type="page"/>
      </w:r>
    </w:p>
    <w:p w14:paraId="31D45B44" w14:textId="6EBE63EF" w:rsidR="00B05B1F" w:rsidRDefault="00B05B1F" w:rsidP="0026652C">
      <w:pPr>
        <w:pStyle w:val="Heading1"/>
        <w:numPr>
          <w:ilvl w:val="0"/>
          <w:numId w:val="24"/>
        </w:numPr>
      </w:pPr>
      <w:bookmarkStart w:id="136" w:name="_Review_of_inspection"/>
      <w:bookmarkStart w:id="137" w:name="_Toc483572304"/>
      <w:bookmarkStart w:id="138" w:name="_Toc492399397"/>
      <w:bookmarkEnd w:id="136"/>
      <w:r>
        <w:lastRenderedPageBreak/>
        <w:t>R</w:t>
      </w:r>
      <w:r w:rsidR="00FA6233">
        <w:t>eview of inspection program</w:t>
      </w:r>
      <w:bookmarkEnd w:id="137"/>
      <w:bookmarkEnd w:id="138"/>
    </w:p>
    <w:p w14:paraId="3ABDFECB" w14:textId="084543CA" w:rsidR="00FD409C" w:rsidRDefault="00FD409C" w:rsidP="0026652C">
      <w:r>
        <w:t xml:space="preserve">The inspection program is regularly </w:t>
      </w:r>
      <w:r w:rsidR="008131C3">
        <w:t xml:space="preserve">reviewed </w:t>
      </w:r>
      <w:r>
        <w:t xml:space="preserve">to ensure that it is risk </w:t>
      </w:r>
      <w:r w:rsidRPr="0009662C">
        <w:t xml:space="preserve">informed and </w:t>
      </w:r>
      <w:r w:rsidRPr="00850BAE">
        <w:t xml:space="preserve">flexible </w:t>
      </w:r>
      <w:r w:rsidRPr="0009662C">
        <w:t xml:space="preserve">to </w:t>
      </w:r>
      <w:r>
        <w:t>meet the needs of licence holders while assuring compliance with the Act and maintaining high levels of nuclear and radiation safety and security. To achieve this</w:t>
      </w:r>
      <w:r w:rsidRPr="00BB7721">
        <w:t>, a</w:t>
      </w:r>
      <w:r>
        <w:t xml:space="preserve"> number of review processes are implemented which include:</w:t>
      </w:r>
    </w:p>
    <w:p w14:paraId="25E48957" w14:textId="5936C552" w:rsidR="00FD409C" w:rsidRPr="00475DC2" w:rsidRDefault="00FD409C" w:rsidP="0026652C">
      <w:pPr>
        <w:pStyle w:val="ListParagraph"/>
        <w:numPr>
          <w:ilvl w:val="0"/>
          <w:numId w:val="28"/>
        </w:numPr>
      </w:pPr>
      <w:r w:rsidRPr="00475DC2">
        <w:t>A review of the inspection schedule following any significant inspection findings</w:t>
      </w:r>
      <w:r w:rsidR="00C05FD7" w:rsidRPr="00475DC2">
        <w:t xml:space="preserve"> to determine whether an augmented inspection is required</w:t>
      </w:r>
      <w:r w:rsidRPr="00475DC2">
        <w:t xml:space="preserve">. This is undertaken by the </w:t>
      </w:r>
      <w:r w:rsidR="008131C3" w:rsidRPr="00475DC2">
        <w:t>l</w:t>
      </w:r>
      <w:r w:rsidRPr="00475DC2">
        <w:t xml:space="preserve">ead </w:t>
      </w:r>
      <w:r w:rsidR="008131C3" w:rsidRPr="00475DC2">
        <w:t>i</w:t>
      </w:r>
      <w:r w:rsidRPr="00475DC2">
        <w:t>nspector.</w:t>
      </w:r>
    </w:p>
    <w:p w14:paraId="77FD7AED" w14:textId="382807CF" w:rsidR="00FD409C" w:rsidRPr="00475DC2" w:rsidRDefault="00FD409C" w:rsidP="0026652C">
      <w:pPr>
        <w:pStyle w:val="ListParagraph"/>
        <w:numPr>
          <w:ilvl w:val="0"/>
          <w:numId w:val="28"/>
        </w:numPr>
      </w:pPr>
      <w:r w:rsidRPr="00475DC2">
        <w:t xml:space="preserve">A survey sent </w:t>
      </w:r>
      <w:r w:rsidR="008131C3" w:rsidRPr="00475DC2">
        <w:t xml:space="preserve">to the licence holder </w:t>
      </w:r>
      <w:r w:rsidRPr="00475DC2">
        <w:t xml:space="preserve">after </w:t>
      </w:r>
      <w:r w:rsidR="008131C3" w:rsidRPr="00475DC2">
        <w:t xml:space="preserve">each </w:t>
      </w:r>
      <w:r w:rsidRPr="00475DC2">
        <w:t xml:space="preserve">inspection. The survey results are analysed on a six monthly basis to identify any improvements to the inspection program or process. </w:t>
      </w:r>
    </w:p>
    <w:p w14:paraId="0AFA613E" w14:textId="63FA577D" w:rsidR="00EE08D5" w:rsidRPr="00475DC2" w:rsidRDefault="00EE08D5" w:rsidP="0026652C">
      <w:pPr>
        <w:pStyle w:val="ListParagraph"/>
        <w:numPr>
          <w:ilvl w:val="0"/>
          <w:numId w:val="28"/>
        </w:numPr>
      </w:pPr>
      <w:r w:rsidRPr="00475DC2">
        <w:t>A quarterly review of inspection findings and survey responses</w:t>
      </w:r>
      <w:r w:rsidR="008131C3" w:rsidRPr="00475DC2">
        <w:t xml:space="preserve"> and results </w:t>
      </w:r>
      <w:r w:rsidRPr="00475DC2">
        <w:t xml:space="preserve">circulated to </w:t>
      </w:r>
      <w:r w:rsidR="008131C3" w:rsidRPr="00475DC2">
        <w:t xml:space="preserve">all </w:t>
      </w:r>
      <w:r w:rsidRPr="00475DC2">
        <w:t>inspectors.</w:t>
      </w:r>
    </w:p>
    <w:p w14:paraId="0D9AD90C" w14:textId="77777777" w:rsidR="00EE08D5" w:rsidRPr="00475DC2" w:rsidRDefault="00EE08D5" w:rsidP="0026652C">
      <w:pPr>
        <w:pStyle w:val="ListParagraph"/>
        <w:numPr>
          <w:ilvl w:val="0"/>
          <w:numId w:val="28"/>
        </w:numPr>
      </w:pPr>
      <w:r w:rsidRPr="00475DC2">
        <w:t>An annual review of inspection findings, emerging trends, significant issues, compliments, complaints and quality audit finding.</w:t>
      </w:r>
    </w:p>
    <w:p w14:paraId="6798B2A6" w14:textId="1A9EBF82" w:rsidR="00FD409C" w:rsidRPr="00475DC2" w:rsidRDefault="00A005B5" w:rsidP="0026652C">
      <w:pPr>
        <w:pStyle w:val="ListParagraph"/>
        <w:numPr>
          <w:ilvl w:val="0"/>
          <w:numId w:val="28"/>
        </w:numPr>
      </w:pPr>
      <w:r w:rsidRPr="00475DC2">
        <w:t>The</w:t>
      </w:r>
      <w:r w:rsidR="00FD409C" w:rsidRPr="00475DC2">
        <w:t xml:space="preserve"> </w:t>
      </w:r>
      <w:r w:rsidRPr="00475DC2">
        <w:t xml:space="preserve">mandatory </w:t>
      </w:r>
      <w:r w:rsidR="00FD409C" w:rsidRPr="00475DC2">
        <w:t xml:space="preserve">annual self-assessment of ARPANSA’s regulatory </w:t>
      </w:r>
      <w:r w:rsidR="00FF77C8" w:rsidRPr="00475DC2">
        <w:t>performance</w:t>
      </w:r>
      <w:r w:rsidR="00FD409C" w:rsidRPr="00475DC2">
        <w:t xml:space="preserve"> in accordance with the Government Regulator Performance Framework.</w:t>
      </w:r>
    </w:p>
    <w:p w14:paraId="7459F276" w14:textId="3138D230" w:rsidR="00FD409C" w:rsidRPr="00475DC2" w:rsidRDefault="00FF77C8" w:rsidP="0026652C">
      <w:pPr>
        <w:pStyle w:val="ListParagraph"/>
        <w:numPr>
          <w:ilvl w:val="0"/>
          <w:numId w:val="28"/>
        </w:numPr>
      </w:pPr>
      <w:r w:rsidRPr="00475DC2">
        <w:t>Periodic r</w:t>
      </w:r>
      <w:r w:rsidR="00FD409C" w:rsidRPr="00475DC2">
        <w:t>eview of lead inspector assignment (</w:t>
      </w:r>
      <w:r w:rsidR="00FD409C" w:rsidRPr="000F3080">
        <w:t xml:space="preserve">see </w:t>
      </w:r>
      <w:r w:rsidR="000F3080">
        <w:t>paragraph</w:t>
      </w:r>
      <w:r w:rsidR="00A5432C" w:rsidRPr="000F3080">
        <w:t xml:space="preserve"> </w:t>
      </w:r>
      <w:r w:rsidR="002F454F" w:rsidRPr="000F3080">
        <w:fldChar w:fldCharType="begin"/>
      </w:r>
      <w:r w:rsidR="002F454F" w:rsidRPr="000F3080">
        <w:instrText xml:space="preserve"> REF _Ref527721037 \r \h </w:instrText>
      </w:r>
      <w:r w:rsidR="000F3080">
        <w:instrText xml:space="preserve"> \* MERGEFORMAT </w:instrText>
      </w:r>
      <w:r w:rsidR="002F454F" w:rsidRPr="000F3080">
        <w:fldChar w:fldCharType="separate"/>
      </w:r>
      <w:r w:rsidR="002F454F" w:rsidRPr="000F3080">
        <w:t>1.3</w:t>
      </w:r>
      <w:r w:rsidR="002F454F" w:rsidRPr="000F3080">
        <w:fldChar w:fldCharType="end"/>
      </w:r>
      <w:r w:rsidR="00FD409C" w:rsidRPr="00475DC2">
        <w:t>)</w:t>
      </w:r>
    </w:p>
    <w:p w14:paraId="50C35887" w14:textId="57703761" w:rsidR="00FD409C" w:rsidRPr="00475DC2" w:rsidRDefault="00FD409C" w:rsidP="0026652C">
      <w:pPr>
        <w:pStyle w:val="ListParagraph"/>
        <w:numPr>
          <w:ilvl w:val="0"/>
          <w:numId w:val="28"/>
        </w:numPr>
      </w:pPr>
      <w:r w:rsidRPr="00475DC2">
        <w:t>Review of this manual on a two-yearly cycle</w:t>
      </w:r>
      <w:r w:rsidR="00FF77C8" w:rsidRPr="00475DC2">
        <w:t xml:space="preserve"> </w:t>
      </w:r>
      <w:r w:rsidRPr="00475DC2">
        <w:t>as required by the Regulatory Management System</w:t>
      </w:r>
      <w:r w:rsidR="00FF77C8" w:rsidRPr="00475DC2">
        <w:t xml:space="preserve"> or sooner as necessary</w:t>
      </w:r>
      <w:r w:rsidR="003962B5" w:rsidRPr="00475DC2">
        <w:t xml:space="preserve">. </w:t>
      </w:r>
    </w:p>
    <w:p w14:paraId="71281618" w14:textId="57DDF887" w:rsidR="00FD409C" w:rsidRDefault="00FD409C" w:rsidP="0026652C">
      <w:r>
        <w:t>The</w:t>
      </w:r>
      <w:r w:rsidR="006C37E8">
        <w:t>se</w:t>
      </w:r>
      <w:r>
        <w:t xml:space="preserve"> reviews </w:t>
      </w:r>
      <w:r w:rsidR="00FF77C8">
        <w:t xml:space="preserve">are </w:t>
      </w:r>
      <w:r>
        <w:t>used to facilitate continuous improvement in the regulatory framework and practices</w:t>
      </w:r>
      <w:r w:rsidR="00FF77C8">
        <w:t xml:space="preserve"> and</w:t>
      </w:r>
      <w:r>
        <w:t xml:space="preserve"> to inform the Regulatory Services training program. </w:t>
      </w:r>
    </w:p>
    <w:p w14:paraId="29E49BDE" w14:textId="10BDD0A9" w:rsidR="00FD409C" w:rsidRDefault="00FF77C8" w:rsidP="0026652C">
      <w:r>
        <w:t>A</w:t>
      </w:r>
      <w:r w:rsidR="00FD409C">
        <w:t>ny non-conformance with this procedure or identified improvements</w:t>
      </w:r>
      <w:r w:rsidRPr="00FF77C8">
        <w:t xml:space="preserve"> </w:t>
      </w:r>
      <w:r>
        <w:t>will be managed through the corrective action program established under the agency’s integrated management system</w:t>
      </w:r>
      <w:r w:rsidR="003962B5">
        <w:t xml:space="preserve">. </w:t>
      </w:r>
      <w:r w:rsidR="00FD409C">
        <w:t xml:space="preserve">Information on the outcomes of </w:t>
      </w:r>
      <w:r w:rsidR="006C37E8">
        <w:t xml:space="preserve">such </w:t>
      </w:r>
      <w:r w:rsidR="00FD409C">
        <w:t xml:space="preserve">reviews </w:t>
      </w:r>
      <w:r w:rsidR="002408FF">
        <w:t>is</w:t>
      </w:r>
      <w:r w:rsidR="006C37E8">
        <w:t xml:space="preserve"> </w:t>
      </w:r>
      <w:r w:rsidR="00FD409C">
        <w:t>published on the ARPANSA website.</w:t>
      </w:r>
    </w:p>
    <w:p w14:paraId="423C64F2" w14:textId="77777777" w:rsidR="00511291" w:rsidRDefault="00511291" w:rsidP="0026652C"/>
    <w:p w14:paraId="21F974D4" w14:textId="77777777" w:rsidR="00511291" w:rsidRPr="003962B5" w:rsidRDefault="00511291" w:rsidP="0026652C">
      <w:pPr>
        <w:rPr>
          <w:rStyle w:val="Normalbold"/>
        </w:rPr>
      </w:pPr>
    </w:p>
    <w:p w14:paraId="7A03A57B" w14:textId="77777777" w:rsidR="00B05B1F" w:rsidRPr="003962B5" w:rsidRDefault="00B05B1F" w:rsidP="0026652C">
      <w:pPr>
        <w:rPr>
          <w:rStyle w:val="Normalbold"/>
        </w:rPr>
      </w:pPr>
      <w:r w:rsidRPr="003962B5">
        <w:rPr>
          <w:rStyle w:val="Normalbold"/>
        </w:rPr>
        <w:br w:type="page"/>
      </w:r>
    </w:p>
    <w:p w14:paraId="271C15FA" w14:textId="77777777" w:rsidR="00B564AA" w:rsidRDefault="00B564AA" w:rsidP="0026652C">
      <w:pPr>
        <w:pStyle w:val="Heading1"/>
        <w:numPr>
          <w:ilvl w:val="0"/>
          <w:numId w:val="24"/>
        </w:numPr>
      </w:pPr>
      <w:bookmarkStart w:id="139" w:name="_Glossary"/>
      <w:bookmarkStart w:id="140" w:name="_Toc527629546"/>
      <w:bookmarkEnd w:id="139"/>
      <w:r>
        <w:lastRenderedPageBreak/>
        <w:t>Terms and definitions</w:t>
      </w:r>
      <w:bookmarkEnd w:id="140"/>
    </w:p>
    <w:tbl>
      <w:tblPr>
        <w:tblStyle w:val="ARPANSA"/>
        <w:tblW w:w="0" w:type="auto"/>
        <w:tblLook w:val="04A0" w:firstRow="1" w:lastRow="0" w:firstColumn="1" w:lastColumn="0" w:noHBand="0" w:noVBand="1"/>
      </w:tblPr>
      <w:tblGrid>
        <w:gridCol w:w="1977"/>
        <w:gridCol w:w="7377"/>
      </w:tblGrid>
      <w:tr w:rsidR="00B564AA" w:rsidRPr="003821BD" w14:paraId="3522774C" w14:textId="77777777" w:rsidTr="008F3505">
        <w:trPr>
          <w:cnfStyle w:val="100000000000" w:firstRow="1" w:lastRow="0" w:firstColumn="0" w:lastColumn="0" w:oddVBand="0" w:evenVBand="0" w:oddHBand="0" w:evenHBand="0" w:firstRowFirstColumn="0" w:firstRowLastColumn="0" w:lastRowFirstColumn="0" w:lastRowLastColumn="0"/>
        </w:trPr>
        <w:tc>
          <w:tcPr>
            <w:tcW w:w="1977" w:type="dxa"/>
          </w:tcPr>
          <w:p w14:paraId="7B83D51C" w14:textId="77777777" w:rsidR="00B564AA" w:rsidRPr="003821BD" w:rsidRDefault="00B564AA" w:rsidP="0026652C">
            <w:r>
              <w:t>Term</w:t>
            </w:r>
          </w:p>
        </w:tc>
        <w:tc>
          <w:tcPr>
            <w:tcW w:w="7377" w:type="dxa"/>
          </w:tcPr>
          <w:p w14:paraId="0B938358" w14:textId="77777777" w:rsidR="00B564AA" w:rsidRPr="003821BD" w:rsidRDefault="00B564AA" w:rsidP="0026652C">
            <w:r>
              <w:t>Definition</w:t>
            </w:r>
          </w:p>
        </w:tc>
      </w:tr>
      <w:tr w:rsidR="00F30387" w:rsidRPr="00BB7721" w14:paraId="144BE644" w14:textId="77777777" w:rsidTr="008F3505">
        <w:tc>
          <w:tcPr>
            <w:tcW w:w="1977" w:type="dxa"/>
          </w:tcPr>
          <w:p w14:paraId="6EA4563D" w14:textId="77777777" w:rsidR="00F30387" w:rsidRPr="00BB7721" w:rsidRDefault="00F30387" w:rsidP="0026652C">
            <w:pPr>
              <w:pStyle w:val="TableStyle"/>
            </w:pPr>
            <w:r w:rsidRPr="00BB7721">
              <w:t>Area For Improvement (AFI)</w:t>
            </w:r>
          </w:p>
        </w:tc>
        <w:tc>
          <w:tcPr>
            <w:tcW w:w="7377" w:type="dxa"/>
          </w:tcPr>
          <w:p w14:paraId="318D4990" w14:textId="12FBEB81" w:rsidR="00F30387" w:rsidRPr="00BB7721" w:rsidRDefault="00F30387" w:rsidP="0026652C">
            <w:pPr>
              <w:pStyle w:val="TableStyle"/>
            </w:pPr>
            <w:proofErr w:type="gramStart"/>
            <w:r w:rsidRPr="00BB7721">
              <w:t>an</w:t>
            </w:r>
            <w:proofErr w:type="gramEnd"/>
            <w:r w:rsidRPr="00BB7721">
              <w:t xml:space="preserve"> identified opportunity to improve performance to achieve best practice rather than minimal compliance. It is distinct from a non-compliance with the Act, the Regulations or a licence condition. An area for improvement may be found where, despite reasonably practicable steps taken by the licence holder, an isolated instance of non-conformance with low safety significance has occurred.</w:t>
            </w:r>
          </w:p>
        </w:tc>
      </w:tr>
      <w:tr w:rsidR="00F30387" w:rsidRPr="00BB7721" w14:paraId="177E907D" w14:textId="77777777" w:rsidTr="008F3505">
        <w:tc>
          <w:tcPr>
            <w:tcW w:w="1977" w:type="dxa"/>
          </w:tcPr>
          <w:p w14:paraId="3ECD8716" w14:textId="77777777" w:rsidR="00F30387" w:rsidRPr="00BB7721" w:rsidRDefault="00F30387" w:rsidP="0026652C">
            <w:pPr>
              <w:pStyle w:val="TableStyle"/>
            </w:pPr>
            <w:r w:rsidRPr="00BB7721">
              <w:t>Augmented Inspection</w:t>
            </w:r>
          </w:p>
        </w:tc>
        <w:tc>
          <w:tcPr>
            <w:tcW w:w="7377" w:type="dxa"/>
          </w:tcPr>
          <w:p w14:paraId="6DC41C4C" w14:textId="65866311" w:rsidR="00F30387" w:rsidRPr="00BB7721" w:rsidRDefault="00F30387" w:rsidP="0026652C">
            <w:pPr>
              <w:pStyle w:val="TableStyle"/>
            </w:pPr>
            <w:proofErr w:type="gramStart"/>
            <w:r w:rsidRPr="00BB7721">
              <w:t>an</w:t>
            </w:r>
            <w:proofErr w:type="gramEnd"/>
            <w:r w:rsidRPr="00BB7721">
              <w:t xml:space="preserve"> inspection beyond the baseline.</w:t>
            </w:r>
          </w:p>
        </w:tc>
      </w:tr>
      <w:tr w:rsidR="00F30387" w:rsidRPr="00BB7721" w14:paraId="41CE3CB8" w14:textId="77777777" w:rsidTr="008F3505">
        <w:tc>
          <w:tcPr>
            <w:tcW w:w="1977" w:type="dxa"/>
          </w:tcPr>
          <w:p w14:paraId="6D79CF11" w14:textId="77777777" w:rsidR="00F30387" w:rsidRPr="00BB7721" w:rsidRDefault="00F30387" w:rsidP="0026652C">
            <w:pPr>
              <w:pStyle w:val="TableStyle"/>
            </w:pPr>
            <w:r w:rsidRPr="00BB7721">
              <w:t>Controlled person</w:t>
            </w:r>
          </w:p>
        </w:tc>
        <w:tc>
          <w:tcPr>
            <w:tcW w:w="7377" w:type="dxa"/>
          </w:tcPr>
          <w:p w14:paraId="7509C033" w14:textId="77777777" w:rsidR="00F30387" w:rsidRPr="00BB7721" w:rsidRDefault="00F30387" w:rsidP="0026652C">
            <w:pPr>
              <w:pStyle w:val="TableStyle"/>
            </w:pPr>
            <w:r w:rsidRPr="00BB7721">
              <w:t xml:space="preserve">is defined in the Act as </w:t>
            </w:r>
          </w:p>
          <w:p w14:paraId="121F5CA4" w14:textId="77777777" w:rsidR="00F30387" w:rsidRPr="00BB7721" w:rsidRDefault="00F30387" w:rsidP="0026652C">
            <w:pPr>
              <w:pStyle w:val="TableStyle"/>
            </w:pPr>
            <w:r w:rsidRPr="00BB7721">
              <w:t>a Commonwealth entity</w:t>
            </w:r>
          </w:p>
          <w:p w14:paraId="5831B9A5" w14:textId="77777777" w:rsidR="00F30387" w:rsidRPr="00BB7721" w:rsidRDefault="00F30387" w:rsidP="0026652C">
            <w:pPr>
              <w:pStyle w:val="TableStyle"/>
            </w:pPr>
            <w:r w:rsidRPr="00BB7721">
              <w:t>a Commonwealth contractor</w:t>
            </w:r>
          </w:p>
          <w:p w14:paraId="06ABE662" w14:textId="77777777" w:rsidR="00F30387" w:rsidRPr="00BB7721" w:rsidRDefault="00F30387" w:rsidP="0026652C">
            <w:pPr>
              <w:pStyle w:val="TableStyle"/>
            </w:pPr>
            <w:r w:rsidRPr="00BB7721">
              <w:t>a person, in the capacity of a Commonwealth contractor</w:t>
            </w:r>
          </w:p>
          <w:p w14:paraId="0BB1DF3F" w14:textId="77777777" w:rsidR="00F30387" w:rsidRPr="00BB7721" w:rsidRDefault="00F30387" w:rsidP="0026652C">
            <w:pPr>
              <w:pStyle w:val="TableStyle"/>
            </w:pPr>
            <w:r w:rsidRPr="00BB7721">
              <w:t>a person an a prescribed Commonwealth place</w:t>
            </w:r>
          </w:p>
        </w:tc>
      </w:tr>
      <w:tr w:rsidR="00F30387" w:rsidRPr="00BB7721" w14:paraId="2790F235" w14:textId="77777777" w:rsidTr="008F3505">
        <w:tc>
          <w:tcPr>
            <w:tcW w:w="1977" w:type="dxa"/>
          </w:tcPr>
          <w:p w14:paraId="1FFC279A" w14:textId="77777777" w:rsidR="00F30387" w:rsidRPr="00BB7721" w:rsidRDefault="00F30387" w:rsidP="0026652C">
            <w:pPr>
              <w:pStyle w:val="TableStyle"/>
            </w:pPr>
            <w:proofErr w:type="spellStart"/>
            <w:r w:rsidRPr="00BB7721">
              <w:t>DiD</w:t>
            </w:r>
            <w:proofErr w:type="spellEnd"/>
          </w:p>
        </w:tc>
        <w:tc>
          <w:tcPr>
            <w:tcW w:w="7377" w:type="dxa"/>
          </w:tcPr>
          <w:p w14:paraId="278800BC" w14:textId="77777777" w:rsidR="00F30387" w:rsidRPr="00BB7721" w:rsidRDefault="00F30387" w:rsidP="0026652C">
            <w:pPr>
              <w:pStyle w:val="TableStyle"/>
            </w:pPr>
            <w:r w:rsidRPr="00BB7721">
              <w:t>Defence in Depth</w:t>
            </w:r>
          </w:p>
        </w:tc>
      </w:tr>
      <w:tr w:rsidR="00F30387" w:rsidRPr="00BB7721" w14:paraId="2E5B5C6D" w14:textId="77777777" w:rsidTr="008F3505">
        <w:tc>
          <w:tcPr>
            <w:tcW w:w="1977" w:type="dxa"/>
          </w:tcPr>
          <w:p w14:paraId="7EA8A0C9" w14:textId="77777777" w:rsidR="00F30387" w:rsidRPr="00BB7721" w:rsidRDefault="00F30387" w:rsidP="0026652C">
            <w:pPr>
              <w:pStyle w:val="TableStyle"/>
            </w:pPr>
            <w:r w:rsidRPr="00BB7721">
              <w:t>e-inspection</w:t>
            </w:r>
          </w:p>
        </w:tc>
        <w:tc>
          <w:tcPr>
            <w:tcW w:w="7377" w:type="dxa"/>
          </w:tcPr>
          <w:p w14:paraId="262D2E71" w14:textId="6F936DA5" w:rsidR="00F30387" w:rsidRPr="00BB7721" w:rsidRDefault="00F30387" w:rsidP="0026652C">
            <w:pPr>
              <w:pStyle w:val="TableStyle"/>
            </w:pPr>
            <w:proofErr w:type="gramStart"/>
            <w:r w:rsidRPr="00BB7721">
              <w:t>an</w:t>
            </w:r>
            <w:proofErr w:type="gramEnd"/>
            <w:r w:rsidRPr="00BB7721">
              <w:t xml:space="preserve"> inspection that is conducted remotely via a desk top review without the need for an inspector to attend the site. This type of inspection may be used for licence holders with low hazard sources or sources in remote locations or overseas.</w:t>
            </w:r>
          </w:p>
        </w:tc>
      </w:tr>
      <w:tr w:rsidR="00F30387" w:rsidRPr="00BB7721" w14:paraId="11E4B8C9" w14:textId="77777777" w:rsidTr="008F3505">
        <w:tc>
          <w:tcPr>
            <w:tcW w:w="1977" w:type="dxa"/>
          </w:tcPr>
          <w:p w14:paraId="01F57DFE" w14:textId="77777777" w:rsidR="00F30387" w:rsidRPr="00BB7721" w:rsidRDefault="00F30387" w:rsidP="0026652C">
            <w:pPr>
              <w:pStyle w:val="TableStyle"/>
            </w:pPr>
            <w:r w:rsidRPr="00BB7721">
              <w:t>EPD</w:t>
            </w:r>
          </w:p>
        </w:tc>
        <w:tc>
          <w:tcPr>
            <w:tcW w:w="7377" w:type="dxa"/>
          </w:tcPr>
          <w:p w14:paraId="41EF3C2F" w14:textId="77777777" w:rsidR="00F30387" w:rsidRPr="00BB7721" w:rsidRDefault="00F30387" w:rsidP="0026652C">
            <w:pPr>
              <w:pStyle w:val="TableStyle"/>
            </w:pPr>
            <w:r w:rsidRPr="00BB7721">
              <w:t>Electronic Personal Dosimeter</w:t>
            </w:r>
          </w:p>
        </w:tc>
      </w:tr>
      <w:tr w:rsidR="00F30387" w:rsidRPr="00BB7721" w14:paraId="3B7761E5" w14:textId="77777777" w:rsidTr="008F3505">
        <w:tc>
          <w:tcPr>
            <w:tcW w:w="1977" w:type="dxa"/>
          </w:tcPr>
          <w:p w14:paraId="0E91BC1B" w14:textId="77777777" w:rsidR="00F30387" w:rsidRPr="00BB7721" w:rsidRDefault="00F30387" w:rsidP="0026652C">
            <w:pPr>
              <w:pStyle w:val="TableStyle"/>
            </w:pPr>
            <w:r w:rsidRPr="00BB7721">
              <w:t>Good practice</w:t>
            </w:r>
          </w:p>
        </w:tc>
        <w:tc>
          <w:tcPr>
            <w:tcW w:w="7377" w:type="dxa"/>
          </w:tcPr>
          <w:p w14:paraId="07EA1D6C" w14:textId="05E2576B" w:rsidR="00F30387" w:rsidRPr="00BB7721" w:rsidRDefault="00F30387" w:rsidP="0026652C">
            <w:pPr>
              <w:pStyle w:val="TableStyle"/>
            </w:pPr>
            <w:proofErr w:type="gramStart"/>
            <w:r w:rsidRPr="00BB7721">
              <w:t>a</w:t>
            </w:r>
            <w:proofErr w:type="gramEnd"/>
            <w:r w:rsidRPr="00BB7721">
              <w:t xml:space="preserve"> program, practice, activity or arrangement that the inspector regards as superior to that generally observed elsewhere. A good practice goes beyond the fulfilment of current requirements or expectations; and is worthy of the attention of other licence holders as a model in the pursuit of excellence.</w:t>
            </w:r>
          </w:p>
        </w:tc>
      </w:tr>
      <w:tr w:rsidR="00F30387" w:rsidRPr="00BB7721" w14:paraId="6A9D7BBD" w14:textId="77777777" w:rsidTr="008F3505">
        <w:tc>
          <w:tcPr>
            <w:tcW w:w="1977" w:type="dxa"/>
          </w:tcPr>
          <w:p w14:paraId="6DF367BA" w14:textId="77777777" w:rsidR="00F30387" w:rsidRPr="00BB7721" w:rsidRDefault="00F30387" w:rsidP="0026652C">
            <w:pPr>
              <w:pStyle w:val="TableStyle"/>
            </w:pPr>
            <w:r w:rsidRPr="00BB7721">
              <w:t>Inspection</w:t>
            </w:r>
          </w:p>
        </w:tc>
        <w:tc>
          <w:tcPr>
            <w:tcW w:w="7377" w:type="dxa"/>
          </w:tcPr>
          <w:p w14:paraId="2DDF4D19" w14:textId="57405CBE" w:rsidR="00F30387" w:rsidRPr="00BB7721" w:rsidRDefault="00F30387" w:rsidP="0026652C">
            <w:pPr>
              <w:pStyle w:val="TableStyle"/>
            </w:pPr>
            <w:r w:rsidRPr="00BB7721">
              <w:t>the act of assessing licence holder performance to determine whether controlled material, controlled apparatus or a controlled facility is being used safely and in compliance with the Act, the Regulations and licence conditions. Inspections are generally proactive, that is, scheduled and planned but may be reactive in response to regulatory events such as relevant changes, incidents, accidents or non-compliances.</w:t>
            </w:r>
          </w:p>
        </w:tc>
      </w:tr>
      <w:tr w:rsidR="00F30387" w:rsidRPr="00BB7721" w14:paraId="0A88B932" w14:textId="77777777" w:rsidTr="008F3505">
        <w:tc>
          <w:tcPr>
            <w:tcW w:w="1977" w:type="dxa"/>
          </w:tcPr>
          <w:p w14:paraId="36A102B0" w14:textId="77777777" w:rsidR="00F30387" w:rsidRPr="00BB7721" w:rsidRDefault="00F30387" w:rsidP="0026652C">
            <w:pPr>
              <w:pStyle w:val="TableStyle"/>
            </w:pPr>
            <w:r w:rsidRPr="00BB7721">
              <w:t>Inspection Schedule</w:t>
            </w:r>
          </w:p>
        </w:tc>
        <w:tc>
          <w:tcPr>
            <w:tcW w:w="7377" w:type="dxa"/>
          </w:tcPr>
          <w:p w14:paraId="59F0EB88" w14:textId="5B32B9B1" w:rsidR="00F30387" w:rsidRPr="00BB7721" w:rsidRDefault="00F30387" w:rsidP="0026652C">
            <w:pPr>
              <w:pStyle w:val="TableStyle"/>
            </w:pPr>
            <w:r w:rsidRPr="00BB7721">
              <w:t>ARPANSA’s program of inspections of licence holders and other controlled persons including Commonwealth contractors. The schedule is informed by the licence holder’s compliance record and radiation and nuclear safety performance commensurate with the hazards and risks associated with the particular conducts and/or dealings authorised under the particular source or facility licence which is reflected in their risk ranking or regulatory priority. The baseline inspection schedule defines the minimum number of inspections to evaluate licence holder performance over the baseline period.</w:t>
            </w:r>
          </w:p>
        </w:tc>
      </w:tr>
      <w:tr w:rsidR="00F30387" w:rsidRPr="00BB7721" w14:paraId="2B63DA93" w14:textId="77777777" w:rsidTr="008F3505">
        <w:tc>
          <w:tcPr>
            <w:tcW w:w="1977" w:type="dxa"/>
          </w:tcPr>
          <w:p w14:paraId="3A355F26" w14:textId="77777777" w:rsidR="00F30387" w:rsidRPr="00BB7721" w:rsidRDefault="00F30387" w:rsidP="0026652C">
            <w:pPr>
              <w:pStyle w:val="TableStyle"/>
            </w:pPr>
            <w:r w:rsidRPr="00BB7721">
              <w:t>Inspection Team</w:t>
            </w:r>
          </w:p>
        </w:tc>
        <w:tc>
          <w:tcPr>
            <w:tcW w:w="7377" w:type="dxa"/>
          </w:tcPr>
          <w:p w14:paraId="2C90002F" w14:textId="440A9EE1" w:rsidR="00F30387" w:rsidRPr="00BB7721" w:rsidRDefault="00F30387" w:rsidP="0026652C">
            <w:pPr>
              <w:pStyle w:val="TableStyle"/>
            </w:pPr>
            <w:proofErr w:type="gramStart"/>
            <w:r w:rsidRPr="00BB7721">
              <w:t>a</w:t>
            </w:r>
            <w:proofErr w:type="gramEnd"/>
            <w:r w:rsidRPr="00BB7721">
              <w:t xml:space="preserve"> group of persons involved in a particular inspection. In addition to the inspector(s), the group may comprise other regulatory officers or technical/scientific experts from ARPANSA or other agencies. Distinctions between inspectors and team members who are not appointed as inspectors will be carefully managed to ensure appropriate exercise of inspection powers.</w:t>
            </w:r>
          </w:p>
        </w:tc>
      </w:tr>
      <w:tr w:rsidR="00F30387" w:rsidRPr="00BB7721" w14:paraId="17B24831" w14:textId="77777777" w:rsidTr="008F3505">
        <w:tc>
          <w:tcPr>
            <w:tcW w:w="1977" w:type="dxa"/>
          </w:tcPr>
          <w:p w14:paraId="30C50887" w14:textId="77777777" w:rsidR="00F30387" w:rsidRPr="00BB7721" w:rsidRDefault="00F30387" w:rsidP="0026652C">
            <w:pPr>
              <w:pStyle w:val="TableStyle"/>
            </w:pPr>
            <w:r w:rsidRPr="00BB7721">
              <w:t>Inspector</w:t>
            </w:r>
          </w:p>
        </w:tc>
        <w:tc>
          <w:tcPr>
            <w:tcW w:w="7377" w:type="dxa"/>
          </w:tcPr>
          <w:p w14:paraId="11E4F5B1" w14:textId="667E06F0" w:rsidR="00F30387" w:rsidRPr="00BB7721" w:rsidRDefault="00F30387" w:rsidP="0026652C">
            <w:pPr>
              <w:pStyle w:val="TableStyle"/>
            </w:pPr>
            <w:proofErr w:type="gramStart"/>
            <w:r w:rsidRPr="00BB7721">
              <w:t>a</w:t>
            </w:r>
            <w:proofErr w:type="gramEnd"/>
            <w:r w:rsidRPr="00BB7721">
              <w:t xml:space="preserve"> person appointed or employed by the Commonwealth or by a State or Territory who is appointed by instrument in writing under section 62 of the Act.</w:t>
            </w:r>
          </w:p>
        </w:tc>
      </w:tr>
      <w:tr w:rsidR="00F30387" w:rsidRPr="00BB7721" w14:paraId="1EF4EDC9" w14:textId="77777777" w:rsidTr="008F3505">
        <w:tc>
          <w:tcPr>
            <w:tcW w:w="1977" w:type="dxa"/>
          </w:tcPr>
          <w:p w14:paraId="2D883ED1" w14:textId="77777777" w:rsidR="00F30387" w:rsidRPr="00BB7721" w:rsidRDefault="00F30387" w:rsidP="0026652C">
            <w:pPr>
              <w:pStyle w:val="TableStyle"/>
            </w:pPr>
            <w:r w:rsidRPr="00BB7721">
              <w:t>LAD</w:t>
            </w:r>
          </w:p>
        </w:tc>
        <w:tc>
          <w:tcPr>
            <w:tcW w:w="7377" w:type="dxa"/>
          </w:tcPr>
          <w:p w14:paraId="5EDEA88C" w14:textId="0BDCFFEE" w:rsidR="00F30387" w:rsidRPr="00BB7721" w:rsidRDefault="00F30387" w:rsidP="0026652C">
            <w:pPr>
              <w:pStyle w:val="TableStyle"/>
            </w:pPr>
            <w:r w:rsidRPr="00BB7721">
              <w:t>the Licence Administration Database</w:t>
            </w:r>
          </w:p>
        </w:tc>
      </w:tr>
      <w:tr w:rsidR="00F30387" w:rsidRPr="00BB7721" w14:paraId="78E1D153" w14:textId="77777777" w:rsidTr="008F3505">
        <w:tc>
          <w:tcPr>
            <w:tcW w:w="1977" w:type="dxa"/>
          </w:tcPr>
          <w:p w14:paraId="3552F337" w14:textId="77777777" w:rsidR="00F30387" w:rsidRPr="00BB7721" w:rsidRDefault="00F30387" w:rsidP="0026652C">
            <w:pPr>
              <w:pStyle w:val="TableStyle"/>
            </w:pPr>
            <w:r w:rsidRPr="00BB7721">
              <w:t>LAO</w:t>
            </w:r>
          </w:p>
        </w:tc>
        <w:tc>
          <w:tcPr>
            <w:tcW w:w="7377" w:type="dxa"/>
          </w:tcPr>
          <w:p w14:paraId="4A494B7D" w14:textId="77777777" w:rsidR="00F30387" w:rsidRPr="00BB7721" w:rsidRDefault="00F30387" w:rsidP="0026652C">
            <w:pPr>
              <w:pStyle w:val="TableStyle"/>
            </w:pPr>
            <w:r w:rsidRPr="00BB7721">
              <w:t>Licence Administration Officer</w:t>
            </w:r>
          </w:p>
        </w:tc>
      </w:tr>
      <w:tr w:rsidR="00F30387" w:rsidRPr="00BB7721" w14:paraId="108B08D1" w14:textId="77777777" w:rsidTr="008F3505">
        <w:tc>
          <w:tcPr>
            <w:tcW w:w="1977" w:type="dxa"/>
          </w:tcPr>
          <w:p w14:paraId="0A2851F8" w14:textId="77777777" w:rsidR="00F30387" w:rsidRPr="00BB7721" w:rsidRDefault="00F30387" w:rsidP="0026652C">
            <w:pPr>
              <w:pStyle w:val="TableStyle"/>
            </w:pPr>
            <w:r w:rsidRPr="00BB7721">
              <w:t>Lead Inspector</w:t>
            </w:r>
          </w:p>
        </w:tc>
        <w:tc>
          <w:tcPr>
            <w:tcW w:w="7377" w:type="dxa"/>
          </w:tcPr>
          <w:p w14:paraId="47DD5176" w14:textId="3852FFAA" w:rsidR="00F30387" w:rsidRPr="00BB7721" w:rsidRDefault="00F30387" w:rsidP="0026652C">
            <w:pPr>
              <w:pStyle w:val="TableStyle"/>
            </w:pPr>
            <w:proofErr w:type="gramStart"/>
            <w:r w:rsidRPr="00BB7721">
              <w:t>the</w:t>
            </w:r>
            <w:proofErr w:type="gramEnd"/>
            <w:r w:rsidRPr="00BB7721">
              <w:t xml:space="preserve"> leader of an inspection team. In most cases, this will be the inspector responsible for the assessment of a controlled person’s licence application(s) or monitoring of the licence holder’s compliance.</w:t>
            </w:r>
          </w:p>
        </w:tc>
      </w:tr>
      <w:tr w:rsidR="00F30387" w:rsidRPr="00BB7721" w14:paraId="020C53D8" w14:textId="77777777" w:rsidTr="008F3505">
        <w:tc>
          <w:tcPr>
            <w:tcW w:w="1977" w:type="dxa"/>
          </w:tcPr>
          <w:p w14:paraId="40DDF173" w14:textId="77777777" w:rsidR="00F30387" w:rsidRPr="00BB7721" w:rsidRDefault="00F30387" w:rsidP="0026652C">
            <w:pPr>
              <w:pStyle w:val="TableStyle"/>
            </w:pPr>
            <w:r w:rsidRPr="00BB7721">
              <w:lastRenderedPageBreak/>
              <w:t>MOU</w:t>
            </w:r>
          </w:p>
        </w:tc>
        <w:tc>
          <w:tcPr>
            <w:tcW w:w="7377" w:type="dxa"/>
          </w:tcPr>
          <w:p w14:paraId="1D84931C" w14:textId="77777777" w:rsidR="00F30387" w:rsidRPr="00BB7721" w:rsidRDefault="00F30387" w:rsidP="0026652C">
            <w:pPr>
              <w:pStyle w:val="TableStyle"/>
            </w:pPr>
            <w:r w:rsidRPr="00BB7721">
              <w:t xml:space="preserve">Memorandum of Understanding </w:t>
            </w:r>
          </w:p>
        </w:tc>
      </w:tr>
      <w:tr w:rsidR="00F30387" w:rsidRPr="00BB7721" w14:paraId="2DBC9550" w14:textId="77777777" w:rsidTr="008F3505">
        <w:tc>
          <w:tcPr>
            <w:tcW w:w="1977" w:type="dxa"/>
          </w:tcPr>
          <w:p w14:paraId="2DF94190" w14:textId="77777777" w:rsidR="00F30387" w:rsidRPr="00BB7721" w:rsidRDefault="00F30387" w:rsidP="0026652C">
            <w:pPr>
              <w:pStyle w:val="TableStyle"/>
            </w:pPr>
            <w:r w:rsidRPr="00BB7721">
              <w:t>Potential non-compliance</w:t>
            </w:r>
          </w:p>
        </w:tc>
        <w:tc>
          <w:tcPr>
            <w:tcW w:w="7377" w:type="dxa"/>
          </w:tcPr>
          <w:p w14:paraId="4E54FEB7" w14:textId="6326EB0E" w:rsidR="00F30387" w:rsidRPr="00BB7721" w:rsidRDefault="00F30387" w:rsidP="0026652C">
            <w:pPr>
              <w:pStyle w:val="TableStyle"/>
            </w:pPr>
            <w:proofErr w:type="gramStart"/>
            <w:r w:rsidRPr="00BB7721">
              <w:t>the</w:t>
            </w:r>
            <w:proofErr w:type="gramEnd"/>
            <w:r w:rsidRPr="00BB7721">
              <w:t xml:space="preserve"> situation that exists when facts indicate that requirements in the Act, the Regulations, or one or more licence conditions may not have been met.</w:t>
            </w:r>
          </w:p>
        </w:tc>
      </w:tr>
      <w:tr w:rsidR="00F30387" w:rsidRPr="00BB7721" w14:paraId="525CCFEC" w14:textId="77777777" w:rsidTr="008F3505">
        <w:tc>
          <w:tcPr>
            <w:tcW w:w="1977" w:type="dxa"/>
          </w:tcPr>
          <w:p w14:paraId="36B8E7F1" w14:textId="77777777" w:rsidR="00F30387" w:rsidRPr="00BB7721" w:rsidRDefault="00F30387" w:rsidP="0026652C">
            <w:pPr>
              <w:pStyle w:val="TableStyle"/>
            </w:pPr>
            <w:r w:rsidRPr="00BB7721">
              <w:t>Radiation risk</w:t>
            </w:r>
          </w:p>
        </w:tc>
        <w:tc>
          <w:tcPr>
            <w:tcW w:w="7377" w:type="dxa"/>
          </w:tcPr>
          <w:p w14:paraId="6EA6E622" w14:textId="77777777" w:rsidR="00F30387" w:rsidRPr="00BB7721" w:rsidRDefault="00F30387" w:rsidP="0026652C">
            <w:pPr>
              <w:pStyle w:val="TableStyle"/>
            </w:pPr>
            <w:r w:rsidRPr="00BB7721">
              <w:t>is defined in the Policy for ARPANSA’s Regulatory Activities (ARPANSA-POL-002) as: Detrimental health effects of exposure to ionising radiation including the likelihood of such effects occurring, and other risks including environmental risks, that might arise from exposure to ionising radiation; the presence of radioactive material (including radioactive waste) or its release to the environment; or a loss of control over a nuclear reactor core, nuclear chain reaction, radioactive source or any other source of radiation; alone or in combination.</w:t>
            </w:r>
          </w:p>
          <w:p w14:paraId="13D7A189" w14:textId="77777777" w:rsidR="00F30387" w:rsidRPr="00BB7721" w:rsidRDefault="00F30387" w:rsidP="0026652C">
            <w:pPr>
              <w:pStyle w:val="TableStyle"/>
            </w:pPr>
            <w:r w:rsidRPr="00BB7721">
              <w:t>Health effects and health risks associated with acute or prolonged exposure to non-ionising radiation such as ultraviolet radiation, radiofrequency radiation, optical radiation and other types of non-ionising radiation; either in occupational settings or as members of the public.</w:t>
            </w:r>
          </w:p>
        </w:tc>
      </w:tr>
      <w:tr w:rsidR="00F30387" w:rsidRPr="00BB7721" w14:paraId="440E0CE8" w14:textId="77777777" w:rsidTr="008F3505">
        <w:tc>
          <w:tcPr>
            <w:tcW w:w="1977" w:type="dxa"/>
          </w:tcPr>
          <w:p w14:paraId="4DA171B1" w14:textId="77777777" w:rsidR="00F30387" w:rsidRPr="00BB7721" w:rsidRDefault="00F30387" w:rsidP="0026652C">
            <w:pPr>
              <w:pStyle w:val="TableStyle"/>
            </w:pPr>
            <w:r w:rsidRPr="00BB7721">
              <w:t>RP</w:t>
            </w:r>
          </w:p>
        </w:tc>
        <w:tc>
          <w:tcPr>
            <w:tcW w:w="7377" w:type="dxa"/>
          </w:tcPr>
          <w:p w14:paraId="45936ECA" w14:textId="77777777" w:rsidR="00F30387" w:rsidRPr="00BB7721" w:rsidRDefault="00F30387" w:rsidP="0026652C">
            <w:pPr>
              <w:pStyle w:val="TableStyle"/>
            </w:pPr>
            <w:r w:rsidRPr="00BB7721">
              <w:t>Regulatory Priority</w:t>
            </w:r>
          </w:p>
        </w:tc>
      </w:tr>
      <w:tr w:rsidR="00F30387" w:rsidRPr="00BB7721" w14:paraId="66EC6734" w14:textId="77777777" w:rsidTr="008F3505">
        <w:tc>
          <w:tcPr>
            <w:tcW w:w="1977" w:type="dxa"/>
          </w:tcPr>
          <w:p w14:paraId="6A11EBBB" w14:textId="77777777" w:rsidR="00F30387" w:rsidRPr="00BB7721" w:rsidRDefault="00F30387" w:rsidP="0026652C">
            <w:pPr>
              <w:pStyle w:val="TableStyle"/>
            </w:pPr>
            <w:r w:rsidRPr="00BB7721">
              <w:t>Safety</w:t>
            </w:r>
          </w:p>
        </w:tc>
        <w:tc>
          <w:tcPr>
            <w:tcW w:w="7377" w:type="dxa"/>
          </w:tcPr>
          <w:p w14:paraId="4C8D61C4" w14:textId="77777777" w:rsidR="00F30387" w:rsidRPr="00BB7721" w:rsidRDefault="00F30387" w:rsidP="0026652C">
            <w:pPr>
              <w:pStyle w:val="TableStyle"/>
            </w:pPr>
            <w:r w:rsidRPr="00BB7721">
              <w:t>For the purpose of this manual, safety refers to all factors that contribute protection of people and the environment from harmful effects of radiation, which includes radiation protection and safety, nuclear safety, waste safety, transport safety, physical protection and security, and emergency preparedness and response.</w:t>
            </w:r>
          </w:p>
        </w:tc>
      </w:tr>
      <w:tr w:rsidR="00F30387" w:rsidRPr="00BB7721" w14:paraId="570F19AB" w14:textId="77777777" w:rsidTr="008F3505">
        <w:tc>
          <w:tcPr>
            <w:tcW w:w="1977" w:type="dxa"/>
          </w:tcPr>
          <w:p w14:paraId="16402F47" w14:textId="77777777" w:rsidR="00F30387" w:rsidRPr="00BB7721" w:rsidRDefault="00F30387" w:rsidP="0026652C">
            <w:pPr>
              <w:pStyle w:val="TableStyle"/>
            </w:pPr>
            <w:r w:rsidRPr="00BB7721">
              <w:t>Site Visit</w:t>
            </w:r>
          </w:p>
        </w:tc>
        <w:tc>
          <w:tcPr>
            <w:tcW w:w="7377" w:type="dxa"/>
          </w:tcPr>
          <w:p w14:paraId="37627429" w14:textId="6714712B" w:rsidR="00F30387" w:rsidRPr="00BB7721" w:rsidRDefault="00F30387" w:rsidP="0026652C">
            <w:pPr>
              <w:pStyle w:val="TableStyle"/>
            </w:pPr>
            <w:r w:rsidRPr="00BB7721">
              <w:t xml:space="preserve">a visit by an inspector to the premises of an applicant or licence holder for the purpose of gathering information about a facility or source, associated processes or procedures, and/or personnel. It may also be for information sharing or educational purposes relevant to the licence. </w:t>
            </w:r>
          </w:p>
        </w:tc>
      </w:tr>
      <w:tr w:rsidR="00F30387" w:rsidRPr="00BB7721" w14:paraId="3E7DE0BD" w14:textId="77777777" w:rsidTr="008F3505">
        <w:tc>
          <w:tcPr>
            <w:tcW w:w="1977" w:type="dxa"/>
          </w:tcPr>
          <w:p w14:paraId="7958879D" w14:textId="77777777" w:rsidR="00F30387" w:rsidRPr="00BB7721" w:rsidRDefault="00F30387" w:rsidP="0026652C">
            <w:pPr>
              <w:pStyle w:val="TableStyle"/>
            </w:pPr>
            <w:r w:rsidRPr="00BB7721">
              <w:t>SS</w:t>
            </w:r>
          </w:p>
        </w:tc>
        <w:tc>
          <w:tcPr>
            <w:tcW w:w="7377" w:type="dxa"/>
          </w:tcPr>
          <w:p w14:paraId="545791B6" w14:textId="77777777" w:rsidR="00F30387" w:rsidRPr="00BB7721" w:rsidRDefault="00F30387" w:rsidP="0026652C">
            <w:pPr>
              <w:pStyle w:val="TableStyle"/>
            </w:pPr>
            <w:r w:rsidRPr="00BB7721">
              <w:t>Safety Systems</w:t>
            </w:r>
          </w:p>
        </w:tc>
      </w:tr>
      <w:tr w:rsidR="00F30387" w:rsidRPr="00BB7721" w14:paraId="276359FE" w14:textId="77777777" w:rsidTr="008F3505">
        <w:tc>
          <w:tcPr>
            <w:tcW w:w="1977" w:type="dxa"/>
          </w:tcPr>
          <w:p w14:paraId="7E238288" w14:textId="77777777" w:rsidR="00F30387" w:rsidRPr="00BB7721" w:rsidRDefault="00F30387" w:rsidP="0026652C">
            <w:pPr>
              <w:pStyle w:val="TableStyle"/>
            </w:pPr>
            <w:r w:rsidRPr="00BB7721">
              <w:t>SSC</w:t>
            </w:r>
          </w:p>
        </w:tc>
        <w:tc>
          <w:tcPr>
            <w:tcW w:w="7377" w:type="dxa"/>
          </w:tcPr>
          <w:p w14:paraId="33538D60" w14:textId="77777777" w:rsidR="00F30387" w:rsidRPr="00BB7721" w:rsidRDefault="00F30387" w:rsidP="0026652C">
            <w:pPr>
              <w:pStyle w:val="TableStyle"/>
            </w:pPr>
            <w:r w:rsidRPr="00BB7721">
              <w:t>Structured Systems and Components</w:t>
            </w:r>
          </w:p>
        </w:tc>
      </w:tr>
      <w:tr w:rsidR="00F30387" w:rsidRPr="00BB7721" w14:paraId="249E9527" w14:textId="77777777" w:rsidTr="008F3505">
        <w:tc>
          <w:tcPr>
            <w:tcW w:w="1977" w:type="dxa"/>
          </w:tcPr>
          <w:p w14:paraId="29802F01" w14:textId="77777777" w:rsidR="00F30387" w:rsidRPr="00BB7721" w:rsidRDefault="00F30387" w:rsidP="0026652C">
            <w:pPr>
              <w:pStyle w:val="TableStyle"/>
            </w:pPr>
            <w:r w:rsidRPr="00BB7721">
              <w:t>Technical/Scientific Advisor</w:t>
            </w:r>
          </w:p>
        </w:tc>
        <w:tc>
          <w:tcPr>
            <w:tcW w:w="7377" w:type="dxa"/>
          </w:tcPr>
          <w:p w14:paraId="35980903" w14:textId="16466CD8" w:rsidR="00F30387" w:rsidRPr="00BB7721" w:rsidRDefault="00F30387" w:rsidP="0026652C">
            <w:pPr>
              <w:pStyle w:val="TableStyle"/>
            </w:pPr>
            <w:proofErr w:type="gramStart"/>
            <w:r w:rsidRPr="00BB7721">
              <w:t>a</w:t>
            </w:r>
            <w:proofErr w:type="gramEnd"/>
            <w:r w:rsidRPr="00BB7721">
              <w:t xml:space="preserve"> technical/scientific expert requested to provide advice or scientific services or to participate in an inspection.</w:t>
            </w:r>
          </w:p>
        </w:tc>
      </w:tr>
      <w:tr w:rsidR="00F30387" w:rsidRPr="00BB7721" w14:paraId="6C437DF7" w14:textId="77777777" w:rsidTr="008F3505">
        <w:tc>
          <w:tcPr>
            <w:tcW w:w="1977" w:type="dxa"/>
          </w:tcPr>
          <w:p w14:paraId="72CCC392" w14:textId="77777777" w:rsidR="00F30387" w:rsidRPr="00BB7721" w:rsidRDefault="00F30387" w:rsidP="0026652C">
            <w:pPr>
              <w:pStyle w:val="TableStyle"/>
            </w:pPr>
            <w:r w:rsidRPr="00BB7721">
              <w:t>WHS</w:t>
            </w:r>
          </w:p>
        </w:tc>
        <w:tc>
          <w:tcPr>
            <w:tcW w:w="7377" w:type="dxa"/>
          </w:tcPr>
          <w:p w14:paraId="3477A00A" w14:textId="77777777" w:rsidR="00F30387" w:rsidRPr="00BB7721" w:rsidRDefault="00F30387" w:rsidP="0026652C">
            <w:pPr>
              <w:pStyle w:val="TableStyle"/>
            </w:pPr>
            <w:r w:rsidRPr="00BB7721">
              <w:t>Work Health and Safety</w:t>
            </w:r>
          </w:p>
        </w:tc>
      </w:tr>
    </w:tbl>
    <w:p w14:paraId="47B18E1F" w14:textId="77777777" w:rsidR="004F4145" w:rsidRDefault="004F4145" w:rsidP="0026652C">
      <w:pPr>
        <w:pStyle w:val="Heading2"/>
        <w:numPr>
          <w:ilvl w:val="0"/>
          <w:numId w:val="0"/>
        </w:numPr>
      </w:pPr>
      <w:bookmarkStart w:id="141" w:name="_Toc527629547"/>
    </w:p>
    <w:p w14:paraId="5B33DBBD" w14:textId="77777777" w:rsidR="004F4145" w:rsidRDefault="004F4145" w:rsidP="0026652C">
      <w:pPr>
        <w:rPr>
          <w:rFonts w:ascii="Calibri" w:eastAsiaTheme="majorEastAsia" w:hAnsi="Calibri" w:cstheme="majorBidi"/>
          <w:color w:val="4E1A74"/>
          <w:sz w:val="24"/>
          <w:szCs w:val="24"/>
        </w:rPr>
      </w:pPr>
      <w:r>
        <w:br w:type="page"/>
      </w:r>
    </w:p>
    <w:p w14:paraId="6AC589F1" w14:textId="7942930F" w:rsidR="00B564AA" w:rsidRDefault="00B564AA" w:rsidP="0026652C">
      <w:pPr>
        <w:pStyle w:val="Heading1"/>
        <w:numPr>
          <w:ilvl w:val="0"/>
          <w:numId w:val="24"/>
        </w:numPr>
      </w:pPr>
      <w:r>
        <w:lastRenderedPageBreak/>
        <w:t>Reference</w:t>
      </w:r>
      <w:bookmarkEnd w:id="141"/>
      <w:r w:rsidR="000F3080">
        <w:t>s</w:t>
      </w:r>
    </w:p>
    <w:tbl>
      <w:tblPr>
        <w:tblStyle w:val="ARPANSA"/>
        <w:tblW w:w="0" w:type="auto"/>
        <w:tblLook w:val="04A0" w:firstRow="1" w:lastRow="0" w:firstColumn="1" w:lastColumn="0" w:noHBand="0" w:noVBand="1"/>
      </w:tblPr>
      <w:tblGrid>
        <w:gridCol w:w="2835"/>
        <w:gridCol w:w="5670"/>
      </w:tblGrid>
      <w:tr w:rsidR="000F3080" w:rsidRPr="003821BD" w14:paraId="4D98477F" w14:textId="77777777" w:rsidTr="0026652C">
        <w:trPr>
          <w:cnfStyle w:val="100000000000" w:firstRow="1" w:lastRow="0" w:firstColumn="0" w:lastColumn="0" w:oddVBand="0" w:evenVBand="0" w:oddHBand="0" w:evenHBand="0" w:firstRowFirstColumn="0" w:firstRowLastColumn="0" w:lastRowFirstColumn="0" w:lastRowLastColumn="0"/>
        </w:trPr>
        <w:tc>
          <w:tcPr>
            <w:tcW w:w="2835" w:type="dxa"/>
          </w:tcPr>
          <w:p w14:paraId="273C8711" w14:textId="4125B138" w:rsidR="000F3080" w:rsidRPr="00DD1F2C" w:rsidRDefault="000F3080" w:rsidP="0026652C">
            <w:r>
              <w:t>Acronym/a</w:t>
            </w:r>
            <w:r w:rsidRPr="00DD1F2C">
              <w:t>bbreviation</w:t>
            </w:r>
            <w:r>
              <w:t>/ Document ID</w:t>
            </w:r>
          </w:p>
        </w:tc>
        <w:tc>
          <w:tcPr>
            <w:tcW w:w="5670" w:type="dxa"/>
          </w:tcPr>
          <w:p w14:paraId="58166DF1" w14:textId="77777777" w:rsidR="000F3080" w:rsidRPr="00DD1F2C" w:rsidRDefault="000F3080" w:rsidP="0026652C">
            <w:r w:rsidRPr="00DD1F2C">
              <w:t>Title</w:t>
            </w:r>
          </w:p>
        </w:tc>
      </w:tr>
      <w:tr w:rsidR="000F3080" w:rsidRPr="00EA153A" w14:paraId="2124FCE4" w14:textId="77777777" w:rsidTr="0026652C">
        <w:tc>
          <w:tcPr>
            <w:tcW w:w="2835" w:type="dxa"/>
          </w:tcPr>
          <w:p w14:paraId="04DCB0D7" w14:textId="77777777" w:rsidR="000F3080" w:rsidRPr="00EA153A" w:rsidRDefault="000F3080" w:rsidP="0026652C">
            <w:pPr>
              <w:pStyle w:val="TableStyle"/>
            </w:pPr>
            <w:r w:rsidRPr="00DB01CF">
              <w:t>The Act</w:t>
            </w:r>
          </w:p>
        </w:tc>
        <w:tc>
          <w:tcPr>
            <w:tcW w:w="5670" w:type="dxa"/>
          </w:tcPr>
          <w:p w14:paraId="2178CE8C" w14:textId="77777777" w:rsidR="000F3080" w:rsidRPr="00EA153A" w:rsidRDefault="00F233E8" w:rsidP="0026652C">
            <w:pPr>
              <w:pStyle w:val="TableStyle"/>
            </w:pPr>
            <w:hyperlink r:id="rId17" w:history="1">
              <w:r w:rsidR="000F3080" w:rsidRPr="00675D90">
                <w:t>Australian Radiation Protection and Nuclear Safety Act 1998</w:t>
              </w:r>
            </w:hyperlink>
          </w:p>
        </w:tc>
      </w:tr>
      <w:tr w:rsidR="000F3080" w:rsidRPr="00EA153A" w14:paraId="0775A316" w14:textId="77777777" w:rsidTr="0026652C">
        <w:tc>
          <w:tcPr>
            <w:tcW w:w="2835" w:type="dxa"/>
          </w:tcPr>
          <w:p w14:paraId="48262423" w14:textId="77777777" w:rsidR="000F3080" w:rsidRPr="00EA153A" w:rsidRDefault="000F3080" w:rsidP="0026652C">
            <w:pPr>
              <w:pStyle w:val="TableStyle"/>
            </w:pPr>
            <w:r>
              <w:t>The Regulations</w:t>
            </w:r>
          </w:p>
        </w:tc>
        <w:tc>
          <w:tcPr>
            <w:tcW w:w="5670" w:type="dxa"/>
          </w:tcPr>
          <w:p w14:paraId="7A453039" w14:textId="085C86A2" w:rsidR="000F3080" w:rsidRPr="00EA153A" w:rsidRDefault="000F3080" w:rsidP="0026652C">
            <w:pPr>
              <w:pStyle w:val="TableStyle"/>
            </w:pPr>
            <w:r w:rsidRPr="004751F9">
              <w:t xml:space="preserve">Australian Radiation Protection and Nuclear Safety Regulations </w:t>
            </w:r>
            <w:r>
              <w:t>2018</w:t>
            </w:r>
          </w:p>
        </w:tc>
      </w:tr>
      <w:tr w:rsidR="000F3080" w:rsidRPr="00EA153A" w14:paraId="65C30331" w14:textId="77777777" w:rsidTr="0026652C">
        <w:tc>
          <w:tcPr>
            <w:tcW w:w="2835" w:type="dxa"/>
          </w:tcPr>
          <w:p w14:paraId="238A739A" w14:textId="50816207" w:rsidR="000F3080" w:rsidRPr="00EA153A" w:rsidRDefault="000F3080" w:rsidP="0026652C">
            <w:pPr>
              <w:pStyle w:val="TableStyle"/>
            </w:pPr>
            <w:r>
              <w:t>AS/NZS 2243.4:2018</w:t>
            </w:r>
          </w:p>
        </w:tc>
        <w:tc>
          <w:tcPr>
            <w:tcW w:w="5670" w:type="dxa"/>
          </w:tcPr>
          <w:p w14:paraId="11819B16" w14:textId="04924AA7" w:rsidR="000F3080" w:rsidRPr="00EA153A" w:rsidRDefault="000F3080" w:rsidP="0026652C">
            <w:pPr>
              <w:pStyle w:val="TableStyle"/>
            </w:pPr>
            <w:r>
              <w:t>Australian Standard - S</w:t>
            </w:r>
            <w:r w:rsidRPr="00BA40F6">
              <w:t xml:space="preserve">afety in </w:t>
            </w:r>
            <w:r>
              <w:t>L</w:t>
            </w:r>
            <w:r w:rsidRPr="00BA40F6">
              <w:t xml:space="preserve">aboratories. Part 4, Ionizing </w:t>
            </w:r>
            <w:r>
              <w:t>R</w:t>
            </w:r>
            <w:r w:rsidRPr="00BA40F6">
              <w:t>adiations</w:t>
            </w:r>
          </w:p>
        </w:tc>
      </w:tr>
      <w:tr w:rsidR="000F3080" w:rsidRPr="00EA153A" w14:paraId="53DD5845" w14:textId="77777777" w:rsidTr="0026652C">
        <w:tc>
          <w:tcPr>
            <w:tcW w:w="2835" w:type="dxa"/>
          </w:tcPr>
          <w:p w14:paraId="0F15363C" w14:textId="77777777" w:rsidR="000F3080" w:rsidRPr="00EA153A" w:rsidRDefault="000F3080" w:rsidP="0026652C">
            <w:pPr>
              <w:pStyle w:val="TableStyle"/>
            </w:pPr>
            <w:r>
              <w:t>NDRP</w:t>
            </w:r>
          </w:p>
        </w:tc>
        <w:tc>
          <w:tcPr>
            <w:tcW w:w="5670" w:type="dxa"/>
          </w:tcPr>
          <w:p w14:paraId="3BCE4A2E" w14:textId="77777777" w:rsidR="000F3080" w:rsidRPr="00EA153A" w:rsidRDefault="000F3080" w:rsidP="0026652C">
            <w:pPr>
              <w:pStyle w:val="TableStyle"/>
            </w:pPr>
            <w:r>
              <w:t>National Directory for Radiation Protection</w:t>
            </w:r>
          </w:p>
        </w:tc>
      </w:tr>
      <w:tr w:rsidR="000F3080" w:rsidRPr="00EA153A" w14:paraId="5BCA30BF" w14:textId="77777777" w:rsidTr="0026652C">
        <w:tc>
          <w:tcPr>
            <w:tcW w:w="2835" w:type="dxa"/>
          </w:tcPr>
          <w:p w14:paraId="4EB1DBA0" w14:textId="3ED3AE9C" w:rsidR="000F3080" w:rsidRPr="00EA153A" w:rsidRDefault="000F3080" w:rsidP="0026652C">
            <w:pPr>
              <w:pStyle w:val="TableStyle"/>
            </w:pPr>
            <w:r>
              <w:t>REG</w:t>
            </w:r>
            <w:r w:rsidRPr="00BA40F6">
              <w:t>-COM-SUP-274A</w:t>
            </w:r>
          </w:p>
        </w:tc>
        <w:tc>
          <w:tcPr>
            <w:tcW w:w="5670" w:type="dxa"/>
          </w:tcPr>
          <w:p w14:paraId="18436511" w14:textId="77777777" w:rsidR="000F3080" w:rsidRDefault="000F3080" w:rsidP="0026652C">
            <w:pPr>
              <w:pStyle w:val="TableStyle"/>
            </w:pPr>
            <w:r w:rsidRPr="002A5908">
              <w:t>REGULATORY GUIDE: Reporting an Accident</w:t>
            </w:r>
          </w:p>
        </w:tc>
      </w:tr>
      <w:tr w:rsidR="000F3080" w:rsidRPr="00EA153A" w14:paraId="69D945E2" w14:textId="77777777" w:rsidTr="0026652C">
        <w:tc>
          <w:tcPr>
            <w:tcW w:w="2835" w:type="dxa"/>
          </w:tcPr>
          <w:p w14:paraId="4823E98D" w14:textId="77777777" w:rsidR="000F3080" w:rsidRPr="00EA153A" w:rsidRDefault="000F3080" w:rsidP="0026652C">
            <w:pPr>
              <w:pStyle w:val="TableStyle"/>
            </w:pPr>
            <w:r w:rsidRPr="00BA40F6">
              <w:t>REG-LA-SUP-280B</w:t>
            </w:r>
          </w:p>
        </w:tc>
        <w:tc>
          <w:tcPr>
            <w:tcW w:w="5670" w:type="dxa"/>
          </w:tcPr>
          <w:p w14:paraId="24C3B2F2" w14:textId="28C2713B" w:rsidR="000F3080" w:rsidRDefault="000F3080" w:rsidP="0026652C">
            <w:pPr>
              <w:pStyle w:val="TableStyle"/>
            </w:pPr>
            <w:r w:rsidRPr="002A5908">
              <w:t xml:space="preserve">REGULATORY GUIDE: Plans and </w:t>
            </w:r>
            <w:r>
              <w:t>a</w:t>
            </w:r>
            <w:r w:rsidRPr="002A5908">
              <w:t xml:space="preserve">rrangements for </w:t>
            </w:r>
            <w:r>
              <w:t>m</w:t>
            </w:r>
            <w:r w:rsidRPr="002A5908">
              <w:t xml:space="preserve">anaging </w:t>
            </w:r>
            <w:r>
              <w:t>s</w:t>
            </w:r>
            <w:r w:rsidRPr="002A5908">
              <w:t>afety</w:t>
            </w:r>
          </w:p>
        </w:tc>
      </w:tr>
      <w:tr w:rsidR="000F3080" w:rsidRPr="00EA153A" w14:paraId="2C53A597" w14:textId="77777777" w:rsidTr="0026652C">
        <w:tc>
          <w:tcPr>
            <w:tcW w:w="2835" w:type="dxa"/>
          </w:tcPr>
          <w:p w14:paraId="69C483BF" w14:textId="77777777" w:rsidR="000F3080" w:rsidRPr="00EA153A" w:rsidRDefault="000F3080" w:rsidP="0026652C">
            <w:pPr>
              <w:pStyle w:val="TableStyle"/>
            </w:pPr>
            <w:r w:rsidRPr="005A245C">
              <w:t>ARPANSA-POL-002</w:t>
            </w:r>
          </w:p>
        </w:tc>
        <w:tc>
          <w:tcPr>
            <w:tcW w:w="5670" w:type="dxa"/>
          </w:tcPr>
          <w:p w14:paraId="32FF388A" w14:textId="77777777" w:rsidR="000F3080" w:rsidRDefault="000F3080" w:rsidP="0026652C">
            <w:pPr>
              <w:pStyle w:val="TableStyle"/>
            </w:pPr>
            <w:r w:rsidRPr="005A245C">
              <w:t>Policy for ARPANSA’s Regulatory Activities</w:t>
            </w:r>
          </w:p>
        </w:tc>
      </w:tr>
      <w:tr w:rsidR="000F3080" w:rsidRPr="00EA153A" w14:paraId="77E7A2B4" w14:textId="77777777" w:rsidTr="0026652C">
        <w:tc>
          <w:tcPr>
            <w:tcW w:w="2835" w:type="dxa"/>
          </w:tcPr>
          <w:p w14:paraId="2A3568C5" w14:textId="77777777" w:rsidR="000F3080" w:rsidRDefault="000F3080" w:rsidP="0026652C">
            <w:pPr>
              <w:pStyle w:val="TableStyle"/>
            </w:pPr>
            <w:r w:rsidRPr="00D124DA">
              <w:t>AIMS-AAI-COI-1</w:t>
            </w:r>
          </w:p>
        </w:tc>
        <w:tc>
          <w:tcPr>
            <w:tcW w:w="5670" w:type="dxa"/>
          </w:tcPr>
          <w:p w14:paraId="5E010DEE" w14:textId="77777777" w:rsidR="000F3080" w:rsidRPr="00E817DE" w:rsidRDefault="000F3080" w:rsidP="0026652C">
            <w:pPr>
              <w:pStyle w:val="TableStyle"/>
            </w:pPr>
            <w:r>
              <w:t xml:space="preserve">ARPANSA </w:t>
            </w:r>
            <w:r w:rsidRPr="00850BAE">
              <w:t>Accountable Authority Instruction</w:t>
            </w:r>
          </w:p>
        </w:tc>
      </w:tr>
      <w:tr w:rsidR="000F3080" w:rsidRPr="00EA153A" w14:paraId="165FD716" w14:textId="77777777" w:rsidTr="0026652C">
        <w:tc>
          <w:tcPr>
            <w:tcW w:w="2835" w:type="dxa"/>
          </w:tcPr>
          <w:p w14:paraId="69824925" w14:textId="77777777" w:rsidR="000F3080" w:rsidRPr="00D124DA" w:rsidRDefault="000F3080" w:rsidP="0026652C">
            <w:pPr>
              <w:pStyle w:val="TableStyle"/>
            </w:pPr>
            <w:r w:rsidRPr="00E817DE">
              <w:t>PO&amp;C</w:t>
            </w:r>
          </w:p>
        </w:tc>
        <w:tc>
          <w:tcPr>
            <w:tcW w:w="5670" w:type="dxa"/>
          </w:tcPr>
          <w:p w14:paraId="463CF419" w14:textId="77777777" w:rsidR="000F3080" w:rsidRPr="00E817DE" w:rsidRDefault="000F3080" w:rsidP="0026652C">
            <w:pPr>
              <w:pStyle w:val="TableStyle"/>
            </w:pPr>
            <w:r w:rsidRPr="00E817DE">
              <w:t xml:space="preserve">Performance Objectives and Criteria </w:t>
            </w:r>
          </w:p>
        </w:tc>
      </w:tr>
      <w:tr w:rsidR="000F3080" w:rsidRPr="00EA153A" w14:paraId="5ACDEE05" w14:textId="77777777" w:rsidTr="0026652C">
        <w:tc>
          <w:tcPr>
            <w:tcW w:w="2835" w:type="dxa"/>
          </w:tcPr>
          <w:p w14:paraId="0BA0C0D2" w14:textId="77777777" w:rsidR="000F3080" w:rsidRPr="00D124DA" w:rsidRDefault="000F3080" w:rsidP="0026652C">
            <w:pPr>
              <w:pStyle w:val="TableStyle"/>
            </w:pPr>
            <w:r>
              <w:t>REG-LA-FORM-242B</w:t>
            </w:r>
          </w:p>
        </w:tc>
        <w:tc>
          <w:tcPr>
            <w:tcW w:w="5670" w:type="dxa"/>
          </w:tcPr>
          <w:p w14:paraId="3111F68E" w14:textId="60887BEC" w:rsidR="000F3080" w:rsidRPr="00E817DE" w:rsidRDefault="00F233E8" w:rsidP="0026652C">
            <w:pPr>
              <w:pStyle w:val="TableStyle"/>
            </w:pPr>
            <w:hyperlink r:id="rId18" w:history="1">
              <w:r w:rsidR="000F3080" w:rsidRPr="00E817DE">
                <w:t>Site Visit Report</w:t>
              </w:r>
            </w:hyperlink>
            <w:r w:rsidR="000F3080">
              <w:t xml:space="preserve"> template</w:t>
            </w:r>
          </w:p>
        </w:tc>
      </w:tr>
      <w:tr w:rsidR="000F3080" w:rsidRPr="00EA153A" w14:paraId="62AE9B7B" w14:textId="77777777" w:rsidTr="0026652C">
        <w:tc>
          <w:tcPr>
            <w:tcW w:w="2835" w:type="dxa"/>
          </w:tcPr>
          <w:p w14:paraId="7E53DDC3" w14:textId="77777777" w:rsidR="000F3080" w:rsidRPr="00BA40F6" w:rsidRDefault="000F3080" w:rsidP="0026652C">
            <w:pPr>
              <w:pStyle w:val="TableStyle"/>
            </w:pPr>
            <w:r w:rsidRPr="00BA40F6">
              <w:t>ARPANSA-REG-COM-MAN-270</w:t>
            </w:r>
          </w:p>
        </w:tc>
        <w:tc>
          <w:tcPr>
            <w:tcW w:w="5670" w:type="dxa"/>
          </w:tcPr>
          <w:p w14:paraId="726F9080" w14:textId="77777777" w:rsidR="000F3080" w:rsidRPr="00E817DE" w:rsidRDefault="00F233E8" w:rsidP="0026652C">
            <w:pPr>
              <w:pStyle w:val="TableStyle"/>
            </w:pPr>
            <w:hyperlink r:id="rId19" w:history="1">
              <w:r w:rsidR="000F3080" w:rsidRPr="00E817DE">
                <w:t>Compliance &amp; Enforcement Manual</w:t>
              </w:r>
            </w:hyperlink>
          </w:p>
        </w:tc>
      </w:tr>
      <w:tr w:rsidR="000F3080" w:rsidRPr="00EA153A" w14:paraId="239071E6" w14:textId="77777777" w:rsidTr="0026652C">
        <w:tc>
          <w:tcPr>
            <w:tcW w:w="2835" w:type="dxa"/>
          </w:tcPr>
          <w:p w14:paraId="178B9A9E" w14:textId="77777777" w:rsidR="000F3080" w:rsidRPr="00BA40F6" w:rsidRDefault="000F3080" w:rsidP="0026652C">
            <w:pPr>
              <w:pStyle w:val="TableStyle"/>
            </w:pPr>
          </w:p>
        </w:tc>
        <w:tc>
          <w:tcPr>
            <w:tcW w:w="5670" w:type="dxa"/>
          </w:tcPr>
          <w:p w14:paraId="61B76288" w14:textId="77777777" w:rsidR="000F3080" w:rsidRPr="00E817DE" w:rsidRDefault="00F233E8" w:rsidP="0026652C">
            <w:pPr>
              <w:pStyle w:val="TableStyle"/>
            </w:pPr>
            <w:hyperlink r:id="rId20" w:history="1">
              <w:proofErr w:type="spellStart"/>
              <w:r w:rsidR="000F3080" w:rsidRPr="00E817DE">
                <w:t>Comcare</w:t>
              </w:r>
              <w:proofErr w:type="spellEnd"/>
              <w:r w:rsidR="000F3080" w:rsidRPr="00E817DE">
                <w:t xml:space="preserve"> guidance on working in remote and isolated locations</w:t>
              </w:r>
            </w:hyperlink>
          </w:p>
        </w:tc>
      </w:tr>
      <w:tr w:rsidR="000F3080" w:rsidRPr="00EA153A" w14:paraId="085946B7" w14:textId="77777777" w:rsidTr="0026652C">
        <w:tc>
          <w:tcPr>
            <w:tcW w:w="2835" w:type="dxa"/>
          </w:tcPr>
          <w:p w14:paraId="5EA6EBB1" w14:textId="77777777" w:rsidR="000F3080" w:rsidRPr="00BA40F6" w:rsidRDefault="000F3080" w:rsidP="0026652C">
            <w:pPr>
              <w:pStyle w:val="TableStyle"/>
            </w:pPr>
          </w:p>
        </w:tc>
        <w:tc>
          <w:tcPr>
            <w:tcW w:w="5670" w:type="dxa"/>
          </w:tcPr>
          <w:p w14:paraId="44ACCDD3" w14:textId="77777777" w:rsidR="000F3080" w:rsidRPr="00E817DE" w:rsidRDefault="00F233E8" w:rsidP="0026652C">
            <w:pPr>
              <w:pStyle w:val="TableStyle"/>
            </w:pPr>
            <w:hyperlink r:id="rId21" w:history="1">
              <w:proofErr w:type="spellStart"/>
              <w:r w:rsidR="000F3080" w:rsidRPr="00E817DE">
                <w:t>Safework</w:t>
              </w:r>
              <w:proofErr w:type="spellEnd"/>
              <w:r w:rsidR="000F3080" w:rsidRPr="00E817DE">
                <w:t xml:space="preserve"> Australia remote or isolated work</w:t>
              </w:r>
            </w:hyperlink>
          </w:p>
        </w:tc>
      </w:tr>
    </w:tbl>
    <w:p w14:paraId="63FA7F0B" w14:textId="77777777" w:rsidR="00B564AA" w:rsidRDefault="00B564AA" w:rsidP="0026652C"/>
    <w:p w14:paraId="1565770B" w14:textId="08B1C696" w:rsidR="00994721" w:rsidRPr="003962B5" w:rsidRDefault="00994721" w:rsidP="0026652C">
      <w:r w:rsidRPr="003962B5">
        <w:br w:type="page"/>
      </w:r>
    </w:p>
    <w:p w14:paraId="6375CD4D" w14:textId="500B8A79" w:rsidR="00515A38" w:rsidRDefault="00515A38" w:rsidP="0026652C">
      <w:pPr>
        <w:pStyle w:val="Heading1"/>
      </w:pPr>
      <w:bookmarkStart w:id="142" w:name="_Appendix_1:_Report"/>
      <w:bookmarkStart w:id="143" w:name="_Appendix_1:_Inspection"/>
      <w:bookmarkStart w:id="144" w:name="_Appendix_2:_Report"/>
      <w:bookmarkStart w:id="145" w:name="_Appendix_1:_Review"/>
      <w:bookmarkStart w:id="146" w:name="_Toc492399399"/>
      <w:bookmarkEnd w:id="142"/>
      <w:bookmarkEnd w:id="143"/>
      <w:bookmarkEnd w:id="144"/>
      <w:bookmarkEnd w:id="145"/>
      <w:r w:rsidRPr="00BE6D87">
        <w:lastRenderedPageBreak/>
        <w:t>Appendix</w:t>
      </w:r>
      <w:r>
        <w:t xml:space="preserve"> </w:t>
      </w:r>
      <w:r w:rsidR="009F2A89">
        <w:t>A</w:t>
      </w:r>
      <w:r>
        <w:t xml:space="preserve">: Review of regulatory priority </w:t>
      </w:r>
    </w:p>
    <w:p w14:paraId="781F36A6" w14:textId="519B8607" w:rsidR="00515A38" w:rsidRPr="00515A38" w:rsidRDefault="00B564AA" w:rsidP="0026652C">
      <w:r w:rsidRPr="00087BA5">
        <w:rPr>
          <w:noProof/>
          <w:lang w:eastAsia="en-AU"/>
        </w:rPr>
        <w:drawing>
          <wp:inline distT="0" distB="0" distL="0" distR="0" wp14:anchorId="56719907" wp14:editId="5F087D41">
            <wp:extent cx="4389120" cy="6647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9120" cy="6647180"/>
                    </a:xfrm>
                    <a:prstGeom prst="rect">
                      <a:avLst/>
                    </a:prstGeom>
                    <a:noFill/>
                    <a:ln>
                      <a:noFill/>
                    </a:ln>
                  </pic:spPr>
                </pic:pic>
              </a:graphicData>
            </a:graphic>
          </wp:inline>
        </w:drawing>
      </w:r>
    </w:p>
    <w:p w14:paraId="608080D4" w14:textId="786F91DC" w:rsidR="00515A38" w:rsidRPr="00515A38" w:rsidRDefault="00515A38" w:rsidP="0026652C"/>
    <w:p w14:paraId="4491A9E0" w14:textId="77777777" w:rsidR="00515A38" w:rsidRDefault="00515A38" w:rsidP="0026652C">
      <w:pPr>
        <w:sectPr w:rsidR="00515A38" w:rsidSect="000F39BA">
          <w:footerReference w:type="even" r:id="rId23"/>
          <w:footerReference w:type="default" r:id="rId24"/>
          <w:footerReference w:type="first" r:id="rId25"/>
          <w:pgSz w:w="11906" w:h="16838"/>
          <w:pgMar w:top="964" w:right="1134" w:bottom="964" w:left="1418" w:header="567" w:footer="454" w:gutter="0"/>
          <w:cols w:space="708"/>
          <w:titlePg/>
          <w:docGrid w:linePitch="360"/>
        </w:sectPr>
      </w:pPr>
    </w:p>
    <w:p w14:paraId="47FFB944" w14:textId="16418DDE" w:rsidR="00515A38" w:rsidRPr="008F3505" w:rsidRDefault="00515A38" w:rsidP="0026652C">
      <w:pPr>
        <w:pStyle w:val="Heading1"/>
      </w:pPr>
      <w:bookmarkStart w:id="148" w:name="_Appendix_2:_Levels"/>
      <w:bookmarkStart w:id="149" w:name="_Toc423329034"/>
      <w:bookmarkEnd w:id="148"/>
      <w:r w:rsidRPr="008F3505">
        <w:lastRenderedPageBreak/>
        <w:t xml:space="preserve">Appendix </w:t>
      </w:r>
      <w:r w:rsidR="009F2A89" w:rsidRPr="008F3505">
        <w:t>B</w:t>
      </w:r>
      <w:r w:rsidRPr="008F3505">
        <w:t>: Levels of control for facilities</w:t>
      </w:r>
    </w:p>
    <w:tbl>
      <w:tblPr>
        <w:tblStyle w:val="ARPANSA"/>
        <w:tblW w:w="15594" w:type="dxa"/>
        <w:tblLayout w:type="fixed"/>
        <w:tblLook w:val="04A0" w:firstRow="1" w:lastRow="0" w:firstColumn="1" w:lastColumn="0" w:noHBand="0" w:noVBand="1"/>
      </w:tblPr>
      <w:tblGrid>
        <w:gridCol w:w="1055"/>
        <w:gridCol w:w="1634"/>
        <w:gridCol w:w="1275"/>
        <w:gridCol w:w="1560"/>
        <w:gridCol w:w="1559"/>
        <w:gridCol w:w="1134"/>
        <w:gridCol w:w="2699"/>
        <w:gridCol w:w="1701"/>
        <w:gridCol w:w="1559"/>
        <w:gridCol w:w="1418"/>
      </w:tblGrid>
      <w:tr w:rsidR="003D3436" w:rsidRPr="00B564AA" w14:paraId="49AF4F6C" w14:textId="77777777" w:rsidTr="003D3436">
        <w:trPr>
          <w:cnfStyle w:val="100000000000" w:firstRow="1" w:lastRow="0" w:firstColumn="0" w:lastColumn="0" w:oddVBand="0" w:evenVBand="0" w:oddHBand="0" w:evenHBand="0" w:firstRowFirstColumn="0" w:firstRowLastColumn="0" w:lastRowFirstColumn="0" w:lastRowLastColumn="0"/>
          <w:trHeight w:val="1134"/>
          <w:tblHeader/>
        </w:trPr>
        <w:tc>
          <w:tcPr>
            <w:tcW w:w="1055" w:type="dxa"/>
          </w:tcPr>
          <w:p w14:paraId="387348C2" w14:textId="77777777" w:rsidR="00515A38" w:rsidRPr="00B564AA" w:rsidRDefault="00515A38" w:rsidP="0026652C">
            <w:pPr>
              <w:pStyle w:val="TableStyle"/>
            </w:pPr>
            <w:r w:rsidRPr="00B564AA">
              <w:t>Control</w:t>
            </w:r>
          </w:p>
        </w:tc>
        <w:tc>
          <w:tcPr>
            <w:tcW w:w="1634" w:type="dxa"/>
          </w:tcPr>
          <w:p w14:paraId="39BB1943" w14:textId="77777777" w:rsidR="00515A38" w:rsidRPr="00B564AA" w:rsidRDefault="00515A38" w:rsidP="0026652C">
            <w:pPr>
              <w:pStyle w:val="TableStyle"/>
            </w:pPr>
          </w:p>
          <w:p w14:paraId="59C4F090" w14:textId="77777777" w:rsidR="00515A38" w:rsidRPr="00B564AA" w:rsidRDefault="00515A38" w:rsidP="0026652C">
            <w:pPr>
              <w:pStyle w:val="TableStyle"/>
            </w:pPr>
            <w:r w:rsidRPr="00B564AA">
              <w:t>Areas for improvement (AFI)</w:t>
            </w:r>
          </w:p>
        </w:tc>
        <w:tc>
          <w:tcPr>
            <w:tcW w:w="1275" w:type="dxa"/>
          </w:tcPr>
          <w:p w14:paraId="734D9A41" w14:textId="77777777" w:rsidR="00515A38" w:rsidRPr="00B564AA" w:rsidRDefault="00515A38" w:rsidP="0026652C">
            <w:pPr>
              <w:pStyle w:val="TableStyle"/>
            </w:pPr>
            <w:r w:rsidRPr="00B564AA">
              <w:t>Site visits</w:t>
            </w:r>
          </w:p>
        </w:tc>
        <w:tc>
          <w:tcPr>
            <w:tcW w:w="1560" w:type="dxa"/>
          </w:tcPr>
          <w:p w14:paraId="03239692" w14:textId="77777777" w:rsidR="00515A38" w:rsidRPr="00B564AA" w:rsidRDefault="00515A38" w:rsidP="0026652C">
            <w:pPr>
              <w:pStyle w:val="TableStyle"/>
            </w:pPr>
            <w:r w:rsidRPr="00B564AA">
              <w:t>Compliance with licence conditions having significant implications for safety</w:t>
            </w:r>
          </w:p>
        </w:tc>
        <w:tc>
          <w:tcPr>
            <w:tcW w:w="1559" w:type="dxa"/>
          </w:tcPr>
          <w:p w14:paraId="07540256" w14:textId="77777777" w:rsidR="00515A38" w:rsidRPr="00B564AA" w:rsidRDefault="00515A38" w:rsidP="0026652C">
            <w:pPr>
              <w:pStyle w:val="TableStyle"/>
            </w:pPr>
            <w:r w:rsidRPr="00B564AA">
              <w:t>Compliance with licence conditions having no or minor implications for safety</w:t>
            </w:r>
          </w:p>
        </w:tc>
        <w:tc>
          <w:tcPr>
            <w:tcW w:w="1134" w:type="dxa"/>
          </w:tcPr>
          <w:p w14:paraId="3CEA3F90" w14:textId="77777777" w:rsidR="00515A38" w:rsidRPr="00B564AA" w:rsidRDefault="00515A38" w:rsidP="0026652C">
            <w:pPr>
              <w:pStyle w:val="TableStyle"/>
            </w:pPr>
            <w:r w:rsidRPr="00B564AA">
              <w:t>Incidents/</w:t>
            </w:r>
            <w:r w:rsidRPr="00B564AA">
              <w:br/>
              <w:t>Accidents</w:t>
            </w:r>
            <w:r w:rsidRPr="00B564AA">
              <w:rPr>
                <w:vertAlign w:val="superscript"/>
              </w:rPr>
              <w:t>1</w:t>
            </w:r>
          </w:p>
        </w:tc>
        <w:tc>
          <w:tcPr>
            <w:tcW w:w="2699" w:type="dxa"/>
          </w:tcPr>
          <w:p w14:paraId="01954921" w14:textId="77777777" w:rsidR="00515A38" w:rsidRPr="00B564AA" w:rsidRDefault="00515A38" w:rsidP="0026652C">
            <w:pPr>
              <w:pStyle w:val="TableStyle"/>
            </w:pPr>
            <w:r w:rsidRPr="00B564AA">
              <w:t>Defence in Depth (</w:t>
            </w:r>
            <w:proofErr w:type="spellStart"/>
            <w:r w:rsidRPr="00B564AA">
              <w:t>DiD</w:t>
            </w:r>
            <w:proofErr w:type="spellEnd"/>
            <w:r w:rsidRPr="00B564AA">
              <w:t>)</w:t>
            </w:r>
            <w:r w:rsidRPr="00B564AA">
              <w:br/>
              <w:t>(if relevant)</w:t>
            </w:r>
          </w:p>
        </w:tc>
        <w:tc>
          <w:tcPr>
            <w:tcW w:w="1701" w:type="dxa"/>
          </w:tcPr>
          <w:p w14:paraId="572328AA" w14:textId="74391208" w:rsidR="00515A38" w:rsidRPr="00B564AA" w:rsidRDefault="00515A38" w:rsidP="0026652C">
            <w:pPr>
              <w:pStyle w:val="TableStyle"/>
            </w:pPr>
            <w:r w:rsidRPr="00B564AA">
              <w:t>Plans and Arrangements</w:t>
            </w:r>
            <w:r w:rsidRPr="00B564AA">
              <w:rPr>
                <w:vertAlign w:val="superscript"/>
              </w:rPr>
              <w:t>3</w:t>
            </w:r>
          </w:p>
        </w:tc>
        <w:tc>
          <w:tcPr>
            <w:tcW w:w="1559" w:type="dxa"/>
          </w:tcPr>
          <w:p w14:paraId="7ADBEC01" w14:textId="77777777" w:rsidR="00515A38" w:rsidRPr="00B564AA" w:rsidRDefault="00515A38" w:rsidP="0026652C">
            <w:pPr>
              <w:pStyle w:val="TableStyle"/>
            </w:pPr>
            <w:r w:rsidRPr="00B564AA">
              <w:t>Safety performance and change control monitoring</w:t>
            </w:r>
          </w:p>
        </w:tc>
        <w:tc>
          <w:tcPr>
            <w:tcW w:w="1418" w:type="dxa"/>
          </w:tcPr>
          <w:p w14:paraId="61F9DD65" w14:textId="77777777" w:rsidR="00515A38" w:rsidRPr="00B564AA" w:rsidRDefault="00515A38" w:rsidP="0026652C">
            <w:pPr>
              <w:pStyle w:val="TableStyle"/>
            </w:pPr>
            <w:r w:rsidRPr="00B564AA">
              <w:t>Other holistic safety</w:t>
            </w:r>
            <w:r w:rsidRPr="00B564AA">
              <w:rPr>
                <w:vertAlign w:val="superscript"/>
              </w:rPr>
              <w:t>2</w:t>
            </w:r>
            <w:r w:rsidRPr="00B564AA">
              <w:t xml:space="preserve"> aspects</w:t>
            </w:r>
          </w:p>
        </w:tc>
      </w:tr>
      <w:tr w:rsidR="00515A38" w:rsidRPr="003D3436" w14:paraId="317915EA" w14:textId="77777777" w:rsidTr="003D3436">
        <w:tc>
          <w:tcPr>
            <w:tcW w:w="1055" w:type="dxa"/>
          </w:tcPr>
          <w:p w14:paraId="6586B301" w14:textId="77777777" w:rsidR="00515A38" w:rsidRPr="003D3436" w:rsidRDefault="00515A38" w:rsidP="0026652C">
            <w:pPr>
              <w:pStyle w:val="TableStyle"/>
            </w:pPr>
          </w:p>
          <w:p w14:paraId="7B8E2638" w14:textId="77777777" w:rsidR="00515A38" w:rsidRPr="003D3436" w:rsidRDefault="00515A38" w:rsidP="0026652C">
            <w:pPr>
              <w:pStyle w:val="TableStyle"/>
            </w:pPr>
            <w:r w:rsidRPr="003D3436">
              <w:t>1</w:t>
            </w:r>
          </w:p>
          <w:p w14:paraId="175D3206" w14:textId="77777777" w:rsidR="00515A38" w:rsidRPr="003D3436" w:rsidRDefault="00515A38" w:rsidP="0026652C">
            <w:pPr>
              <w:pStyle w:val="TableStyle"/>
            </w:pPr>
            <w:r w:rsidRPr="003D3436">
              <w:t>Very high</w:t>
            </w:r>
          </w:p>
        </w:tc>
        <w:tc>
          <w:tcPr>
            <w:tcW w:w="1634" w:type="dxa"/>
          </w:tcPr>
          <w:p w14:paraId="6D54D76F" w14:textId="77777777" w:rsidR="00515A38" w:rsidRPr="003D3436" w:rsidRDefault="00515A38" w:rsidP="0026652C">
            <w:pPr>
              <w:pStyle w:val="TableStyle"/>
            </w:pPr>
            <w:r w:rsidRPr="003D3436">
              <w:t>No AFI within last 12 months or scheduled inspection cycle, whichever period is greater</w:t>
            </w:r>
          </w:p>
        </w:tc>
        <w:tc>
          <w:tcPr>
            <w:tcW w:w="1275" w:type="dxa"/>
          </w:tcPr>
          <w:p w14:paraId="6AD9B38F" w14:textId="77777777" w:rsidR="00515A38" w:rsidRPr="003D3436" w:rsidRDefault="00515A38" w:rsidP="0026652C">
            <w:pPr>
              <w:pStyle w:val="TableStyle"/>
            </w:pPr>
            <w:r w:rsidRPr="003D3436">
              <w:t xml:space="preserve">Site visit has been conducted within last year </w:t>
            </w:r>
          </w:p>
          <w:p w14:paraId="3CCA6711" w14:textId="77777777" w:rsidR="00515A38" w:rsidRPr="003D3436" w:rsidRDefault="00515A38" w:rsidP="0026652C">
            <w:pPr>
              <w:pStyle w:val="TableStyle"/>
            </w:pPr>
          </w:p>
        </w:tc>
        <w:tc>
          <w:tcPr>
            <w:tcW w:w="1560" w:type="dxa"/>
          </w:tcPr>
          <w:p w14:paraId="3BE0C33B" w14:textId="77777777" w:rsidR="00515A38" w:rsidRPr="003D3436" w:rsidRDefault="00515A38" w:rsidP="0026652C">
            <w:pPr>
              <w:pStyle w:val="TableStyle"/>
            </w:pPr>
            <w:r w:rsidRPr="003D3436">
              <w:t>No non-compliances within last year</w:t>
            </w:r>
          </w:p>
        </w:tc>
        <w:tc>
          <w:tcPr>
            <w:tcW w:w="1559" w:type="dxa"/>
          </w:tcPr>
          <w:p w14:paraId="38AE6FEC" w14:textId="77777777" w:rsidR="00515A38" w:rsidRPr="003D3436" w:rsidRDefault="00515A38" w:rsidP="0026652C">
            <w:pPr>
              <w:pStyle w:val="TableStyle"/>
            </w:pPr>
            <w:r w:rsidRPr="003D3436">
              <w:t>No non-compliances within last year</w:t>
            </w:r>
          </w:p>
        </w:tc>
        <w:tc>
          <w:tcPr>
            <w:tcW w:w="1134" w:type="dxa"/>
          </w:tcPr>
          <w:p w14:paraId="17088123" w14:textId="77777777" w:rsidR="00515A38" w:rsidRPr="003D3436" w:rsidRDefault="00515A38" w:rsidP="0026652C">
            <w:pPr>
              <w:pStyle w:val="TableStyle"/>
            </w:pPr>
            <w:r w:rsidRPr="003D3436">
              <w:t>No incidents or accidents within last year</w:t>
            </w:r>
          </w:p>
        </w:tc>
        <w:tc>
          <w:tcPr>
            <w:tcW w:w="2699" w:type="dxa"/>
          </w:tcPr>
          <w:p w14:paraId="3C4ECB5F" w14:textId="77777777" w:rsidR="00515A38" w:rsidRPr="003D3436" w:rsidRDefault="00515A38" w:rsidP="0026652C">
            <w:pPr>
              <w:pStyle w:val="TableStyle"/>
            </w:pPr>
            <w:proofErr w:type="spellStart"/>
            <w:r w:rsidRPr="003D3436">
              <w:t>DiD</w:t>
            </w:r>
            <w:proofErr w:type="spellEnd"/>
            <w:r w:rsidRPr="003D3436">
              <w:t xml:space="preserve"> well designed and well implemented, maintenance of all SSC of all levels is effective. </w:t>
            </w:r>
          </w:p>
          <w:p w14:paraId="35DCC312" w14:textId="77777777" w:rsidR="00515A38" w:rsidRPr="003D3436" w:rsidRDefault="00515A38" w:rsidP="0026652C">
            <w:pPr>
              <w:pStyle w:val="TableStyle"/>
            </w:pPr>
          </w:p>
        </w:tc>
        <w:tc>
          <w:tcPr>
            <w:tcW w:w="1701" w:type="dxa"/>
          </w:tcPr>
          <w:p w14:paraId="71344EEC" w14:textId="0EB60362" w:rsidR="00515A38" w:rsidRPr="003D3436" w:rsidRDefault="00515A38" w:rsidP="0026652C">
            <w:pPr>
              <w:pStyle w:val="TableStyle"/>
            </w:pPr>
            <w:r w:rsidRPr="003D3436">
              <w:t>Detailed knowledge of plans and arrangements exists. P&amp;As are well developed and reviewed annually</w:t>
            </w:r>
            <w:r w:rsidR="002943E1" w:rsidRPr="003D3436">
              <w:t xml:space="preserve"> </w:t>
            </w:r>
            <w:r w:rsidRPr="003D3436">
              <w:t xml:space="preserve"> </w:t>
            </w:r>
          </w:p>
        </w:tc>
        <w:tc>
          <w:tcPr>
            <w:tcW w:w="1559" w:type="dxa"/>
          </w:tcPr>
          <w:p w14:paraId="7EC49536" w14:textId="77777777" w:rsidR="00515A38" w:rsidRPr="003D3436" w:rsidRDefault="00515A38" w:rsidP="0026652C">
            <w:pPr>
              <w:pStyle w:val="TableStyle"/>
            </w:pPr>
            <w:r w:rsidRPr="003D3436">
              <w:t xml:space="preserve">Safety performance is systematically monitored </w:t>
            </w:r>
          </w:p>
          <w:p w14:paraId="569D44F5" w14:textId="77777777" w:rsidR="00515A38" w:rsidRPr="003D3436" w:rsidRDefault="00515A38" w:rsidP="0026652C">
            <w:pPr>
              <w:pStyle w:val="TableStyle"/>
            </w:pPr>
            <w:r w:rsidRPr="003D3436">
              <w:t>Change is systematically monitored for effectiveness</w:t>
            </w:r>
          </w:p>
        </w:tc>
        <w:tc>
          <w:tcPr>
            <w:tcW w:w="1418" w:type="dxa"/>
          </w:tcPr>
          <w:p w14:paraId="6A6B4D15" w14:textId="77777777" w:rsidR="00515A38" w:rsidRPr="003D3436" w:rsidRDefault="00515A38" w:rsidP="0026652C">
            <w:pPr>
              <w:pStyle w:val="TableStyle"/>
            </w:pPr>
            <w:r w:rsidRPr="003D3436">
              <w:t>Detailed knowledge of holistic safety exists &amp; assessed as good</w:t>
            </w:r>
          </w:p>
        </w:tc>
      </w:tr>
      <w:tr w:rsidR="00515A38" w:rsidRPr="003D3436" w14:paraId="67DF0F26" w14:textId="77777777" w:rsidTr="003D3436">
        <w:tc>
          <w:tcPr>
            <w:tcW w:w="1055" w:type="dxa"/>
          </w:tcPr>
          <w:p w14:paraId="0D4A9272" w14:textId="77777777" w:rsidR="00515A38" w:rsidRPr="003D3436" w:rsidRDefault="00515A38" w:rsidP="0026652C">
            <w:pPr>
              <w:pStyle w:val="TableStyle"/>
            </w:pPr>
          </w:p>
          <w:p w14:paraId="00E0CA21" w14:textId="77777777" w:rsidR="00515A38" w:rsidRPr="003D3436" w:rsidRDefault="00515A38" w:rsidP="0026652C">
            <w:pPr>
              <w:pStyle w:val="TableStyle"/>
            </w:pPr>
            <w:r w:rsidRPr="003D3436">
              <w:t>2</w:t>
            </w:r>
          </w:p>
          <w:p w14:paraId="4AB6F5A1" w14:textId="77777777" w:rsidR="00515A38" w:rsidRPr="003D3436" w:rsidRDefault="00515A38" w:rsidP="0026652C">
            <w:pPr>
              <w:pStyle w:val="TableStyle"/>
            </w:pPr>
            <w:r w:rsidRPr="003D3436">
              <w:t>High</w:t>
            </w:r>
          </w:p>
        </w:tc>
        <w:tc>
          <w:tcPr>
            <w:tcW w:w="1634" w:type="dxa"/>
          </w:tcPr>
          <w:p w14:paraId="67FA10AE" w14:textId="77777777" w:rsidR="00515A38" w:rsidRPr="003D3436" w:rsidRDefault="00515A38" w:rsidP="0026652C">
            <w:pPr>
              <w:pStyle w:val="TableStyle"/>
            </w:pPr>
            <w:r w:rsidRPr="003D3436">
              <w:t>One or more AFI within last 12 months or scheduled inspection cycle, whichever period is greater</w:t>
            </w:r>
          </w:p>
        </w:tc>
        <w:tc>
          <w:tcPr>
            <w:tcW w:w="1275" w:type="dxa"/>
          </w:tcPr>
          <w:p w14:paraId="7F5EDDCA" w14:textId="77777777" w:rsidR="00515A38" w:rsidRPr="003D3436" w:rsidRDefault="00515A38" w:rsidP="0026652C">
            <w:pPr>
              <w:pStyle w:val="TableStyle"/>
            </w:pPr>
            <w:r w:rsidRPr="003D3436">
              <w:t xml:space="preserve">Site visit has been conducted within last 2 years </w:t>
            </w:r>
          </w:p>
          <w:p w14:paraId="756F94E0" w14:textId="77777777" w:rsidR="00515A38" w:rsidRPr="003D3436" w:rsidRDefault="00515A38" w:rsidP="0026652C">
            <w:pPr>
              <w:pStyle w:val="TableStyle"/>
            </w:pPr>
          </w:p>
        </w:tc>
        <w:tc>
          <w:tcPr>
            <w:tcW w:w="1560" w:type="dxa"/>
          </w:tcPr>
          <w:p w14:paraId="54AF5760" w14:textId="77777777" w:rsidR="00515A38" w:rsidRPr="003D3436" w:rsidRDefault="00515A38" w:rsidP="0026652C">
            <w:pPr>
              <w:pStyle w:val="TableStyle"/>
            </w:pPr>
          </w:p>
        </w:tc>
        <w:tc>
          <w:tcPr>
            <w:tcW w:w="1559" w:type="dxa"/>
          </w:tcPr>
          <w:p w14:paraId="65B7DD68" w14:textId="77777777" w:rsidR="00515A38" w:rsidRPr="003D3436" w:rsidRDefault="00515A38" w:rsidP="0026652C">
            <w:pPr>
              <w:pStyle w:val="TableStyle"/>
            </w:pPr>
          </w:p>
        </w:tc>
        <w:tc>
          <w:tcPr>
            <w:tcW w:w="1134" w:type="dxa"/>
          </w:tcPr>
          <w:p w14:paraId="59B5CF53" w14:textId="77777777" w:rsidR="00515A38" w:rsidRPr="003D3436" w:rsidRDefault="00515A38" w:rsidP="0026652C">
            <w:pPr>
              <w:pStyle w:val="TableStyle"/>
            </w:pPr>
          </w:p>
        </w:tc>
        <w:tc>
          <w:tcPr>
            <w:tcW w:w="2699" w:type="dxa"/>
          </w:tcPr>
          <w:p w14:paraId="2EDF7640" w14:textId="77777777" w:rsidR="00515A38" w:rsidRPr="003D3436" w:rsidRDefault="00515A38" w:rsidP="0026652C">
            <w:pPr>
              <w:pStyle w:val="TableStyle"/>
            </w:pPr>
            <w:proofErr w:type="spellStart"/>
            <w:r w:rsidRPr="003D3436">
              <w:t>DiD</w:t>
            </w:r>
            <w:proofErr w:type="spellEnd"/>
            <w:r w:rsidRPr="003D3436">
              <w:t xml:space="preserve"> well designed and well implemented, maintenance of some systems of some levels of </w:t>
            </w:r>
            <w:proofErr w:type="spellStart"/>
            <w:r w:rsidRPr="003D3436">
              <w:t>DiD</w:t>
            </w:r>
            <w:proofErr w:type="spellEnd"/>
            <w:r w:rsidRPr="003D3436">
              <w:t xml:space="preserve"> has shortfalls with no consequences on prevention, control and mitigation of potential accidents</w:t>
            </w:r>
          </w:p>
          <w:p w14:paraId="4DC83996" w14:textId="77777777" w:rsidR="00515A38" w:rsidRPr="003D3436" w:rsidRDefault="00515A38" w:rsidP="0026652C">
            <w:pPr>
              <w:pStyle w:val="TableStyle"/>
            </w:pPr>
          </w:p>
        </w:tc>
        <w:tc>
          <w:tcPr>
            <w:tcW w:w="1701" w:type="dxa"/>
          </w:tcPr>
          <w:p w14:paraId="1555FC26" w14:textId="77777777" w:rsidR="00515A38" w:rsidRPr="003D3436" w:rsidRDefault="00515A38" w:rsidP="0026652C">
            <w:pPr>
              <w:pStyle w:val="TableStyle"/>
            </w:pPr>
            <w:r w:rsidRPr="003D3436">
              <w:t>General knowledge of plans and arrangements exists. P&amp;As are well developed and are reviewed annually</w:t>
            </w:r>
          </w:p>
        </w:tc>
        <w:tc>
          <w:tcPr>
            <w:tcW w:w="1559" w:type="dxa"/>
          </w:tcPr>
          <w:p w14:paraId="1EB6EA51" w14:textId="77777777" w:rsidR="00515A38" w:rsidRPr="003D3436" w:rsidRDefault="00515A38" w:rsidP="0026652C">
            <w:pPr>
              <w:pStyle w:val="TableStyle"/>
            </w:pPr>
            <w:r w:rsidRPr="003D3436">
              <w:t xml:space="preserve">Safety performance is not systematically monitored </w:t>
            </w:r>
          </w:p>
          <w:p w14:paraId="6A47D4DA" w14:textId="77777777" w:rsidR="00515A38" w:rsidRPr="003D3436" w:rsidRDefault="00515A38" w:rsidP="0026652C">
            <w:pPr>
              <w:pStyle w:val="TableStyle"/>
            </w:pPr>
            <w:r w:rsidRPr="003D3436">
              <w:t>Change is not systematically monitored for effectiveness</w:t>
            </w:r>
          </w:p>
        </w:tc>
        <w:tc>
          <w:tcPr>
            <w:tcW w:w="1418" w:type="dxa"/>
          </w:tcPr>
          <w:p w14:paraId="60BDAE92" w14:textId="77777777" w:rsidR="00515A38" w:rsidRPr="003D3436" w:rsidRDefault="00515A38" w:rsidP="0026652C">
            <w:pPr>
              <w:pStyle w:val="TableStyle"/>
            </w:pPr>
            <w:r w:rsidRPr="003D3436">
              <w:t>General knowledge of holistic safety exists &amp; is assessed as good</w:t>
            </w:r>
          </w:p>
        </w:tc>
      </w:tr>
      <w:tr w:rsidR="00515A38" w:rsidRPr="003D3436" w14:paraId="0EFEAE24" w14:textId="77777777" w:rsidTr="003D3436">
        <w:tc>
          <w:tcPr>
            <w:tcW w:w="1055" w:type="dxa"/>
          </w:tcPr>
          <w:p w14:paraId="73550529" w14:textId="77777777" w:rsidR="00515A38" w:rsidRPr="003D3436" w:rsidRDefault="00515A38" w:rsidP="0026652C">
            <w:pPr>
              <w:pStyle w:val="TableStyle"/>
            </w:pPr>
          </w:p>
          <w:p w14:paraId="1FB3E65D" w14:textId="77777777" w:rsidR="00515A38" w:rsidRPr="003D3436" w:rsidRDefault="00515A38" w:rsidP="0026652C">
            <w:pPr>
              <w:pStyle w:val="TableStyle"/>
            </w:pPr>
            <w:r w:rsidRPr="003D3436">
              <w:t>3</w:t>
            </w:r>
          </w:p>
          <w:p w14:paraId="539949FD" w14:textId="77777777" w:rsidR="00515A38" w:rsidRPr="003D3436" w:rsidRDefault="00515A38" w:rsidP="0026652C">
            <w:pPr>
              <w:pStyle w:val="TableStyle"/>
            </w:pPr>
            <w:r w:rsidRPr="003D3436">
              <w:t>Medium</w:t>
            </w:r>
          </w:p>
        </w:tc>
        <w:tc>
          <w:tcPr>
            <w:tcW w:w="1634" w:type="dxa"/>
          </w:tcPr>
          <w:p w14:paraId="3AB83E56" w14:textId="77777777" w:rsidR="00515A38" w:rsidRPr="003D3436" w:rsidRDefault="00515A38" w:rsidP="0026652C">
            <w:pPr>
              <w:pStyle w:val="TableStyle"/>
            </w:pPr>
            <w:r w:rsidRPr="003D3436">
              <w:t xml:space="preserve">Five or more AFI within last 12 months or scheduled inspection cycle, </w:t>
            </w:r>
            <w:r w:rsidRPr="003D3436">
              <w:lastRenderedPageBreak/>
              <w:t>whichever period is greater</w:t>
            </w:r>
          </w:p>
        </w:tc>
        <w:tc>
          <w:tcPr>
            <w:tcW w:w="1275" w:type="dxa"/>
          </w:tcPr>
          <w:p w14:paraId="493C3166" w14:textId="77777777" w:rsidR="00515A38" w:rsidRPr="003D3436" w:rsidRDefault="00515A38" w:rsidP="0026652C">
            <w:pPr>
              <w:pStyle w:val="TableStyle"/>
            </w:pPr>
            <w:r w:rsidRPr="003D3436">
              <w:lastRenderedPageBreak/>
              <w:t>Site visit has not been conducted within the last 2 years</w:t>
            </w:r>
          </w:p>
        </w:tc>
        <w:tc>
          <w:tcPr>
            <w:tcW w:w="1560" w:type="dxa"/>
          </w:tcPr>
          <w:p w14:paraId="253FECD3" w14:textId="77777777" w:rsidR="00515A38" w:rsidRPr="003D3436" w:rsidRDefault="00515A38" w:rsidP="0026652C">
            <w:pPr>
              <w:pStyle w:val="TableStyle"/>
            </w:pPr>
          </w:p>
        </w:tc>
        <w:tc>
          <w:tcPr>
            <w:tcW w:w="1559" w:type="dxa"/>
          </w:tcPr>
          <w:p w14:paraId="206D1B2B" w14:textId="77777777" w:rsidR="00515A38" w:rsidRPr="003D3436" w:rsidRDefault="00515A38" w:rsidP="0026652C">
            <w:pPr>
              <w:pStyle w:val="TableStyle"/>
            </w:pPr>
            <w:r w:rsidRPr="003D3436">
              <w:t>A non-compliance within the last year</w:t>
            </w:r>
          </w:p>
        </w:tc>
        <w:tc>
          <w:tcPr>
            <w:tcW w:w="1134" w:type="dxa"/>
          </w:tcPr>
          <w:p w14:paraId="14B80329" w14:textId="77777777" w:rsidR="00515A38" w:rsidRPr="003D3436" w:rsidRDefault="00515A38" w:rsidP="0026652C">
            <w:pPr>
              <w:pStyle w:val="TableStyle"/>
            </w:pPr>
          </w:p>
        </w:tc>
        <w:tc>
          <w:tcPr>
            <w:tcW w:w="2699" w:type="dxa"/>
          </w:tcPr>
          <w:p w14:paraId="725DFAC2" w14:textId="77777777" w:rsidR="00515A38" w:rsidRPr="003D3436" w:rsidRDefault="00515A38" w:rsidP="0026652C">
            <w:pPr>
              <w:pStyle w:val="TableStyle"/>
            </w:pPr>
            <w:proofErr w:type="spellStart"/>
            <w:r w:rsidRPr="003D3436">
              <w:t>DiD</w:t>
            </w:r>
            <w:proofErr w:type="spellEnd"/>
            <w:r w:rsidRPr="003D3436">
              <w:t xml:space="preserve"> is designed and implemented acceptably. Some SSC of </w:t>
            </w:r>
            <w:proofErr w:type="spellStart"/>
            <w:r w:rsidRPr="003D3436">
              <w:t>DiD</w:t>
            </w:r>
            <w:proofErr w:type="spellEnd"/>
            <w:r w:rsidRPr="003D3436">
              <w:t xml:space="preserve"> level 1, 2, 4 and 5 have minor insufficiencies which could </w:t>
            </w:r>
            <w:r w:rsidRPr="003D3436">
              <w:lastRenderedPageBreak/>
              <w:t>impact on prevention of accidents and mitigation of their consequences</w:t>
            </w:r>
          </w:p>
        </w:tc>
        <w:tc>
          <w:tcPr>
            <w:tcW w:w="1701" w:type="dxa"/>
          </w:tcPr>
          <w:p w14:paraId="1A69CD87" w14:textId="77777777" w:rsidR="00515A38" w:rsidRPr="003D3436" w:rsidRDefault="00515A38" w:rsidP="0026652C">
            <w:pPr>
              <w:pStyle w:val="TableStyle"/>
            </w:pPr>
            <w:r w:rsidRPr="003D3436">
              <w:lastRenderedPageBreak/>
              <w:t xml:space="preserve">Plans and arrangements fulfil minimum requirements. The most </w:t>
            </w:r>
            <w:r w:rsidRPr="003D3436">
              <w:lastRenderedPageBreak/>
              <w:t xml:space="preserve">important documents are reviewed annually by the licence holder </w:t>
            </w:r>
          </w:p>
        </w:tc>
        <w:tc>
          <w:tcPr>
            <w:tcW w:w="1559" w:type="dxa"/>
          </w:tcPr>
          <w:p w14:paraId="67FE80FE" w14:textId="77777777" w:rsidR="00515A38" w:rsidRPr="003D3436" w:rsidRDefault="00515A38" w:rsidP="0026652C">
            <w:pPr>
              <w:pStyle w:val="TableStyle"/>
            </w:pPr>
            <w:r w:rsidRPr="003D3436">
              <w:lastRenderedPageBreak/>
              <w:t xml:space="preserve">Safety performance is not monitored </w:t>
            </w:r>
          </w:p>
          <w:p w14:paraId="29A77F05" w14:textId="77777777" w:rsidR="00515A38" w:rsidRPr="003D3436" w:rsidRDefault="00515A38" w:rsidP="0026652C">
            <w:pPr>
              <w:pStyle w:val="TableStyle"/>
            </w:pPr>
            <w:r w:rsidRPr="003D3436">
              <w:lastRenderedPageBreak/>
              <w:t>Change is never monitored for effectiveness</w:t>
            </w:r>
          </w:p>
        </w:tc>
        <w:tc>
          <w:tcPr>
            <w:tcW w:w="1418" w:type="dxa"/>
          </w:tcPr>
          <w:p w14:paraId="19C0A821" w14:textId="77777777" w:rsidR="00515A38" w:rsidRPr="003D3436" w:rsidRDefault="00515A38" w:rsidP="0026652C">
            <w:pPr>
              <w:pStyle w:val="TableStyle"/>
            </w:pPr>
            <w:r w:rsidRPr="003D3436">
              <w:lastRenderedPageBreak/>
              <w:t xml:space="preserve">No indications that holistic safety is inadequate </w:t>
            </w:r>
          </w:p>
        </w:tc>
      </w:tr>
      <w:tr w:rsidR="00515A38" w:rsidRPr="003D3436" w14:paraId="41EFFE24" w14:textId="77777777" w:rsidTr="003D3436">
        <w:tc>
          <w:tcPr>
            <w:tcW w:w="1055" w:type="dxa"/>
          </w:tcPr>
          <w:p w14:paraId="5B6B5EBD" w14:textId="77777777" w:rsidR="00515A38" w:rsidRPr="003D3436" w:rsidRDefault="00515A38" w:rsidP="0026652C">
            <w:pPr>
              <w:pStyle w:val="TableStyle"/>
            </w:pPr>
          </w:p>
          <w:p w14:paraId="411E5353" w14:textId="77777777" w:rsidR="00515A38" w:rsidRPr="003D3436" w:rsidRDefault="00515A38" w:rsidP="0026652C">
            <w:pPr>
              <w:pStyle w:val="TableStyle"/>
            </w:pPr>
          </w:p>
          <w:p w14:paraId="436F68C0" w14:textId="77777777" w:rsidR="00515A38" w:rsidRPr="003D3436" w:rsidRDefault="00515A38" w:rsidP="0026652C">
            <w:pPr>
              <w:pStyle w:val="TableStyle"/>
            </w:pPr>
            <w:r w:rsidRPr="003D3436">
              <w:t>4</w:t>
            </w:r>
          </w:p>
          <w:p w14:paraId="2412602C" w14:textId="77777777" w:rsidR="00515A38" w:rsidRPr="003D3436" w:rsidRDefault="00515A38" w:rsidP="0026652C">
            <w:pPr>
              <w:pStyle w:val="TableStyle"/>
            </w:pPr>
            <w:r w:rsidRPr="003D3436">
              <w:t>Limited</w:t>
            </w:r>
          </w:p>
        </w:tc>
        <w:tc>
          <w:tcPr>
            <w:tcW w:w="1634" w:type="dxa"/>
          </w:tcPr>
          <w:p w14:paraId="70004A54" w14:textId="77777777" w:rsidR="00515A38" w:rsidRPr="003D3436" w:rsidRDefault="00515A38" w:rsidP="0026652C">
            <w:pPr>
              <w:pStyle w:val="TableStyle"/>
            </w:pPr>
            <w:r w:rsidRPr="003D3436">
              <w:t>Ten or more AFI within last 12 months or scheduled inspection cycle, whichever period is greater</w:t>
            </w:r>
          </w:p>
        </w:tc>
        <w:tc>
          <w:tcPr>
            <w:tcW w:w="1275" w:type="dxa"/>
          </w:tcPr>
          <w:p w14:paraId="56306A41" w14:textId="77777777" w:rsidR="00515A38" w:rsidRPr="003D3436" w:rsidRDefault="00515A38" w:rsidP="0026652C">
            <w:pPr>
              <w:pStyle w:val="TableStyle"/>
            </w:pPr>
          </w:p>
        </w:tc>
        <w:tc>
          <w:tcPr>
            <w:tcW w:w="1560" w:type="dxa"/>
          </w:tcPr>
          <w:p w14:paraId="1A6935A1" w14:textId="77777777" w:rsidR="00515A38" w:rsidRPr="003D3436" w:rsidRDefault="00515A38" w:rsidP="0026652C">
            <w:pPr>
              <w:pStyle w:val="TableStyle"/>
            </w:pPr>
            <w:r w:rsidRPr="003D3436">
              <w:t>A non-compliance within the last year</w:t>
            </w:r>
          </w:p>
        </w:tc>
        <w:tc>
          <w:tcPr>
            <w:tcW w:w="1559" w:type="dxa"/>
          </w:tcPr>
          <w:p w14:paraId="513B182F" w14:textId="77777777" w:rsidR="00515A38" w:rsidRPr="003D3436" w:rsidRDefault="00515A38" w:rsidP="0026652C">
            <w:pPr>
              <w:pStyle w:val="TableStyle"/>
            </w:pPr>
            <w:r w:rsidRPr="003D3436">
              <w:t>Several non-compliances within the last year</w:t>
            </w:r>
          </w:p>
        </w:tc>
        <w:tc>
          <w:tcPr>
            <w:tcW w:w="1134" w:type="dxa"/>
          </w:tcPr>
          <w:p w14:paraId="631BB3D7" w14:textId="0DD31AD6" w:rsidR="00515A38" w:rsidRPr="003D3436" w:rsidRDefault="00515A38" w:rsidP="0026652C">
            <w:pPr>
              <w:pStyle w:val="TableStyle"/>
            </w:pPr>
            <w:r w:rsidRPr="003D3436">
              <w:t xml:space="preserve">One incident or near-miss within the last year </w:t>
            </w:r>
          </w:p>
        </w:tc>
        <w:tc>
          <w:tcPr>
            <w:tcW w:w="2699" w:type="dxa"/>
          </w:tcPr>
          <w:p w14:paraId="38CF271B" w14:textId="77777777" w:rsidR="00515A38" w:rsidRPr="003D3436" w:rsidRDefault="00515A38" w:rsidP="0026652C">
            <w:pPr>
              <w:pStyle w:val="TableStyle"/>
            </w:pPr>
            <w:proofErr w:type="spellStart"/>
            <w:r w:rsidRPr="003D3436">
              <w:t>DiD</w:t>
            </w:r>
            <w:proofErr w:type="spellEnd"/>
            <w:r w:rsidRPr="003D3436">
              <w:t xml:space="preserve"> is designed and implemented acceptably. Some SSC of </w:t>
            </w:r>
            <w:proofErr w:type="spellStart"/>
            <w:r w:rsidRPr="003D3436">
              <w:t>DiD</w:t>
            </w:r>
            <w:proofErr w:type="spellEnd"/>
            <w:r w:rsidRPr="003D3436">
              <w:t xml:space="preserve"> level 3 – safety systems have minor insufficiencies which could impact on control of accidents</w:t>
            </w:r>
          </w:p>
          <w:p w14:paraId="7E1C1524" w14:textId="77777777" w:rsidR="00515A38" w:rsidRPr="003D3436" w:rsidRDefault="00515A38" w:rsidP="0026652C">
            <w:pPr>
              <w:pStyle w:val="TableStyle"/>
            </w:pPr>
            <w:r w:rsidRPr="003D3436">
              <w:t xml:space="preserve">Some SSC of </w:t>
            </w:r>
            <w:proofErr w:type="spellStart"/>
            <w:r w:rsidRPr="003D3436">
              <w:t>DiD</w:t>
            </w:r>
            <w:proofErr w:type="spellEnd"/>
            <w:r w:rsidRPr="003D3436">
              <w:t xml:space="preserve"> level 1, 2, 4 and 5 have major insufficiencies which could impact on prevention of accidents and mitigation of their consequences</w:t>
            </w:r>
          </w:p>
        </w:tc>
        <w:tc>
          <w:tcPr>
            <w:tcW w:w="1701" w:type="dxa"/>
          </w:tcPr>
          <w:p w14:paraId="1663FA38" w14:textId="0698A49C" w:rsidR="00515A38" w:rsidRPr="003D3436" w:rsidRDefault="00515A38" w:rsidP="0026652C">
            <w:pPr>
              <w:pStyle w:val="TableStyle"/>
            </w:pPr>
            <w:r w:rsidRPr="003D3436">
              <w:t>Plans and arrangements do not fulfil minimum requirements</w:t>
            </w:r>
            <w:r w:rsidR="002943E1" w:rsidRPr="003D3436">
              <w:t xml:space="preserve"> </w:t>
            </w:r>
          </w:p>
        </w:tc>
        <w:tc>
          <w:tcPr>
            <w:tcW w:w="1559" w:type="dxa"/>
          </w:tcPr>
          <w:p w14:paraId="1482FECD" w14:textId="77777777" w:rsidR="00515A38" w:rsidRPr="003D3436" w:rsidRDefault="00515A38" w:rsidP="0026652C">
            <w:pPr>
              <w:pStyle w:val="TableStyle"/>
            </w:pPr>
          </w:p>
        </w:tc>
        <w:tc>
          <w:tcPr>
            <w:tcW w:w="1418" w:type="dxa"/>
          </w:tcPr>
          <w:p w14:paraId="0075CAC1" w14:textId="4359AFE7" w:rsidR="00515A38" w:rsidRPr="003D3436" w:rsidRDefault="00515A38" w:rsidP="0026652C">
            <w:pPr>
              <w:pStyle w:val="TableStyle"/>
            </w:pPr>
            <w:r w:rsidRPr="003D3436">
              <w:t>Holistic safety</w:t>
            </w:r>
            <w:r w:rsidR="002943E1" w:rsidRPr="003D3436">
              <w:t xml:space="preserve"> </w:t>
            </w:r>
            <w:r w:rsidRPr="003D3436">
              <w:t>assessed as inadequate</w:t>
            </w:r>
          </w:p>
        </w:tc>
      </w:tr>
      <w:tr w:rsidR="00515A38" w:rsidRPr="003D3436" w14:paraId="598B01A0" w14:textId="77777777" w:rsidTr="003D3436">
        <w:tc>
          <w:tcPr>
            <w:tcW w:w="1055" w:type="dxa"/>
          </w:tcPr>
          <w:p w14:paraId="2EF5957B" w14:textId="77777777" w:rsidR="00515A38" w:rsidRPr="003D3436" w:rsidRDefault="00515A38" w:rsidP="0026652C">
            <w:pPr>
              <w:pStyle w:val="TableStyle"/>
            </w:pPr>
          </w:p>
          <w:p w14:paraId="1E744BEE" w14:textId="77777777" w:rsidR="00515A38" w:rsidRPr="003D3436" w:rsidRDefault="00515A38" w:rsidP="0026652C">
            <w:pPr>
              <w:pStyle w:val="TableStyle"/>
            </w:pPr>
            <w:r w:rsidRPr="003D3436">
              <w:t>5</w:t>
            </w:r>
          </w:p>
          <w:p w14:paraId="6E919E6F" w14:textId="77777777" w:rsidR="00515A38" w:rsidRPr="003D3436" w:rsidRDefault="00515A38" w:rsidP="0026652C">
            <w:pPr>
              <w:pStyle w:val="TableStyle"/>
            </w:pPr>
            <w:r w:rsidRPr="003D3436">
              <w:t>Very limited</w:t>
            </w:r>
          </w:p>
          <w:p w14:paraId="6377F245" w14:textId="77777777" w:rsidR="00515A38" w:rsidRPr="003D3436" w:rsidRDefault="00515A38" w:rsidP="0026652C">
            <w:pPr>
              <w:pStyle w:val="TableStyle"/>
            </w:pPr>
          </w:p>
          <w:p w14:paraId="0B963B47" w14:textId="77777777" w:rsidR="00515A38" w:rsidRPr="003D3436" w:rsidRDefault="00515A38" w:rsidP="0026652C">
            <w:pPr>
              <w:pStyle w:val="TableStyle"/>
            </w:pPr>
          </w:p>
        </w:tc>
        <w:tc>
          <w:tcPr>
            <w:tcW w:w="1634" w:type="dxa"/>
          </w:tcPr>
          <w:p w14:paraId="1D6CD016" w14:textId="77777777" w:rsidR="00515A38" w:rsidRPr="003D3436" w:rsidRDefault="00515A38" w:rsidP="0026652C">
            <w:pPr>
              <w:pStyle w:val="TableStyle"/>
            </w:pPr>
            <w:r w:rsidRPr="003D3436">
              <w:t>20 or more AFI within past 12 months or scheduled inspection cycle, whichever period is greater</w:t>
            </w:r>
          </w:p>
        </w:tc>
        <w:tc>
          <w:tcPr>
            <w:tcW w:w="1275" w:type="dxa"/>
          </w:tcPr>
          <w:p w14:paraId="7277A5CB" w14:textId="77777777" w:rsidR="00515A38" w:rsidRPr="003D3436" w:rsidRDefault="00515A38" w:rsidP="0026652C">
            <w:pPr>
              <w:pStyle w:val="TableStyle"/>
            </w:pPr>
          </w:p>
        </w:tc>
        <w:tc>
          <w:tcPr>
            <w:tcW w:w="1560" w:type="dxa"/>
          </w:tcPr>
          <w:p w14:paraId="732059B9" w14:textId="77777777" w:rsidR="00515A38" w:rsidRPr="003D3436" w:rsidRDefault="00515A38" w:rsidP="0026652C">
            <w:pPr>
              <w:pStyle w:val="TableStyle"/>
            </w:pPr>
            <w:r w:rsidRPr="003D3436">
              <w:t>Several non-compliances within last year</w:t>
            </w:r>
          </w:p>
        </w:tc>
        <w:tc>
          <w:tcPr>
            <w:tcW w:w="1559" w:type="dxa"/>
          </w:tcPr>
          <w:p w14:paraId="3B1F0D83" w14:textId="77777777" w:rsidR="00515A38" w:rsidRPr="003D3436" w:rsidRDefault="00515A38" w:rsidP="0026652C">
            <w:pPr>
              <w:pStyle w:val="TableStyle"/>
            </w:pPr>
          </w:p>
        </w:tc>
        <w:tc>
          <w:tcPr>
            <w:tcW w:w="1134" w:type="dxa"/>
          </w:tcPr>
          <w:p w14:paraId="31562572" w14:textId="77777777" w:rsidR="00515A38" w:rsidRPr="003D3436" w:rsidRDefault="00515A38" w:rsidP="0026652C">
            <w:pPr>
              <w:pStyle w:val="TableStyle"/>
            </w:pPr>
            <w:r w:rsidRPr="003D3436">
              <w:t>One accident within the last year</w:t>
            </w:r>
          </w:p>
        </w:tc>
        <w:tc>
          <w:tcPr>
            <w:tcW w:w="2699" w:type="dxa"/>
          </w:tcPr>
          <w:p w14:paraId="50E74B7F" w14:textId="77777777" w:rsidR="00515A38" w:rsidRPr="003D3436" w:rsidRDefault="00515A38" w:rsidP="0026652C">
            <w:pPr>
              <w:pStyle w:val="TableStyle"/>
            </w:pPr>
            <w:proofErr w:type="spellStart"/>
            <w:r w:rsidRPr="003D3436">
              <w:t>DiD</w:t>
            </w:r>
            <w:proofErr w:type="spellEnd"/>
            <w:r w:rsidRPr="003D3436">
              <w:t xml:space="preserve"> designed and implemented acceptably; systems of multiple levels of </w:t>
            </w:r>
            <w:proofErr w:type="spellStart"/>
            <w:r w:rsidRPr="003D3436">
              <w:t>DiD</w:t>
            </w:r>
            <w:proofErr w:type="spellEnd"/>
            <w:r w:rsidRPr="003D3436">
              <w:t xml:space="preserve"> are poorly maintained or operated with potential major impact on </w:t>
            </w:r>
            <w:proofErr w:type="spellStart"/>
            <w:r w:rsidRPr="003D3436">
              <w:t>DiD</w:t>
            </w:r>
            <w:proofErr w:type="spellEnd"/>
            <w:r w:rsidRPr="003D3436">
              <w:t xml:space="preserve"> prevention, control and mitigation of accident situations. </w:t>
            </w:r>
          </w:p>
        </w:tc>
        <w:tc>
          <w:tcPr>
            <w:tcW w:w="1701" w:type="dxa"/>
          </w:tcPr>
          <w:p w14:paraId="5448331C" w14:textId="77777777" w:rsidR="00515A38" w:rsidRPr="003D3436" w:rsidRDefault="00515A38" w:rsidP="0026652C">
            <w:pPr>
              <w:pStyle w:val="TableStyle"/>
            </w:pPr>
            <w:r w:rsidRPr="003D3436">
              <w:t xml:space="preserve">Plans and arrangements are well below minimum requirements </w:t>
            </w:r>
          </w:p>
        </w:tc>
        <w:tc>
          <w:tcPr>
            <w:tcW w:w="1559" w:type="dxa"/>
          </w:tcPr>
          <w:p w14:paraId="70DD8931" w14:textId="77777777" w:rsidR="00515A38" w:rsidRPr="003D3436" w:rsidRDefault="00515A38" w:rsidP="0026652C">
            <w:pPr>
              <w:pStyle w:val="TableStyle"/>
            </w:pPr>
          </w:p>
        </w:tc>
        <w:tc>
          <w:tcPr>
            <w:tcW w:w="1418" w:type="dxa"/>
          </w:tcPr>
          <w:p w14:paraId="7DE51CB3" w14:textId="77777777" w:rsidR="00515A38" w:rsidRPr="003D3436" w:rsidRDefault="00515A38" w:rsidP="0026652C">
            <w:pPr>
              <w:pStyle w:val="TableStyle"/>
            </w:pPr>
            <w:r w:rsidRPr="003D3436">
              <w:t>Holistic safety assessed as poor</w:t>
            </w:r>
          </w:p>
        </w:tc>
      </w:tr>
    </w:tbl>
    <w:p w14:paraId="44CA480B" w14:textId="45E33BA5" w:rsidR="00515A38" w:rsidRPr="004C67C3" w:rsidRDefault="00515A38" w:rsidP="0026652C">
      <w:pPr>
        <w:rPr>
          <w:rFonts w:ascii="Calibri" w:eastAsia="Calibri" w:hAnsi="Calibri" w:cs="Calibri"/>
          <w:sz w:val="18"/>
          <w:szCs w:val="18"/>
        </w:rPr>
      </w:pPr>
      <w:r w:rsidRPr="004C67C3">
        <w:rPr>
          <w:rFonts w:ascii="Calibri" w:eastAsia="Calibri" w:hAnsi="Calibri" w:cs="Calibri"/>
          <w:sz w:val="18"/>
          <w:szCs w:val="18"/>
          <w:vertAlign w:val="superscript"/>
        </w:rPr>
        <w:lastRenderedPageBreak/>
        <w:t>1</w:t>
      </w:r>
      <w:r w:rsidR="002943E1" w:rsidRPr="004C67C3">
        <w:rPr>
          <w:rFonts w:ascii="Calibri" w:eastAsia="Calibri" w:hAnsi="Calibri" w:cs="Calibri"/>
          <w:sz w:val="18"/>
          <w:szCs w:val="18"/>
          <w:vertAlign w:val="superscript"/>
        </w:rPr>
        <w:t xml:space="preserve"> </w:t>
      </w:r>
      <w:r w:rsidRPr="004C67C3">
        <w:rPr>
          <w:rFonts w:ascii="Calibri" w:eastAsia="Calibri" w:hAnsi="Calibri" w:cs="Calibri"/>
          <w:sz w:val="18"/>
          <w:szCs w:val="18"/>
        </w:rPr>
        <w:t xml:space="preserve">Incidents are as defined in Schedule 13 of the </w:t>
      </w:r>
      <w:r w:rsidR="00A5432C" w:rsidRPr="004C67C3">
        <w:rPr>
          <w:rFonts w:ascii="Calibri" w:eastAsia="Calibri" w:hAnsi="Calibri" w:cs="Calibri"/>
          <w:sz w:val="18"/>
          <w:szCs w:val="18"/>
        </w:rPr>
        <w:t>National Directory for Radiation Protection (</w:t>
      </w:r>
      <w:hyperlink r:id="rId26" w:history="1">
        <w:r w:rsidRPr="004C67C3">
          <w:rPr>
            <w:rFonts w:ascii="Calibri" w:eastAsia="Calibri" w:hAnsi="Calibri" w:cs="Calibri"/>
            <w:color w:val="0000FF"/>
            <w:sz w:val="18"/>
            <w:szCs w:val="18"/>
            <w:u w:val="single"/>
          </w:rPr>
          <w:t>NDRP</w:t>
        </w:r>
      </w:hyperlink>
      <w:r w:rsidR="00A5432C" w:rsidRPr="004C67C3">
        <w:rPr>
          <w:rFonts w:ascii="Calibri" w:eastAsia="Calibri" w:hAnsi="Calibri" w:cs="Calibri"/>
          <w:color w:val="0000FF"/>
          <w:sz w:val="18"/>
          <w:szCs w:val="18"/>
          <w:u w:val="single"/>
        </w:rPr>
        <w:t>)</w:t>
      </w:r>
      <w:r w:rsidRPr="004C67C3">
        <w:rPr>
          <w:rFonts w:ascii="Calibri" w:eastAsia="Calibri" w:hAnsi="Calibri" w:cs="Calibri"/>
          <w:sz w:val="18"/>
          <w:szCs w:val="18"/>
        </w:rPr>
        <w:t xml:space="preserve"> and accidents defined in </w:t>
      </w:r>
      <w:hyperlink r:id="rId27" w:anchor="reporting-an-accident" w:history="1">
        <w:r w:rsidRPr="004C67C3">
          <w:rPr>
            <w:rFonts w:ascii="Calibri" w:eastAsia="Calibri" w:hAnsi="Calibri" w:cs="Calibri"/>
            <w:color w:val="0000FF"/>
            <w:sz w:val="18"/>
            <w:szCs w:val="18"/>
            <w:u w:val="single"/>
          </w:rPr>
          <w:t>REGULATORY GUIDE: Reporting an Accident</w:t>
        </w:r>
      </w:hyperlink>
    </w:p>
    <w:p w14:paraId="1F3A9D93" w14:textId="6C9D3C84" w:rsidR="00515A38" w:rsidRPr="004C67C3" w:rsidRDefault="00515A38" w:rsidP="0026652C">
      <w:pPr>
        <w:rPr>
          <w:rFonts w:ascii="Calibri" w:eastAsia="Calibri" w:hAnsi="Calibri" w:cs="Calibri"/>
          <w:sz w:val="18"/>
          <w:szCs w:val="18"/>
        </w:rPr>
      </w:pPr>
      <w:r w:rsidRPr="004C67C3">
        <w:rPr>
          <w:rFonts w:ascii="Calibri" w:eastAsia="Calibri" w:hAnsi="Calibri" w:cs="Calibri"/>
          <w:sz w:val="18"/>
          <w:szCs w:val="18"/>
          <w:vertAlign w:val="superscript"/>
        </w:rPr>
        <w:t xml:space="preserve">2 </w:t>
      </w:r>
      <w:r w:rsidRPr="004C67C3">
        <w:rPr>
          <w:rFonts w:ascii="Calibri" w:eastAsia="Calibri" w:hAnsi="Calibri" w:cs="Calibri"/>
          <w:sz w:val="18"/>
          <w:szCs w:val="18"/>
        </w:rPr>
        <w:t xml:space="preserve">Refer to the </w:t>
      </w:r>
      <w:hyperlink r:id="rId28" w:anchor="holistic-safety" w:history="1">
        <w:r w:rsidRPr="004C67C3">
          <w:rPr>
            <w:rFonts w:ascii="Calibri" w:eastAsia="Calibri" w:hAnsi="Calibri" w:cs="Calibri"/>
            <w:color w:val="0000FF"/>
            <w:sz w:val="18"/>
            <w:szCs w:val="18"/>
            <w:u w:val="single"/>
          </w:rPr>
          <w:t>Holistic Safety Guidelines</w:t>
        </w:r>
      </w:hyperlink>
      <w:r w:rsidRPr="004C67C3">
        <w:rPr>
          <w:rFonts w:ascii="Calibri" w:eastAsia="Calibri" w:hAnsi="Calibri" w:cs="Calibri"/>
          <w:sz w:val="18"/>
          <w:szCs w:val="18"/>
        </w:rPr>
        <w:t xml:space="preserve"> for more detail.</w:t>
      </w:r>
    </w:p>
    <w:p w14:paraId="26BBC022" w14:textId="40E7D35F" w:rsidR="00515A38" w:rsidRPr="004C67C3" w:rsidRDefault="00515A38" w:rsidP="0026652C">
      <w:pPr>
        <w:rPr>
          <w:sz w:val="18"/>
          <w:szCs w:val="18"/>
        </w:rPr>
      </w:pPr>
      <w:r w:rsidRPr="004C67C3">
        <w:rPr>
          <w:rFonts w:cs="Calibri"/>
          <w:sz w:val="18"/>
          <w:szCs w:val="18"/>
          <w:vertAlign w:val="superscript"/>
        </w:rPr>
        <w:t>3</w:t>
      </w:r>
      <w:r w:rsidRPr="004C67C3">
        <w:rPr>
          <w:rFonts w:cs="Calibri"/>
          <w:sz w:val="18"/>
          <w:szCs w:val="18"/>
        </w:rPr>
        <w:t xml:space="preserve">Refer to </w:t>
      </w:r>
      <w:hyperlink r:id="rId29" w:anchor="plans-and-arrangements-for-managing-safety" w:history="1">
        <w:r w:rsidRPr="004C67C3">
          <w:rPr>
            <w:rFonts w:cs="Times New Roman"/>
            <w:color w:val="0000FF"/>
            <w:sz w:val="18"/>
            <w:szCs w:val="18"/>
            <w:u w:val="single"/>
          </w:rPr>
          <w:t>REGULATORY GUIDE: Plans and Arrangements for Managing Safety</w:t>
        </w:r>
      </w:hyperlink>
      <w:bookmarkStart w:id="150" w:name="_GoBack"/>
      <w:bookmarkEnd w:id="150"/>
      <w:r w:rsidRPr="004C67C3">
        <w:rPr>
          <w:rFonts w:cs="Calibri"/>
          <w:i/>
          <w:sz w:val="18"/>
          <w:szCs w:val="18"/>
        </w:rPr>
        <w:t xml:space="preserve"> </w:t>
      </w:r>
      <w:r w:rsidRPr="004C67C3">
        <w:rPr>
          <w:rFonts w:cs="Calibri"/>
          <w:sz w:val="18"/>
          <w:szCs w:val="18"/>
        </w:rPr>
        <w:t xml:space="preserve">for more detail. </w:t>
      </w:r>
    </w:p>
    <w:bookmarkEnd w:id="149"/>
    <w:p w14:paraId="73A2A198" w14:textId="6C44FAC4" w:rsidR="00DF4AAD" w:rsidRPr="008F3505" w:rsidRDefault="00DF4AAD" w:rsidP="0026652C">
      <w:pPr>
        <w:pStyle w:val="Heading1"/>
        <w:sectPr w:rsidR="00DF4AAD" w:rsidRPr="008F3505" w:rsidSect="00DF4AAD">
          <w:footerReference w:type="default" r:id="rId30"/>
          <w:footerReference w:type="first" r:id="rId31"/>
          <w:pgSz w:w="16838" w:h="11906" w:orient="landscape"/>
          <w:pgMar w:top="1418" w:right="964" w:bottom="1134" w:left="964" w:header="567" w:footer="454" w:gutter="0"/>
          <w:cols w:space="708"/>
          <w:titlePg/>
          <w:docGrid w:linePitch="360"/>
        </w:sectPr>
      </w:pPr>
    </w:p>
    <w:p w14:paraId="54A3DF21" w14:textId="050D095D" w:rsidR="00DF4AAD" w:rsidRPr="008F3505" w:rsidRDefault="00DF4AAD" w:rsidP="0026652C">
      <w:pPr>
        <w:pStyle w:val="Heading1"/>
      </w:pPr>
      <w:bookmarkStart w:id="151" w:name="_Appendix_C:_Inspection"/>
      <w:bookmarkEnd w:id="151"/>
      <w:r w:rsidRPr="008F3505">
        <w:lastRenderedPageBreak/>
        <w:t xml:space="preserve">Appendix </w:t>
      </w:r>
      <w:r w:rsidR="009F2A89" w:rsidRPr="008F3505">
        <w:t>C</w:t>
      </w:r>
      <w:r w:rsidRPr="008F3505">
        <w:t>: Inspection flowchart</w:t>
      </w:r>
    </w:p>
    <w:p w14:paraId="21ED6FCD" w14:textId="278640EB" w:rsidR="00B61A91" w:rsidRPr="00B61A91" w:rsidRDefault="003F4BE2" w:rsidP="0026652C">
      <w:r w:rsidRPr="003F4BE2">
        <w:t xml:space="preserve"> </w:t>
      </w:r>
      <w:r w:rsidR="00F233E8">
        <w:pict w14:anchorId="5C5CA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52.15pt">
            <v:imagedata r:id="rId32" o:title="Scheduled inspection flowchart"/>
          </v:shape>
        </w:pict>
      </w:r>
      <w:bookmarkStart w:id="152" w:name="_Appendix_4:_Report"/>
      <w:bookmarkStart w:id="153" w:name="_Attachment_1:_Inspection"/>
      <w:bookmarkStart w:id="154" w:name="_Attachment_1:_email"/>
      <w:bookmarkStart w:id="155" w:name="_Attachment_2:_e-Inspection"/>
      <w:bookmarkStart w:id="156" w:name="_Attachment_3:_Inspection"/>
      <w:bookmarkStart w:id="157" w:name="_Attachment_4:_Inspection"/>
      <w:bookmarkEnd w:id="146"/>
      <w:bookmarkEnd w:id="152"/>
      <w:bookmarkEnd w:id="153"/>
      <w:bookmarkEnd w:id="154"/>
      <w:bookmarkEnd w:id="155"/>
      <w:bookmarkEnd w:id="156"/>
      <w:bookmarkEnd w:id="157"/>
    </w:p>
    <w:sectPr w:rsidR="00B61A91" w:rsidRPr="00B61A91" w:rsidSect="00DF4AAD">
      <w:footerReference w:type="even" r:id="rId33"/>
      <w:footerReference w:type="default" r:id="rId34"/>
      <w:footerReference w:type="first" r:id="rId35"/>
      <w:pgSz w:w="11906" w:h="16838"/>
      <w:pgMar w:top="964" w:right="1134" w:bottom="964"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AC85" w14:textId="77777777" w:rsidR="003B68D1" w:rsidRDefault="003B68D1" w:rsidP="0026652C">
      <w:r>
        <w:separator/>
      </w:r>
    </w:p>
  </w:endnote>
  <w:endnote w:type="continuationSeparator" w:id="0">
    <w:p w14:paraId="303F3127" w14:textId="77777777" w:rsidR="003B68D1" w:rsidRDefault="003B68D1" w:rsidP="0026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8DD6" w14:textId="775505FF" w:rsidR="00F233E8" w:rsidRPr="006039B8" w:rsidRDefault="00F233E8" w:rsidP="0026652C">
    <w:pPr>
      <w:pStyle w:val="Footer"/>
      <w:rPr>
        <w:sz w:val="18"/>
        <w:szCs w:val="16"/>
      </w:rPr>
    </w:pPr>
    <w:bookmarkStart w:id="147" w:name="_Toc411804072"/>
    <w:r w:rsidRPr="006039B8">
      <w:rPr>
        <w:noProof/>
        <w:lang w:eastAsia="en-AU"/>
      </w:rPr>
      <w:drawing>
        <wp:anchor distT="0" distB="0" distL="114300" distR="114300" simplePos="0" relativeHeight="251665408" behindDoc="0" locked="0" layoutInCell="1" allowOverlap="1" wp14:anchorId="13D40020" wp14:editId="47158219">
          <wp:simplePos x="0" y="0"/>
          <wp:positionH relativeFrom="column">
            <wp:posOffset>0</wp:posOffset>
          </wp:positionH>
          <wp:positionV relativeFrom="paragraph">
            <wp:posOffset>287655</wp:posOffset>
          </wp:positionV>
          <wp:extent cx="6119495" cy="53975"/>
          <wp:effectExtent l="0" t="0" r="0" b="3175"/>
          <wp:wrapTopAndBottom/>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p w14:paraId="3AA86C92" w14:textId="5232101B" w:rsidR="00F233E8" w:rsidRPr="006039B8" w:rsidRDefault="00F233E8" w:rsidP="0026652C">
    <w:pPr>
      <w:pStyle w:val="Footer"/>
      <w:rPr>
        <w:noProof/>
      </w:rPr>
    </w:pPr>
    <w:r w:rsidRPr="006039B8">
      <w:t>Inspection Manual v2</w:t>
    </w:r>
    <w:r w:rsidRPr="006039B8">
      <w:tab/>
      <w:t>September 2017</w:t>
    </w:r>
    <w:r w:rsidRPr="006039B8">
      <w:tab/>
      <w:t xml:space="preserve">Page </w:t>
    </w:r>
    <w:r w:rsidRPr="006039B8">
      <w:fldChar w:fldCharType="begin"/>
    </w:r>
    <w:r w:rsidRPr="006039B8">
      <w:instrText xml:space="preserve"> PAGE  \* Arabic  \* MERGEFORMAT </w:instrText>
    </w:r>
    <w:r w:rsidRPr="006039B8">
      <w:fldChar w:fldCharType="separate"/>
    </w:r>
    <w:r w:rsidRPr="006039B8">
      <w:rPr>
        <w:noProof/>
      </w:rPr>
      <w:t>24</w:t>
    </w:r>
    <w:r w:rsidRPr="006039B8">
      <w:fldChar w:fldCharType="end"/>
    </w:r>
    <w:r w:rsidRPr="006039B8">
      <w:t xml:space="preserve"> of </w:t>
    </w:r>
    <w:fldSimple w:instr=" NUMPAGES  \* Arabic  \* MERGEFORMAT ">
      <w:r w:rsidRPr="006039B8">
        <w:rPr>
          <w:noProof/>
        </w:rPr>
        <w:t>25</w:t>
      </w:r>
    </w:fldSimple>
    <w:bookmarkEnd w:id="147"/>
  </w:p>
  <w:p w14:paraId="1A82A706" w14:textId="682B4B69" w:rsidR="00F233E8" w:rsidRPr="006039B8" w:rsidRDefault="00F233E8" w:rsidP="0026652C">
    <w:pPr>
      <w:pStyle w:val="Footer"/>
    </w:pPr>
    <w:r w:rsidRPr="006039B8">
      <w:t>ARPANSA-REG-INS-MAN-280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DB0C" w14:textId="5065DF19" w:rsidR="00F233E8" w:rsidRPr="0026652C" w:rsidRDefault="00F233E8" w:rsidP="0026652C">
    <w:pPr>
      <w:rPr>
        <w:noProof/>
        <w:sz w:val="18"/>
        <w:szCs w:val="18"/>
      </w:rPr>
    </w:pPr>
    <w:r w:rsidRPr="0026652C">
      <w:rPr>
        <w:noProof/>
        <w:sz w:val="18"/>
        <w:szCs w:val="18"/>
        <w:lang w:eastAsia="en-AU"/>
      </w:rPr>
      <w:drawing>
        <wp:anchor distT="0" distB="0" distL="114300" distR="114300" simplePos="0" relativeHeight="251677696" behindDoc="0" locked="0" layoutInCell="1" allowOverlap="1" wp14:anchorId="4103B606" wp14:editId="466ADD6B">
          <wp:simplePos x="0" y="0"/>
          <wp:positionH relativeFrom="column">
            <wp:posOffset>-15240</wp:posOffset>
          </wp:positionH>
          <wp:positionV relativeFrom="paragraph">
            <wp:posOffset>90805</wp:posOffset>
          </wp:positionV>
          <wp:extent cx="6119495" cy="53975"/>
          <wp:effectExtent l="0" t="0" r="0" b="3175"/>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26652C">
      <w:rPr>
        <w:sz w:val="18"/>
        <w:szCs w:val="18"/>
      </w:rPr>
      <w:t>ARPANSA-REG-INS-MAN-280W v4.1</w:t>
    </w:r>
    <w:r w:rsidRPr="0026652C">
      <w:rPr>
        <w:sz w:val="18"/>
        <w:szCs w:val="18"/>
      </w:rPr>
      <w:tab/>
    </w:r>
    <w:r>
      <w:rPr>
        <w:sz w:val="18"/>
        <w:szCs w:val="18"/>
      </w:rPr>
      <w:tab/>
    </w:r>
    <w:r>
      <w:rPr>
        <w:sz w:val="18"/>
        <w:szCs w:val="18"/>
      </w:rPr>
      <w:tab/>
    </w:r>
    <w:r w:rsidRPr="0026652C">
      <w:rPr>
        <w:sz w:val="18"/>
        <w:szCs w:val="18"/>
      </w:rPr>
      <w:t>May 2019</w:t>
    </w:r>
    <w:r w:rsidRPr="0026652C">
      <w:rPr>
        <w:sz w:val="18"/>
        <w:szCs w:val="18"/>
      </w:rPr>
      <w:tab/>
    </w:r>
    <w:r>
      <w:rPr>
        <w:sz w:val="18"/>
        <w:szCs w:val="18"/>
      </w:rPr>
      <w:tab/>
    </w:r>
    <w:r>
      <w:rPr>
        <w:sz w:val="18"/>
        <w:szCs w:val="18"/>
      </w:rPr>
      <w:tab/>
    </w:r>
    <w:r>
      <w:rPr>
        <w:sz w:val="18"/>
        <w:szCs w:val="18"/>
      </w:rPr>
      <w:tab/>
    </w:r>
    <w:r w:rsidRPr="0026652C">
      <w:rPr>
        <w:sz w:val="18"/>
        <w:szCs w:val="18"/>
      </w:rPr>
      <w:t xml:space="preserve">Page </w:t>
    </w:r>
    <w:r w:rsidRPr="0026652C">
      <w:rPr>
        <w:sz w:val="18"/>
        <w:szCs w:val="18"/>
      </w:rPr>
      <w:fldChar w:fldCharType="begin"/>
    </w:r>
    <w:r w:rsidRPr="0026652C">
      <w:rPr>
        <w:sz w:val="18"/>
        <w:szCs w:val="18"/>
      </w:rPr>
      <w:instrText xml:space="preserve"> PAGE  \* Arabic  \* MERGEFORMAT </w:instrText>
    </w:r>
    <w:r w:rsidRPr="0026652C">
      <w:rPr>
        <w:sz w:val="18"/>
        <w:szCs w:val="18"/>
      </w:rPr>
      <w:fldChar w:fldCharType="separate"/>
    </w:r>
    <w:r w:rsidR="004C67C3">
      <w:rPr>
        <w:noProof/>
        <w:sz w:val="18"/>
        <w:szCs w:val="18"/>
      </w:rPr>
      <w:t>26</w:t>
    </w:r>
    <w:r w:rsidRPr="0026652C">
      <w:rPr>
        <w:sz w:val="18"/>
        <w:szCs w:val="18"/>
      </w:rPr>
      <w:fldChar w:fldCharType="end"/>
    </w:r>
    <w:r w:rsidRPr="0026652C">
      <w:rPr>
        <w:sz w:val="18"/>
        <w:szCs w:val="18"/>
      </w:rPr>
      <w:t xml:space="preserve"> of </w:t>
    </w:r>
    <w:r w:rsidRPr="0026652C">
      <w:rPr>
        <w:sz w:val="18"/>
        <w:szCs w:val="18"/>
      </w:rPr>
      <w:fldChar w:fldCharType="begin"/>
    </w:r>
    <w:r w:rsidRPr="0026652C">
      <w:rPr>
        <w:sz w:val="18"/>
        <w:szCs w:val="18"/>
      </w:rPr>
      <w:instrText xml:space="preserve"> NUMPAGES  \* Arabic  \* MERGEFORMAT </w:instrText>
    </w:r>
    <w:r w:rsidRPr="0026652C">
      <w:rPr>
        <w:sz w:val="18"/>
        <w:szCs w:val="18"/>
      </w:rPr>
      <w:fldChar w:fldCharType="separate"/>
    </w:r>
    <w:r w:rsidR="004C67C3">
      <w:rPr>
        <w:noProof/>
        <w:sz w:val="18"/>
        <w:szCs w:val="18"/>
      </w:rPr>
      <w:t>30</w:t>
    </w:r>
    <w:r w:rsidRPr="0026652C">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0E3E" w14:textId="313E13A3" w:rsidR="00F233E8" w:rsidRPr="00F233E8" w:rsidRDefault="00F233E8" w:rsidP="00F233E8">
    <w:pPr>
      <w:tabs>
        <w:tab w:val="left" w:pos="3828"/>
        <w:tab w:val="right" w:pos="9639"/>
      </w:tabs>
      <w:spacing w:before="120" w:after="120" w:line="276" w:lineRule="auto"/>
      <w:ind w:left="-284"/>
      <w:rPr>
        <w:rFonts w:eastAsiaTheme="minorEastAsia"/>
        <w:sz w:val="16"/>
        <w:szCs w:val="20"/>
      </w:rPr>
    </w:pPr>
    <w:r w:rsidRPr="00F233E8">
      <w:rPr>
        <w:rFonts w:eastAsiaTheme="minorEastAsia"/>
        <w:noProof/>
        <w:sz w:val="16"/>
        <w:szCs w:val="20"/>
        <w:lang w:eastAsia="en-AU"/>
      </w:rPr>
      <w:drawing>
        <wp:anchor distT="0" distB="0" distL="114300" distR="114300" simplePos="0" relativeHeight="251684864" behindDoc="0" locked="0" layoutInCell="1" allowOverlap="1" wp14:anchorId="51FEE90F" wp14:editId="3B3FC76E">
          <wp:simplePos x="0" y="0"/>
          <wp:positionH relativeFrom="margin">
            <wp:align>right</wp:align>
          </wp:positionH>
          <wp:positionV relativeFrom="paragraph">
            <wp:posOffset>-38100</wp:posOffset>
          </wp:positionV>
          <wp:extent cx="6120000" cy="54000"/>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233E8">
      <w:rPr>
        <w:rFonts w:eastAsiaTheme="minorEastAsia"/>
        <w:sz w:val="16"/>
        <w:szCs w:val="20"/>
      </w:rPr>
      <w:t>619 Lower Plenty Road, Yallambie VIC 3085</w:t>
    </w:r>
    <w:r w:rsidRPr="00F233E8">
      <w:rPr>
        <w:rFonts w:eastAsiaTheme="minorEastAsia"/>
        <w:sz w:val="16"/>
        <w:szCs w:val="20"/>
      </w:rPr>
      <w:tab/>
      <w:t>38–40 Urunga Parade, Miranda NSW 2228</w:t>
    </w:r>
    <w:r w:rsidRPr="00F233E8">
      <w:rPr>
        <w:rFonts w:eastAsiaTheme="minorEastAsia"/>
        <w:sz w:val="16"/>
        <w:szCs w:val="20"/>
      </w:rPr>
      <w:tab/>
      <w:t>info@arpansa.gov.au</w:t>
    </w:r>
    <w:r w:rsidRPr="00F233E8">
      <w:rPr>
        <w:rFonts w:eastAsiaTheme="minorEastAsia"/>
        <w:sz w:val="16"/>
        <w:szCs w:val="20"/>
      </w:rPr>
      <w:br/>
      <w:t>+61 3 9433 2211</w:t>
    </w:r>
    <w:r w:rsidRPr="00F233E8">
      <w:rPr>
        <w:rFonts w:eastAsiaTheme="minorEastAsia"/>
        <w:sz w:val="16"/>
        <w:szCs w:val="20"/>
      </w:rPr>
      <w:tab/>
      <w:t>PO Box 655, Miranda 1490</w:t>
    </w:r>
    <w:r w:rsidRPr="00F233E8">
      <w:rPr>
        <w:rFonts w:eastAsiaTheme="minorEastAsia"/>
        <w:sz w:val="16"/>
        <w:szCs w:val="20"/>
      </w:rPr>
      <w:tab/>
      <w:t>arpansa.gov.au</w:t>
    </w:r>
    <w:r w:rsidRPr="00F233E8">
      <w:rPr>
        <w:rFonts w:eastAsiaTheme="minorEastAsia"/>
        <w:sz w:val="16"/>
        <w:szCs w:val="20"/>
      </w:rPr>
      <w:br/>
    </w:r>
    <w:r w:rsidRPr="00F233E8">
      <w:rPr>
        <w:rFonts w:eastAsiaTheme="minorEastAsia"/>
        <w:sz w:val="16"/>
        <w:szCs w:val="20"/>
      </w:rPr>
      <w:tab/>
      <w:t>+61 2 9541 8333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2CA85" w14:textId="221CAE9D" w:rsidR="00F233E8" w:rsidRPr="004C67C3" w:rsidRDefault="00F233E8" w:rsidP="004C67C3">
    <w:pPr>
      <w:pStyle w:val="Footer"/>
      <w:tabs>
        <w:tab w:val="left" w:pos="6804"/>
      </w:tabs>
      <w:spacing w:before="120"/>
      <w:rPr>
        <w:sz w:val="18"/>
        <w:szCs w:val="18"/>
      </w:rPr>
    </w:pPr>
    <w:r w:rsidRPr="004C67C3">
      <w:rPr>
        <w:noProof/>
        <w:sz w:val="18"/>
        <w:szCs w:val="18"/>
        <w:lang w:eastAsia="en-AU"/>
      </w:rPr>
      <w:drawing>
        <wp:anchor distT="0" distB="0" distL="114300" distR="114300" simplePos="0" relativeHeight="251682816" behindDoc="0" locked="0" layoutInCell="1" allowOverlap="1" wp14:anchorId="06E4E3CA" wp14:editId="160361DA">
          <wp:simplePos x="0" y="0"/>
          <wp:positionH relativeFrom="column">
            <wp:posOffset>-15875</wp:posOffset>
          </wp:positionH>
          <wp:positionV relativeFrom="paragraph">
            <wp:posOffset>-55880</wp:posOffset>
          </wp:positionV>
          <wp:extent cx="9899015" cy="45085"/>
          <wp:effectExtent l="0" t="0" r="6985" b="0"/>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9015" cy="45085"/>
                  </a:xfrm>
                  <a:prstGeom prst="rect">
                    <a:avLst/>
                  </a:prstGeom>
                </pic:spPr>
              </pic:pic>
            </a:graphicData>
          </a:graphic>
          <wp14:sizeRelH relativeFrom="page">
            <wp14:pctWidth>0</wp14:pctWidth>
          </wp14:sizeRelH>
          <wp14:sizeRelV relativeFrom="page">
            <wp14:pctHeight>0</wp14:pctHeight>
          </wp14:sizeRelV>
        </wp:anchor>
      </w:drawing>
    </w:r>
    <w:r w:rsidR="004C67C3">
      <w:rPr>
        <w:sz w:val="18"/>
        <w:szCs w:val="18"/>
      </w:rPr>
      <w:t>ARPANSA-REG-INS-MAN-280W v4.1</w:t>
    </w:r>
    <w:r w:rsidR="004C67C3">
      <w:rPr>
        <w:sz w:val="18"/>
        <w:szCs w:val="18"/>
      </w:rPr>
      <w:tab/>
    </w:r>
    <w:r w:rsidR="004C67C3">
      <w:rPr>
        <w:sz w:val="18"/>
        <w:szCs w:val="18"/>
      </w:rPr>
      <w:tab/>
    </w:r>
    <w:r w:rsidRPr="004C67C3">
      <w:rPr>
        <w:sz w:val="18"/>
        <w:szCs w:val="18"/>
      </w:rPr>
      <w:t>March 2019</w:t>
    </w:r>
    <w:r w:rsidR="004C67C3">
      <w:rPr>
        <w:sz w:val="18"/>
        <w:szCs w:val="18"/>
      </w:rPr>
      <w:tab/>
    </w:r>
    <w:r w:rsidRPr="004C67C3">
      <w:rPr>
        <w:sz w:val="18"/>
        <w:szCs w:val="18"/>
      </w:rPr>
      <w:tab/>
    </w:r>
    <w:r w:rsidRPr="004C67C3">
      <w:rPr>
        <w:sz w:val="18"/>
        <w:szCs w:val="18"/>
      </w:rPr>
      <w:tab/>
    </w:r>
    <w:r w:rsidRPr="004C67C3">
      <w:rPr>
        <w:sz w:val="18"/>
        <w:szCs w:val="18"/>
      </w:rPr>
      <w:tab/>
    </w:r>
    <w:r w:rsidRPr="004C67C3">
      <w:rPr>
        <w:sz w:val="18"/>
        <w:szCs w:val="18"/>
      </w:rPr>
      <w:tab/>
    </w:r>
    <w:r w:rsidRPr="004C67C3">
      <w:rPr>
        <w:sz w:val="18"/>
        <w:szCs w:val="18"/>
      </w:rPr>
      <w:tab/>
    </w:r>
    <w:r w:rsidRPr="004C67C3">
      <w:rPr>
        <w:sz w:val="18"/>
        <w:szCs w:val="18"/>
      </w:rPr>
      <w:tab/>
      <w:t xml:space="preserve">Page </w:t>
    </w:r>
    <w:r w:rsidRPr="004C67C3">
      <w:rPr>
        <w:sz w:val="18"/>
        <w:szCs w:val="18"/>
      </w:rPr>
      <w:fldChar w:fldCharType="begin"/>
    </w:r>
    <w:r w:rsidRPr="004C67C3">
      <w:rPr>
        <w:sz w:val="18"/>
        <w:szCs w:val="18"/>
      </w:rPr>
      <w:instrText xml:space="preserve"> PAGE  \* Arabic  \* MERGEFORMAT </w:instrText>
    </w:r>
    <w:r w:rsidRPr="004C67C3">
      <w:rPr>
        <w:sz w:val="18"/>
        <w:szCs w:val="18"/>
      </w:rPr>
      <w:fldChar w:fldCharType="separate"/>
    </w:r>
    <w:r w:rsidR="004C67C3">
      <w:rPr>
        <w:noProof/>
        <w:sz w:val="18"/>
        <w:szCs w:val="18"/>
      </w:rPr>
      <w:t>29</w:t>
    </w:r>
    <w:r w:rsidRPr="004C67C3">
      <w:rPr>
        <w:sz w:val="18"/>
        <w:szCs w:val="18"/>
      </w:rPr>
      <w:fldChar w:fldCharType="end"/>
    </w:r>
    <w:r w:rsidRPr="004C67C3">
      <w:rPr>
        <w:sz w:val="18"/>
        <w:szCs w:val="18"/>
      </w:rPr>
      <w:t xml:space="preserve"> of </w:t>
    </w:r>
    <w:r w:rsidRPr="004C67C3">
      <w:rPr>
        <w:sz w:val="18"/>
        <w:szCs w:val="18"/>
      </w:rPr>
      <w:fldChar w:fldCharType="begin"/>
    </w:r>
    <w:r w:rsidRPr="004C67C3">
      <w:rPr>
        <w:sz w:val="18"/>
        <w:szCs w:val="18"/>
      </w:rPr>
      <w:instrText xml:space="preserve"> NUMPAGES  \* Arabic  \* MERGEFORMAT </w:instrText>
    </w:r>
    <w:r w:rsidRPr="004C67C3">
      <w:rPr>
        <w:sz w:val="18"/>
        <w:szCs w:val="18"/>
      </w:rPr>
      <w:fldChar w:fldCharType="separate"/>
    </w:r>
    <w:r w:rsidR="004C67C3">
      <w:rPr>
        <w:noProof/>
        <w:sz w:val="18"/>
        <w:szCs w:val="18"/>
      </w:rPr>
      <w:t>30</w:t>
    </w:r>
    <w:r w:rsidRPr="004C67C3">
      <w:rPr>
        <w:noProof/>
        <w:sz w:val="18"/>
        <w:szCs w:val="18"/>
      </w:rPr>
      <w:fldChar w:fldCharType="end"/>
    </w:r>
  </w:p>
  <w:p w14:paraId="1350A515" w14:textId="19B3452D" w:rsidR="00F233E8" w:rsidRPr="00BA6C12" w:rsidRDefault="00F233E8" w:rsidP="002665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024F" w14:textId="47C1DA92" w:rsidR="00F233E8" w:rsidRPr="004C67C3" w:rsidRDefault="00F233E8" w:rsidP="0026652C">
    <w:pPr>
      <w:rPr>
        <w:noProof/>
        <w:sz w:val="18"/>
        <w:szCs w:val="18"/>
      </w:rPr>
    </w:pPr>
    <w:r w:rsidRPr="004C67C3">
      <w:rPr>
        <w:noProof/>
        <w:sz w:val="18"/>
        <w:szCs w:val="18"/>
        <w:lang w:eastAsia="en-AU"/>
      </w:rPr>
      <w:drawing>
        <wp:anchor distT="0" distB="0" distL="114300" distR="114300" simplePos="0" relativeHeight="251679744" behindDoc="0" locked="0" layoutInCell="1" allowOverlap="1" wp14:anchorId="279E897C" wp14:editId="3C293CB9">
          <wp:simplePos x="0" y="0"/>
          <wp:positionH relativeFrom="column">
            <wp:posOffset>-15875</wp:posOffset>
          </wp:positionH>
          <wp:positionV relativeFrom="paragraph">
            <wp:posOffset>-55880</wp:posOffset>
          </wp:positionV>
          <wp:extent cx="9899015" cy="45085"/>
          <wp:effectExtent l="0" t="0" r="6985" b="0"/>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9015" cy="45085"/>
                  </a:xfrm>
                  <a:prstGeom prst="rect">
                    <a:avLst/>
                  </a:prstGeom>
                </pic:spPr>
              </pic:pic>
            </a:graphicData>
          </a:graphic>
          <wp14:sizeRelH relativeFrom="page">
            <wp14:pctWidth>0</wp14:pctWidth>
          </wp14:sizeRelH>
          <wp14:sizeRelV relativeFrom="page">
            <wp14:pctHeight>0</wp14:pctHeight>
          </wp14:sizeRelV>
        </wp:anchor>
      </w:drawing>
    </w:r>
    <w:r w:rsidRPr="004C67C3">
      <w:rPr>
        <w:sz w:val="18"/>
        <w:szCs w:val="18"/>
      </w:rPr>
      <w:t>ARPANSA-REG-INS-MAN-280W v4.1</w:t>
    </w:r>
    <w:r w:rsidRPr="004C67C3">
      <w:rPr>
        <w:sz w:val="18"/>
        <w:szCs w:val="18"/>
      </w:rPr>
      <w:tab/>
    </w:r>
    <w:r w:rsidRPr="004C67C3">
      <w:rPr>
        <w:sz w:val="18"/>
        <w:szCs w:val="18"/>
      </w:rPr>
      <w:tab/>
    </w:r>
    <w:r w:rsidR="004C67C3">
      <w:rPr>
        <w:sz w:val="18"/>
        <w:szCs w:val="18"/>
      </w:rPr>
      <w:tab/>
    </w:r>
    <w:r w:rsidR="004C67C3">
      <w:rPr>
        <w:sz w:val="18"/>
        <w:szCs w:val="18"/>
      </w:rPr>
      <w:tab/>
    </w:r>
    <w:r w:rsidR="004C67C3">
      <w:rPr>
        <w:sz w:val="18"/>
        <w:szCs w:val="18"/>
      </w:rPr>
      <w:tab/>
    </w:r>
    <w:r w:rsidR="004C67C3">
      <w:rPr>
        <w:sz w:val="18"/>
        <w:szCs w:val="18"/>
      </w:rPr>
      <w:tab/>
    </w:r>
    <w:r w:rsidRPr="004C67C3">
      <w:rPr>
        <w:sz w:val="18"/>
        <w:szCs w:val="18"/>
      </w:rPr>
      <w:t>Ma</w:t>
    </w:r>
    <w:r w:rsidR="004C67C3">
      <w:rPr>
        <w:sz w:val="18"/>
        <w:szCs w:val="18"/>
      </w:rPr>
      <w:t>y</w:t>
    </w:r>
    <w:r w:rsidRPr="004C67C3">
      <w:rPr>
        <w:sz w:val="18"/>
        <w:szCs w:val="18"/>
      </w:rPr>
      <w:t xml:space="preserve"> 2019</w:t>
    </w:r>
    <w:r w:rsidRPr="004C67C3">
      <w:rPr>
        <w:sz w:val="18"/>
        <w:szCs w:val="18"/>
      </w:rPr>
      <w:tab/>
    </w:r>
    <w:r w:rsidRPr="004C67C3">
      <w:rPr>
        <w:sz w:val="18"/>
        <w:szCs w:val="18"/>
      </w:rPr>
      <w:tab/>
    </w:r>
    <w:r w:rsidRPr="004C67C3">
      <w:rPr>
        <w:sz w:val="18"/>
        <w:szCs w:val="18"/>
      </w:rPr>
      <w:tab/>
    </w:r>
    <w:r w:rsidRPr="004C67C3">
      <w:rPr>
        <w:sz w:val="18"/>
        <w:szCs w:val="18"/>
      </w:rPr>
      <w:tab/>
    </w:r>
    <w:r w:rsidRPr="004C67C3">
      <w:rPr>
        <w:sz w:val="18"/>
        <w:szCs w:val="18"/>
      </w:rPr>
      <w:tab/>
    </w:r>
    <w:r w:rsidRPr="004C67C3">
      <w:rPr>
        <w:sz w:val="18"/>
        <w:szCs w:val="18"/>
      </w:rPr>
      <w:tab/>
    </w:r>
    <w:r w:rsidRPr="004C67C3">
      <w:rPr>
        <w:sz w:val="18"/>
        <w:szCs w:val="18"/>
      </w:rPr>
      <w:tab/>
    </w:r>
    <w:r w:rsidRPr="004C67C3">
      <w:rPr>
        <w:sz w:val="18"/>
        <w:szCs w:val="18"/>
      </w:rPr>
      <w:tab/>
      <w:t xml:space="preserve">Page </w:t>
    </w:r>
    <w:r w:rsidRPr="004C67C3">
      <w:rPr>
        <w:sz w:val="18"/>
        <w:szCs w:val="18"/>
      </w:rPr>
      <w:fldChar w:fldCharType="begin"/>
    </w:r>
    <w:r w:rsidRPr="004C67C3">
      <w:rPr>
        <w:sz w:val="18"/>
        <w:szCs w:val="18"/>
      </w:rPr>
      <w:instrText xml:space="preserve"> PAGE  \* Arabic  \* MERGEFORMAT </w:instrText>
    </w:r>
    <w:r w:rsidRPr="004C67C3">
      <w:rPr>
        <w:sz w:val="18"/>
        <w:szCs w:val="18"/>
      </w:rPr>
      <w:fldChar w:fldCharType="separate"/>
    </w:r>
    <w:r w:rsidR="004C67C3">
      <w:rPr>
        <w:noProof/>
        <w:sz w:val="18"/>
        <w:szCs w:val="18"/>
      </w:rPr>
      <w:t>27</w:t>
    </w:r>
    <w:r w:rsidRPr="004C67C3">
      <w:rPr>
        <w:sz w:val="18"/>
        <w:szCs w:val="18"/>
      </w:rPr>
      <w:fldChar w:fldCharType="end"/>
    </w:r>
    <w:r w:rsidRPr="004C67C3">
      <w:rPr>
        <w:sz w:val="18"/>
        <w:szCs w:val="18"/>
      </w:rPr>
      <w:t xml:space="preserve"> of </w:t>
    </w:r>
    <w:r w:rsidRPr="004C67C3">
      <w:rPr>
        <w:sz w:val="18"/>
        <w:szCs w:val="18"/>
      </w:rPr>
      <w:fldChar w:fldCharType="begin"/>
    </w:r>
    <w:r w:rsidRPr="004C67C3">
      <w:rPr>
        <w:sz w:val="18"/>
        <w:szCs w:val="18"/>
      </w:rPr>
      <w:instrText xml:space="preserve"> NUMPAGES  \* Arabic  \* MERGEFORMAT </w:instrText>
    </w:r>
    <w:r w:rsidRPr="004C67C3">
      <w:rPr>
        <w:sz w:val="18"/>
        <w:szCs w:val="18"/>
      </w:rPr>
      <w:fldChar w:fldCharType="separate"/>
    </w:r>
    <w:r w:rsidR="004C67C3">
      <w:rPr>
        <w:noProof/>
        <w:sz w:val="18"/>
        <w:szCs w:val="18"/>
      </w:rPr>
      <w:t>30</w:t>
    </w:r>
    <w:r w:rsidRPr="004C67C3">
      <w:rPr>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8CDA" w14:textId="77777777" w:rsidR="00F233E8" w:rsidRDefault="00F233E8" w:rsidP="0026652C">
    <w:pPr>
      <w:pStyle w:val="Footer"/>
      <w:rPr>
        <w:sz w:val="16"/>
        <w:szCs w:val="16"/>
      </w:rPr>
    </w:pPr>
    <w:r w:rsidRPr="006B299F">
      <w:rPr>
        <w:noProof/>
        <w:lang w:eastAsia="en-AU"/>
      </w:rPr>
      <w:drawing>
        <wp:anchor distT="0" distB="0" distL="114300" distR="114300" simplePos="0" relativeHeight="251667456" behindDoc="0" locked="0" layoutInCell="1" allowOverlap="1" wp14:anchorId="44E4A1F4" wp14:editId="1225EDA0">
          <wp:simplePos x="0" y="0"/>
          <wp:positionH relativeFrom="column">
            <wp:posOffset>0</wp:posOffset>
          </wp:positionH>
          <wp:positionV relativeFrom="paragraph">
            <wp:posOffset>287655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p w14:paraId="163A5CEB" w14:textId="4EBD8CE2" w:rsidR="00F233E8" w:rsidRDefault="00F233E8" w:rsidP="0026652C">
    <w:pPr>
      <w:pStyle w:val="Footer"/>
      <w:rPr>
        <w:noProof/>
      </w:rPr>
    </w:pPr>
    <w:r>
      <w:t xml:space="preserve">Inspection Manual </w:t>
    </w:r>
    <w:r w:rsidRPr="003C7878">
      <w:t>v2</w:t>
    </w:r>
    <w:r w:rsidRPr="003C7878">
      <w:tab/>
    </w:r>
    <w:r>
      <w:t>September 2017</w:t>
    </w:r>
    <w:r w:rsidRPr="003C7878">
      <w:tab/>
      <w:t xml:space="preserve">Page </w:t>
    </w:r>
    <w:r w:rsidRPr="003C7878">
      <w:fldChar w:fldCharType="begin"/>
    </w:r>
    <w:r w:rsidRPr="003C7878">
      <w:instrText xml:space="preserve"> PAGE  \* Arabic  \* MERGEFORMAT </w:instrText>
    </w:r>
    <w:r w:rsidRPr="003C7878">
      <w:fldChar w:fldCharType="separate"/>
    </w:r>
    <w:r>
      <w:rPr>
        <w:noProof/>
      </w:rPr>
      <w:t>30</w:t>
    </w:r>
    <w:r w:rsidRPr="003C7878">
      <w:fldChar w:fldCharType="end"/>
    </w:r>
    <w:r w:rsidRPr="003C7878">
      <w:t xml:space="preserve"> of </w:t>
    </w:r>
    <w:fldSimple w:instr=" NUMPAGES  \* Arabic  \* MERGEFORMAT ">
      <w:r>
        <w:rPr>
          <w:noProof/>
        </w:rPr>
        <w:t>25</w:t>
      </w:r>
    </w:fldSimple>
  </w:p>
  <w:p w14:paraId="580B4F0E" w14:textId="77777777" w:rsidR="00F233E8" w:rsidRPr="003C7878" w:rsidRDefault="00F233E8" w:rsidP="0026652C">
    <w:pPr>
      <w:pStyle w:val="Footer"/>
    </w:pPr>
    <w:r>
      <w:t>ARPANSA-REG-INS-MAN-280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214E" w14:textId="016EE242" w:rsidR="00F233E8" w:rsidRDefault="00F233E8" w:rsidP="0026652C">
    <w:pPr>
      <w:pStyle w:val="Footer"/>
      <w:rPr>
        <w:noProof/>
      </w:rPr>
    </w:pPr>
    <w:r w:rsidRPr="006B299F">
      <w:rPr>
        <w:noProof/>
        <w:sz w:val="12"/>
        <w:lang w:eastAsia="en-AU"/>
      </w:rPr>
      <w:drawing>
        <wp:anchor distT="0" distB="0" distL="114300" distR="114300" simplePos="0" relativeHeight="251673600" behindDoc="0" locked="0" layoutInCell="1" allowOverlap="1" wp14:anchorId="1190BA5F" wp14:editId="784A91B8">
          <wp:simplePos x="0" y="0"/>
          <wp:positionH relativeFrom="column">
            <wp:posOffset>0</wp:posOffset>
          </wp:positionH>
          <wp:positionV relativeFrom="paragraph">
            <wp:posOffset>198120</wp:posOffset>
          </wp:positionV>
          <wp:extent cx="6119495" cy="53975"/>
          <wp:effectExtent l="0" t="0" r="0" b="3175"/>
          <wp:wrapTopAndBottom/>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t>Inspection Manual v4</w:t>
    </w:r>
    <w:r w:rsidRPr="00BA6C12">
      <w:tab/>
    </w:r>
    <w:r>
      <w:t>September 2018</w:t>
    </w:r>
    <w:r>
      <w:tab/>
    </w:r>
    <w:r w:rsidRPr="00BA6C12">
      <w:t xml:space="preserve">Page </w:t>
    </w:r>
    <w:r w:rsidRPr="00BA6C12">
      <w:fldChar w:fldCharType="begin"/>
    </w:r>
    <w:r w:rsidRPr="00BA6C12">
      <w:instrText xml:space="preserve"> PAGE  \* Arabic  \* MERGEFORMAT </w:instrText>
    </w:r>
    <w:r w:rsidRPr="00BA6C12">
      <w:fldChar w:fldCharType="separate"/>
    </w:r>
    <w:r w:rsidR="004C67C3">
      <w:rPr>
        <w:noProof/>
      </w:rPr>
      <w:t>33</w:t>
    </w:r>
    <w:r w:rsidRPr="00BA6C12">
      <w:fldChar w:fldCharType="end"/>
    </w:r>
    <w:r w:rsidRPr="00BA6C12">
      <w:t xml:space="preserve"> of </w:t>
    </w:r>
    <w:fldSimple w:instr=" NUMPAGES  \* Arabic  \* MERGEFORMAT ">
      <w:r w:rsidR="004C67C3">
        <w:rPr>
          <w:noProof/>
        </w:rPr>
        <w:t>33</w:t>
      </w:r>
    </w:fldSimple>
  </w:p>
  <w:p w14:paraId="4E5F7784" w14:textId="1AD4AAAE" w:rsidR="00F233E8" w:rsidRPr="00BA6C12" w:rsidRDefault="00F233E8" w:rsidP="0026652C">
    <w:pPr>
      <w:pStyle w:val="Footer"/>
    </w:pPr>
    <w:r>
      <w:t>ARPANSA-REG-INS-MAN-280W</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0566" w14:textId="75550805" w:rsidR="00F233E8" w:rsidRPr="004C67C3" w:rsidRDefault="00F233E8" w:rsidP="0026652C">
    <w:pPr>
      <w:pStyle w:val="Footer"/>
      <w:rPr>
        <w:sz w:val="18"/>
        <w:szCs w:val="18"/>
      </w:rPr>
    </w:pPr>
    <w:r w:rsidRPr="004C67C3">
      <w:rPr>
        <w:noProof/>
        <w:sz w:val="18"/>
        <w:szCs w:val="18"/>
        <w:lang w:eastAsia="en-AU"/>
      </w:rPr>
      <w:drawing>
        <wp:anchor distT="0" distB="0" distL="114300" distR="114300" simplePos="0" relativeHeight="251671552" behindDoc="0" locked="0" layoutInCell="1" allowOverlap="1" wp14:anchorId="401BB800" wp14:editId="026EBD75">
          <wp:simplePos x="0" y="0"/>
          <wp:positionH relativeFrom="column">
            <wp:posOffset>0</wp:posOffset>
          </wp:positionH>
          <wp:positionV relativeFrom="paragraph">
            <wp:posOffset>198120</wp:posOffset>
          </wp:positionV>
          <wp:extent cx="6119495" cy="53975"/>
          <wp:effectExtent l="0" t="0" r="0" b="3175"/>
          <wp:wrapTopAndBottom/>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4C67C3">
      <w:rPr>
        <w:sz w:val="18"/>
        <w:szCs w:val="18"/>
      </w:rPr>
      <w:t>ARPANSA-REG-INS-MAN-280W v4.1</w:t>
    </w:r>
    <w:r w:rsidRPr="004C67C3">
      <w:rPr>
        <w:sz w:val="18"/>
        <w:szCs w:val="18"/>
      </w:rPr>
      <w:tab/>
      <w:t>Ma</w:t>
    </w:r>
    <w:r w:rsidR="004C67C3">
      <w:rPr>
        <w:sz w:val="18"/>
        <w:szCs w:val="18"/>
      </w:rPr>
      <w:t>y</w:t>
    </w:r>
    <w:r w:rsidRPr="004C67C3">
      <w:rPr>
        <w:sz w:val="18"/>
        <w:szCs w:val="18"/>
      </w:rPr>
      <w:t xml:space="preserve"> 2019</w:t>
    </w:r>
    <w:r w:rsidRPr="004C67C3">
      <w:rPr>
        <w:sz w:val="18"/>
        <w:szCs w:val="18"/>
      </w:rPr>
      <w:tab/>
      <w:t>Page 25 of 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ABF2D" w14:textId="77777777" w:rsidR="003B68D1" w:rsidRDefault="003B68D1" w:rsidP="0026652C">
      <w:r>
        <w:separator/>
      </w:r>
    </w:p>
  </w:footnote>
  <w:footnote w:type="continuationSeparator" w:id="0">
    <w:p w14:paraId="1D3CEDC5" w14:textId="77777777" w:rsidR="003B68D1" w:rsidRDefault="003B68D1" w:rsidP="0026652C">
      <w:r>
        <w:continuationSeparator/>
      </w:r>
    </w:p>
  </w:footnote>
  <w:footnote w:id="1">
    <w:p w14:paraId="4E7BA7BB" w14:textId="392F493B" w:rsidR="00F233E8" w:rsidRPr="00D26D28" w:rsidRDefault="00F233E8" w:rsidP="0026652C">
      <w:pPr>
        <w:pStyle w:val="FootnoteText"/>
      </w:pPr>
      <w:r w:rsidRPr="006348FA">
        <w:rPr>
          <w:rStyle w:val="FootnoteReference"/>
        </w:rPr>
        <w:footnoteRef/>
      </w:r>
      <w:r w:rsidRPr="006348FA">
        <w:t xml:space="preserve"> Inspection program will only identify prohibited activities undertaken by controlled persons who are licensed for another activity</w:t>
      </w:r>
      <w:r>
        <w:t xml:space="preserve">. Targeted awareness campaigns will be conducted periodically to promote licensing and identify prohibited activity. </w:t>
      </w:r>
    </w:p>
  </w:footnote>
  <w:footnote w:id="2">
    <w:p w14:paraId="404F737A" w14:textId="052E66C6" w:rsidR="00F233E8" w:rsidRPr="005D59CE" w:rsidRDefault="00F233E8" w:rsidP="0026652C">
      <w:pPr>
        <w:pStyle w:val="FootnoteText"/>
      </w:pPr>
      <w:r w:rsidRPr="005D59CE">
        <w:rPr>
          <w:rStyle w:val="FootnoteReference"/>
          <w:sz w:val="16"/>
          <w:szCs w:val="16"/>
        </w:rPr>
        <w:footnoteRef/>
      </w:r>
      <w:r w:rsidRPr="005D59CE">
        <w:t xml:space="preserve"> </w:t>
      </w:r>
      <w:r w:rsidRPr="006F62AD">
        <w:t xml:space="preserve">Scale </w:t>
      </w:r>
      <w:r>
        <w:t xml:space="preserve">starts </w:t>
      </w:r>
      <w:r w:rsidRPr="006F62AD">
        <w:t>at 2 to provide greater</w:t>
      </w:r>
      <w:r>
        <w:t xml:space="preserve"> resolution</w:t>
      </w:r>
    </w:p>
  </w:footnote>
  <w:footnote w:id="3">
    <w:p w14:paraId="77ED66E4" w14:textId="6FE9BFCB" w:rsidR="00F233E8" w:rsidRPr="00850BAE" w:rsidRDefault="00F233E8" w:rsidP="0026652C">
      <w:pPr>
        <w:pStyle w:val="BodyTextIndent"/>
      </w:pPr>
      <w:r w:rsidRPr="00850BAE">
        <w:rPr>
          <w:rStyle w:val="FootnoteReference"/>
          <w:sz w:val="16"/>
          <w:szCs w:val="16"/>
        </w:rPr>
        <w:footnoteRef/>
      </w:r>
      <w:r w:rsidRPr="00850BAE">
        <w:t xml:space="preserve"> </w:t>
      </w:r>
      <w:r w:rsidRPr="001C1212">
        <w:t xml:space="preserve">Use only the term ‘potential non-compliance’. Whether a </w:t>
      </w:r>
      <w:r>
        <w:t xml:space="preserve">potential </w:t>
      </w:r>
      <w:r w:rsidRPr="001C1212">
        <w:t>non-compliance constitutes a breach will be determined after further consideration and after the licence holder has been given the opportunity to respond</w:t>
      </w:r>
      <w:r>
        <w:t xml:space="preserve"> – see </w:t>
      </w:r>
      <w:r w:rsidRPr="00C7781F">
        <w:t xml:space="preserve">Compliance &amp; Enforcement Manual. </w:t>
      </w:r>
    </w:p>
  </w:footnote>
  <w:footnote w:id="4">
    <w:p w14:paraId="659D2852" w14:textId="5D93EFC0" w:rsidR="00F233E8" w:rsidRPr="0015028E" w:rsidRDefault="00F233E8" w:rsidP="0026652C">
      <w:pPr>
        <w:pStyle w:val="FootnoteText"/>
      </w:pPr>
      <w:r w:rsidRPr="0015028E">
        <w:rPr>
          <w:rStyle w:val="FootnoteReference"/>
          <w:sz w:val="16"/>
          <w:szCs w:val="16"/>
        </w:rPr>
        <w:footnoteRef/>
      </w:r>
      <w:r w:rsidRPr="0015028E">
        <w:t xml:space="preserve"> If the LAO is not available, the inspector may send the pdf report to the licence holder but must send a copy to Licence Admin</w:t>
      </w:r>
      <w:r>
        <w:t>istration</w:t>
      </w:r>
      <w:r w:rsidRPr="0015028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10F"/>
    <w:multiLevelType w:val="hybridMultilevel"/>
    <w:tmpl w:val="5A70DFE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D6A5D"/>
    <w:multiLevelType w:val="hybridMultilevel"/>
    <w:tmpl w:val="6E74D2AC"/>
    <w:lvl w:ilvl="0" w:tplc="091A93DC">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31AD7"/>
    <w:multiLevelType w:val="multilevel"/>
    <w:tmpl w:val="877AB2C6"/>
    <w:lvl w:ilvl="0">
      <w:start w:val="3"/>
      <w:numFmt w:val="decimal"/>
      <w:lvlText w:val="%1."/>
      <w:lvlJc w:val="left"/>
      <w:pPr>
        <w:ind w:left="720" w:hanging="360"/>
      </w:pPr>
      <w:rPr>
        <w:rFonts w:hint="default"/>
        <w:b/>
      </w:rPr>
    </w:lvl>
    <w:lvl w:ilvl="1">
      <w:start w:val="1"/>
      <w:numFmt w:val="decimal"/>
      <w:isLgl/>
      <w:lvlText w:val="%1.%2"/>
      <w:lvlJc w:val="left"/>
      <w:pPr>
        <w:ind w:left="851"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6D3A1D"/>
    <w:multiLevelType w:val="hybridMultilevel"/>
    <w:tmpl w:val="35C2A3D4"/>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AB795F"/>
    <w:multiLevelType w:val="hybridMultilevel"/>
    <w:tmpl w:val="4D0A03D0"/>
    <w:lvl w:ilvl="0" w:tplc="0C09000F">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3379A0"/>
    <w:multiLevelType w:val="hybridMultilevel"/>
    <w:tmpl w:val="E676C62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E41635"/>
    <w:multiLevelType w:val="multilevel"/>
    <w:tmpl w:val="47980ECC"/>
    <w:lvl w:ilvl="0">
      <w:start w:val="2"/>
      <w:numFmt w:val="decimal"/>
      <w:lvlText w:val="%1."/>
      <w:lvlJc w:val="left"/>
      <w:pPr>
        <w:ind w:left="720" w:hanging="360"/>
      </w:pPr>
      <w:rPr>
        <w:rFonts w:hint="default"/>
        <w:i w:val="0"/>
      </w:rPr>
    </w:lvl>
    <w:lvl w:ilvl="1">
      <w:start w:val="2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401D5B"/>
    <w:multiLevelType w:val="hybridMultilevel"/>
    <w:tmpl w:val="BA7E1F54"/>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763989"/>
    <w:multiLevelType w:val="hybridMultilevel"/>
    <w:tmpl w:val="CC9C1AF0"/>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7A46E3"/>
    <w:multiLevelType w:val="hybridMultilevel"/>
    <w:tmpl w:val="7B50324E"/>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FF4804"/>
    <w:multiLevelType w:val="hybridMultilevel"/>
    <w:tmpl w:val="10C494EE"/>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F16AA3"/>
    <w:multiLevelType w:val="hybridMultilevel"/>
    <w:tmpl w:val="62E4298C"/>
    <w:lvl w:ilvl="0" w:tplc="2B5837C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E202FF"/>
    <w:multiLevelType w:val="multilevel"/>
    <w:tmpl w:val="27F68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FF2425"/>
    <w:multiLevelType w:val="hybridMultilevel"/>
    <w:tmpl w:val="B7E20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F1681F"/>
    <w:multiLevelType w:val="hybridMultilevel"/>
    <w:tmpl w:val="54D2585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FE6B9C"/>
    <w:multiLevelType w:val="hybridMultilevel"/>
    <w:tmpl w:val="2E2CC49C"/>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373D7B"/>
    <w:multiLevelType w:val="hybridMultilevel"/>
    <w:tmpl w:val="0778C968"/>
    <w:lvl w:ilvl="0" w:tplc="17D6F51A">
      <w:start w:val="1"/>
      <w:numFmt w:val="decimal"/>
      <w:pStyle w:val="Style1"/>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721758"/>
    <w:multiLevelType w:val="hybridMultilevel"/>
    <w:tmpl w:val="705628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F77F3"/>
    <w:multiLevelType w:val="hybridMultilevel"/>
    <w:tmpl w:val="DDBE591A"/>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E42F3B"/>
    <w:multiLevelType w:val="hybridMultilevel"/>
    <w:tmpl w:val="3C04F2AC"/>
    <w:lvl w:ilvl="0" w:tplc="A3EC279C">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DB0FDF"/>
    <w:multiLevelType w:val="hybridMultilevel"/>
    <w:tmpl w:val="35A2DE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2" w15:restartNumberingAfterBreak="0">
    <w:nsid w:val="63EC264D"/>
    <w:multiLevelType w:val="hybridMultilevel"/>
    <w:tmpl w:val="30AC983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07343D"/>
    <w:multiLevelType w:val="hybridMultilevel"/>
    <w:tmpl w:val="7E6A43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F381F"/>
    <w:multiLevelType w:val="hybridMultilevel"/>
    <w:tmpl w:val="53C28E72"/>
    <w:lvl w:ilvl="0" w:tplc="A3EC279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044556"/>
    <w:multiLevelType w:val="hybridMultilevel"/>
    <w:tmpl w:val="F5F45874"/>
    <w:lvl w:ilvl="0" w:tplc="2B5837C2">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674689"/>
    <w:multiLevelType w:val="hybridMultilevel"/>
    <w:tmpl w:val="72B893EA"/>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DB1B7B"/>
    <w:multiLevelType w:val="multilevel"/>
    <w:tmpl w:val="59706F2E"/>
    <w:lvl w:ilvl="0">
      <w:start w:val="2"/>
      <w:numFmt w:val="decimal"/>
      <w:lvlText w:val="%1"/>
      <w:lvlJc w:val="left"/>
      <w:pPr>
        <w:ind w:left="360" w:hanging="360"/>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C97DEF"/>
    <w:multiLevelType w:val="multilevel"/>
    <w:tmpl w:val="FAD08E30"/>
    <w:lvl w:ilvl="0">
      <w:start w:val="1"/>
      <w:numFmt w:val="decimal"/>
      <w:lvlText w:val="%1."/>
      <w:lvlJc w:val="left"/>
      <w:pPr>
        <w:ind w:left="720" w:hanging="360"/>
      </w:pPr>
      <w:rPr>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73286F"/>
    <w:multiLevelType w:val="multilevel"/>
    <w:tmpl w:val="919C92FE"/>
    <w:lvl w:ilvl="0">
      <w:start w:val="1"/>
      <w:numFmt w:val="decimal"/>
      <w:pStyle w:val="Heading2"/>
      <w:lvlText w:val="%1."/>
      <w:lvlJc w:val="left"/>
      <w:pPr>
        <w:tabs>
          <w:tab w:val="num" w:pos="737"/>
        </w:tabs>
        <w:ind w:left="737" w:hanging="737"/>
      </w:pPr>
      <w:rPr>
        <w:rFonts w:hint="default"/>
      </w:rPr>
    </w:lvl>
    <w:lvl w:ilvl="1">
      <w:start w:val="1"/>
      <w:numFmt w:val="decimal"/>
      <w:pStyle w:val="Heading3"/>
      <w:lvlText w:val="%1.%2"/>
      <w:lvlJc w:val="left"/>
      <w:pPr>
        <w:tabs>
          <w:tab w:val="num" w:pos="737"/>
        </w:tabs>
        <w:ind w:left="851" w:hanging="567"/>
      </w:pPr>
      <w:rPr>
        <w:rFonts w:hint="default"/>
      </w:rPr>
    </w:lvl>
    <w:lvl w:ilvl="2">
      <w:start w:val="1"/>
      <w:numFmt w:val="decimal"/>
      <w:pStyle w:val="Heading4"/>
      <w:lvlText w:val="%1.%2.%3"/>
      <w:lvlJc w:val="left"/>
      <w:pPr>
        <w:tabs>
          <w:tab w:val="num" w:pos="737"/>
        </w:tabs>
        <w:ind w:left="737" w:hanging="73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6"/>
  </w:num>
  <w:num w:numId="2">
    <w:abstractNumId w:val="8"/>
  </w:num>
  <w:num w:numId="3">
    <w:abstractNumId w:val="29"/>
  </w:num>
  <w:num w:numId="4">
    <w:abstractNumId w:val="25"/>
  </w:num>
  <w:num w:numId="5">
    <w:abstractNumId w:val="21"/>
  </w:num>
  <w:num w:numId="6">
    <w:abstractNumId w:val="1"/>
  </w:num>
  <w:num w:numId="7">
    <w:abstractNumId w:val="11"/>
  </w:num>
  <w:num w:numId="8">
    <w:abstractNumId w:val="10"/>
  </w:num>
  <w:num w:numId="9">
    <w:abstractNumId w:val="15"/>
  </w:num>
  <w:num w:numId="10">
    <w:abstractNumId w:val="5"/>
  </w:num>
  <w:num w:numId="11">
    <w:abstractNumId w:val="9"/>
  </w:num>
  <w:num w:numId="12">
    <w:abstractNumId w:val="0"/>
  </w:num>
  <w:num w:numId="13">
    <w:abstractNumId w:val="4"/>
  </w:num>
  <w:num w:numId="14">
    <w:abstractNumId w:val="19"/>
  </w:num>
  <w:num w:numId="15">
    <w:abstractNumId w:val="3"/>
  </w:num>
  <w:num w:numId="16">
    <w:abstractNumId w:val="13"/>
  </w:num>
  <w:num w:numId="17">
    <w:abstractNumId w:val="6"/>
  </w:num>
  <w:num w:numId="18">
    <w:abstractNumId w:val="20"/>
  </w:num>
  <w:num w:numId="19">
    <w:abstractNumId w:val="27"/>
  </w:num>
  <w:num w:numId="20">
    <w:abstractNumId w:val="17"/>
  </w:num>
  <w:num w:numId="21">
    <w:abstractNumId w:val="12"/>
  </w:num>
  <w:num w:numId="22">
    <w:abstractNumId w:val="23"/>
  </w:num>
  <w:num w:numId="23">
    <w:abstractNumId w:val="22"/>
  </w:num>
  <w:num w:numId="24">
    <w:abstractNumId w:val="2"/>
  </w:num>
  <w:num w:numId="25">
    <w:abstractNumId w:val="26"/>
  </w:num>
  <w:num w:numId="26">
    <w:abstractNumId w:val="18"/>
  </w:num>
  <w:num w:numId="27">
    <w:abstractNumId w:val="7"/>
  </w:num>
  <w:num w:numId="28">
    <w:abstractNumId w:val="14"/>
  </w:num>
  <w:num w:numId="29">
    <w:abstractNumId w:val="24"/>
  </w:num>
  <w:num w:numId="3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D4"/>
    <w:rsid w:val="00000CD0"/>
    <w:rsid w:val="000019B9"/>
    <w:rsid w:val="00001DCE"/>
    <w:rsid w:val="000020C3"/>
    <w:rsid w:val="00003B0F"/>
    <w:rsid w:val="00004B9B"/>
    <w:rsid w:val="00004BE0"/>
    <w:rsid w:val="00004E10"/>
    <w:rsid w:val="000064E2"/>
    <w:rsid w:val="00006B4B"/>
    <w:rsid w:val="00007B15"/>
    <w:rsid w:val="00016F90"/>
    <w:rsid w:val="00017855"/>
    <w:rsid w:val="000215CA"/>
    <w:rsid w:val="000217E1"/>
    <w:rsid w:val="00022B6B"/>
    <w:rsid w:val="00023173"/>
    <w:rsid w:val="000233C3"/>
    <w:rsid w:val="000269D0"/>
    <w:rsid w:val="00027624"/>
    <w:rsid w:val="00027C00"/>
    <w:rsid w:val="0003166D"/>
    <w:rsid w:val="00033AE3"/>
    <w:rsid w:val="000340FD"/>
    <w:rsid w:val="000349DD"/>
    <w:rsid w:val="00034E0B"/>
    <w:rsid w:val="0003506B"/>
    <w:rsid w:val="0003552A"/>
    <w:rsid w:val="0003627C"/>
    <w:rsid w:val="00037931"/>
    <w:rsid w:val="000416EF"/>
    <w:rsid w:val="00041F73"/>
    <w:rsid w:val="00042F4D"/>
    <w:rsid w:val="000440E6"/>
    <w:rsid w:val="00044996"/>
    <w:rsid w:val="00045171"/>
    <w:rsid w:val="00047838"/>
    <w:rsid w:val="0005005C"/>
    <w:rsid w:val="000512C7"/>
    <w:rsid w:val="0005273E"/>
    <w:rsid w:val="00053D85"/>
    <w:rsid w:val="00053D94"/>
    <w:rsid w:val="0005412A"/>
    <w:rsid w:val="000542BD"/>
    <w:rsid w:val="00055B4B"/>
    <w:rsid w:val="00056823"/>
    <w:rsid w:val="000614E5"/>
    <w:rsid w:val="0006256D"/>
    <w:rsid w:val="000628A7"/>
    <w:rsid w:val="00065BA5"/>
    <w:rsid w:val="00065D5A"/>
    <w:rsid w:val="00071028"/>
    <w:rsid w:val="0007233E"/>
    <w:rsid w:val="00073870"/>
    <w:rsid w:val="00073A89"/>
    <w:rsid w:val="00075857"/>
    <w:rsid w:val="00075FBA"/>
    <w:rsid w:val="000766F6"/>
    <w:rsid w:val="00076A63"/>
    <w:rsid w:val="00076F23"/>
    <w:rsid w:val="000817EC"/>
    <w:rsid w:val="00082116"/>
    <w:rsid w:val="00082516"/>
    <w:rsid w:val="00083255"/>
    <w:rsid w:val="00083408"/>
    <w:rsid w:val="0008382B"/>
    <w:rsid w:val="00084222"/>
    <w:rsid w:val="00084F7A"/>
    <w:rsid w:val="00085001"/>
    <w:rsid w:val="00086075"/>
    <w:rsid w:val="00087054"/>
    <w:rsid w:val="00091074"/>
    <w:rsid w:val="00091638"/>
    <w:rsid w:val="00093312"/>
    <w:rsid w:val="0009456B"/>
    <w:rsid w:val="00094CB7"/>
    <w:rsid w:val="00096490"/>
    <w:rsid w:val="0009662C"/>
    <w:rsid w:val="00096A20"/>
    <w:rsid w:val="000A12B0"/>
    <w:rsid w:val="000A345B"/>
    <w:rsid w:val="000A34E3"/>
    <w:rsid w:val="000A448E"/>
    <w:rsid w:val="000A5064"/>
    <w:rsid w:val="000B0A85"/>
    <w:rsid w:val="000B14C3"/>
    <w:rsid w:val="000B16BD"/>
    <w:rsid w:val="000B1F29"/>
    <w:rsid w:val="000B295A"/>
    <w:rsid w:val="000B2A64"/>
    <w:rsid w:val="000B2DA6"/>
    <w:rsid w:val="000B44C9"/>
    <w:rsid w:val="000B5B30"/>
    <w:rsid w:val="000B72B1"/>
    <w:rsid w:val="000C1F74"/>
    <w:rsid w:val="000C208B"/>
    <w:rsid w:val="000C36F1"/>
    <w:rsid w:val="000C4321"/>
    <w:rsid w:val="000C4F46"/>
    <w:rsid w:val="000C523C"/>
    <w:rsid w:val="000C5301"/>
    <w:rsid w:val="000C617A"/>
    <w:rsid w:val="000C6424"/>
    <w:rsid w:val="000C64A0"/>
    <w:rsid w:val="000D13C1"/>
    <w:rsid w:val="000D1813"/>
    <w:rsid w:val="000D2604"/>
    <w:rsid w:val="000D42EF"/>
    <w:rsid w:val="000D4D8F"/>
    <w:rsid w:val="000D516A"/>
    <w:rsid w:val="000D6EEB"/>
    <w:rsid w:val="000D7DA3"/>
    <w:rsid w:val="000E0908"/>
    <w:rsid w:val="000E0B8F"/>
    <w:rsid w:val="000E147C"/>
    <w:rsid w:val="000E175D"/>
    <w:rsid w:val="000E2BF6"/>
    <w:rsid w:val="000E3455"/>
    <w:rsid w:val="000E42F0"/>
    <w:rsid w:val="000E686C"/>
    <w:rsid w:val="000E6BDB"/>
    <w:rsid w:val="000E7A25"/>
    <w:rsid w:val="000F0252"/>
    <w:rsid w:val="000F05E9"/>
    <w:rsid w:val="000F1900"/>
    <w:rsid w:val="000F191B"/>
    <w:rsid w:val="000F3080"/>
    <w:rsid w:val="000F30E2"/>
    <w:rsid w:val="000F39BA"/>
    <w:rsid w:val="000F3EAB"/>
    <w:rsid w:val="000F4025"/>
    <w:rsid w:val="000F4257"/>
    <w:rsid w:val="000F7B44"/>
    <w:rsid w:val="00100253"/>
    <w:rsid w:val="00100E32"/>
    <w:rsid w:val="0010395F"/>
    <w:rsid w:val="00104DA4"/>
    <w:rsid w:val="001067D7"/>
    <w:rsid w:val="00106C4D"/>
    <w:rsid w:val="00107068"/>
    <w:rsid w:val="0011051A"/>
    <w:rsid w:val="00110A70"/>
    <w:rsid w:val="0011310E"/>
    <w:rsid w:val="00113941"/>
    <w:rsid w:val="00113DF2"/>
    <w:rsid w:val="00114FBE"/>
    <w:rsid w:val="001153B1"/>
    <w:rsid w:val="00115420"/>
    <w:rsid w:val="0011768D"/>
    <w:rsid w:val="00117842"/>
    <w:rsid w:val="0012028D"/>
    <w:rsid w:val="00123EB4"/>
    <w:rsid w:val="00125C83"/>
    <w:rsid w:val="00130452"/>
    <w:rsid w:val="00131DCC"/>
    <w:rsid w:val="00132F9C"/>
    <w:rsid w:val="001348E7"/>
    <w:rsid w:val="00136B52"/>
    <w:rsid w:val="00137680"/>
    <w:rsid w:val="001379C9"/>
    <w:rsid w:val="00140D30"/>
    <w:rsid w:val="00142A5A"/>
    <w:rsid w:val="0014761C"/>
    <w:rsid w:val="0015000A"/>
    <w:rsid w:val="0015028E"/>
    <w:rsid w:val="001504B0"/>
    <w:rsid w:val="00151DE0"/>
    <w:rsid w:val="00151EA5"/>
    <w:rsid w:val="00153957"/>
    <w:rsid w:val="00153CB4"/>
    <w:rsid w:val="00155027"/>
    <w:rsid w:val="0016014F"/>
    <w:rsid w:val="00160FC0"/>
    <w:rsid w:val="00162244"/>
    <w:rsid w:val="00162D81"/>
    <w:rsid w:val="00163B5D"/>
    <w:rsid w:val="001647FB"/>
    <w:rsid w:val="00165D0A"/>
    <w:rsid w:val="00165F3E"/>
    <w:rsid w:val="00166A8B"/>
    <w:rsid w:val="001670A2"/>
    <w:rsid w:val="00167C9A"/>
    <w:rsid w:val="00173409"/>
    <w:rsid w:val="00175799"/>
    <w:rsid w:val="00176237"/>
    <w:rsid w:val="00177470"/>
    <w:rsid w:val="0018130C"/>
    <w:rsid w:val="00182008"/>
    <w:rsid w:val="00186EF1"/>
    <w:rsid w:val="00190789"/>
    <w:rsid w:val="0019287B"/>
    <w:rsid w:val="0019315D"/>
    <w:rsid w:val="00193D19"/>
    <w:rsid w:val="001951D7"/>
    <w:rsid w:val="0019743A"/>
    <w:rsid w:val="00197ADA"/>
    <w:rsid w:val="001A0AA1"/>
    <w:rsid w:val="001A1CFD"/>
    <w:rsid w:val="001A3AA3"/>
    <w:rsid w:val="001A4DA3"/>
    <w:rsid w:val="001A4EA6"/>
    <w:rsid w:val="001A7736"/>
    <w:rsid w:val="001A79EC"/>
    <w:rsid w:val="001B1144"/>
    <w:rsid w:val="001B1588"/>
    <w:rsid w:val="001B1F1F"/>
    <w:rsid w:val="001B1F25"/>
    <w:rsid w:val="001B2896"/>
    <w:rsid w:val="001B2A8C"/>
    <w:rsid w:val="001B2E58"/>
    <w:rsid w:val="001B2F5C"/>
    <w:rsid w:val="001B4D55"/>
    <w:rsid w:val="001B57C6"/>
    <w:rsid w:val="001B61FD"/>
    <w:rsid w:val="001B648B"/>
    <w:rsid w:val="001B7B3E"/>
    <w:rsid w:val="001C1212"/>
    <w:rsid w:val="001C1C16"/>
    <w:rsid w:val="001C200B"/>
    <w:rsid w:val="001C3214"/>
    <w:rsid w:val="001C35E7"/>
    <w:rsid w:val="001C3740"/>
    <w:rsid w:val="001C3DA6"/>
    <w:rsid w:val="001C4D2E"/>
    <w:rsid w:val="001C515C"/>
    <w:rsid w:val="001C5BCA"/>
    <w:rsid w:val="001C697C"/>
    <w:rsid w:val="001C7AF7"/>
    <w:rsid w:val="001C7E0A"/>
    <w:rsid w:val="001D34F3"/>
    <w:rsid w:val="001D7239"/>
    <w:rsid w:val="001D7827"/>
    <w:rsid w:val="001D7EB4"/>
    <w:rsid w:val="001E05EC"/>
    <w:rsid w:val="001E2926"/>
    <w:rsid w:val="001E38DB"/>
    <w:rsid w:val="001E6B1D"/>
    <w:rsid w:val="001F00AE"/>
    <w:rsid w:val="001F0C22"/>
    <w:rsid w:val="001F10A6"/>
    <w:rsid w:val="001F2178"/>
    <w:rsid w:val="001F5DE0"/>
    <w:rsid w:val="001F636C"/>
    <w:rsid w:val="002019BE"/>
    <w:rsid w:val="002038A2"/>
    <w:rsid w:val="00206508"/>
    <w:rsid w:val="002078FB"/>
    <w:rsid w:val="0021040F"/>
    <w:rsid w:val="00216865"/>
    <w:rsid w:val="00216ABE"/>
    <w:rsid w:val="00220E83"/>
    <w:rsid w:val="0022128B"/>
    <w:rsid w:val="0022559C"/>
    <w:rsid w:val="00225736"/>
    <w:rsid w:val="002261C8"/>
    <w:rsid w:val="002269B9"/>
    <w:rsid w:val="00227BDA"/>
    <w:rsid w:val="00227EFB"/>
    <w:rsid w:val="002301AA"/>
    <w:rsid w:val="00231504"/>
    <w:rsid w:val="00232D73"/>
    <w:rsid w:val="0023382C"/>
    <w:rsid w:val="00234EF5"/>
    <w:rsid w:val="002354AD"/>
    <w:rsid w:val="00235B64"/>
    <w:rsid w:val="00236862"/>
    <w:rsid w:val="00236FE5"/>
    <w:rsid w:val="002408FF"/>
    <w:rsid w:val="00240C1E"/>
    <w:rsid w:val="002413A4"/>
    <w:rsid w:val="00241E44"/>
    <w:rsid w:val="00244BAB"/>
    <w:rsid w:val="00245AFD"/>
    <w:rsid w:val="00245E93"/>
    <w:rsid w:val="00250058"/>
    <w:rsid w:val="00251DCA"/>
    <w:rsid w:val="00251E5D"/>
    <w:rsid w:val="0025471C"/>
    <w:rsid w:val="00256AC6"/>
    <w:rsid w:val="00257F7A"/>
    <w:rsid w:val="00257F92"/>
    <w:rsid w:val="0026058A"/>
    <w:rsid w:val="002606C5"/>
    <w:rsid w:val="002609A2"/>
    <w:rsid w:val="002609FC"/>
    <w:rsid w:val="00261EDD"/>
    <w:rsid w:val="00264822"/>
    <w:rsid w:val="002652A1"/>
    <w:rsid w:val="00265FE8"/>
    <w:rsid w:val="0026652C"/>
    <w:rsid w:val="00266CBB"/>
    <w:rsid w:val="002709D2"/>
    <w:rsid w:val="00270B55"/>
    <w:rsid w:val="00271B5B"/>
    <w:rsid w:val="002738D0"/>
    <w:rsid w:val="002744EB"/>
    <w:rsid w:val="0027515E"/>
    <w:rsid w:val="00276931"/>
    <w:rsid w:val="00281C93"/>
    <w:rsid w:val="00283D6F"/>
    <w:rsid w:val="00283E97"/>
    <w:rsid w:val="00284CCA"/>
    <w:rsid w:val="00287903"/>
    <w:rsid w:val="00291059"/>
    <w:rsid w:val="00292DA9"/>
    <w:rsid w:val="002943E1"/>
    <w:rsid w:val="0029483B"/>
    <w:rsid w:val="00294DB9"/>
    <w:rsid w:val="00294F30"/>
    <w:rsid w:val="00295A31"/>
    <w:rsid w:val="00295DED"/>
    <w:rsid w:val="0029766C"/>
    <w:rsid w:val="00297D13"/>
    <w:rsid w:val="002A1057"/>
    <w:rsid w:val="002A1EB8"/>
    <w:rsid w:val="002B1540"/>
    <w:rsid w:val="002B1580"/>
    <w:rsid w:val="002B1F56"/>
    <w:rsid w:val="002B2C4D"/>
    <w:rsid w:val="002B37EB"/>
    <w:rsid w:val="002B3877"/>
    <w:rsid w:val="002B6940"/>
    <w:rsid w:val="002B6CDE"/>
    <w:rsid w:val="002C08CA"/>
    <w:rsid w:val="002C0A62"/>
    <w:rsid w:val="002C0AF9"/>
    <w:rsid w:val="002C2043"/>
    <w:rsid w:val="002C2E34"/>
    <w:rsid w:val="002C330D"/>
    <w:rsid w:val="002C428D"/>
    <w:rsid w:val="002C431B"/>
    <w:rsid w:val="002C5CA9"/>
    <w:rsid w:val="002C7CAE"/>
    <w:rsid w:val="002D173F"/>
    <w:rsid w:val="002D3343"/>
    <w:rsid w:val="002D4BCF"/>
    <w:rsid w:val="002D668F"/>
    <w:rsid w:val="002D69AA"/>
    <w:rsid w:val="002D772F"/>
    <w:rsid w:val="002D7AEA"/>
    <w:rsid w:val="002E04C1"/>
    <w:rsid w:val="002E14FB"/>
    <w:rsid w:val="002E21D5"/>
    <w:rsid w:val="002E2A46"/>
    <w:rsid w:val="002E3AAA"/>
    <w:rsid w:val="002E4C2F"/>
    <w:rsid w:val="002E74F2"/>
    <w:rsid w:val="002F1D2D"/>
    <w:rsid w:val="002F3B32"/>
    <w:rsid w:val="002F454F"/>
    <w:rsid w:val="002F546D"/>
    <w:rsid w:val="002F55EC"/>
    <w:rsid w:val="002F68FE"/>
    <w:rsid w:val="002F7B84"/>
    <w:rsid w:val="00300195"/>
    <w:rsid w:val="00300521"/>
    <w:rsid w:val="00300A38"/>
    <w:rsid w:val="0030747B"/>
    <w:rsid w:val="0031044B"/>
    <w:rsid w:val="00310B73"/>
    <w:rsid w:val="00310F1C"/>
    <w:rsid w:val="00311995"/>
    <w:rsid w:val="003125AB"/>
    <w:rsid w:val="00312CD6"/>
    <w:rsid w:val="00313843"/>
    <w:rsid w:val="003157EA"/>
    <w:rsid w:val="00317681"/>
    <w:rsid w:val="0032154C"/>
    <w:rsid w:val="00321921"/>
    <w:rsid w:val="003231CC"/>
    <w:rsid w:val="00325DCE"/>
    <w:rsid w:val="003263E2"/>
    <w:rsid w:val="0032795D"/>
    <w:rsid w:val="0033019B"/>
    <w:rsid w:val="00331AAE"/>
    <w:rsid w:val="00333AE3"/>
    <w:rsid w:val="0033444E"/>
    <w:rsid w:val="00334895"/>
    <w:rsid w:val="00336DD7"/>
    <w:rsid w:val="0033729C"/>
    <w:rsid w:val="00337918"/>
    <w:rsid w:val="00340403"/>
    <w:rsid w:val="0034188D"/>
    <w:rsid w:val="00344376"/>
    <w:rsid w:val="003446BD"/>
    <w:rsid w:val="003446F3"/>
    <w:rsid w:val="00344B2B"/>
    <w:rsid w:val="00345A88"/>
    <w:rsid w:val="00345E60"/>
    <w:rsid w:val="003463C5"/>
    <w:rsid w:val="00351D9D"/>
    <w:rsid w:val="00354BB1"/>
    <w:rsid w:val="003551D4"/>
    <w:rsid w:val="0035798D"/>
    <w:rsid w:val="003605F3"/>
    <w:rsid w:val="00361D72"/>
    <w:rsid w:val="00364280"/>
    <w:rsid w:val="003662A1"/>
    <w:rsid w:val="00367048"/>
    <w:rsid w:val="003703B6"/>
    <w:rsid w:val="00373CBC"/>
    <w:rsid w:val="00374949"/>
    <w:rsid w:val="00374EA5"/>
    <w:rsid w:val="00375B33"/>
    <w:rsid w:val="00377859"/>
    <w:rsid w:val="00380792"/>
    <w:rsid w:val="00383831"/>
    <w:rsid w:val="00384BDE"/>
    <w:rsid w:val="003854F8"/>
    <w:rsid w:val="00386A8B"/>
    <w:rsid w:val="00386E5F"/>
    <w:rsid w:val="00393335"/>
    <w:rsid w:val="003938F4"/>
    <w:rsid w:val="00393ADD"/>
    <w:rsid w:val="00394027"/>
    <w:rsid w:val="0039442F"/>
    <w:rsid w:val="00395F14"/>
    <w:rsid w:val="003962B5"/>
    <w:rsid w:val="0039780E"/>
    <w:rsid w:val="00397BBF"/>
    <w:rsid w:val="00397C60"/>
    <w:rsid w:val="003A01C1"/>
    <w:rsid w:val="003A0FD1"/>
    <w:rsid w:val="003A1DEB"/>
    <w:rsid w:val="003A4B74"/>
    <w:rsid w:val="003A5D52"/>
    <w:rsid w:val="003A6135"/>
    <w:rsid w:val="003A67D8"/>
    <w:rsid w:val="003A6E8F"/>
    <w:rsid w:val="003A7F0D"/>
    <w:rsid w:val="003B2512"/>
    <w:rsid w:val="003B3850"/>
    <w:rsid w:val="003B4B84"/>
    <w:rsid w:val="003B56E3"/>
    <w:rsid w:val="003B6666"/>
    <w:rsid w:val="003B68D1"/>
    <w:rsid w:val="003C063D"/>
    <w:rsid w:val="003C2128"/>
    <w:rsid w:val="003C2667"/>
    <w:rsid w:val="003C26EB"/>
    <w:rsid w:val="003C3E91"/>
    <w:rsid w:val="003C3F29"/>
    <w:rsid w:val="003C4F51"/>
    <w:rsid w:val="003C5BA0"/>
    <w:rsid w:val="003C5D77"/>
    <w:rsid w:val="003C70F0"/>
    <w:rsid w:val="003C7878"/>
    <w:rsid w:val="003C7BC1"/>
    <w:rsid w:val="003C7C88"/>
    <w:rsid w:val="003D0373"/>
    <w:rsid w:val="003D2745"/>
    <w:rsid w:val="003D2CA6"/>
    <w:rsid w:val="003D3349"/>
    <w:rsid w:val="003D3436"/>
    <w:rsid w:val="003D40B1"/>
    <w:rsid w:val="003D445E"/>
    <w:rsid w:val="003D660A"/>
    <w:rsid w:val="003E0EBF"/>
    <w:rsid w:val="003E14D3"/>
    <w:rsid w:val="003E1BDE"/>
    <w:rsid w:val="003E27D3"/>
    <w:rsid w:val="003E39C6"/>
    <w:rsid w:val="003E4233"/>
    <w:rsid w:val="003E4275"/>
    <w:rsid w:val="003E4A60"/>
    <w:rsid w:val="003E50E7"/>
    <w:rsid w:val="003E59E1"/>
    <w:rsid w:val="003E5E67"/>
    <w:rsid w:val="003E7612"/>
    <w:rsid w:val="003E7F07"/>
    <w:rsid w:val="003F07EF"/>
    <w:rsid w:val="003F14CE"/>
    <w:rsid w:val="003F1922"/>
    <w:rsid w:val="003F3678"/>
    <w:rsid w:val="003F3771"/>
    <w:rsid w:val="003F4BE2"/>
    <w:rsid w:val="003F6107"/>
    <w:rsid w:val="003F6C31"/>
    <w:rsid w:val="00402BF6"/>
    <w:rsid w:val="00403B4D"/>
    <w:rsid w:val="0040518E"/>
    <w:rsid w:val="004058CA"/>
    <w:rsid w:val="00406851"/>
    <w:rsid w:val="00410325"/>
    <w:rsid w:val="004126A1"/>
    <w:rsid w:val="00412BB8"/>
    <w:rsid w:val="004151AE"/>
    <w:rsid w:val="004168C5"/>
    <w:rsid w:val="004206EE"/>
    <w:rsid w:val="00420AFA"/>
    <w:rsid w:val="00420E58"/>
    <w:rsid w:val="00421131"/>
    <w:rsid w:val="00422C7B"/>
    <w:rsid w:val="004233D8"/>
    <w:rsid w:val="00423F8F"/>
    <w:rsid w:val="0042450D"/>
    <w:rsid w:val="004256C9"/>
    <w:rsid w:val="004266CA"/>
    <w:rsid w:val="004276B3"/>
    <w:rsid w:val="00431D08"/>
    <w:rsid w:val="00432222"/>
    <w:rsid w:val="00432B4B"/>
    <w:rsid w:val="00434248"/>
    <w:rsid w:val="00434CC3"/>
    <w:rsid w:val="00436B46"/>
    <w:rsid w:val="00436E0A"/>
    <w:rsid w:val="00446940"/>
    <w:rsid w:val="00447E6E"/>
    <w:rsid w:val="004519E8"/>
    <w:rsid w:val="00453192"/>
    <w:rsid w:val="00453D4C"/>
    <w:rsid w:val="004548F0"/>
    <w:rsid w:val="00454EA7"/>
    <w:rsid w:val="00454F1E"/>
    <w:rsid w:val="00455ADB"/>
    <w:rsid w:val="00456029"/>
    <w:rsid w:val="0045602A"/>
    <w:rsid w:val="004613A1"/>
    <w:rsid w:val="004622F5"/>
    <w:rsid w:val="004628E4"/>
    <w:rsid w:val="0046293F"/>
    <w:rsid w:val="0046601B"/>
    <w:rsid w:val="00466237"/>
    <w:rsid w:val="004662C3"/>
    <w:rsid w:val="00470163"/>
    <w:rsid w:val="00472181"/>
    <w:rsid w:val="00472E1F"/>
    <w:rsid w:val="00473690"/>
    <w:rsid w:val="00473D06"/>
    <w:rsid w:val="004748D6"/>
    <w:rsid w:val="00474D8F"/>
    <w:rsid w:val="0047515E"/>
    <w:rsid w:val="00475C2D"/>
    <w:rsid w:val="00475DC2"/>
    <w:rsid w:val="00480AB0"/>
    <w:rsid w:val="00481859"/>
    <w:rsid w:val="00482A8B"/>
    <w:rsid w:val="00490CCF"/>
    <w:rsid w:val="00490D4F"/>
    <w:rsid w:val="00492AE9"/>
    <w:rsid w:val="00493B5A"/>
    <w:rsid w:val="00493D25"/>
    <w:rsid w:val="004940FA"/>
    <w:rsid w:val="004973EA"/>
    <w:rsid w:val="004A0ED4"/>
    <w:rsid w:val="004A184F"/>
    <w:rsid w:val="004A19C1"/>
    <w:rsid w:val="004A3B62"/>
    <w:rsid w:val="004A74B8"/>
    <w:rsid w:val="004B0992"/>
    <w:rsid w:val="004B0F08"/>
    <w:rsid w:val="004B14B9"/>
    <w:rsid w:val="004B18F6"/>
    <w:rsid w:val="004B3C35"/>
    <w:rsid w:val="004B4833"/>
    <w:rsid w:val="004B4866"/>
    <w:rsid w:val="004B5BF9"/>
    <w:rsid w:val="004C0CA3"/>
    <w:rsid w:val="004C1EC1"/>
    <w:rsid w:val="004C1ED6"/>
    <w:rsid w:val="004C21BD"/>
    <w:rsid w:val="004C2360"/>
    <w:rsid w:val="004C483D"/>
    <w:rsid w:val="004C67C3"/>
    <w:rsid w:val="004C7DA5"/>
    <w:rsid w:val="004D077F"/>
    <w:rsid w:val="004D0972"/>
    <w:rsid w:val="004D2182"/>
    <w:rsid w:val="004D478C"/>
    <w:rsid w:val="004D4B89"/>
    <w:rsid w:val="004D4BF1"/>
    <w:rsid w:val="004D5420"/>
    <w:rsid w:val="004D6021"/>
    <w:rsid w:val="004D6859"/>
    <w:rsid w:val="004E0855"/>
    <w:rsid w:val="004E1675"/>
    <w:rsid w:val="004E1CA3"/>
    <w:rsid w:val="004E25A6"/>
    <w:rsid w:val="004E3E61"/>
    <w:rsid w:val="004E42B1"/>
    <w:rsid w:val="004E50DF"/>
    <w:rsid w:val="004E6002"/>
    <w:rsid w:val="004E7D07"/>
    <w:rsid w:val="004F0EBE"/>
    <w:rsid w:val="004F4145"/>
    <w:rsid w:val="004F48A7"/>
    <w:rsid w:val="004F49BA"/>
    <w:rsid w:val="004F7122"/>
    <w:rsid w:val="0050276B"/>
    <w:rsid w:val="00503465"/>
    <w:rsid w:val="00503785"/>
    <w:rsid w:val="00503814"/>
    <w:rsid w:val="00504F2A"/>
    <w:rsid w:val="00505C66"/>
    <w:rsid w:val="00505F11"/>
    <w:rsid w:val="00507DDA"/>
    <w:rsid w:val="00507EB8"/>
    <w:rsid w:val="00510AFD"/>
    <w:rsid w:val="00511291"/>
    <w:rsid w:val="00512BC8"/>
    <w:rsid w:val="00513095"/>
    <w:rsid w:val="00513F4D"/>
    <w:rsid w:val="00515A38"/>
    <w:rsid w:val="00516973"/>
    <w:rsid w:val="00517B81"/>
    <w:rsid w:val="00523743"/>
    <w:rsid w:val="005273C0"/>
    <w:rsid w:val="00527E4A"/>
    <w:rsid w:val="00531B0B"/>
    <w:rsid w:val="0053385C"/>
    <w:rsid w:val="00534D08"/>
    <w:rsid w:val="00535688"/>
    <w:rsid w:val="00537853"/>
    <w:rsid w:val="005430FB"/>
    <w:rsid w:val="0054643E"/>
    <w:rsid w:val="005464E7"/>
    <w:rsid w:val="0055033E"/>
    <w:rsid w:val="00550CD6"/>
    <w:rsid w:val="00552985"/>
    <w:rsid w:val="005545E6"/>
    <w:rsid w:val="005571C9"/>
    <w:rsid w:val="00557B6D"/>
    <w:rsid w:val="00557B6F"/>
    <w:rsid w:val="00561B76"/>
    <w:rsid w:val="0056216D"/>
    <w:rsid w:val="00562A0F"/>
    <w:rsid w:val="00562A63"/>
    <w:rsid w:val="00562E3C"/>
    <w:rsid w:val="00562F51"/>
    <w:rsid w:val="00563504"/>
    <w:rsid w:val="005642A4"/>
    <w:rsid w:val="00565623"/>
    <w:rsid w:val="00565E36"/>
    <w:rsid w:val="0056619D"/>
    <w:rsid w:val="00566A39"/>
    <w:rsid w:val="005701CA"/>
    <w:rsid w:val="00570A33"/>
    <w:rsid w:val="005733D3"/>
    <w:rsid w:val="00574190"/>
    <w:rsid w:val="005746C0"/>
    <w:rsid w:val="005765A7"/>
    <w:rsid w:val="00576793"/>
    <w:rsid w:val="00576DA4"/>
    <w:rsid w:val="00577AEC"/>
    <w:rsid w:val="00581A1A"/>
    <w:rsid w:val="0058334B"/>
    <w:rsid w:val="005840D4"/>
    <w:rsid w:val="0058465E"/>
    <w:rsid w:val="005850FB"/>
    <w:rsid w:val="005868BA"/>
    <w:rsid w:val="00587F00"/>
    <w:rsid w:val="0059112D"/>
    <w:rsid w:val="00592D4F"/>
    <w:rsid w:val="0059328D"/>
    <w:rsid w:val="0059403D"/>
    <w:rsid w:val="00595AA6"/>
    <w:rsid w:val="00596906"/>
    <w:rsid w:val="005A060C"/>
    <w:rsid w:val="005A068C"/>
    <w:rsid w:val="005A0D22"/>
    <w:rsid w:val="005A13C9"/>
    <w:rsid w:val="005A3FC1"/>
    <w:rsid w:val="005A5B34"/>
    <w:rsid w:val="005B0E5A"/>
    <w:rsid w:val="005B1F44"/>
    <w:rsid w:val="005B1F9B"/>
    <w:rsid w:val="005B24C5"/>
    <w:rsid w:val="005B6E97"/>
    <w:rsid w:val="005B7ECC"/>
    <w:rsid w:val="005C01B3"/>
    <w:rsid w:val="005C08E5"/>
    <w:rsid w:val="005C27B2"/>
    <w:rsid w:val="005C3866"/>
    <w:rsid w:val="005C45A4"/>
    <w:rsid w:val="005C5C65"/>
    <w:rsid w:val="005C7EEB"/>
    <w:rsid w:val="005D0838"/>
    <w:rsid w:val="005D0D46"/>
    <w:rsid w:val="005D0E05"/>
    <w:rsid w:val="005D0F5A"/>
    <w:rsid w:val="005D22EA"/>
    <w:rsid w:val="005D23AA"/>
    <w:rsid w:val="005D318F"/>
    <w:rsid w:val="005D5052"/>
    <w:rsid w:val="005D59CE"/>
    <w:rsid w:val="005D6201"/>
    <w:rsid w:val="005D79DE"/>
    <w:rsid w:val="005D7F68"/>
    <w:rsid w:val="005E023F"/>
    <w:rsid w:val="005E1E93"/>
    <w:rsid w:val="005E2AFB"/>
    <w:rsid w:val="005E39CC"/>
    <w:rsid w:val="005E4B26"/>
    <w:rsid w:val="005E5022"/>
    <w:rsid w:val="005E512A"/>
    <w:rsid w:val="005E5469"/>
    <w:rsid w:val="005E5C9B"/>
    <w:rsid w:val="005E5E3F"/>
    <w:rsid w:val="005E5EF6"/>
    <w:rsid w:val="005E65AD"/>
    <w:rsid w:val="005F0045"/>
    <w:rsid w:val="005F0D3F"/>
    <w:rsid w:val="005F1055"/>
    <w:rsid w:val="005F256B"/>
    <w:rsid w:val="005F27B1"/>
    <w:rsid w:val="005F5BD5"/>
    <w:rsid w:val="005F7503"/>
    <w:rsid w:val="005F7A13"/>
    <w:rsid w:val="0060010D"/>
    <w:rsid w:val="006023FF"/>
    <w:rsid w:val="006039B8"/>
    <w:rsid w:val="00603A01"/>
    <w:rsid w:val="006041B5"/>
    <w:rsid w:val="0060558B"/>
    <w:rsid w:val="00607A1D"/>
    <w:rsid w:val="00607B27"/>
    <w:rsid w:val="00607BD8"/>
    <w:rsid w:val="00607DC1"/>
    <w:rsid w:val="00610543"/>
    <w:rsid w:val="0061209C"/>
    <w:rsid w:val="0061270C"/>
    <w:rsid w:val="00613448"/>
    <w:rsid w:val="00614770"/>
    <w:rsid w:val="006156C1"/>
    <w:rsid w:val="00616ABE"/>
    <w:rsid w:val="00616C54"/>
    <w:rsid w:val="00617A3A"/>
    <w:rsid w:val="00621A7A"/>
    <w:rsid w:val="00621B26"/>
    <w:rsid w:val="0062211A"/>
    <w:rsid w:val="0062216B"/>
    <w:rsid w:val="00624A64"/>
    <w:rsid w:val="006255E9"/>
    <w:rsid w:val="00627F54"/>
    <w:rsid w:val="006303F4"/>
    <w:rsid w:val="006348FA"/>
    <w:rsid w:val="00634A83"/>
    <w:rsid w:val="006400FE"/>
    <w:rsid w:val="0064184D"/>
    <w:rsid w:val="00643C72"/>
    <w:rsid w:val="006453CB"/>
    <w:rsid w:val="006474EF"/>
    <w:rsid w:val="006478CD"/>
    <w:rsid w:val="00647ECE"/>
    <w:rsid w:val="006500D5"/>
    <w:rsid w:val="006515FD"/>
    <w:rsid w:val="00654DFD"/>
    <w:rsid w:val="0065500F"/>
    <w:rsid w:val="00656531"/>
    <w:rsid w:val="00660247"/>
    <w:rsid w:val="00660FB9"/>
    <w:rsid w:val="00661716"/>
    <w:rsid w:val="006621CE"/>
    <w:rsid w:val="00662F04"/>
    <w:rsid w:val="006640DB"/>
    <w:rsid w:val="006644CB"/>
    <w:rsid w:val="00664CA8"/>
    <w:rsid w:val="00666994"/>
    <w:rsid w:val="00667916"/>
    <w:rsid w:val="00667938"/>
    <w:rsid w:val="00667B5F"/>
    <w:rsid w:val="00670319"/>
    <w:rsid w:val="0067326B"/>
    <w:rsid w:val="00674781"/>
    <w:rsid w:val="00675306"/>
    <w:rsid w:val="006774D6"/>
    <w:rsid w:val="00677B7D"/>
    <w:rsid w:val="00677F68"/>
    <w:rsid w:val="006801F3"/>
    <w:rsid w:val="0068047B"/>
    <w:rsid w:val="00682C51"/>
    <w:rsid w:val="006836B2"/>
    <w:rsid w:val="00684B3B"/>
    <w:rsid w:val="0068551F"/>
    <w:rsid w:val="00685E8B"/>
    <w:rsid w:val="006869DC"/>
    <w:rsid w:val="006874CF"/>
    <w:rsid w:val="00691508"/>
    <w:rsid w:val="00691B1E"/>
    <w:rsid w:val="0069256F"/>
    <w:rsid w:val="0069292C"/>
    <w:rsid w:val="00693324"/>
    <w:rsid w:val="00693587"/>
    <w:rsid w:val="00694178"/>
    <w:rsid w:val="006A0E3B"/>
    <w:rsid w:val="006A24A8"/>
    <w:rsid w:val="006A4699"/>
    <w:rsid w:val="006A4A57"/>
    <w:rsid w:val="006A5A1C"/>
    <w:rsid w:val="006A5BC0"/>
    <w:rsid w:val="006A5C92"/>
    <w:rsid w:val="006A5FB5"/>
    <w:rsid w:val="006A66C2"/>
    <w:rsid w:val="006B060E"/>
    <w:rsid w:val="006B1A53"/>
    <w:rsid w:val="006B1CBE"/>
    <w:rsid w:val="006B2E1A"/>
    <w:rsid w:val="006B360F"/>
    <w:rsid w:val="006B4A61"/>
    <w:rsid w:val="006B558F"/>
    <w:rsid w:val="006C10AA"/>
    <w:rsid w:val="006C192D"/>
    <w:rsid w:val="006C3461"/>
    <w:rsid w:val="006C37E8"/>
    <w:rsid w:val="006C5014"/>
    <w:rsid w:val="006C52B1"/>
    <w:rsid w:val="006C565F"/>
    <w:rsid w:val="006C5D91"/>
    <w:rsid w:val="006C61F7"/>
    <w:rsid w:val="006D0002"/>
    <w:rsid w:val="006D1145"/>
    <w:rsid w:val="006D1431"/>
    <w:rsid w:val="006D2BDA"/>
    <w:rsid w:val="006D2DF1"/>
    <w:rsid w:val="006D3455"/>
    <w:rsid w:val="006D3BA0"/>
    <w:rsid w:val="006D4272"/>
    <w:rsid w:val="006D6D37"/>
    <w:rsid w:val="006D7D7D"/>
    <w:rsid w:val="006E09CF"/>
    <w:rsid w:val="006E0D6A"/>
    <w:rsid w:val="006E18E5"/>
    <w:rsid w:val="006E2111"/>
    <w:rsid w:val="006E4153"/>
    <w:rsid w:val="006E55F2"/>
    <w:rsid w:val="006E5BE7"/>
    <w:rsid w:val="006E6789"/>
    <w:rsid w:val="006F2231"/>
    <w:rsid w:val="006F347C"/>
    <w:rsid w:val="006F3ECF"/>
    <w:rsid w:val="006F5118"/>
    <w:rsid w:val="006F5C86"/>
    <w:rsid w:val="006F62AD"/>
    <w:rsid w:val="006F735D"/>
    <w:rsid w:val="006F7B87"/>
    <w:rsid w:val="00700900"/>
    <w:rsid w:val="0070283C"/>
    <w:rsid w:val="00702CC2"/>
    <w:rsid w:val="00703696"/>
    <w:rsid w:val="007037BD"/>
    <w:rsid w:val="00704CAA"/>
    <w:rsid w:val="00705D91"/>
    <w:rsid w:val="0070614A"/>
    <w:rsid w:val="0071063E"/>
    <w:rsid w:val="00712CF3"/>
    <w:rsid w:val="00712E5D"/>
    <w:rsid w:val="00713EDF"/>
    <w:rsid w:val="007160A7"/>
    <w:rsid w:val="007172D3"/>
    <w:rsid w:val="0072140A"/>
    <w:rsid w:val="00721714"/>
    <w:rsid w:val="00722ABB"/>
    <w:rsid w:val="007232DD"/>
    <w:rsid w:val="00723DEF"/>
    <w:rsid w:val="007253A9"/>
    <w:rsid w:val="007256F5"/>
    <w:rsid w:val="00727355"/>
    <w:rsid w:val="007275B5"/>
    <w:rsid w:val="00730D22"/>
    <w:rsid w:val="00731C4A"/>
    <w:rsid w:val="00731D79"/>
    <w:rsid w:val="00733751"/>
    <w:rsid w:val="007341B1"/>
    <w:rsid w:val="007349A4"/>
    <w:rsid w:val="00735943"/>
    <w:rsid w:val="00737B40"/>
    <w:rsid w:val="00737CF6"/>
    <w:rsid w:val="0074344F"/>
    <w:rsid w:val="00743B6F"/>
    <w:rsid w:val="007442B3"/>
    <w:rsid w:val="00744EE7"/>
    <w:rsid w:val="0074504E"/>
    <w:rsid w:val="0074630A"/>
    <w:rsid w:val="00746D51"/>
    <w:rsid w:val="00753E6E"/>
    <w:rsid w:val="007548E5"/>
    <w:rsid w:val="00754F2A"/>
    <w:rsid w:val="0075571F"/>
    <w:rsid w:val="00760B95"/>
    <w:rsid w:val="00761386"/>
    <w:rsid w:val="007616D8"/>
    <w:rsid w:val="00761AB2"/>
    <w:rsid w:val="007624D5"/>
    <w:rsid w:val="007628CF"/>
    <w:rsid w:val="00762E6D"/>
    <w:rsid w:val="007631FD"/>
    <w:rsid w:val="007632CC"/>
    <w:rsid w:val="00763FCE"/>
    <w:rsid w:val="00764ED0"/>
    <w:rsid w:val="00765D2D"/>
    <w:rsid w:val="00765F52"/>
    <w:rsid w:val="007660FF"/>
    <w:rsid w:val="00766AEF"/>
    <w:rsid w:val="00766CAF"/>
    <w:rsid w:val="00766D34"/>
    <w:rsid w:val="007675F7"/>
    <w:rsid w:val="00767CC0"/>
    <w:rsid w:val="00771713"/>
    <w:rsid w:val="0077233A"/>
    <w:rsid w:val="00772691"/>
    <w:rsid w:val="00772A8F"/>
    <w:rsid w:val="00772CE5"/>
    <w:rsid w:val="00773C70"/>
    <w:rsid w:val="007774AB"/>
    <w:rsid w:val="00784FC2"/>
    <w:rsid w:val="0078572E"/>
    <w:rsid w:val="00786026"/>
    <w:rsid w:val="0079076A"/>
    <w:rsid w:val="00790F67"/>
    <w:rsid w:val="007916FD"/>
    <w:rsid w:val="007924AE"/>
    <w:rsid w:val="007928A5"/>
    <w:rsid w:val="00793F21"/>
    <w:rsid w:val="007953ED"/>
    <w:rsid w:val="007956B2"/>
    <w:rsid w:val="0079591D"/>
    <w:rsid w:val="00796476"/>
    <w:rsid w:val="007A022C"/>
    <w:rsid w:val="007A120A"/>
    <w:rsid w:val="007A1468"/>
    <w:rsid w:val="007A1C76"/>
    <w:rsid w:val="007A3C5E"/>
    <w:rsid w:val="007A3D87"/>
    <w:rsid w:val="007A430F"/>
    <w:rsid w:val="007A4C72"/>
    <w:rsid w:val="007A5BA5"/>
    <w:rsid w:val="007A600B"/>
    <w:rsid w:val="007B0009"/>
    <w:rsid w:val="007B0992"/>
    <w:rsid w:val="007B0CD1"/>
    <w:rsid w:val="007B2E2F"/>
    <w:rsid w:val="007B35B9"/>
    <w:rsid w:val="007B7107"/>
    <w:rsid w:val="007B7614"/>
    <w:rsid w:val="007C4E02"/>
    <w:rsid w:val="007C6386"/>
    <w:rsid w:val="007C6BD2"/>
    <w:rsid w:val="007D01DA"/>
    <w:rsid w:val="007D0887"/>
    <w:rsid w:val="007D0E8C"/>
    <w:rsid w:val="007D38FA"/>
    <w:rsid w:val="007D3DC1"/>
    <w:rsid w:val="007D5DA0"/>
    <w:rsid w:val="007D5EED"/>
    <w:rsid w:val="007E0B5C"/>
    <w:rsid w:val="007E1111"/>
    <w:rsid w:val="007E28F7"/>
    <w:rsid w:val="007E3891"/>
    <w:rsid w:val="007E57C2"/>
    <w:rsid w:val="007E651D"/>
    <w:rsid w:val="007E6E75"/>
    <w:rsid w:val="007F0D00"/>
    <w:rsid w:val="007F0E29"/>
    <w:rsid w:val="007F1041"/>
    <w:rsid w:val="007F2174"/>
    <w:rsid w:val="007F2390"/>
    <w:rsid w:val="007F241B"/>
    <w:rsid w:val="007F2458"/>
    <w:rsid w:val="007F2AC1"/>
    <w:rsid w:val="007F2E56"/>
    <w:rsid w:val="007F3A86"/>
    <w:rsid w:val="007F4D16"/>
    <w:rsid w:val="007F554E"/>
    <w:rsid w:val="00800C79"/>
    <w:rsid w:val="008013DF"/>
    <w:rsid w:val="00804CCF"/>
    <w:rsid w:val="008051A7"/>
    <w:rsid w:val="00805E41"/>
    <w:rsid w:val="00806FAE"/>
    <w:rsid w:val="00807011"/>
    <w:rsid w:val="008104A6"/>
    <w:rsid w:val="00811BCE"/>
    <w:rsid w:val="00811DF1"/>
    <w:rsid w:val="00812457"/>
    <w:rsid w:val="008131C3"/>
    <w:rsid w:val="00813626"/>
    <w:rsid w:val="00813D37"/>
    <w:rsid w:val="00813F5A"/>
    <w:rsid w:val="00815F5F"/>
    <w:rsid w:val="0082137A"/>
    <w:rsid w:val="008217C5"/>
    <w:rsid w:val="00821DF0"/>
    <w:rsid w:val="008220E9"/>
    <w:rsid w:val="00822A68"/>
    <w:rsid w:val="00823D2C"/>
    <w:rsid w:val="008247F4"/>
    <w:rsid w:val="00827FE4"/>
    <w:rsid w:val="008316A1"/>
    <w:rsid w:val="00832B70"/>
    <w:rsid w:val="00832E73"/>
    <w:rsid w:val="008340C3"/>
    <w:rsid w:val="008365DA"/>
    <w:rsid w:val="008377C5"/>
    <w:rsid w:val="00837C6A"/>
    <w:rsid w:val="0084001F"/>
    <w:rsid w:val="00843733"/>
    <w:rsid w:val="00843F64"/>
    <w:rsid w:val="008453B1"/>
    <w:rsid w:val="00846738"/>
    <w:rsid w:val="0084790A"/>
    <w:rsid w:val="00850BAE"/>
    <w:rsid w:val="00850C5F"/>
    <w:rsid w:val="008516BE"/>
    <w:rsid w:val="0085194F"/>
    <w:rsid w:val="00851A86"/>
    <w:rsid w:val="008536FC"/>
    <w:rsid w:val="0085517A"/>
    <w:rsid w:val="00856492"/>
    <w:rsid w:val="0085795D"/>
    <w:rsid w:val="008607F3"/>
    <w:rsid w:val="00862227"/>
    <w:rsid w:val="0086313C"/>
    <w:rsid w:val="00863C0E"/>
    <w:rsid w:val="00863E77"/>
    <w:rsid w:val="008666E1"/>
    <w:rsid w:val="0086745C"/>
    <w:rsid w:val="00870BB3"/>
    <w:rsid w:val="00870FAD"/>
    <w:rsid w:val="00871F30"/>
    <w:rsid w:val="008724D4"/>
    <w:rsid w:val="0087351D"/>
    <w:rsid w:val="00873AE8"/>
    <w:rsid w:val="00873E0A"/>
    <w:rsid w:val="00874322"/>
    <w:rsid w:val="00875673"/>
    <w:rsid w:val="00877AF0"/>
    <w:rsid w:val="00880AF8"/>
    <w:rsid w:val="00881A36"/>
    <w:rsid w:val="00883DC4"/>
    <w:rsid w:val="00884F28"/>
    <w:rsid w:val="00885B10"/>
    <w:rsid w:val="00886087"/>
    <w:rsid w:val="00887B5C"/>
    <w:rsid w:val="00892670"/>
    <w:rsid w:val="0089293E"/>
    <w:rsid w:val="0089311C"/>
    <w:rsid w:val="008932E7"/>
    <w:rsid w:val="008969E4"/>
    <w:rsid w:val="00896F3A"/>
    <w:rsid w:val="008A13B0"/>
    <w:rsid w:val="008A1C56"/>
    <w:rsid w:val="008A23C3"/>
    <w:rsid w:val="008A475B"/>
    <w:rsid w:val="008A4943"/>
    <w:rsid w:val="008A4CE9"/>
    <w:rsid w:val="008A6562"/>
    <w:rsid w:val="008B02F0"/>
    <w:rsid w:val="008B159A"/>
    <w:rsid w:val="008B308C"/>
    <w:rsid w:val="008B7A34"/>
    <w:rsid w:val="008C1150"/>
    <w:rsid w:val="008C1ABB"/>
    <w:rsid w:val="008C3B81"/>
    <w:rsid w:val="008C55D8"/>
    <w:rsid w:val="008C5D9F"/>
    <w:rsid w:val="008C6C8C"/>
    <w:rsid w:val="008D443A"/>
    <w:rsid w:val="008D5487"/>
    <w:rsid w:val="008D604E"/>
    <w:rsid w:val="008E1FCD"/>
    <w:rsid w:val="008E3A68"/>
    <w:rsid w:val="008E43E7"/>
    <w:rsid w:val="008E44D8"/>
    <w:rsid w:val="008E6AFD"/>
    <w:rsid w:val="008F0003"/>
    <w:rsid w:val="008F0DC4"/>
    <w:rsid w:val="008F3505"/>
    <w:rsid w:val="008F3CF9"/>
    <w:rsid w:val="008F43C2"/>
    <w:rsid w:val="008F4EF0"/>
    <w:rsid w:val="00900AE5"/>
    <w:rsid w:val="00901706"/>
    <w:rsid w:val="00903CEA"/>
    <w:rsid w:val="00903DBD"/>
    <w:rsid w:val="00911244"/>
    <w:rsid w:val="009121BA"/>
    <w:rsid w:val="009130BD"/>
    <w:rsid w:val="009131D3"/>
    <w:rsid w:val="00913937"/>
    <w:rsid w:val="00914174"/>
    <w:rsid w:val="00914D7C"/>
    <w:rsid w:val="009150B1"/>
    <w:rsid w:val="00916C84"/>
    <w:rsid w:val="00916D06"/>
    <w:rsid w:val="00920EC8"/>
    <w:rsid w:val="00922310"/>
    <w:rsid w:val="00922C49"/>
    <w:rsid w:val="00923379"/>
    <w:rsid w:val="00925946"/>
    <w:rsid w:val="00927816"/>
    <w:rsid w:val="00927A06"/>
    <w:rsid w:val="00931B9F"/>
    <w:rsid w:val="009331BA"/>
    <w:rsid w:val="009352B7"/>
    <w:rsid w:val="0093604F"/>
    <w:rsid w:val="009361D9"/>
    <w:rsid w:val="00936571"/>
    <w:rsid w:val="00940DF4"/>
    <w:rsid w:val="009411D7"/>
    <w:rsid w:val="00945D31"/>
    <w:rsid w:val="00946D49"/>
    <w:rsid w:val="00952069"/>
    <w:rsid w:val="00952AD7"/>
    <w:rsid w:val="0095394E"/>
    <w:rsid w:val="00954419"/>
    <w:rsid w:val="00954B45"/>
    <w:rsid w:val="0095544A"/>
    <w:rsid w:val="009567F4"/>
    <w:rsid w:val="00957C68"/>
    <w:rsid w:val="00960EB7"/>
    <w:rsid w:val="00961141"/>
    <w:rsid w:val="00961A41"/>
    <w:rsid w:val="00961FD0"/>
    <w:rsid w:val="009622FD"/>
    <w:rsid w:val="00964F58"/>
    <w:rsid w:val="00965DCD"/>
    <w:rsid w:val="0096627F"/>
    <w:rsid w:val="00971060"/>
    <w:rsid w:val="00972302"/>
    <w:rsid w:val="0097269E"/>
    <w:rsid w:val="00974DA0"/>
    <w:rsid w:val="00975539"/>
    <w:rsid w:val="0098137C"/>
    <w:rsid w:val="009829A3"/>
    <w:rsid w:val="00983F89"/>
    <w:rsid w:val="009861F2"/>
    <w:rsid w:val="009866E8"/>
    <w:rsid w:val="00986F9E"/>
    <w:rsid w:val="009879D8"/>
    <w:rsid w:val="009902EE"/>
    <w:rsid w:val="009905C3"/>
    <w:rsid w:val="00992A7E"/>
    <w:rsid w:val="00993537"/>
    <w:rsid w:val="00993EB0"/>
    <w:rsid w:val="00994721"/>
    <w:rsid w:val="00996297"/>
    <w:rsid w:val="00997243"/>
    <w:rsid w:val="009A017E"/>
    <w:rsid w:val="009A0383"/>
    <w:rsid w:val="009A3056"/>
    <w:rsid w:val="009A3F54"/>
    <w:rsid w:val="009A406E"/>
    <w:rsid w:val="009A6169"/>
    <w:rsid w:val="009A7300"/>
    <w:rsid w:val="009A7807"/>
    <w:rsid w:val="009A7F4F"/>
    <w:rsid w:val="009B0200"/>
    <w:rsid w:val="009B1829"/>
    <w:rsid w:val="009B2A76"/>
    <w:rsid w:val="009B349B"/>
    <w:rsid w:val="009B529B"/>
    <w:rsid w:val="009B5420"/>
    <w:rsid w:val="009B5584"/>
    <w:rsid w:val="009C0F5F"/>
    <w:rsid w:val="009C2FD8"/>
    <w:rsid w:val="009C4899"/>
    <w:rsid w:val="009C6BA1"/>
    <w:rsid w:val="009D2752"/>
    <w:rsid w:val="009D4739"/>
    <w:rsid w:val="009D5641"/>
    <w:rsid w:val="009D57E8"/>
    <w:rsid w:val="009D6F30"/>
    <w:rsid w:val="009D77A8"/>
    <w:rsid w:val="009D790F"/>
    <w:rsid w:val="009E286A"/>
    <w:rsid w:val="009E2EE9"/>
    <w:rsid w:val="009E3F56"/>
    <w:rsid w:val="009E53FA"/>
    <w:rsid w:val="009E62AB"/>
    <w:rsid w:val="009F090A"/>
    <w:rsid w:val="009F13EC"/>
    <w:rsid w:val="009F18A6"/>
    <w:rsid w:val="009F2A89"/>
    <w:rsid w:val="009F410E"/>
    <w:rsid w:val="009F4BFB"/>
    <w:rsid w:val="009F6691"/>
    <w:rsid w:val="009F7E0D"/>
    <w:rsid w:val="00A005B5"/>
    <w:rsid w:val="00A00D48"/>
    <w:rsid w:val="00A00DAF"/>
    <w:rsid w:val="00A03EF0"/>
    <w:rsid w:val="00A0524E"/>
    <w:rsid w:val="00A05276"/>
    <w:rsid w:val="00A05901"/>
    <w:rsid w:val="00A13742"/>
    <w:rsid w:val="00A13F43"/>
    <w:rsid w:val="00A205C4"/>
    <w:rsid w:val="00A207B2"/>
    <w:rsid w:val="00A23C4C"/>
    <w:rsid w:val="00A23ED9"/>
    <w:rsid w:val="00A25F4E"/>
    <w:rsid w:val="00A26BB4"/>
    <w:rsid w:val="00A2754F"/>
    <w:rsid w:val="00A30011"/>
    <w:rsid w:val="00A308B1"/>
    <w:rsid w:val="00A30965"/>
    <w:rsid w:val="00A34D2F"/>
    <w:rsid w:val="00A34F44"/>
    <w:rsid w:val="00A35085"/>
    <w:rsid w:val="00A35DB8"/>
    <w:rsid w:val="00A36596"/>
    <w:rsid w:val="00A409D6"/>
    <w:rsid w:val="00A43EC3"/>
    <w:rsid w:val="00A443D7"/>
    <w:rsid w:val="00A533D3"/>
    <w:rsid w:val="00A5432C"/>
    <w:rsid w:val="00A54EA4"/>
    <w:rsid w:val="00A55427"/>
    <w:rsid w:val="00A5625F"/>
    <w:rsid w:val="00A569F1"/>
    <w:rsid w:val="00A56E02"/>
    <w:rsid w:val="00A57183"/>
    <w:rsid w:val="00A57C23"/>
    <w:rsid w:val="00A62E1C"/>
    <w:rsid w:val="00A6370D"/>
    <w:rsid w:val="00A64F58"/>
    <w:rsid w:val="00A658B6"/>
    <w:rsid w:val="00A65A1A"/>
    <w:rsid w:val="00A65BD0"/>
    <w:rsid w:val="00A674EA"/>
    <w:rsid w:val="00A67D3B"/>
    <w:rsid w:val="00A7110D"/>
    <w:rsid w:val="00A71345"/>
    <w:rsid w:val="00A71349"/>
    <w:rsid w:val="00A71C59"/>
    <w:rsid w:val="00A72AFE"/>
    <w:rsid w:val="00A736F7"/>
    <w:rsid w:val="00A75F9B"/>
    <w:rsid w:val="00A765EE"/>
    <w:rsid w:val="00A76B39"/>
    <w:rsid w:val="00A81ACC"/>
    <w:rsid w:val="00A82978"/>
    <w:rsid w:val="00A83C2D"/>
    <w:rsid w:val="00A83E7A"/>
    <w:rsid w:val="00A856C8"/>
    <w:rsid w:val="00A90C9F"/>
    <w:rsid w:val="00A90E88"/>
    <w:rsid w:val="00A911BF"/>
    <w:rsid w:val="00A92106"/>
    <w:rsid w:val="00A92F20"/>
    <w:rsid w:val="00A93287"/>
    <w:rsid w:val="00A9444E"/>
    <w:rsid w:val="00A96BE4"/>
    <w:rsid w:val="00AA49A6"/>
    <w:rsid w:val="00AA4A0A"/>
    <w:rsid w:val="00AA518B"/>
    <w:rsid w:val="00AA572D"/>
    <w:rsid w:val="00AA5C7C"/>
    <w:rsid w:val="00AA6990"/>
    <w:rsid w:val="00AA765B"/>
    <w:rsid w:val="00AB035E"/>
    <w:rsid w:val="00AB3618"/>
    <w:rsid w:val="00AB4F33"/>
    <w:rsid w:val="00AB6B5D"/>
    <w:rsid w:val="00AB7E87"/>
    <w:rsid w:val="00AC0C6C"/>
    <w:rsid w:val="00AC630D"/>
    <w:rsid w:val="00AC689C"/>
    <w:rsid w:val="00AC6F85"/>
    <w:rsid w:val="00AD236E"/>
    <w:rsid w:val="00AD24CD"/>
    <w:rsid w:val="00AD2D7D"/>
    <w:rsid w:val="00AD384F"/>
    <w:rsid w:val="00AD4250"/>
    <w:rsid w:val="00AD4965"/>
    <w:rsid w:val="00AD5AE7"/>
    <w:rsid w:val="00AE25C5"/>
    <w:rsid w:val="00AE3790"/>
    <w:rsid w:val="00AE4FAF"/>
    <w:rsid w:val="00AE517B"/>
    <w:rsid w:val="00AE5ACD"/>
    <w:rsid w:val="00AF175D"/>
    <w:rsid w:val="00AF2FDB"/>
    <w:rsid w:val="00AF4842"/>
    <w:rsid w:val="00AF6F61"/>
    <w:rsid w:val="00B014DB"/>
    <w:rsid w:val="00B0396E"/>
    <w:rsid w:val="00B0429C"/>
    <w:rsid w:val="00B04919"/>
    <w:rsid w:val="00B05B1F"/>
    <w:rsid w:val="00B10695"/>
    <w:rsid w:val="00B1143A"/>
    <w:rsid w:val="00B11AAC"/>
    <w:rsid w:val="00B13990"/>
    <w:rsid w:val="00B140FD"/>
    <w:rsid w:val="00B164A6"/>
    <w:rsid w:val="00B16B53"/>
    <w:rsid w:val="00B17788"/>
    <w:rsid w:val="00B241E5"/>
    <w:rsid w:val="00B25E2E"/>
    <w:rsid w:val="00B272EA"/>
    <w:rsid w:val="00B277D8"/>
    <w:rsid w:val="00B30512"/>
    <w:rsid w:val="00B31AF4"/>
    <w:rsid w:val="00B329A5"/>
    <w:rsid w:val="00B33891"/>
    <w:rsid w:val="00B341EF"/>
    <w:rsid w:val="00B35930"/>
    <w:rsid w:val="00B37F6C"/>
    <w:rsid w:val="00B404DB"/>
    <w:rsid w:val="00B41880"/>
    <w:rsid w:val="00B437EE"/>
    <w:rsid w:val="00B4569D"/>
    <w:rsid w:val="00B45713"/>
    <w:rsid w:val="00B472D8"/>
    <w:rsid w:val="00B47776"/>
    <w:rsid w:val="00B47C41"/>
    <w:rsid w:val="00B50924"/>
    <w:rsid w:val="00B50936"/>
    <w:rsid w:val="00B5095E"/>
    <w:rsid w:val="00B50A2B"/>
    <w:rsid w:val="00B521D3"/>
    <w:rsid w:val="00B54163"/>
    <w:rsid w:val="00B5476D"/>
    <w:rsid w:val="00B55727"/>
    <w:rsid w:val="00B564AA"/>
    <w:rsid w:val="00B56B4E"/>
    <w:rsid w:val="00B57E9C"/>
    <w:rsid w:val="00B60FDA"/>
    <w:rsid w:val="00B61466"/>
    <w:rsid w:val="00B61471"/>
    <w:rsid w:val="00B61A3B"/>
    <w:rsid w:val="00B61A91"/>
    <w:rsid w:val="00B62B83"/>
    <w:rsid w:val="00B633C8"/>
    <w:rsid w:val="00B669A5"/>
    <w:rsid w:val="00B67B17"/>
    <w:rsid w:val="00B75F93"/>
    <w:rsid w:val="00B76876"/>
    <w:rsid w:val="00B80DD1"/>
    <w:rsid w:val="00B81503"/>
    <w:rsid w:val="00B84BA8"/>
    <w:rsid w:val="00B85359"/>
    <w:rsid w:val="00B86695"/>
    <w:rsid w:val="00B90AAF"/>
    <w:rsid w:val="00B90DAF"/>
    <w:rsid w:val="00BA1D1F"/>
    <w:rsid w:val="00BA233D"/>
    <w:rsid w:val="00BA3057"/>
    <w:rsid w:val="00BA6C12"/>
    <w:rsid w:val="00BA6E06"/>
    <w:rsid w:val="00BA75EC"/>
    <w:rsid w:val="00BB1BB5"/>
    <w:rsid w:val="00BB48DA"/>
    <w:rsid w:val="00BB57D4"/>
    <w:rsid w:val="00BB6122"/>
    <w:rsid w:val="00BB71B0"/>
    <w:rsid w:val="00BB7721"/>
    <w:rsid w:val="00BC0F85"/>
    <w:rsid w:val="00BC3979"/>
    <w:rsid w:val="00BC5BE5"/>
    <w:rsid w:val="00BD022B"/>
    <w:rsid w:val="00BD31EE"/>
    <w:rsid w:val="00BD38EC"/>
    <w:rsid w:val="00BD42F8"/>
    <w:rsid w:val="00BD4A17"/>
    <w:rsid w:val="00BD560D"/>
    <w:rsid w:val="00BD7083"/>
    <w:rsid w:val="00BD70E9"/>
    <w:rsid w:val="00BE35E0"/>
    <w:rsid w:val="00BE4A99"/>
    <w:rsid w:val="00BE655D"/>
    <w:rsid w:val="00BE6D87"/>
    <w:rsid w:val="00BE7237"/>
    <w:rsid w:val="00BF0114"/>
    <w:rsid w:val="00BF05DB"/>
    <w:rsid w:val="00BF0C2B"/>
    <w:rsid w:val="00BF2A58"/>
    <w:rsid w:val="00BF5E52"/>
    <w:rsid w:val="00BF7EF7"/>
    <w:rsid w:val="00C03657"/>
    <w:rsid w:val="00C03D62"/>
    <w:rsid w:val="00C04850"/>
    <w:rsid w:val="00C05EF3"/>
    <w:rsid w:val="00C05FD7"/>
    <w:rsid w:val="00C0705A"/>
    <w:rsid w:val="00C129E2"/>
    <w:rsid w:val="00C17472"/>
    <w:rsid w:val="00C20965"/>
    <w:rsid w:val="00C20A9F"/>
    <w:rsid w:val="00C22E2E"/>
    <w:rsid w:val="00C2316E"/>
    <w:rsid w:val="00C24DFC"/>
    <w:rsid w:val="00C255C0"/>
    <w:rsid w:val="00C30B7D"/>
    <w:rsid w:val="00C36816"/>
    <w:rsid w:val="00C41553"/>
    <w:rsid w:val="00C4184E"/>
    <w:rsid w:val="00C434BE"/>
    <w:rsid w:val="00C45A59"/>
    <w:rsid w:val="00C45B61"/>
    <w:rsid w:val="00C508EA"/>
    <w:rsid w:val="00C51A10"/>
    <w:rsid w:val="00C53403"/>
    <w:rsid w:val="00C570D8"/>
    <w:rsid w:val="00C62BB4"/>
    <w:rsid w:val="00C647D4"/>
    <w:rsid w:val="00C66338"/>
    <w:rsid w:val="00C6789B"/>
    <w:rsid w:val="00C67E91"/>
    <w:rsid w:val="00C7009E"/>
    <w:rsid w:val="00C724CB"/>
    <w:rsid w:val="00C73149"/>
    <w:rsid w:val="00C74073"/>
    <w:rsid w:val="00C740D1"/>
    <w:rsid w:val="00C7495A"/>
    <w:rsid w:val="00C76804"/>
    <w:rsid w:val="00C76D70"/>
    <w:rsid w:val="00C7781F"/>
    <w:rsid w:val="00C83F3D"/>
    <w:rsid w:val="00C85055"/>
    <w:rsid w:val="00C912A2"/>
    <w:rsid w:val="00C913C7"/>
    <w:rsid w:val="00C91B7F"/>
    <w:rsid w:val="00C92215"/>
    <w:rsid w:val="00C92F79"/>
    <w:rsid w:val="00C94FC7"/>
    <w:rsid w:val="00C95223"/>
    <w:rsid w:val="00C968D2"/>
    <w:rsid w:val="00C97205"/>
    <w:rsid w:val="00CA00D2"/>
    <w:rsid w:val="00CA3138"/>
    <w:rsid w:val="00CA3E66"/>
    <w:rsid w:val="00CA4199"/>
    <w:rsid w:val="00CA4592"/>
    <w:rsid w:val="00CA4AFE"/>
    <w:rsid w:val="00CA6FC2"/>
    <w:rsid w:val="00CB0793"/>
    <w:rsid w:val="00CB08A2"/>
    <w:rsid w:val="00CB0EB8"/>
    <w:rsid w:val="00CB2CC6"/>
    <w:rsid w:val="00CB4194"/>
    <w:rsid w:val="00CB4D17"/>
    <w:rsid w:val="00CB66A0"/>
    <w:rsid w:val="00CB67D6"/>
    <w:rsid w:val="00CB6A06"/>
    <w:rsid w:val="00CB6F2E"/>
    <w:rsid w:val="00CB728B"/>
    <w:rsid w:val="00CB73A5"/>
    <w:rsid w:val="00CB7B31"/>
    <w:rsid w:val="00CB7F47"/>
    <w:rsid w:val="00CC07B6"/>
    <w:rsid w:val="00CC0A97"/>
    <w:rsid w:val="00CC182B"/>
    <w:rsid w:val="00CC1F6D"/>
    <w:rsid w:val="00CC2A8F"/>
    <w:rsid w:val="00CC4357"/>
    <w:rsid w:val="00CC483B"/>
    <w:rsid w:val="00CC488C"/>
    <w:rsid w:val="00CC494B"/>
    <w:rsid w:val="00CC56DA"/>
    <w:rsid w:val="00CC580F"/>
    <w:rsid w:val="00CC5DCA"/>
    <w:rsid w:val="00CC6A32"/>
    <w:rsid w:val="00CD1792"/>
    <w:rsid w:val="00CD361D"/>
    <w:rsid w:val="00CD40A4"/>
    <w:rsid w:val="00CD77F5"/>
    <w:rsid w:val="00CE0F83"/>
    <w:rsid w:val="00CE1745"/>
    <w:rsid w:val="00CE228A"/>
    <w:rsid w:val="00CE5B40"/>
    <w:rsid w:val="00CE5BDF"/>
    <w:rsid w:val="00CF0110"/>
    <w:rsid w:val="00CF2554"/>
    <w:rsid w:val="00CF26E4"/>
    <w:rsid w:val="00CF31FE"/>
    <w:rsid w:val="00CF338B"/>
    <w:rsid w:val="00CF3FB3"/>
    <w:rsid w:val="00CF41BA"/>
    <w:rsid w:val="00CF441D"/>
    <w:rsid w:val="00CF5A0D"/>
    <w:rsid w:val="00CF7C77"/>
    <w:rsid w:val="00CF7F1B"/>
    <w:rsid w:val="00D01FD1"/>
    <w:rsid w:val="00D020BC"/>
    <w:rsid w:val="00D032EF"/>
    <w:rsid w:val="00D03B62"/>
    <w:rsid w:val="00D0477A"/>
    <w:rsid w:val="00D114E7"/>
    <w:rsid w:val="00D1234A"/>
    <w:rsid w:val="00D124DA"/>
    <w:rsid w:val="00D21BC7"/>
    <w:rsid w:val="00D21EA6"/>
    <w:rsid w:val="00D23958"/>
    <w:rsid w:val="00D23EF0"/>
    <w:rsid w:val="00D26B1F"/>
    <w:rsid w:val="00D26D28"/>
    <w:rsid w:val="00D27B28"/>
    <w:rsid w:val="00D30E5E"/>
    <w:rsid w:val="00D31F7E"/>
    <w:rsid w:val="00D3439D"/>
    <w:rsid w:val="00D34A44"/>
    <w:rsid w:val="00D35A44"/>
    <w:rsid w:val="00D36007"/>
    <w:rsid w:val="00D36B28"/>
    <w:rsid w:val="00D40E06"/>
    <w:rsid w:val="00D416CC"/>
    <w:rsid w:val="00D427AC"/>
    <w:rsid w:val="00D43763"/>
    <w:rsid w:val="00D45F54"/>
    <w:rsid w:val="00D4695A"/>
    <w:rsid w:val="00D50346"/>
    <w:rsid w:val="00D50772"/>
    <w:rsid w:val="00D50CA9"/>
    <w:rsid w:val="00D5152F"/>
    <w:rsid w:val="00D51C56"/>
    <w:rsid w:val="00D51E8B"/>
    <w:rsid w:val="00D52627"/>
    <w:rsid w:val="00D54D0D"/>
    <w:rsid w:val="00D5774D"/>
    <w:rsid w:val="00D61333"/>
    <w:rsid w:val="00D6152F"/>
    <w:rsid w:val="00D620A1"/>
    <w:rsid w:val="00D63B49"/>
    <w:rsid w:val="00D63DAC"/>
    <w:rsid w:val="00D650CD"/>
    <w:rsid w:val="00D6524C"/>
    <w:rsid w:val="00D6577B"/>
    <w:rsid w:val="00D66808"/>
    <w:rsid w:val="00D67C27"/>
    <w:rsid w:val="00D7077E"/>
    <w:rsid w:val="00D71EE9"/>
    <w:rsid w:val="00D730C2"/>
    <w:rsid w:val="00D74171"/>
    <w:rsid w:val="00D74B51"/>
    <w:rsid w:val="00D74DAE"/>
    <w:rsid w:val="00D75008"/>
    <w:rsid w:val="00D75ABD"/>
    <w:rsid w:val="00D77CFD"/>
    <w:rsid w:val="00D802D2"/>
    <w:rsid w:val="00D811F6"/>
    <w:rsid w:val="00D818D0"/>
    <w:rsid w:val="00D83CBC"/>
    <w:rsid w:val="00D84EB3"/>
    <w:rsid w:val="00D85444"/>
    <w:rsid w:val="00D85F85"/>
    <w:rsid w:val="00D87179"/>
    <w:rsid w:val="00D90135"/>
    <w:rsid w:val="00D90151"/>
    <w:rsid w:val="00D91334"/>
    <w:rsid w:val="00D9289B"/>
    <w:rsid w:val="00D97B19"/>
    <w:rsid w:val="00DA0448"/>
    <w:rsid w:val="00DA0D78"/>
    <w:rsid w:val="00DA1E3F"/>
    <w:rsid w:val="00DA25FF"/>
    <w:rsid w:val="00DA2F56"/>
    <w:rsid w:val="00DA31F2"/>
    <w:rsid w:val="00DA337C"/>
    <w:rsid w:val="00DA3B70"/>
    <w:rsid w:val="00DA4BDB"/>
    <w:rsid w:val="00DA514C"/>
    <w:rsid w:val="00DA5AEB"/>
    <w:rsid w:val="00DA60CF"/>
    <w:rsid w:val="00DA7F52"/>
    <w:rsid w:val="00DB54EF"/>
    <w:rsid w:val="00DB6405"/>
    <w:rsid w:val="00DB77B8"/>
    <w:rsid w:val="00DB7A91"/>
    <w:rsid w:val="00DB7D20"/>
    <w:rsid w:val="00DC0734"/>
    <w:rsid w:val="00DC0CBA"/>
    <w:rsid w:val="00DC3310"/>
    <w:rsid w:val="00DC3412"/>
    <w:rsid w:val="00DC5559"/>
    <w:rsid w:val="00DD0C71"/>
    <w:rsid w:val="00DD1AA7"/>
    <w:rsid w:val="00DD3690"/>
    <w:rsid w:val="00DD727B"/>
    <w:rsid w:val="00DD7366"/>
    <w:rsid w:val="00DE0AB8"/>
    <w:rsid w:val="00DE129C"/>
    <w:rsid w:val="00DE2FEB"/>
    <w:rsid w:val="00DE4A65"/>
    <w:rsid w:val="00DE5116"/>
    <w:rsid w:val="00DE6BDD"/>
    <w:rsid w:val="00DE73ED"/>
    <w:rsid w:val="00DF051B"/>
    <w:rsid w:val="00DF09FC"/>
    <w:rsid w:val="00DF3512"/>
    <w:rsid w:val="00DF3AB0"/>
    <w:rsid w:val="00DF4AAD"/>
    <w:rsid w:val="00DF6D80"/>
    <w:rsid w:val="00DF70DA"/>
    <w:rsid w:val="00DF7192"/>
    <w:rsid w:val="00DF7EDE"/>
    <w:rsid w:val="00E00106"/>
    <w:rsid w:val="00E01A04"/>
    <w:rsid w:val="00E045D6"/>
    <w:rsid w:val="00E0539F"/>
    <w:rsid w:val="00E057E3"/>
    <w:rsid w:val="00E114EE"/>
    <w:rsid w:val="00E15157"/>
    <w:rsid w:val="00E15CC5"/>
    <w:rsid w:val="00E2070B"/>
    <w:rsid w:val="00E21C99"/>
    <w:rsid w:val="00E229E0"/>
    <w:rsid w:val="00E24849"/>
    <w:rsid w:val="00E26230"/>
    <w:rsid w:val="00E271EE"/>
    <w:rsid w:val="00E27AB5"/>
    <w:rsid w:val="00E322E1"/>
    <w:rsid w:val="00E33ED1"/>
    <w:rsid w:val="00E3554F"/>
    <w:rsid w:val="00E35707"/>
    <w:rsid w:val="00E35F05"/>
    <w:rsid w:val="00E36AD0"/>
    <w:rsid w:val="00E37D01"/>
    <w:rsid w:val="00E400B5"/>
    <w:rsid w:val="00E40D20"/>
    <w:rsid w:val="00E41129"/>
    <w:rsid w:val="00E41E5E"/>
    <w:rsid w:val="00E429B8"/>
    <w:rsid w:val="00E436B0"/>
    <w:rsid w:val="00E4466A"/>
    <w:rsid w:val="00E50751"/>
    <w:rsid w:val="00E50F6B"/>
    <w:rsid w:val="00E53CE0"/>
    <w:rsid w:val="00E5572C"/>
    <w:rsid w:val="00E56EF7"/>
    <w:rsid w:val="00E61595"/>
    <w:rsid w:val="00E63509"/>
    <w:rsid w:val="00E65435"/>
    <w:rsid w:val="00E654AB"/>
    <w:rsid w:val="00E66939"/>
    <w:rsid w:val="00E66DC4"/>
    <w:rsid w:val="00E70FBC"/>
    <w:rsid w:val="00E72A59"/>
    <w:rsid w:val="00E72AED"/>
    <w:rsid w:val="00E7329D"/>
    <w:rsid w:val="00E74190"/>
    <w:rsid w:val="00E74A4D"/>
    <w:rsid w:val="00E75724"/>
    <w:rsid w:val="00E757D3"/>
    <w:rsid w:val="00E80AB4"/>
    <w:rsid w:val="00E81B6D"/>
    <w:rsid w:val="00E826F3"/>
    <w:rsid w:val="00E82762"/>
    <w:rsid w:val="00E84D28"/>
    <w:rsid w:val="00E867CE"/>
    <w:rsid w:val="00E86DD7"/>
    <w:rsid w:val="00E87F2B"/>
    <w:rsid w:val="00E90436"/>
    <w:rsid w:val="00E90E27"/>
    <w:rsid w:val="00E91716"/>
    <w:rsid w:val="00E91A08"/>
    <w:rsid w:val="00E91AA9"/>
    <w:rsid w:val="00E92619"/>
    <w:rsid w:val="00E929AC"/>
    <w:rsid w:val="00E92AD7"/>
    <w:rsid w:val="00E93122"/>
    <w:rsid w:val="00E9665F"/>
    <w:rsid w:val="00E966F4"/>
    <w:rsid w:val="00E97905"/>
    <w:rsid w:val="00EA03C8"/>
    <w:rsid w:val="00EA14FC"/>
    <w:rsid w:val="00EA1945"/>
    <w:rsid w:val="00EA2779"/>
    <w:rsid w:val="00EA3183"/>
    <w:rsid w:val="00EA6508"/>
    <w:rsid w:val="00EB13B5"/>
    <w:rsid w:val="00EB2189"/>
    <w:rsid w:val="00EB256A"/>
    <w:rsid w:val="00EB3C3E"/>
    <w:rsid w:val="00EB4720"/>
    <w:rsid w:val="00EB62F0"/>
    <w:rsid w:val="00EB6578"/>
    <w:rsid w:val="00EC0747"/>
    <w:rsid w:val="00EC108B"/>
    <w:rsid w:val="00EC1CF6"/>
    <w:rsid w:val="00EC3090"/>
    <w:rsid w:val="00EC4F65"/>
    <w:rsid w:val="00EC5100"/>
    <w:rsid w:val="00EC571D"/>
    <w:rsid w:val="00EC5CB8"/>
    <w:rsid w:val="00ED0356"/>
    <w:rsid w:val="00ED2366"/>
    <w:rsid w:val="00ED7D5B"/>
    <w:rsid w:val="00EE08D5"/>
    <w:rsid w:val="00EE1342"/>
    <w:rsid w:val="00EE5D64"/>
    <w:rsid w:val="00EE72ED"/>
    <w:rsid w:val="00EF0CFD"/>
    <w:rsid w:val="00EF262E"/>
    <w:rsid w:val="00EF47FE"/>
    <w:rsid w:val="00EF48F0"/>
    <w:rsid w:val="00EF4ED7"/>
    <w:rsid w:val="00EF671A"/>
    <w:rsid w:val="00F00FF2"/>
    <w:rsid w:val="00F0236E"/>
    <w:rsid w:val="00F03272"/>
    <w:rsid w:val="00F033A4"/>
    <w:rsid w:val="00F03D1C"/>
    <w:rsid w:val="00F03F77"/>
    <w:rsid w:val="00F066A7"/>
    <w:rsid w:val="00F1062D"/>
    <w:rsid w:val="00F11A6E"/>
    <w:rsid w:val="00F15D65"/>
    <w:rsid w:val="00F163CC"/>
    <w:rsid w:val="00F168CC"/>
    <w:rsid w:val="00F17218"/>
    <w:rsid w:val="00F22850"/>
    <w:rsid w:val="00F22E36"/>
    <w:rsid w:val="00F233E8"/>
    <w:rsid w:val="00F239B7"/>
    <w:rsid w:val="00F24A52"/>
    <w:rsid w:val="00F24CA5"/>
    <w:rsid w:val="00F263BA"/>
    <w:rsid w:val="00F26FFD"/>
    <w:rsid w:val="00F2789B"/>
    <w:rsid w:val="00F302B3"/>
    <w:rsid w:val="00F30387"/>
    <w:rsid w:val="00F34917"/>
    <w:rsid w:val="00F35E3F"/>
    <w:rsid w:val="00F372F6"/>
    <w:rsid w:val="00F377AE"/>
    <w:rsid w:val="00F379A3"/>
    <w:rsid w:val="00F37C64"/>
    <w:rsid w:val="00F402A6"/>
    <w:rsid w:val="00F40BD8"/>
    <w:rsid w:val="00F41060"/>
    <w:rsid w:val="00F432BA"/>
    <w:rsid w:val="00F4371C"/>
    <w:rsid w:val="00F443A1"/>
    <w:rsid w:val="00F46104"/>
    <w:rsid w:val="00F50536"/>
    <w:rsid w:val="00F51572"/>
    <w:rsid w:val="00F5630D"/>
    <w:rsid w:val="00F56C38"/>
    <w:rsid w:val="00F571D1"/>
    <w:rsid w:val="00F578C5"/>
    <w:rsid w:val="00F6036B"/>
    <w:rsid w:val="00F60E7D"/>
    <w:rsid w:val="00F60F65"/>
    <w:rsid w:val="00F6105E"/>
    <w:rsid w:val="00F677D2"/>
    <w:rsid w:val="00F73C89"/>
    <w:rsid w:val="00F74203"/>
    <w:rsid w:val="00F753FD"/>
    <w:rsid w:val="00F81519"/>
    <w:rsid w:val="00F82A12"/>
    <w:rsid w:val="00F8323C"/>
    <w:rsid w:val="00F85087"/>
    <w:rsid w:val="00F850F9"/>
    <w:rsid w:val="00F85895"/>
    <w:rsid w:val="00F87293"/>
    <w:rsid w:val="00F90C4C"/>
    <w:rsid w:val="00F91544"/>
    <w:rsid w:val="00F919FF"/>
    <w:rsid w:val="00F922FC"/>
    <w:rsid w:val="00F92D00"/>
    <w:rsid w:val="00F92F8E"/>
    <w:rsid w:val="00F94063"/>
    <w:rsid w:val="00F94E99"/>
    <w:rsid w:val="00F969A5"/>
    <w:rsid w:val="00F96BBB"/>
    <w:rsid w:val="00F9782C"/>
    <w:rsid w:val="00FA1E6E"/>
    <w:rsid w:val="00FA6233"/>
    <w:rsid w:val="00FA7CA3"/>
    <w:rsid w:val="00FB0138"/>
    <w:rsid w:val="00FB0350"/>
    <w:rsid w:val="00FB1217"/>
    <w:rsid w:val="00FB1690"/>
    <w:rsid w:val="00FB24A3"/>
    <w:rsid w:val="00FB2E47"/>
    <w:rsid w:val="00FB33B0"/>
    <w:rsid w:val="00FB73F2"/>
    <w:rsid w:val="00FB7B37"/>
    <w:rsid w:val="00FB7C84"/>
    <w:rsid w:val="00FC13A3"/>
    <w:rsid w:val="00FC1B5A"/>
    <w:rsid w:val="00FC30FE"/>
    <w:rsid w:val="00FC4678"/>
    <w:rsid w:val="00FC51DD"/>
    <w:rsid w:val="00FC63B4"/>
    <w:rsid w:val="00FC7EB5"/>
    <w:rsid w:val="00FD12C0"/>
    <w:rsid w:val="00FD1A8D"/>
    <w:rsid w:val="00FD409C"/>
    <w:rsid w:val="00FD5AC0"/>
    <w:rsid w:val="00FD5D16"/>
    <w:rsid w:val="00FD5FE9"/>
    <w:rsid w:val="00FE005A"/>
    <w:rsid w:val="00FE0144"/>
    <w:rsid w:val="00FE051A"/>
    <w:rsid w:val="00FE1BA0"/>
    <w:rsid w:val="00FE25DA"/>
    <w:rsid w:val="00FE30F8"/>
    <w:rsid w:val="00FE6F87"/>
    <w:rsid w:val="00FE7B1C"/>
    <w:rsid w:val="00FF3049"/>
    <w:rsid w:val="00FF32C6"/>
    <w:rsid w:val="00FF5B24"/>
    <w:rsid w:val="00FF6FD9"/>
    <w:rsid w:val="00FF7048"/>
    <w:rsid w:val="00FF77C8"/>
    <w:rsid w:val="00FF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8DEA"/>
  <w15:docId w15:val="{0399B0D1-30EC-46E3-95EB-DA4B6610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52C"/>
    <w:pPr>
      <w:spacing w:before="240" w:after="0" w:line="264" w:lineRule="auto"/>
    </w:pPr>
  </w:style>
  <w:style w:type="paragraph" w:styleId="Heading1">
    <w:name w:val="heading 1"/>
    <w:basedOn w:val="Normal"/>
    <w:next w:val="Normal"/>
    <w:link w:val="Heading1Char"/>
    <w:uiPriority w:val="9"/>
    <w:qFormat/>
    <w:rsid w:val="00310B73"/>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310B73"/>
    <w:pPr>
      <w:keepNext/>
      <w:keepLines/>
      <w:numPr>
        <w:numId w:val="3"/>
      </w:numPr>
      <w:spacing w:before="480"/>
      <w:outlineLvl w:val="1"/>
    </w:pPr>
    <w:rPr>
      <w:rFonts w:ascii="Calibri" w:eastAsiaTheme="majorEastAsia" w:hAnsi="Calibri" w:cstheme="majorBidi"/>
      <w:b/>
      <w:bCs/>
      <w:color w:val="4E1A74"/>
      <w:sz w:val="24"/>
      <w:szCs w:val="24"/>
    </w:rPr>
  </w:style>
  <w:style w:type="paragraph" w:styleId="Heading3">
    <w:name w:val="heading 3"/>
    <w:basedOn w:val="Normal"/>
    <w:next w:val="Normal"/>
    <w:link w:val="Heading3Char"/>
    <w:uiPriority w:val="9"/>
    <w:unhideWhenUsed/>
    <w:qFormat/>
    <w:rsid w:val="00310B73"/>
    <w:pPr>
      <w:keepNext/>
      <w:keepLines/>
      <w:numPr>
        <w:ilvl w:val="1"/>
        <w:numId w:val="3"/>
      </w:numPr>
      <w:spacing w:after="200"/>
      <w:outlineLvl w:val="2"/>
    </w:pPr>
    <w:rPr>
      <w:rFonts w:eastAsiaTheme="majorEastAsia" w:cstheme="majorBidi"/>
      <w:b/>
      <w:bCs/>
      <w:color w:val="4E1A74"/>
    </w:rPr>
  </w:style>
  <w:style w:type="paragraph" w:styleId="Heading4">
    <w:name w:val="heading 4"/>
    <w:basedOn w:val="Normal"/>
    <w:next w:val="Normal"/>
    <w:link w:val="Heading4Char"/>
    <w:uiPriority w:val="9"/>
    <w:unhideWhenUsed/>
    <w:qFormat/>
    <w:rsid w:val="00FF3049"/>
    <w:pPr>
      <w:keepNext/>
      <w:keepLines/>
      <w:numPr>
        <w:ilvl w:val="2"/>
        <w:numId w:val="3"/>
      </w:numPr>
      <w:spacing w:after="200"/>
      <w:outlineLvl w:val="3"/>
    </w:pPr>
    <w:rPr>
      <w:rFonts w:eastAsiaTheme="majorEastAsia" w:cstheme="majorBidi"/>
      <w:b/>
      <w:bCs/>
      <w:i/>
      <w:iCs/>
      <w:color w:val="4E1A74" w:themeColor="accent2"/>
    </w:rPr>
  </w:style>
  <w:style w:type="paragraph" w:styleId="Heading5">
    <w:name w:val="heading 5"/>
    <w:basedOn w:val="Normal"/>
    <w:next w:val="Normal"/>
    <w:link w:val="Heading5Char"/>
    <w:uiPriority w:val="9"/>
    <w:unhideWhenUsed/>
    <w:rsid w:val="006801F3"/>
    <w:pPr>
      <w:pBdr>
        <w:bottom w:val="single" w:sz="6" w:space="1" w:color="2B992B" w:themeColor="accent1"/>
      </w:pBdr>
      <w:spacing w:before="300"/>
      <w:outlineLvl w:val="4"/>
    </w:pPr>
    <w:rPr>
      <w:caps/>
      <w:color w:val="207220" w:themeColor="accent1" w:themeShade="BF"/>
      <w:spacing w:val="10"/>
    </w:rPr>
  </w:style>
  <w:style w:type="paragraph" w:styleId="Heading6">
    <w:name w:val="heading 6"/>
    <w:basedOn w:val="Normal"/>
    <w:next w:val="Normal"/>
    <w:link w:val="Heading6Char"/>
    <w:uiPriority w:val="9"/>
    <w:semiHidden/>
    <w:unhideWhenUsed/>
    <w:qFormat/>
    <w:rsid w:val="006801F3"/>
    <w:pPr>
      <w:keepNext/>
      <w:keepLines/>
      <w:spacing w:before="40"/>
      <w:outlineLvl w:val="5"/>
    </w:pPr>
    <w:rPr>
      <w:rFonts w:asciiTheme="majorHAnsi" w:eastAsiaTheme="majorEastAsia" w:hAnsiTheme="majorHAnsi" w:cstheme="majorBidi"/>
      <w:color w:val="154B15" w:themeColor="accent1" w:themeShade="7F"/>
    </w:rPr>
  </w:style>
  <w:style w:type="paragraph" w:styleId="Heading7">
    <w:name w:val="heading 7"/>
    <w:basedOn w:val="Normal"/>
    <w:next w:val="Normal"/>
    <w:link w:val="Heading7Char"/>
    <w:uiPriority w:val="9"/>
    <w:semiHidden/>
    <w:unhideWhenUsed/>
    <w:qFormat/>
    <w:rsid w:val="006801F3"/>
    <w:pPr>
      <w:keepNext/>
      <w:keepLines/>
      <w:spacing w:before="40"/>
      <w:outlineLvl w:val="6"/>
    </w:pPr>
    <w:rPr>
      <w:rFonts w:asciiTheme="majorHAnsi" w:eastAsiaTheme="majorEastAsia" w:hAnsiTheme="majorHAnsi" w:cstheme="majorBidi"/>
      <w:i/>
      <w:iCs/>
      <w:color w:val="154B15" w:themeColor="accent1" w:themeShade="7F"/>
    </w:rPr>
  </w:style>
  <w:style w:type="paragraph" w:styleId="Heading8">
    <w:name w:val="heading 8"/>
    <w:basedOn w:val="Normal"/>
    <w:next w:val="Normal"/>
    <w:link w:val="Heading8Char"/>
    <w:uiPriority w:val="9"/>
    <w:semiHidden/>
    <w:unhideWhenUsed/>
    <w:qFormat/>
    <w:rsid w:val="006801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01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0B73"/>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310B73"/>
    <w:rPr>
      <w:rFonts w:ascii="Calibri" w:eastAsiaTheme="majorEastAsia" w:hAnsi="Calibri" w:cstheme="majorBidi"/>
      <w:b/>
      <w:color w:val="4E1A74"/>
      <w:spacing w:val="5"/>
      <w:kern w:val="28"/>
      <w:sz w:val="52"/>
      <w:szCs w:val="52"/>
    </w:rPr>
  </w:style>
  <w:style w:type="character" w:customStyle="1" w:styleId="Heading1Char">
    <w:name w:val="Heading 1 Char"/>
    <w:basedOn w:val="DefaultParagraphFont"/>
    <w:link w:val="Heading1"/>
    <w:uiPriority w:val="9"/>
    <w:rsid w:val="00310B73"/>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310B73"/>
    <w:rPr>
      <w:rFonts w:ascii="Calibri" w:eastAsiaTheme="majorEastAsia" w:hAnsi="Calibri" w:cstheme="majorBidi"/>
      <w:b/>
      <w:bCs/>
      <w:color w:val="4E1A74"/>
      <w:sz w:val="24"/>
      <w:szCs w:val="24"/>
    </w:rPr>
  </w:style>
  <w:style w:type="paragraph" w:styleId="Header">
    <w:name w:val="header"/>
    <w:basedOn w:val="Normal"/>
    <w:link w:val="HeaderChar"/>
    <w:uiPriority w:val="99"/>
    <w:unhideWhenUsed/>
    <w:rsid w:val="00E929AC"/>
    <w:pPr>
      <w:tabs>
        <w:tab w:val="center" w:pos="4513"/>
        <w:tab w:val="right" w:pos="9026"/>
      </w:tabs>
      <w:spacing w:line="240" w:lineRule="auto"/>
    </w:pPr>
  </w:style>
  <w:style w:type="character" w:customStyle="1" w:styleId="HeaderChar">
    <w:name w:val="Header Char"/>
    <w:basedOn w:val="DefaultParagraphFont"/>
    <w:link w:val="Header"/>
    <w:uiPriority w:val="99"/>
    <w:rsid w:val="00E929AC"/>
  </w:style>
  <w:style w:type="paragraph" w:styleId="Footer">
    <w:name w:val="footer"/>
    <w:basedOn w:val="Normal"/>
    <w:link w:val="FooterChar"/>
    <w:uiPriority w:val="99"/>
    <w:unhideWhenUsed/>
    <w:rsid w:val="00E929AC"/>
    <w:pPr>
      <w:tabs>
        <w:tab w:val="center" w:pos="4513"/>
        <w:tab w:val="right" w:pos="9026"/>
      </w:tabs>
      <w:spacing w:line="240" w:lineRule="auto"/>
    </w:pPr>
  </w:style>
  <w:style w:type="character" w:customStyle="1" w:styleId="FooterChar">
    <w:name w:val="Footer Char"/>
    <w:basedOn w:val="DefaultParagraphFont"/>
    <w:link w:val="Footer"/>
    <w:uiPriority w:val="99"/>
    <w:rsid w:val="00E929AC"/>
  </w:style>
  <w:style w:type="character" w:styleId="Hyperlink">
    <w:name w:val="Hyperlink"/>
    <w:basedOn w:val="DefaultParagraphFont"/>
    <w:uiPriority w:val="99"/>
    <w:unhideWhenUsed/>
    <w:rsid w:val="003D3436"/>
    <w:rPr>
      <w:color w:val="4E1A74" w:themeColor="accent2"/>
      <w:u w:val="single"/>
    </w:rPr>
  </w:style>
  <w:style w:type="paragraph" w:customStyle="1" w:styleId="H11">
    <w:name w:val="H1(1)"/>
    <w:basedOn w:val="Normal"/>
    <w:rsid w:val="006B558F"/>
    <w:rPr>
      <w:rFonts w:asciiTheme="majorHAnsi" w:hAnsiTheme="majorHAnsi"/>
      <w:b/>
      <w:color w:val="207220" w:themeColor="accent1" w:themeShade="BF"/>
      <w:sz w:val="28"/>
      <w:szCs w:val="28"/>
      <w:lang w:eastAsia="en-AU"/>
    </w:rPr>
  </w:style>
  <w:style w:type="character" w:customStyle="1" w:styleId="Heading3Char">
    <w:name w:val="Heading 3 Char"/>
    <w:basedOn w:val="DefaultParagraphFont"/>
    <w:link w:val="Heading3"/>
    <w:uiPriority w:val="9"/>
    <w:rsid w:val="00310B73"/>
    <w:rPr>
      <w:rFonts w:eastAsiaTheme="majorEastAsia" w:cstheme="majorBidi"/>
      <w:b/>
      <w:bCs/>
      <w:color w:val="4E1A74"/>
    </w:rPr>
  </w:style>
  <w:style w:type="character" w:styleId="FollowedHyperlink">
    <w:name w:val="FollowedHyperlink"/>
    <w:basedOn w:val="DefaultParagraphFont"/>
    <w:uiPriority w:val="99"/>
    <w:semiHidden/>
    <w:unhideWhenUsed/>
    <w:rsid w:val="00A76B39"/>
    <w:rPr>
      <w:color w:val="800080" w:themeColor="followedHyperlink"/>
      <w:u w:val="single"/>
    </w:rPr>
  </w:style>
  <w:style w:type="paragraph" w:styleId="TOC1">
    <w:name w:val="toc 1"/>
    <w:basedOn w:val="Normal"/>
    <w:next w:val="Normal"/>
    <w:autoRedefine/>
    <w:uiPriority w:val="39"/>
    <w:unhideWhenUsed/>
    <w:qFormat/>
    <w:rsid w:val="00310B73"/>
    <w:pPr>
      <w:tabs>
        <w:tab w:val="right" w:leader="dot" w:pos="9628"/>
      </w:tabs>
    </w:pPr>
    <w:rPr>
      <w:color w:val="4E1A74"/>
    </w:rPr>
  </w:style>
  <w:style w:type="character" w:customStyle="1" w:styleId="Heading4Char">
    <w:name w:val="Heading 4 Char"/>
    <w:basedOn w:val="DefaultParagraphFont"/>
    <w:link w:val="Heading4"/>
    <w:uiPriority w:val="9"/>
    <w:rsid w:val="00FF3049"/>
    <w:rPr>
      <w:rFonts w:eastAsiaTheme="majorEastAsia" w:cstheme="majorBidi"/>
      <w:b/>
      <w:bCs/>
      <w:i/>
      <w:iCs/>
      <w:color w:val="4E1A74" w:themeColor="accent2"/>
    </w:rPr>
  </w:style>
  <w:style w:type="paragraph" w:styleId="ListParagraph">
    <w:name w:val="List Paragraph"/>
    <w:basedOn w:val="Normal"/>
    <w:uiPriority w:val="34"/>
    <w:qFormat/>
    <w:rsid w:val="00310B73"/>
    <w:pPr>
      <w:numPr>
        <w:numId w:val="2"/>
      </w:numPr>
      <w:spacing w:before="120"/>
    </w:pPr>
  </w:style>
  <w:style w:type="paragraph" w:styleId="BodyTextIndent">
    <w:name w:val="Body Text Indent"/>
    <w:basedOn w:val="Normal"/>
    <w:link w:val="BodyTextIndentChar"/>
    <w:uiPriority w:val="99"/>
    <w:unhideWhenUsed/>
    <w:rsid w:val="00FB0138"/>
    <w:pPr>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B0138"/>
    <w:rPr>
      <w:rFonts w:ascii="Calibri" w:eastAsia="Calibri" w:hAnsi="Calibri" w:cs="Times New Roman"/>
    </w:rPr>
  </w:style>
  <w:style w:type="character" w:styleId="FootnoteReference">
    <w:name w:val="footnote reference"/>
    <w:basedOn w:val="DefaultParagraphFont"/>
    <w:uiPriority w:val="99"/>
    <w:semiHidden/>
    <w:unhideWhenUsed/>
    <w:rsid w:val="00FB0138"/>
    <w:rPr>
      <w:vertAlign w:val="superscript"/>
    </w:rPr>
  </w:style>
  <w:style w:type="character" w:customStyle="1" w:styleId="Heading5Char">
    <w:name w:val="Heading 5 Char"/>
    <w:basedOn w:val="DefaultParagraphFont"/>
    <w:link w:val="Heading5"/>
    <w:uiPriority w:val="9"/>
    <w:rsid w:val="006801F3"/>
    <w:rPr>
      <w:caps/>
      <w:color w:val="207220" w:themeColor="accent1" w:themeShade="BF"/>
      <w:spacing w:val="10"/>
    </w:rPr>
  </w:style>
  <w:style w:type="paragraph" w:styleId="TOCHeading">
    <w:name w:val="TOC Heading"/>
    <w:basedOn w:val="Heading1"/>
    <w:next w:val="Normal"/>
    <w:uiPriority w:val="39"/>
    <w:qFormat/>
    <w:rsid w:val="00310B73"/>
    <w:pPr>
      <w:spacing w:line="276" w:lineRule="auto"/>
      <w:outlineLvl w:val="9"/>
    </w:pPr>
    <w:rPr>
      <w:b w:val="0"/>
      <w:sz w:val="28"/>
      <w:lang w:val="en-US" w:eastAsia="ja-JP"/>
    </w:rPr>
  </w:style>
  <w:style w:type="paragraph" w:styleId="TOC2">
    <w:name w:val="toc 2"/>
    <w:basedOn w:val="Normal"/>
    <w:next w:val="Normal"/>
    <w:autoRedefine/>
    <w:uiPriority w:val="39"/>
    <w:unhideWhenUsed/>
    <w:qFormat/>
    <w:rsid w:val="00310B73"/>
    <w:pPr>
      <w:tabs>
        <w:tab w:val="right" w:leader="dot" w:pos="9628"/>
      </w:tabs>
      <w:spacing w:before="120" w:line="240" w:lineRule="auto"/>
      <w:ind w:left="567" w:hanging="567"/>
    </w:pPr>
    <w:rPr>
      <w:noProof/>
    </w:rPr>
  </w:style>
  <w:style w:type="paragraph" w:styleId="BalloonText">
    <w:name w:val="Balloon Text"/>
    <w:basedOn w:val="Normal"/>
    <w:link w:val="BalloonTextChar"/>
    <w:uiPriority w:val="99"/>
    <w:semiHidden/>
    <w:unhideWhenUsed/>
    <w:rsid w:val="003854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4F8"/>
    <w:rPr>
      <w:rFonts w:ascii="Tahoma" w:hAnsi="Tahoma" w:cs="Tahoma"/>
      <w:sz w:val="16"/>
      <w:szCs w:val="16"/>
    </w:rPr>
  </w:style>
  <w:style w:type="paragraph" w:styleId="TOC3">
    <w:name w:val="toc 3"/>
    <w:basedOn w:val="Normal"/>
    <w:next w:val="Normal"/>
    <w:autoRedefine/>
    <w:uiPriority w:val="39"/>
    <w:unhideWhenUsed/>
    <w:qFormat/>
    <w:rsid w:val="00310B73"/>
    <w:pPr>
      <w:tabs>
        <w:tab w:val="right" w:leader="dot" w:pos="9628"/>
      </w:tabs>
      <w:spacing w:before="60" w:after="100"/>
      <w:ind w:left="1134" w:hanging="567"/>
    </w:pPr>
    <w:rPr>
      <w:i/>
      <w:noProof/>
    </w:rPr>
  </w:style>
  <w:style w:type="paragraph" w:customStyle="1" w:styleId="TITLE2">
    <w:name w:val="TITLE2"/>
    <w:basedOn w:val="Title"/>
    <w:rsid w:val="009879D8"/>
    <w:rPr>
      <w:lang w:eastAsia="en-AU"/>
    </w:rPr>
  </w:style>
  <w:style w:type="paragraph" w:customStyle="1" w:styleId="Heading3list">
    <w:name w:val="Heading3list"/>
    <w:basedOn w:val="Normal"/>
    <w:rsid w:val="009879D8"/>
    <w:rPr>
      <w:rFonts w:asciiTheme="majorHAnsi" w:hAnsiTheme="majorHAnsi"/>
      <w:b/>
      <w:color w:val="8C8C93" w:themeColor="text2" w:themeTint="99"/>
      <w:sz w:val="24"/>
      <w:szCs w:val="24"/>
      <w:lang w:eastAsia="en-AU"/>
    </w:rPr>
  </w:style>
  <w:style w:type="table" w:styleId="TableGrid">
    <w:name w:val="Table Grid"/>
    <w:basedOn w:val="TableNormal"/>
    <w:uiPriority w:val="59"/>
    <w:rsid w:val="00987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64280"/>
    <w:pPr>
      <w:spacing w:line="480" w:lineRule="auto"/>
      <w:ind w:left="283"/>
    </w:pPr>
  </w:style>
  <w:style w:type="character" w:customStyle="1" w:styleId="BodyTextIndent2Char">
    <w:name w:val="Body Text Indent 2 Char"/>
    <w:basedOn w:val="DefaultParagraphFont"/>
    <w:link w:val="BodyTextIndent2"/>
    <w:uiPriority w:val="99"/>
    <w:semiHidden/>
    <w:rsid w:val="00364280"/>
  </w:style>
  <w:style w:type="paragraph" w:customStyle="1" w:styleId="DepartmentalNormal">
    <w:name w:val="Departmental Normal"/>
    <w:basedOn w:val="Normal"/>
    <w:rsid w:val="0078572E"/>
    <w:rPr>
      <w:rFonts w:ascii="Calibri" w:eastAsia="Calibri" w:hAnsi="Calibri" w:cs="Times New Roman"/>
      <w:sz w:val="24"/>
    </w:rPr>
  </w:style>
  <w:style w:type="table" w:styleId="ColorfulGrid-Accent1">
    <w:name w:val="Colorful Grid Accent 1"/>
    <w:basedOn w:val="TableNormal"/>
    <w:uiPriority w:val="73"/>
    <w:rsid w:val="008C5D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F1CD" w:themeFill="accent1" w:themeFillTint="33"/>
    </w:tcPr>
    <w:tblStylePr w:type="firstRow">
      <w:rPr>
        <w:b/>
        <w:bCs/>
      </w:rPr>
      <w:tblPr/>
      <w:tcPr>
        <w:shd w:val="clear" w:color="auto" w:fill="9CE39C" w:themeFill="accent1" w:themeFillTint="66"/>
      </w:tcPr>
    </w:tblStylePr>
    <w:tblStylePr w:type="lastRow">
      <w:rPr>
        <w:b/>
        <w:bCs/>
        <w:color w:val="000000" w:themeColor="text1"/>
      </w:rPr>
      <w:tblPr/>
      <w:tcPr>
        <w:shd w:val="clear" w:color="auto" w:fill="9CE39C" w:themeFill="accent1" w:themeFillTint="66"/>
      </w:tcPr>
    </w:tblStylePr>
    <w:tblStylePr w:type="firstCol">
      <w:rPr>
        <w:color w:val="FFFFFF" w:themeColor="background1"/>
      </w:rPr>
      <w:tblPr/>
      <w:tcPr>
        <w:shd w:val="clear" w:color="auto" w:fill="207220" w:themeFill="accent1" w:themeFillShade="BF"/>
      </w:tcPr>
    </w:tblStylePr>
    <w:tblStylePr w:type="lastCol">
      <w:rPr>
        <w:color w:val="FFFFFF" w:themeColor="background1"/>
      </w:rPr>
      <w:tblPr/>
      <w:tcPr>
        <w:shd w:val="clear" w:color="auto" w:fill="207220" w:themeFill="accent1" w:themeFillShade="BF"/>
      </w:tcPr>
    </w:tblStylePr>
    <w:tblStylePr w:type="band1Vert">
      <w:tblPr/>
      <w:tcPr>
        <w:shd w:val="clear" w:color="auto" w:fill="84DC84" w:themeFill="accent1" w:themeFillTint="7F"/>
      </w:tcPr>
    </w:tblStylePr>
    <w:tblStylePr w:type="band1Horz">
      <w:tblPr/>
      <w:tcPr>
        <w:shd w:val="clear" w:color="auto" w:fill="84DC84" w:themeFill="accent1" w:themeFillTint="7F"/>
      </w:tcPr>
    </w:tblStylePr>
  </w:style>
  <w:style w:type="character" w:styleId="CommentReference">
    <w:name w:val="annotation reference"/>
    <w:basedOn w:val="DefaultParagraphFont"/>
    <w:semiHidden/>
    <w:unhideWhenUsed/>
    <w:rsid w:val="00261EDD"/>
    <w:rPr>
      <w:sz w:val="16"/>
      <w:szCs w:val="16"/>
    </w:rPr>
  </w:style>
  <w:style w:type="paragraph" w:styleId="CommentText">
    <w:name w:val="annotation text"/>
    <w:basedOn w:val="Normal"/>
    <w:link w:val="CommentTextChar"/>
    <w:uiPriority w:val="99"/>
    <w:unhideWhenUsed/>
    <w:rsid w:val="00261EDD"/>
    <w:pPr>
      <w:spacing w:line="240" w:lineRule="auto"/>
    </w:pPr>
  </w:style>
  <w:style w:type="character" w:customStyle="1" w:styleId="CommentTextChar">
    <w:name w:val="Comment Text Char"/>
    <w:basedOn w:val="DefaultParagraphFont"/>
    <w:link w:val="CommentText"/>
    <w:uiPriority w:val="99"/>
    <w:rsid w:val="00261EDD"/>
    <w:rPr>
      <w:sz w:val="20"/>
      <w:szCs w:val="20"/>
    </w:rPr>
  </w:style>
  <w:style w:type="paragraph" w:styleId="CommentSubject">
    <w:name w:val="annotation subject"/>
    <w:basedOn w:val="CommentText"/>
    <w:next w:val="CommentText"/>
    <w:link w:val="CommentSubjectChar"/>
    <w:uiPriority w:val="99"/>
    <w:semiHidden/>
    <w:unhideWhenUsed/>
    <w:rsid w:val="00261EDD"/>
    <w:rPr>
      <w:b/>
      <w:bCs/>
    </w:rPr>
  </w:style>
  <w:style w:type="character" w:customStyle="1" w:styleId="CommentSubjectChar">
    <w:name w:val="Comment Subject Char"/>
    <w:basedOn w:val="CommentTextChar"/>
    <w:link w:val="CommentSubject"/>
    <w:uiPriority w:val="99"/>
    <w:semiHidden/>
    <w:rsid w:val="00261EDD"/>
    <w:rPr>
      <w:b/>
      <w:bCs/>
      <w:sz w:val="20"/>
      <w:szCs w:val="20"/>
    </w:rPr>
  </w:style>
  <w:style w:type="table" w:customStyle="1" w:styleId="TableGrid1">
    <w:name w:val="Table Grid1"/>
    <w:basedOn w:val="TableNormal"/>
    <w:next w:val="TableGrid"/>
    <w:uiPriority w:val="59"/>
    <w:rsid w:val="0082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rsid w:val="006801F3"/>
    <w:pPr>
      <w:spacing w:before="0" w:line="240" w:lineRule="auto"/>
    </w:pPr>
  </w:style>
  <w:style w:type="paragraph" w:styleId="FootnoteText">
    <w:name w:val="footnote text"/>
    <w:basedOn w:val="Normal"/>
    <w:link w:val="FootnoteTextChar"/>
    <w:uiPriority w:val="99"/>
    <w:qFormat/>
    <w:rsid w:val="00310B73"/>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310B73"/>
    <w:rPr>
      <w:color w:val="444448"/>
      <w:sz w:val="18"/>
      <w:szCs w:val="20"/>
    </w:rPr>
  </w:style>
  <w:style w:type="table" w:styleId="MediumGrid1-Accent1">
    <w:name w:val="Medium Grid 1 Accent 1"/>
    <w:basedOn w:val="TableNormal"/>
    <w:uiPriority w:val="67"/>
    <w:rsid w:val="000B295A"/>
    <w:pPr>
      <w:spacing w:after="0" w:line="240" w:lineRule="auto"/>
    </w:pPr>
    <w:tblPr>
      <w:tblStyleRowBandSize w:val="1"/>
      <w:tblStyleColBandSize w:val="1"/>
      <w:tblBorders>
        <w:top w:val="single" w:sz="8" w:space="0" w:color="47CB47" w:themeColor="accent1" w:themeTint="BF"/>
        <w:left w:val="single" w:sz="8" w:space="0" w:color="47CB47" w:themeColor="accent1" w:themeTint="BF"/>
        <w:bottom w:val="single" w:sz="8" w:space="0" w:color="47CB47" w:themeColor="accent1" w:themeTint="BF"/>
        <w:right w:val="single" w:sz="8" w:space="0" w:color="47CB47" w:themeColor="accent1" w:themeTint="BF"/>
        <w:insideH w:val="single" w:sz="8" w:space="0" w:color="47CB47" w:themeColor="accent1" w:themeTint="BF"/>
        <w:insideV w:val="single" w:sz="8" w:space="0" w:color="47CB47" w:themeColor="accent1" w:themeTint="BF"/>
      </w:tblBorders>
    </w:tblPr>
    <w:tcPr>
      <w:shd w:val="clear" w:color="auto" w:fill="C2EEC2" w:themeFill="accent1" w:themeFillTint="3F"/>
    </w:tcPr>
    <w:tblStylePr w:type="firstRow">
      <w:rPr>
        <w:b/>
        <w:bCs/>
      </w:rPr>
    </w:tblStylePr>
    <w:tblStylePr w:type="lastRow">
      <w:rPr>
        <w:b/>
        <w:bCs/>
      </w:rPr>
      <w:tblPr/>
      <w:tcPr>
        <w:tcBorders>
          <w:top w:val="single" w:sz="18" w:space="0" w:color="47CB47" w:themeColor="accent1" w:themeTint="BF"/>
        </w:tcBorders>
      </w:tcPr>
    </w:tblStylePr>
    <w:tblStylePr w:type="firstCol">
      <w:rPr>
        <w:b/>
        <w:bCs/>
      </w:rPr>
    </w:tblStylePr>
    <w:tblStylePr w:type="lastCol">
      <w:rPr>
        <w:b/>
        <w:bCs/>
      </w:rPr>
    </w:tblStylePr>
    <w:tblStylePr w:type="band1Vert">
      <w:tblPr/>
      <w:tcPr>
        <w:shd w:val="clear" w:color="auto" w:fill="84DC84" w:themeFill="accent1" w:themeFillTint="7F"/>
      </w:tcPr>
    </w:tblStylePr>
    <w:tblStylePr w:type="band1Horz">
      <w:tblPr/>
      <w:tcPr>
        <w:shd w:val="clear" w:color="auto" w:fill="84DC84" w:themeFill="accent1" w:themeFillTint="7F"/>
      </w:tcPr>
    </w:tblStylePr>
  </w:style>
  <w:style w:type="table" w:styleId="MediumGrid3-Accent1">
    <w:name w:val="Medium Grid 3 Accent 1"/>
    <w:basedOn w:val="TableNormal"/>
    <w:uiPriority w:val="69"/>
    <w:rsid w:val="000B29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E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99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99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99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99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DC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DC84" w:themeFill="accent1" w:themeFillTint="7F"/>
      </w:tcPr>
    </w:tblStylePr>
  </w:style>
  <w:style w:type="paragraph" w:customStyle="1" w:styleId="definitionacronyms">
    <w:name w:val="definition+acronyms"/>
    <w:basedOn w:val="Heading1"/>
    <w:rsid w:val="00C4184E"/>
    <w:pPr>
      <w:spacing w:after="600"/>
      <w:jc w:val="center"/>
    </w:pPr>
    <w:rPr>
      <w:b w:val="0"/>
      <w:bCs w:val="0"/>
      <w:color w:val="207220" w:themeColor="accent1" w:themeShade="BF"/>
      <w:sz w:val="28"/>
    </w:rPr>
  </w:style>
  <w:style w:type="table" w:customStyle="1" w:styleId="LightShading-Accent11">
    <w:name w:val="Light Shading - Accent 11"/>
    <w:basedOn w:val="TableNormal"/>
    <w:uiPriority w:val="60"/>
    <w:rsid w:val="00C4184E"/>
    <w:pPr>
      <w:spacing w:after="0" w:line="240" w:lineRule="auto"/>
    </w:pPr>
    <w:rPr>
      <w:color w:val="207220" w:themeColor="accent1" w:themeShade="BF"/>
    </w:rPr>
    <w:tblPr>
      <w:tblStyleRowBandSize w:val="1"/>
      <w:tblStyleColBandSize w:val="1"/>
      <w:tblBorders>
        <w:top w:val="single" w:sz="8" w:space="0" w:color="2B992B" w:themeColor="accent1"/>
        <w:bottom w:val="single" w:sz="8" w:space="0" w:color="2B992B" w:themeColor="accent1"/>
      </w:tblBorders>
    </w:tblPr>
    <w:tblStylePr w:type="fir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la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1" w:themeFillTint="3F"/>
      </w:tcPr>
    </w:tblStylePr>
    <w:tblStylePr w:type="band1Horz">
      <w:tblPr/>
      <w:tcPr>
        <w:tcBorders>
          <w:left w:val="nil"/>
          <w:right w:val="nil"/>
          <w:insideH w:val="nil"/>
          <w:insideV w:val="nil"/>
        </w:tcBorders>
        <w:shd w:val="clear" w:color="auto" w:fill="C2EEC2" w:themeFill="accent1" w:themeFillTint="3F"/>
      </w:tcPr>
    </w:tblStylePr>
  </w:style>
  <w:style w:type="paragraph" w:styleId="BodyText">
    <w:name w:val="Body Text"/>
    <w:basedOn w:val="Normal"/>
    <w:link w:val="BodyTextChar"/>
    <w:uiPriority w:val="99"/>
    <w:semiHidden/>
    <w:unhideWhenUsed/>
    <w:rsid w:val="006801F3"/>
  </w:style>
  <w:style w:type="character" w:customStyle="1" w:styleId="BodyTextChar">
    <w:name w:val="Body Text Char"/>
    <w:basedOn w:val="DefaultParagraphFont"/>
    <w:link w:val="BodyText"/>
    <w:uiPriority w:val="99"/>
    <w:semiHidden/>
    <w:rsid w:val="006801F3"/>
  </w:style>
  <w:style w:type="character" w:customStyle="1" w:styleId="Heading6Char">
    <w:name w:val="Heading 6 Char"/>
    <w:basedOn w:val="DefaultParagraphFont"/>
    <w:link w:val="Heading6"/>
    <w:uiPriority w:val="9"/>
    <w:semiHidden/>
    <w:rsid w:val="006801F3"/>
    <w:rPr>
      <w:rFonts w:asciiTheme="majorHAnsi" w:eastAsiaTheme="majorEastAsia" w:hAnsiTheme="majorHAnsi" w:cstheme="majorBidi"/>
      <w:color w:val="154B15" w:themeColor="accent1" w:themeShade="7F"/>
    </w:rPr>
  </w:style>
  <w:style w:type="character" w:customStyle="1" w:styleId="Heading7Char">
    <w:name w:val="Heading 7 Char"/>
    <w:basedOn w:val="DefaultParagraphFont"/>
    <w:link w:val="Heading7"/>
    <w:uiPriority w:val="9"/>
    <w:semiHidden/>
    <w:rsid w:val="006801F3"/>
    <w:rPr>
      <w:rFonts w:asciiTheme="majorHAnsi" w:eastAsiaTheme="majorEastAsia" w:hAnsiTheme="majorHAnsi" w:cstheme="majorBidi"/>
      <w:i/>
      <w:iCs/>
      <w:color w:val="154B15" w:themeColor="accent1" w:themeShade="7F"/>
    </w:rPr>
  </w:style>
  <w:style w:type="character" w:customStyle="1" w:styleId="Heading8Char">
    <w:name w:val="Heading 8 Char"/>
    <w:basedOn w:val="DefaultParagraphFont"/>
    <w:link w:val="Heading8"/>
    <w:uiPriority w:val="9"/>
    <w:semiHidden/>
    <w:rsid w:val="006801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01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qFormat/>
    <w:rsid w:val="00310B73"/>
    <w:pPr>
      <w:spacing w:before="120" w:line="240" w:lineRule="auto"/>
    </w:pPr>
    <w:rPr>
      <w:b/>
      <w:bCs/>
      <w:color w:val="4E1A74"/>
      <w:sz w:val="20"/>
      <w:szCs w:val="18"/>
    </w:rPr>
  </w:style>
  <w:style w:type="paragraph" w:styleId="Subtitle">
    <w:name w:val="Subtitle"/>
    <w:basedOn w:val="Normal"/>
    <w:next w:val="Normal"/>
    <w:link w:val="SubtitleChar"/>
    <w:uiPriority w:val="11"/>
    <w:qFormat/>
    <w:rsid w:val="00310B73"/>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310B73"/>
    <w:rPr>
      <w:rFonts w:ascii="Calibri" w:eastAsiaTheme="majorEastAsia" w:hAnsi="Calibri" w:cstheme="majorBidi"/>
      <w:i/>
      <w:iCs/>
      <w:color w:val="4E1A74"/>
      <w:spacing w:val="15"/>
      <w:sz w:val="24"/>
      <w:szCs w:val="24"/>
    </w:rPr>
  </w:style>
  <w:style w:type="character" w:styleId="Strong">
    <w:name w:val="Strong"/>
    <w:basedOn w:val="DefaultParagraphFont"/>
    <w:uiPriority w:val="22"/>
    <w:qFormat/>
    <w:rsid w:val="00310B73"/>
    <w:rPr>
      <w:b/>
      <w:bCs/>
    </w:rPr>
  </w:style>
  <w:style w:type="character" w:styleId="Emphasis">
    <w:name w:val="Emphasis"/>
    <w:basedOn w:val="DefaultParagraphFont"/>
    <w:uiPriority w:val="20"/>
    <w:qFormat/>
    <w:rsid w:val="00310B73"/>
    <w:rPr>
      <w:b/>
      <w:bCs/>
      <w:i w:val="0"/>
      <w:iCs w:val="0"/>
    </w:rPr>
  </w:style>
  <w:style w:type="character" w:customStyle="1" w:styleId="NoSpacingChar">
    <w:name w:val="No Spacing Char"/>
    <w:basedOn w:val="DefaultParagraphFont"/>
    <w:link w:val="NoSpacing"/>
    <w:uiPriority w:val="1"/>
    <w:rsid w:val="006801F3"/>
    <w:rPr>
      <w:sz w:val="20"/>
      <w:szCs w:val="20"/>
    </w:rPr>
  </w:style>
  <w:style w:type="paragraph" w:styleId="Quote">
    <w:name w:val="Quote"/>
    <w:basedOn w:val="Normal"/>
    <w:next w:val="Normal"/>
    <w:link w:val="QuoteChar"/>
    <w:uiPriority w:val="29"/>
    <w:qFormat/>
    <w:rsid w:val="006801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01F3"/>
    <w:rPr>
      <w:i/>
      <w:iCs/>
      <w:color w:val="404040" w:themeColor="text1" w:themeTint="BF"/>
    </w:rPr>
  </w:style>
  <w:style w:type="paragraph" w:styleId="IntenseQuote">
    <w:name w:val="Intense Quote"/>
    <w:basedOn w:val="Normal"/>
    <w:next w:val="Normal"/>
    <w:link w:val="IntenseQuoteChar"/>
    <w:uiPriority w:val="30"/>
    <w:rsid w:val="006801F3"/>
    <w:pPr>
      <w:pBdr>
        <w:top w:val="single" w:sz="4" w:space="10" w:color="2B992B" w:themeColor="accent1"/>
        <w:left w:val="single" w:sz="4" w:space="10" w:color="2B992B" w:themeColor="accent1"/>
      </w:pBdr>
      <w:ind w:left="1296" w:right="1152"/>
    </w:pPr>
    <w:rPr>
      <w:i/>
      <w:iCs/>
      <w:color w:val="2B992B" w:themeColor="accent1"/>
    </w:rPr>
  </w:style>
  <w:style w:type="character" w:customStyle="1" w:styleId="IntenseQuoteChar">
    <w:name w:val="Intense Quote Char"/>
    <w:basedOn w:val="DefaultParagraphFont"/>
    <w:link w:val="IntenseQuote"/>
    <w:uiPriority w:val="30"/>
    <w:rsid w:val="006801F3"/>
    <w:rPr>
      <w:i/>
      <w:iCs/>
      <w:color w:val="2B992B" w:themeColor="accent1"/>
      <w:sz w:val="20"/>
      <w:szCs w:val="20"/>
    </w:rPr>
  </w:style>
  <w:style w:type="character" w:styleId="SubtleEmphasis">
    <w:name w:val="Subtle Emphasis"/>
    <w:basedOn w:val="DefaultParagraphFont"/>
    <w:uiPriority w:val="19"/>
    <w:qFormat/>
    <w:rsid w:val="00310B73"/>
    <w:rPr>
      <w:color w:val="DBBEF0"/>
    </w:rPr>
  </w:style>
  <w:style w:type="character" w:styleId="IntenseEmphasis">
    <w:name w:val="Intense Emphasis"/>
    <w:uiPriority w:val="21"/>
    <w:rsid w:val="006801F3"/>
    <w:rPr>
      <w:b/>
      <w:bCs/>
      <w:caps/>
      <w:color w:val="154B15" w:themeColor="accent1" w:themeShade="7F"/>
      <w:spacing w:val="10"/>
    </w:rPr>
  </w:style>
  <w:style w:type="character" w:styleId="SubtleReference">
    <w:name w:val="Subtle Reference"/>
    <w:uiPriority w:val="31"/>
    <w:qFormat/>
    <w:rsid w:val="006801F3"/>
    <w:rPr>
      <w:smallCaps/>
      <w:color w:val="5A5A5A" w:themeColor="text1" w:themeTint="A5"/>
    </w:rPr>
  </w:style>
  <w:style w:type="character" w:styleId="IntenseReference">
    <w:name w:val="Intense Reference"/>
    <w:uiPriority w:val="32"/>
    <w:qFormat/>
    <w:rsid w:val="006801F3"/>
    <w:rPr>
      <w:b/>
      <w:bCs/>
      <w:smallCaps/>
      <w:color w:val="2B992B" w:themeColor="accent1"/>
      <w:spacing w:val="5"/>
    </w:rPr>
  </w:style>
  <w:style w:type="character" w:styleId="BookTitle">
    <w:name w:val="Book Title"/>
    <w:uiPriority w:val="33"/>
    <w:rsid w:val="006801F3"/>
    <w:rPr>
      <w:b/>
      <w:bCs/>
      <w:i/>
      <w:iCs/>
      <w:spacing w:val="9"/>
    </w:rPr>
  </w:style>
  <w:style w:type="table" w:customStyle="1" w:styleId="TableGrid2">
    <w:name w:val="Table Grid2"/>
    <w:basedOn w:val="TableNormal"/>
    <w:next w:val="TableGrid"/>
    <w:uiPriority w:val="59"/>
    <w:rsid w:val="0067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71B5B"/>
    <w:pPr>
      <w:spacing w:after="0" w:line="240" w:lineRule="auto"/>
    </w:pPr>
    <w:tblPr>
      <w:tblStyleRowBandSize w:val="1"/>
      <w:tblStyleColBandSize w:val="1"/>
      <w:tblBorders>
        <w:top w:val="single" w:sz="8" w:space="0" w:color="2B992B" w:themeColor="accent1"/>
        <w:left w:val="single" w:sz="8" w:space="0" w:color="2B992B" w:themeColor="accent1"/>
        <w:bottom w:val="single" w:sz="8" w:space="0" w:color="2B992B" w:themeColor="accent1"/>
        <w:right w:val="single" w:sz="8" w:space="0" w:color="2B992B" w:themeColor="accent1"/>
      </w:tblBorders>
    </w:tblPr>
    <w:tblStylePr w:type="firstRow">
      <w:pPr>
        <w:spacing w:before="0" w:after="0" w:line="240" w:lineRule="auto"/>
      </w:pPr>
      <w:rPr>
        <w:b/>
        <w:bCs/>
        <w:color w:val="FFFFFF" w:themeColor="background1"/>
      </w:rPr>
      <w:tblPr/>
      <w:tcPr>
        <w:shd w:val="clear" w:color="auto" w:fill="2B992B" w:themeFill="accent1"/>
      </w:tcPr>
    </w:tblStylePr>
    <w:tblStylePr w:type="lastRow">
      <w:pPr>
        <w:spacing w:before="0" w:after="0" w:line="240" w:lineRule="auto"/>
      </w:pPr>
      <w:rPr>
        <w:b/>
        <w:bCs/>
      </w:rPr>
      <w:tblPr/>
      <w:tcPr>
        <w:tcBorders>
          <w:top w:val="double" w:sz="6" w:space="0" w:color="2B992B" w:themeColor="accent1"/>
          <w:left w:val="single" w:sz="8" w:space="0" w:color="2B992B" w:themeColor="accent1"/>
          <w:bottom w:val="single" w:sz="8" w:space="0" w:color="2B992B" w:themeColor="accent1"/>
          <w:right w:val="single" w:sz="8" w:space="0" w:color="2B992B" w:themeColor="accent1"/>
        </w:tcBorders>
      </w:tcPr>
    </w:tblStylePr>
    <w:tblStylePr w:type="firstCol">
      <w:rPr>
        <w:b/>
        <w:bCs/>
      </w:rPr>
    </w:tblStylePr>
    <w:tblStylePr w:type="lastCol">
      <w:rPr>
        <w:b/>
        <w:bCs/>
      </w:rPr>
    </w:tblStylePr>
    <w:tblStylePr w:type="band1Vert">
      <w:tblPr/>
      <w:tcPr>
        <w:tcBorders>
          <w:top w:val="single" w:sz="8" w:space="0" w:color="2B992B" w:themeColor="accent1"/>
          <w:left w:val="single" w:sz="8" w:space="0" w:color="2B992B" w:themeColor="accent1"/>
          <w:bottom w:val="single" w:sz="8" w:space="0" w:color="2B992B" w:themeColor="accent1"/>
          <w:right w:val="single" w:sz="8" w:space="0" w:color="2B992B" w:themeColor="accent1"/>
        </w:tcBorders>
      </w:tcPr>
    </w:tblStylePr>
    <w:tblStylePr w:type="band1Horz">
      <w:tblPr/>
      <w:tcPr>
        <w:tcBorders>
          <w:top w:val="single" w:sz="8" w:space="0" w:color="2B992B" w:themeColor="accent1"/>
          <w:left w:val="single" w:sz="8" w:space="0" w:color="2B992B" w:themeColor="accent1"/>
          <w:bottom w:val="single" w:sz="8" w:space="0" w:color="2B992B" w:themeColor="accent1"/>
          <w:right w:val="single" w:sz="8" w:space="0" w:color="2B992B" w:themeColor="accent1"/>
        </w:tcBorders>
      </w:tcPr>
    </w:tblStylePr>
  </w:style>
  <w:style w:type="table" w:styleId="LightShading-Accent1">
    <w:name w:val="Light Shading Accent 1"/>
    <w:basedOn w:val="TableNormal"/>
    <w:uiPriority w:val="60"/>
    <w:rsid w:val="00271B5B"/>
    <w:pPr>
      <w:spacing w:after="0" w:line="240" w:lineRule="auto"/>
    </w:pPr>
    <w:rPr>
      <w:color w:val="207220" w:themeColor="accent1" w:themeShade="BF"/>
    </w:rPr>
    <w:tblPr>
      <w:tblStyleRowBandSize w:val="1"/>
      <w:tblStyleColBandSize w:val="1"/>
      <w:tblBorders>
        <w:top w:val="single" w:sz="8" w:space="0" w:color="2B992B" w:themeColor="accent1"/>
        <w:bottom w:val="single" w:sz="8" w:space="0" w:color="2B992B" w:themeColor="accent1"/>
      </w:tblBorders>
    </w:tblPr>
    <w:tblStylePr w:type="fir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la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1" w:themeFillTint="3F"/>
      </w:tcPr>
    </w:tblStylePr>
    <w:tblStylePr w:type="band1Horz">
      <w:tblPr/>
      <w:tcPr>
        <w:tcBorders>
          <w:left w:val="nil"/>
          <w:right w:val="nil"/>
          <w:insideH w:val="nil"/>
          <w:insideV w:val="nil"/>
        </w:tcBorders>
        <w:shd w:val="clear" w:color="auto" w:fill="C2EEC2" w:themeFill="accent1" w:themeFillTint="3F"/>
      </w:tcPr>
    </w:tblStylePr>
  </w:style>
  <w:style w:type="paragraph" w:customStyle="1" w:styleId="Default">
    <w:name w:val="Default"/>
    <w:rsid w:val="00016F9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C7C88"/>
    <w:pPr>
      <w:spacing w:after="0" w:line="240" w:lineRule="auto"/>
    </w:pPr>
    <w:rPr>
      <w:sz w:val="20"/>
      <w:szCs w:val="20"/>
    </w:rPr>
  </w:style>
  <w:style w:type="table" w:customStyle="1" w:styleId="TableGrid3">
    <w:name w:val="Table Grid3"/>
    <w:basedOn w:val="TableNormal"/>
    <w:next w:val="TableGrid"/>
    <w:uiPriority w:val="59"/>
    <w:rsid w:val="00B11AAC"/>
    <w:pPr>
      <w:spacing w:after="0"/>
    </w:pPr>
    <w:rPr>
      <w:lang w:eastAsia="en-AU"/>
    </w:rPr>
    <w:tblP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Pr>
  </w:style>
  <w:style w:type="table" w:styleId="LightShading-Accent4">
    <w:name w:val="Light Shading Accent 4"/>
    <w:basedOn w:val="TableNormal"/>
    <w:uiPriority w:val="60"/>
    <w:rsid w:val="006D4272"/>
    <w:pPr>
      <w:spacing w:after="0" w:line="240" w:lineRule="auto"/>
    </w:pPr>
    <w:rPr>
      <w:color w:val="D4A102" w:themeColor="accent4" w:themeShade="BF"/>
    </w:rPr>
    <w:tblPr>
      <w:tblStyleRowBandSize w:val="1"/>
      <w:tblStyleColBandSize w:val="1"/>
      <w:tblBorders>
        <w:top w:val="single" w:sz="8" w:space="0" w:color="FDC822" w:themeColor="accent4"/>
        <w:bottom w:val="single" w:sz="8" w:space="0" w:color="FDC822" w:themeColor="accent4"/>
      </w:tblBorders>
    </w:tblPr>
    <w:tblStylePr w:type="firstRow">
      <w:pPr>
        <w:spacing w:before="0" w:after="0" w:line="240" w:lineRule="auto"/>
      </w:pPr>
      <w:rPr>
        <w:b/>
        <w:bCs/>
      </w:rPr>
      <w:tblPr/>
      <w:tcPr>
        <w:tcBorders>
          <w:top w:val="single" w:sz="8" w:space="0" w:color="FDC822" w:themeColor="accent4"/>
          <w:left w:val="nil"/>
          <w:bottom w:val="single" w:sz="8" w:space="0" w:color="FDC822" w:themeColor="accent4"/>
          <w:right w:val="nil"/>
          <w:insideH w:val="nil"/>
          <w:insideV w:val="nil"/>
        </w:tcBorders>
      </w:tcPr>
    </w:tblStylePr>
    <w:tblStylePr w:type="lastRow">
      <w:pPr>
        <w:spacing w:before="0" w:after="0" w:line="240" w:lineRule="auto"/>
      </w:pPr>
      <w:rPr>
        <w:b/>
        <w:bCs/>
      </w:rPr>
      <w:tblPr/>
      <w:tcPr>
        <w:tcBorders>
          <w:top w:val="single" w:sz="8" w:space="0" w:color="FDC822" w:themeColor="accent4"/>
          <w:left w:val="nil"/>
          <w:bottom w:val="single" w:sz="8" w:space="0" w:color="FDC8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8" w:themeFill="accent4" w:themeFillTint="3F"/>
      </w:tcPr>
    </w:tblStylePr>
    <w:tblStylePr w:type="band1Horz">
      <w:tblPr/>
      <w:tcPr>
        <w:tcBorders>
          <w:left w:val="nil"/>
          <w:right w:val="nil"/>
          <w:insideH w:val="nil"/>
          <w:insideV w:val="nil"/>
        </w:tcBorders>
        <w:shd w:val="clear" w:color="auto" w:fill="FEF1C8" w:themeFill="accent4" w:themeFillTint="3F"/>
      </w:tcPr>
    </w:tblStylePr>
  </w:style>
  <w:style w:type="paragraph" w:customStyle="1" w:styleId="Style1">
    <w:name w:val="Style1"/>
    <w:basedOn w:val="Title"/>
    <w:rsid w:val="007774AB"/>
    <w:pPr>
      <w:numPr>
        <w:numId w:val="1"/>
      </w:numPr>
      <w:spacing w:before="0"/>
      <w:outlineLvl w:val="0"/>
    </w:pPr>
    <w:rPr>
      <w:color w:val="9B4AD6" w:themeColor="accent2" w:themeTint="99"/>
    </w:rPr>
  </w:style>
  <w:style w:type="table" w:styleId="MediumGrid2-Accent4">
    <w:name w:val="Medium Grid 2 Accent 4"/>
    <w:basedOn w:val="TableNormal"/>
    <w:uiPriority w:val="68"/>
    <w:rsid w:val="009611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C822" w:themeColor="accent4"/>
        <w:left w:val="single" w:sz="8" w:space="0" w:color="FDC822" w:themeColor="accent4"/>
        <w:bottom w:val="single" w:sz="8" w:space="0" w:color="FDC822" w:themeColor="accent4"/>
        <w:right w:val="single" w:sz="8" w:space="0" w:color="FDC822" w:themeColor="accent4"/>
        <w:insideH w:val="single" w:sz="8" w:space="0" w:color="FDC822" w:themeColor="accent4"/>
        <w:insideV w:val="single" w:sz="8" w:space="0" w:color="FDC822" w:themeColor="accent4"/>
      </w:tblBorders>
    </w:tblPr>
    <w:tcPr>
      <w:shd w:val="clear" w:color="auto" w:fill="FEF1C8" w:themeFill="accent4" w:themeFillTint="3F"/>
    </w:tcPr>
    <w:tblStylePr w:type="firstRow">
      <w:rPr>
        <w:b/>
        <w:bCs/>
        <w:color w:val="000000" w:themeColor="text1"/>
      </w:rPr>
      <w:tblPr/>
      <w:tcPr>
        <w:shd w:val="clear" w:color="auto" w:fill="FEF9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2" w:themeFill="accent4" w:themeFillTint="33"/>
      </w:tcPr>
    </w:tblStylePr>
    <w:tblStylePr w:type="band1Vert">
      <w:tblPr/>
      <w:tcPr>
        <w:shd w:val="clear" w:color="auto" w:fill="FEE390" w:themeFill="accent4" w:themeFillTint="7F"/>
      </w:tcPr>
    </w:tblStylePr>
    <w:tblStylePr w:type="band1Horz">
      <w:tblPr/>
      <w:tcPr>
        <w:tcBorders>
          <w:insideH w:val="single" w:sz="6" w:space="0" w:color="FDC822" w:themeColor="accent4"/>
          <w:insideV w:val="single" w:sz="6" w:space="0" w:color="FDC822" w:themeColor="accent4"/>
        </w:tcBorders>
        <w:shd w:val="clear" w:color="auto" w:fill="FEE390" w:themeFill="accent4" w:themeFillTint="7F"/>
      </w:tcPr>
    </w:tblStylePr>
    <w:tblStylePr w:type="nwCell">
      <w:tblPr/>
      <w:tcPr>
        <w:shd w:val="clear" w:color="auto" w:fill="FFFFFF" w:themeFill="background1"/>
      </w:tcPr>
    </w:tblStylePr>
  </w:style>
  <w:style w:type="table" w:styleId="MediumShading1-Accent4">
    <w:name w:val="Medium Shading 1 Accent 4"/>
    <w:basedOn w:val="TableNormal"/>
    <w:uiPriority w:val="63"/>
    <w:rsid w:val="00D36B28"/>
    <w:pPr>
      <w:spacing w:after="0" w:line="240" w:lineRule="auto"/>
    </w:pPr>
    <w:tblPr>
      <w:tblStyleRowBandSize w:val="1"/>
      <w:tblStyleColBandSize w:val="1"/>
      <w:tblBorders>
        <w:top w:val="single" w:sz="8" w:space="0" w:color="FDD559" w:themeColor="accent4" w:themeTint="BF"/>
        <w:left w:val="single" w:sz="8" w:space="0" w:color="FDD559" w:themeColor="accent4" w:themeTint="BF"/>
        <w:bottom w:val="single" w:sz="8" w:space="0" w:color="FDD559" w:themeColor="accent4" w:themeTint="BF"/>
        <w:right w:val="single" w:sz="8" w:space="0" w:color="FDD559" w:themeColor="accent4" w:themeTint="BF"/>
        <w:insideH w:val="single" w:sz="8" w:space="0" w:color="FDD559" w:themeColor="accent4" w:themeTint="BF"/>
      </w:tblBorders>
    </w:tblPr>
    <w:tblStylePr w:type="firstRow">
      <w:pPr>
        <w:spacing w:before="0" w:after="0" w:line="240" w:lineRule="auto"/>
      </w:pPr>
      <w:rPr>
        <w:b/>
        <w:bCs/>
        <w:color w:val="FFFFFF" w:themeColor="background1"/>
      </w:rPr>
      <w:tblPr/>
      <w:tcPr>
        <w:tcBorders>
          <w:top w:val="single" w:sz="8" w:space="0" w:color="FDD559" w:themeColor="accent4" w:themeTint="BF"/>
          <w:left w:val="single" w:sz="8" w:space="0" w:color="FDD559" w:themeColor="accent4" w:themeTint="BF"/>
          <w:bottom w:val="single" w:sz="8" w:space="0" w:color="FDD559" w:themeColor="accent4" w:themeTint="BF"/>
          <w:right w:val="single" w:sz="8" w:space="0" w:color="FDD559" w:themeColor="accent4" w:themeTint="BF"/>
          <w:insideH w:val="nil"/>
          <w:insideV w:val="nil"/>
        </w:tcBorders>
        <w:shd w:val="clear" w:color="auto" w:fill="FDC822" w:themeFill="accent4"/>
      </w:tcPr>
    </w:tblStylePr>
    <w:tblStylePr w:type="lastRow">
      <w:pPr>
        <w:spacing w:before="0" w:after="0" w:line="240" w:lineRule="auto"/>
      </w:pPr>
      <w:rPr>
        <w:b/>
        <w:bCs/>
      </w:rPr>
      <w:tblPr/>
      <w:tcPr>
        <w:tcBorders>
          <w:top w:val="double" w:sz="6" w:space="0" w:color="FDD559" w:themeColor="accent4" w:themeTint="BF"/>
          <w:left w:val="single" w:sz="8" w:space="0" w:color="FDD559" w:themeColor="accent4" w:themeTint="BF"/>
          <w:bottom w:val="single" w:sz="8" w:space="0" w:color="FDD559" w:themeColor="accent4" w:themeTint="BF"/>
          <w:right w:val="single" w:sz="8" w:space="0" w:color="FDD5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1C8" w:themeFill="accent4" w:themeFillTint="3F"/>
      </w:tcPr>
    </w:tblStylePr>
    <w:tblStylePr w:type="band1Horz">
      <w:tblPr/>
      <w:tcPr>
        <w:tcBorders>
          <w:insideH w:val="nil"/>
          <w:insideV w:val="nil"/>
        </w:tcBorders>
        <w:shd w:val="clear" w:color="auto" w:fill="FEF1C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D36B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C8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C822" w:themeFill="accent4"/>
      </w:tcPr>
    </w:tblStylePr>
    <w:tblStylePr w:type="lastCol">
      <w:rPr>
        <w:b/>
        <w:bCs/>
        <w:color w:val="FFFFFF" w:themeColor="background1"/>
      </w:rPr>
      <w:tblPr/>
      <w:tcPr>
        <w:tcBorders>
          <w:left w:val="nil"/>
          <w:right w:val="nil"/>
          <w:insideH w:val="nil"/>
          <w:insideV w:val="nil"/>
        </w:tcBorders>
        <w:shd w:val="clear" w:color="auto" w:fill="FDC8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bold">
    <w:name w:val="Normal (bold)"/>
    <w:basedOn w:val="DefaultParagraphFont"/>
    <w:uiPriority w:val="1"/>
    <w:qFormat/>
    <w:rsid w:val="00310B73"/>
    <w:rPr>
      <w:b/>
    </w:rPr>
  </w:style>
  <w:style w:type="table" w:customStyle="1" w:styleId="ARPANSA">
    <w:name w:val="ARPANSA"/>
    <w:basedOn w:val="TableNormal"/>
    <w:uiPriority w:val="99"/>
    <w:rsid w:val="007660FF"/>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character" w:styleId="PlaceholderText">
    <w:name w:val="Placeholder Text"/>
    <w:basedOn w:val="DefaultParagraphFont"/>
    <w:uiPriority w:val="99"/>
    <w:semiHidden/>
    <w:rsid w:val="007660FF"/>
    <w:rPr>
      <w:rFonts w:cs="Times New Roman"/>
      <w:color w:val="808080"/>
    </w:rPr>
  </w:style>
  <w:style w:type="table" w:styleId="LightList">
    <w:name w:val="Light List"/>
    <w:basedOn w:val="TableNormal"/>
    <w:uiPriority w:val="61"/>
    <w:rsid w:val="006B4A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6B4A61"/>
    <w:pPr>
      <w:spacing w:after="0" w:line="240" w:lineRule="auto"/>
    </w:pPr>
    <w:tblPr>
      <w:tblStyleRowBandSize w:val="1"/>
      <w:tblStyleColBandSize w:val="1"/>
      <w:tblBorders>
        <w:top w:val="single" w:sz="8" w:space="0" w:color="FDC822" w:themeColor="accent4"/>
        <w:left w:val="single" w:sz="8" w:space="0" w:color="FDC822" w:themeColor="accent4"/>
        <w:bottom w:val="single" w:sz="8" w:space="0" w:color="FDC822" w:themeColor="accent4"/>
        <w:right w:val="single" w:sz="8" w:space="0" w:color="FDC822" w:themeColor="accent4"/>
      </w:tblBorders>
    </w:tblPr>
    <w:tblStylePr w:type="firstRow">
      <w:pPr>
        <w:spacing w:before="0" w:after="0" w:line="240" w:lineRule="auto"/>
      </w:pPr>
      <w:rPr>
        <w:b/>
        <w:bCs/>
        <w:color w:val="FFFFFF" w:themeColor="background1"/>
      </w:rPr>
      <w:tblPr/>
      <w:tcPr>
        <w:shd w:val="clear" w:color="auto" w:fill="FDC822" w:themeFill="accent4"/>
      </w:tcPr>
    </w:tblStylePr>
    <w:tblStylePr w:type="lastRow">
      <w:pPr>
        <w:spacing w:before="0" w:after="0" w:line="240" w:lineRule="auto"/>
      </w:pPr>
      <w:rPr>
        <w:b/>
        <w:bCs/>
      </w:rPr>
      <w:tblPr/>
      <w:tcPr>
        <w:tcBorders>
          <w:top w:val="double" w:sz="6" w:space="0" w:color="FDC822" w:themeColor="accent4"/>
          <w:left w:val="single" w:sz="8" w:space="0" w:color="FDC822" w:themeColor="accent4"/>
          <w:bottom w:val="single" w:sz="8" w:space="0" w:color="FDC822" w:themeColor="accent4"/>
          <w:right w:val="single" w:sz="8" w:space="0" w:color="FDC822" w:themeColor="accent4"/>
        </w:tcBorders>
      </w:tcPr>
    </w:tblStylePr>
    <w:tblStylePr w:type="firstCol">
      <w:rPr>
        <w:b/>
        <w:bCs/>
      </w:rPr>
    </w:tblStylePr>
    <w:tblStylePr w:type="lastCol">
      <w:rPr>
        <w:b/>
        <w:bCs/>
      </w:rPr>
    </w:tblStylePr>
    <w:tblStylePr w:type="band1Vert">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tcPr>
    </w:tblStylePr>
    <w:tblStylePr w:type="band1Horz">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tcPr>
    </w:tblStylePr>
  </w:style>
  <w:style w:type="table" w:styleId="LightGrid-Accent4">
    <w:name w:val="Light Grid Accent 4"/>
    <w:basedOn w:val="TableNormal"/>
    <w:uiPriority w:val="62"/>
    <w:rsid w:val="006B4A61"/>
    <w:pPr>
      <w:spacing w:after="0" w:line="240" w:lineRule="auto"/>
    </w:pPr>
    <w:tblPr>
      <w:tblStyleRowBandSize w:val="1"/>
      <w:tblStyleColBandSize w:val="1"/>
      <w:tblBorders>
        <w:top w:val="single" w:sz="8" w:space="0" w:color="FDC822" w:themeColor="accent4"/>
        <w:left w:val="single" w:sz="8" w:space="0" w:color="FDC822" w:themeColor="accent4"/>
        <w:bottom w:val="single" w:sz="8" w:space="0" w:color="FDC822" w:themeColor="accent4"/>
        <w:right w:val="single" w:sz="8" w:space="0" w:color="FDC822" w:themeColor="accent4"/>
        <w:insideH w:val="single" w:sz="8" w:space="0" w:color="FDC822" w:themeColor="accent4"/>
        <w:insideV w:val="single" w:sz="8" w:space="0" w:color="FDC8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822" w:themeColor="accent4"/>
          <w:left w:val="single" w:sz="8" w:space="0" w:color="FDC822" w:themeColor="accent4"/>
          <w:bottom w:val="single" w:sz="18" w:space="0" w:color="FDC822" w:themeColor="accent4"/>
          <w:right w:val="single" w:sz="8" w:space="0" w:color="FDC822" w:themeColor="accent4"/>
          <w:insideH w:val="nil"/>
          <w:insideV w:val="single" w:sz="8" w:space="0" w:color="FDC8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822" w:themeColor="accent4"/>
          <w:left w:val="single" w:sz="8" w:space="0" w:color="FDC822" w:themeColor="accent4"/>
          <w:bottom w:val="single" w:sz="8" w:space="0" w:color="FDC822" w:themeColor="accent4"/>
          <w:right w:val="single" w:sz="8" w:space="0" w:color="FDC822" w:themeColor="accent4"/>
          <w:insideH w:val="nil"/>
          <w:insideV w:val="single" w:sz="8" w:space="0" w:color="FDC8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tcPr>
    </w:tblStylePr>
    <w:tblStylePr w:type="band1Vert">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shd w:val="clear" w:color="auto" w:fill="FEF1C8" w:themeFill="accent4" w:themeFillTint="3F"/>
      </w:tcPr>
    </w:tblStylePr>
    <w:tblStylePr w:type="band1Horz">
      <w:tblPr/>
      <w:tcPr>
        <w:tcBorders>
          <w:top w:val="single" w:sz="8" w:space="0" w:color="FDC822" w:themeColor="accent4"/>
          <w:left w:val="single" w:sz="8" w:space="0" w:color="FDC822" w:themeColor="accent4"/>
          <w:bottom w:val="single" w:sz="8" w:space="0" w:color="FDC822" w:themeColor="accent4"/>
          <w:right w:val="single" w:sz="8" w:space="0" w:color="FDC822" w:themeColor="accent4"/>
          <w:insideV w:val="single" w:sz="8" w:space="0" w:color="FDC822" w:themeColor="accent4"/>
        </w:tcBorders>
        <w:shd w:val="clear" w:color="auto" w:fill="FEF1C8" w:themeFill="accent4" w:themeFillTint="3F"/>
      </w:tcPr>
    </w:tblStylePr>
    <w:tblStylePr w:type="band2Horz">
      <w:tblPr/>
      <w:tcPr>
        <w:tcBorders>
          <w:top w:val="single" w:sz="8" w:space="0" w:color="FDC822" w:themeColor="accent4"/>
          <w:left w:val="single" w:sz="8" w:space="0" w:color="FDC822" w:themeColor="accent4"/>
          <w:bottom w:val="single" w:sz="8" w:space="0" w:color="FDC822" w:themeColor="accent4"/>
          <w:right w:val="single" w:sz="8" w:space="0" w:color="FDC822" w:themeColor="accent4"/>
          <w:insideV w:val="single" w:sz="8" w:space="0" w:color="FDC822" w:themeColor="accent4"/>
        </w:tcBorders>
      </w:tcPr>
    </w:tblStylePr>
  </w:style>
  <w:style w:type="table" w:styleId="MediumGrid2-Accent2">
    <w:name w:val="Medium Grid 2 Accent 2"/>
    <w:basedOn w:val="TableNormal"/>
    <w:uiPriority w:val="68"/>
    <w:rsid w:val="008A47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1A74" w:themeColor="accent2"/>
        <w:left w:val="single" w:sz="8" w:space="0" w:color="4E1A74" w:themeColor="accent2"/>
        <w:bottom w:val="single" w:sz="8" w:space="0" w:color="4E1A74" w:themeColor="accent2"/>
        <w:right w:val="single" w:sz="8" w:space="0" w:color="4E1A74" w:themeColor="accent2"/>
        <w:insideH w:val="single" w:sz="8" w:space="0" w:color="4E1A74" w:themeColor="accent2"/>
        <w:insideV w:val="single" w:sz="8" w:space="0" w:color="4E1A74" w:themeColor="accent2"/>
      </w:tblBorders>
    </w:tblPr>
    <w:tcPr>
      <w:shd w:val="clear" w:color="auto" w:fill="D5B4EE" w:themeFill="accent2" w:themeFillTint="3F"/>
    </w:tcPr>
    <w:tblStylePr w:type="firstRow">
      <w:rPr>
        <w:b/>
        <w:bCs/>
        <w:color w:val="000000" w:themeColor="text1"/>
      </w:rPr>
      <w:tblPr/>
      <w:tcPr>
        <w:shd w:val="clear" w:color="auto" w:fill="EEE1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2F1" w:themeFill="accent2" w:themeFillTint="33"/>
      </w:tcPr>
    </w:tblStylePr>
    <w:tblStylePr w:type="band1Vert">
      <w:tblPr/>
      <w:tcPr>
        <w:shd w:val="clear" w:color="auto" w:fill="AC69DD" w:themeFill="accent2" w:themeFillTint="7F"/>
      </w:tcPr>
    </w:tblStylePr>
    <w:tblStylePr w:type="band1Horz">
      <w:tblPr/>
      <w:tcPr>
        <w:tcBorders>
          <w:insideH w:val="single" w:sz="6" w:space="0" w:color="4E1A74" w:themeColor="accent2"/>
          <w:insideV w:val="single" w:sz="6" w:space="0" w:color="4E1A74" w:themeColor="accent2"/>
        </w:tcBorders>
        <w:shd w:val="clear" w:color="auto" w:fill="AC69DD" w:themeFill="accent2" w:themeFillTint="7F"/>
      </w:tcPr>
    </w:tblStylePr>
    <w:tblStylePr w:type="nwCell">
      <w:tblPr/>
      <w:tcPr>
        <w:shd w:val="clear" w:color="auto" w:fill="FFFFFF" w:themeFill="background1"/>
      </w:tcPr>
    </w:tblStylePr>
  </w:style>
  <w:style w:type="table" w:styleId="LightShading-Accent2">
    <w:name w:val="Light Shading Accent 2"/>
    <w:basedOn w:val="TableNormal"/>
    <w:uiPriority w:val="60"/>
    <w:rsid w:val="0019743A"/>
    <w:pPr>
      <w:spacing w:after="0" w:line="240" w:lineRule="auto"/>
    </w:pPr>
    <w:rPr>
      <w:color w:val="3A1356" w:themeColor="accent2" w:themeShade="BF"/>
    </w:rPr>
    <w:tblPr>
      <w:tblStyleRowBandSize w:val="1"/>
      <w:tblStyleColBandSize w:val="1"/>
      <w:tblBorders>
        <w:top w:val="single" w:sz="8" w:space="0" w:color="4E1A74" w:themeColor="accent2"/>
        <w:bottom w:val="single" w:sz="8" w:space="0" w:color="4E1A74" w:themeColor="accent2"/>
      </w:tblBorders>
    </w:tblPr>
    <w:tblStylePr w:type="firstRow">
      <w:pPr>
        <w:spacing w:before="0" w:after="0" w:line="240" w:lineRule="auto"/>
      </w:pPr>
      <w:rPr>
        <w:b/>
        <w:bCs/>
      </w:rPr>
      <w:tblPr/>
      <w:tcPr>
        <w:tcBorders>
          <w:top w:val="single" w:sz="8" w:space="0" w:color="4E1A74" w:themeColor="accent2"/>
          <w:left w:val="nil"/>
          <w:bottom w:val="single" w:sz="8" w:space="0" w:color="4E1A74" w:themeColor="accent2"/>
          <w:right w:val="nil"/>
          <w:insideH w:val="nil"/>
          <w:insideV w:val="nil"/>
        </w:tcBorders>
      </w:tcPr>
    </w:tblStylePr>
    <w:tblStylePr w:type="lastRow">
      <w:pPr>
        <w:spacing w:before="0" w:after="0" w:line="240" w:lineRule="auto"/>
      </w:pPr>
      <w:rPr>
        <w:b/>
        <w:bCs/>
      </w:rPr>
      <w:tblPr/>
      <w:tcPr>
        <w:tcBorders>
          <w:top w:val="single" w:sz="8" w:space="0" w:color="4E1A74" w:themeColor="accent2"/>
          <w:left w:val="nil"/>
          <w:bottom w:val="single" w:sz="8" w:space="0" w:color="4E1A7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4EE" w:themeFill="accent2" w:themeFillTint="3F"/>
      </w:tcPr>
    </w:tblStylePr>
    <w:tblStylePr w:type="band1Horz">
      <w:tblPr/>
      <w:tcPr>
        <w:tcBorders>
          <w:left w:val="nil"/>
          <w:right w:val="nil"/>
          <w:insideH w:val="nil"/>
          <w:insideV w:val="nil"/>
        </w:tcBorders>
        <w:shd w:val="clear" w:color="auto" w:fill="D5B4EE" w:themeFill="accent2" w:themeFillTint="3F"/>
      </w:tcPr>
    </w:tblStylePr>
  </w:style>
  <w:style w:type="table" w:styleId="LightGrid-Accent5">
    <w:name w:val="Light Grid Accent 5"/>
    <w:basedOn w:val="TableNormal"/>
    <w:uiPriority w:val="62"/>
    <w:rsid w:val="00EE08D5"/>
    <w:pPr>
      <w:spacing w:after="0" w:line="240" w:lineRule="auto"/>
    </w:pPr>
    <w:tblPr>
      <w:tblStyleRowBandSize w:val="1"/>
      <w:tblStyleColBandSize w:val="1"/>
      <w:tblBorders>
        <w:top w:val="single" w:sz="8" w:space="0" w:color="CDACD2" w:themeColor="accent5"/>
        <w:left w:val="single" w:sz="8" w:space="0" w:color="CDACD2" w:themeColor="accent5"/>
        <w:bottom w:val="single" w:sz="8" w:space="0" w:color="CDACD2" w:themeColor="accent5"/>
        <w:right w:val="single" w:sz="8" w:space="0" w:color="CDACD2" w:themeColor="accent5"/>
        <w:insideH w:val="single" w:sz="8" w:space="0" w:color="CDACD2" w:themeColor="accent5"/>
        <w:insideV w:val="single" w:sz="8" w:space="0" w:color="CDACD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ACD2" w:themeColor="accent5"/>
          <w:left w:val="single" w:sz="8" w:space="0" w:color="CDACD2" w:themeColor="accent5"/>
          <w:bottom w:val="single" w:sz="18" w:space="0" w:color="CDACD2" w:themeColor="accent5"/>
          <w:right w:val="single" w:sz="8" w:space="0" w:color="CDACD2" w:themeColor="accent5"/>
          <w:insideH w:val="nil"/>
          <w:insideV w:val="single" w:sz="8" w:space="0" w:color="CDACD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ACD2" w:themeColor="accent5"/>
          <w:left w:val="single" w:sz="8" w:space="0" w:color="CDACD2" w:themeColor="accent5"/>
          <w:bottom w:val="single" w:sz="8" w:space="0" w:color="CDACD2" w:themeColor="accent5"/>
          <w:right w:val="single" w:sz="8" w:space="0" w:color="CDACD2" w:themeColor="accent5"/>
          <w:insideH w:val="nil"/>
          <w:insideV w:val="single" w:sz="8" w:space="0" w:color="CDACD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ACD2" w:themeColor="accent5"/>
          <w:left w:val="single" w:sz="8" w:space="0" w:color="CDACD2" w:themeColor="accent5"/>
          <w:bottom w:val="single" w:sz="8" w:space="0" w:color="CDACD2" w:themeColor="accent5"/>
          <w:right w:val="single" w:sz="8" w:space="0" w:color="CDACD2" w:themeColor="accent5"/>
        </w:tcBorders>
      </w:tcPr>
    </w:tblStylePr>
    <w:tblStylePr w:type="band1Vert">
      <w:tblPr/>
      <w:tcPr>
        <w:tcBorders>
          <w:top w:val="single" w:sz="8" w:space="0" w:color="CDACD2" w:themeColor="accent5"/>
          <w:left w:val="single" w:sz="8" w:space="0" w:color="CDACD2" w:themeColor="accent5"/>
          <w:bottom w:val="single" w:sz="8" w:space="0" w:color="CDACD2" w:themeColor="accent5"/>
          <w:right w:val="single" w:sz="8" w:space="0" w:color="CDACD2" w:themeColor="accent5"/>
        </w:tcBorders>
        <w:shd w:val="clear" w:color="auto" w:fill="F2EAF4" w:themeFill="accent5" w:themeFillTint="3F"/>
      </w:tcPr>
    </w:tblStylePr>
    <w:tblStylePr w:type="band1Horz">
      <w:tblPr/>
      <w:tcPr>
        <w:tcBorders>
          <w:top w:val="single" w:sz="8" w:space="0" w:color="CDACD2" w:themeColor="accent5"/>
          <w:left w:val="single" w:sz="8" w:space="0" w:color="CDACD2" w:themeColor="accent5"/>
          <w:bottom w:val="single" w:sz="8" w:space="0" w:color="CDACD2" w:themeColor="accent5"/>
          <w:right w:val="single" w:sz="8" w:space="0" w:color="CDACD2" w:themeColor="accent5"/>
          <w:insideV w:val="single" w:sz="8" w:space="0" w:color="CDACD2" w:themeColor="accent5"/>
        </w:tcBorders>
        <w:shd w:val="clear" w:color="auto" w:fill="F2EAF4" w:themeFill="accent5" w:themeFillTint="3F"/>
      </w:tcPr>
    </w:tblStylePr>
    <w:tblStylePr w:type="band2Horz">
      <w:tblPr/>
      <w:tcPr>
        <w:tcBorders>
          <w:top w:val="single" w:sz="8" w:space="0" w:color="CDACD2" w:themeColor="accent5"/>
          <w:left w:val="single" w:sz="8" w:space="0" w:color="CDACD2" w:themeColor="accent5"/>
          <w:bottom w:val="single" w:sz="8" w:space="0" w:color="CDACD2" w:themeColor="accent5"/>
          <w:right w:val="single" w:sz="8" w:space="0" w:color="CDACD2" w:themeColor="accent5"/>
          <w:insideV w:val="single" w:sz="8" w:space="0" w:color="CDACD2" w:themeColor="accent5"/>
        </w:tcBorders>
      </w:tcPr>
    </w:tblStylePr>
  </w:style>
  <w:style w:type="table" w:styleId="GridTable4-Accent2">
    <w:name w:val="Grid Table 4 Accent 2"/>
    <w:basedOn w:val="TableNormal"/>
    <w:uiPriority w:val="49"/>
    <w:rsid w:val="00325DCE"/>
    <w:pPr>
      <w:spacing w:after="0" w:line="240" w:lineRule="auto"/>
    </w:pPr>
    <w:tblPr>
      <w:tblStyleRowBandSize w:val="1"/>
      <w:tblStyleColBandSize w:val="1"/>
      <w:tblBorders>
        <w:top w:val="single" w:sz="4" w:space="0" w:color="9B4AD6" w:themeColor="accent2" w:themeTint="99"/>
        <w:left w:val="single" w:sz="4" w:space="0" w:color="9B4AD6" w:themeColor="accent2" w:themeTint="99"/>
        <w:bottom w:val="single" w:sz="4" w:space="0" w:color="9B4AD6" w:themeColor="accent2" w:themeTint="99"/>
        <w:right w:val="single" w:sz="4" w:space="0" w:color="9B4AD6" w:themeColor="accent2" w:themeTint="99"/>
        <w:insideH w:val="single" w:sz="4" w:space="0" w:color="9B4AD6" w:themeColor="accent2" w:themeTint="99"/>
        <w:insideV w:val="single" w:sz="4" w:space="0" w:color="9B4AD6" w:themeColor="accent2" w:themeTint="99"/>
      </w:tblBorders>
    </w:tblPr>
    <w:tblStylePr w:type="firstRow">
      <w:rPr>
        <w:b/>
        <w:bCs/>
        <w:color w:val="FFFFFF" w:themeColor="background1"/>
      </w:rPr>
      <w:tblPr/>
      <w:tcPr>
        <w:tcBorders>
          <w:top w:val="single" w:sz="4" w:space="0" w:color="4E1A74" w:themeColor="accent2"/>
          <w:left w:val="single" w:sz="4" w:space="0" w:color="4E1A74" w:themeColor="accent2"/>
          <w:bottom w:val="single" w:sz="4" w:space="0" w:color="4E1A74" w:themeColor="accent2"/>
          <w:right w:val="single" w:sz="4" w:space="0" w:color="4E1A74" w:themeColor="accent2"/>
          <w:insideH w:val="nil"/>
          <w:insideV w:val="nil"/>
        </w:tcBorders>
        <w:shd w:val="clear" w:color="auto" w:fill="4E1A74" w:themeFill="accent2"/>
      </w:tcPr>
    </w:tblStylePr>
    <w:tblStylePr w:type="lastRow">
      <w:rPr>
        <w:b/>
        <w:bCs/>
      </w:rPr>
      <w:tblPr/>
      <w:tcPr>
        <w:tcBorders>
          <w:top w:val="double" w:sz="4" w:space="0" w:color="4E1A74" w:themeColor="accent2"/>
        </w:tcBorders>
      </w:tc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table" w:styleId="ListTable4-Accent2">
    <w:name w:val="List Table 4 Accent 2"/>
    <w:basedOn w:val="TableNormal"/>
    <w:uiPriority w:val="49"/>
    <w:rsid w:val="00FA6233"/>
    <w:pPr>
      <w:spacing w:after="0" w:line="240" w:lineRule="auto"/>
    </w:pPr>
    <w:tblPr>
      <w:tblStyleRowBandSize w:val="1"/>
      <w:tblStyleColBandSize w:val="1"/>
      <w:tblBorders>
        <w:top w:val="single" w:sz="4" w:space="0" w:color="9B4AD6" w:themeColor="accent2" w:themeTint="99"/>
        <w:left w:val="single" w:sz="4" w:space="0" w:color="9B4AD6" w:themeColor="accent2" w:themeTint="99"/>
        <w:bottom w:val="single" w:sz="4" w:space="0" w:color="9B4AD6" w:themeColor="accent2" w:themeTint="99"/>
        <w:right w:val="single" w:sz="4" w:space="0" w:color="9B4AD6" w:themeColor="accent2" w:themeTint="99"/>
        <w:insideH w:val="single" w:sz="4" w:space="0" w:color="9B4AD6" w:themeColor="accent2" w:themeTint="99"/>
      </w:tblBorders>
    </w:tblPr>
    <w:tblStylePr w:type="firstRow">
      <w:rPr>
        <w:b/>
        <w:bCs/>
        <w:color w:val="FFFFFF" w:themeColor="background1"/>
      </w:rPr>
      <w:tblPr/>
      <w:tcPr>
        <w:tcBorders>
          <w:top w:val="single" w:sz="4" w:space="0" w:color="4E1A74" w:themeColor="accent2"/>
          <w:left w:val="single" w:sz="4" w:space="0" w:color="4E1A74" w:themeColor="accent2"/>
          <w:bottom w:val="single" w:sz="4" w:space="0" w:color="4E1A74" w:themeColor="accent2"/>
          <w:right w:val="single" w:sz="4" w:space="0" w:color="4E1A74" w:themeColor="accent2"/>
          <w:insideH w:val="nil"/>
        </w:tcBorders>
        <w:shd w:val="clear" w:color="auto" w:fill="4E1A74" w:themeFill="accent2"/>
      </w:tcPr>
    </w:tblStylePr>
    <w:tblStylePr w:type="lastRow">
      <w:rPr>
        <w:b/>
        <w:bCs/>
      </w:rPr>
      <w:tblPr/>
      <w:tcPr>
        <w:tcBorders>
          <w:top w:val="double" w:sz="4" w:space="0" w:color="9B4AD6" w:themeColor="accent2" w:themeTint="99"/>
        </w:tcBorders>
      </w:tc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table" w:customStyle="1" w:styleId="TableGrid21">
    <w:name w:val="Table Grid21"/>
    <w:basedOn w:val="TableNormal"/>
    <w:next w:val="TableGrid"/>
    <w:rsid w:val="00A90C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umberedlevel1">
    <w:name w:val="Heading numbered level 1"/>
    <w:basedOn w:val="Heading2"/>
    <w:qFormat/>
    <w:rsid w:val="00310B73"/>
    <w:pPr>
      <w:pBdr>
        <w:bottom w:val="single" w:sz="4" w:space="1" w:color="auto"/>
      </w:pBdr>
      <w:spacing w:after="240"/>
    </w:pPr>
  </w:style>
  <w:style w:type="paragraph" w:styleId="NormalWeb">
    <w:name w:val="Normal (Web)"/>
    <w:basedOn w:val="Normal"/>
    <w:uiPriority w:val="99"/>
    <w:semiHidden/>
    <w:unhideWhenUsed/>
    <w:rsid w:val="00CD36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Style">
    <w:name w:val="Table Style"/>
    <w:basedOn w:val="Normal"/>
    <w:qFormat/>
    <w:rsid w:val="00310B73"/>
    <w:pPr>
      <w:spacing w:before="40" w:after="40"/>
    </w:pPr>
    <w:rPr>
      <w:sz w:val="20"/>
    </w:rPr>
  </w:style>
  <w:style w:type="numbering" w:customStyle="1" w:styleId="List0">
    <w:name w:val="List 0"/>
    <w:rsid w:val="006039B8"/>
    <w:pPr>
      <w:numPr>
        <w:numId w:val="5"/>
      </w:numPr>
    </w:pPr>
  </w:style>
  <w:style w:type="table" w:customStyle="1" w:styleId="ListTable4-Accent21">
    <w:name w:val="List Table 4 - Accent 21"/>
    <w:basedOn w:val="TableNormal"/>
    <w:next w:val="ListTable4-Accent2"/>
    <w:uiPriority w:val="49"/>
    <w:rsid w:val="00AC630D"/>
    <w:pPr>
      <w:spacing w:before="200" w:after="0" w:line="240" w:lineRule="auto"/>
    </w:pPr>
    <w:rPr>
      <w:rFonts w:eastAsiaTheme="minorEastAsia"/>
    </w:rPr>
    <w:tblPr>
      <w:tblStyleRowBandSize w:val="1"/>
      <w:tblStyleColBandSize w:val="1"/>
      <w:tblBorders>
        <w:top w:val="single" w:sz="4" w:space="0" w:color="9B4AD6" w:themeColor="accent2" w:themeTint="99"/>
        <w:left w:val="single" w:sz="4" w:space="0" w:color="9B4AD6" w:themeColor="accent2" w:themeTint="99"/>
        <w:bottom w:val="single" w:sz="4" w:space="0" w:color="9B4AD6" w:themeColor="accent2" w:themeTint="99"/>
        <w:right w:val="single" w:sz="4" w:space="0" w:color="9B4AD6" w:themeColor="accent2" w:themeTint="99"/>
        <w:insideH w:val="single" w:sz="4" w:space="0" w:color="9B4AD6" w:themeColor="accent2" w:themeTint="99"/>
      </w:tblBorders>
    </w:tblPr>
    <w:tblStylePr w:type="firstRow">
      <w:rPr>
        <w:b/>
        <w:bCs/>
        <w:color w:val="FFFFFF" w:themeColor="background1"/>
      </w:rPr>
      <w:tblPr/>
      <w:tcPr>
        <w:tcBorders>
          <w:top w:val="single" w:sz="4" w:space="0" w:color="4E1A74" w:themeColor="accent2"/>
          <w:left w:val="single" w:sz="4" w:space="0" w:color="4E1A74" w:themeColor="accent2"/>
          <w:bottom w:val="single" w:sz="4" w:space="0" w:color="4E1A74" w:themeColor="accent2"/>
          <w:right w:val="single" w:sz="4" w:space="0" w:color="4E1A74" w:themeColor="accent2"/>
          <w:insideH w:val="nil"/>
        </w:tcBorders>
        <w:shd w:val="clear" w:color="auto" w:fill="4E1A74" w:themeFill="accent2"/>
      </w:tcPr>
    </w:tblStylePr>
    <w:tblStylePr w:type="lastRow">
      <w:rPr>
        <w:b/>
        <w:bCs/>
      </w:rPr>
      <w:tblPr/>
      <w:tcPr>
        <w:tcBorders>
          <w:top w:val="double" w:sz="4" w:space="0" w:color="9B4AD6" w:themeColor="accent2" w:themeTint="99"/>
        </w:tcBorders>
      </w:tc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4331">
      <w:bodyDiv w:val="1"/>
      <w:marLeft w:val="0"/>
      <w:marRight w:val="0"/>
      <w:marTop w:val="0"/>
      <w:marBottom w:val="0"/>
      <w:divBdr>
        <w:top w:val="none" w:sz="0" w:space="0" w:color="auto"/>
        <w:left w:val="none" w:sz="0" w:space="0" w:color="auto"/>
        <w:bottom w:val="none" w:sz="0" w:space="0" w:color="auto"/>
        <w:right w:val="none" w:sz="0" w:space="0" w:color="auto"/>
      </w:divBdr>
    </w:div>
    <w:div w:id="334114711">
      <w:bodyDiv w:val="1"/>
      <w:marLeft w:val="0"/>
      <w:marRight w:val="0"/>
      <w:marTop w:val="0"/>
      <w:marBottom w:val="0"/>
      <w:divBdr>
        <w:top w:val="none" w:sz="0" w:space="0" w:color="auto"/>
        <w:left w:val="none" w:sz="0" w:space="0" w:color="auto"/>
        <w:bottom w:val="none" w:sz="0" w:space="0" w:color="auto"/>
        <w:right w:val="none" w:sz="0" w:space="0" w:color="auto"/>
      </w:divBdr>
    </w:div>
    <w:div w:id="560096847">
      <w:bodyDiv w:val="1"/>
      <w:marLeft w:val="0"/>
      <w:marRight w:val="0"/>
      <w:marTop w:val="0"/>
      <w:marBottom w:val="0"/>
      <w:divBdr>
        <w:top w:val="none" w:sz="0" w:space="0" w:color="auto"/>
        <w:left w:val="none" w:sz="0" w:space="0" w:color="auto"/>
        <w:bottom w:val="none" w:sz="0" w:space="0" w:color="auto"/>
        <w:right w:val="none" w:sz="0" w:space="0" w:color="auto"/>
      </w:divBdr>
    </w:div>
    <w:div w:id="587885064">
      <w:bodyDiv w:val="1"/>
      <w:marLeft w:val="0"/>
      <w:marRight w:val="0"/>
      <w:marTop w:val="0"/>
      <w:marBottom w:val="0"/>
      <w:divBdr>
        <w:top w:val="none" w:sz="0" w:space="0" w:color="auto"/>
        <w:left w:val="none" w:sz="0" w:space="0" w:color="auto"/>
        <w:bottom w:val="none" w:sz="0" w:space="0" w:color="auto"/>
        <w:right w:val="none" w:sz="0" w:space="0" w:color="auto"/>
      </w:divBdr>
    </w:div>
    <w:div w:id="1118765895">
      <w:bodyDiv w:val="1"/>
      <w:marLeft w:val="0"/>
      <w:marRight w:val="0"/>
      <w:marTop w:val="0"/>
      <w:marBottom w:val="0"/>
      <w:divBdr>
        <w:top w:val="none" w:sz="0" w:space="0" w:color="auto"/>
        <w:left w:val="none" w:sz="0" w:space="0" w:color="auto"/>
        <w:bottom w:val="none" w:sz="0" w:space="0" w:color="auto"/>
        <w:right w:val="none" w:sz="0" w:space="0" w:color="auto"/>
      </w:divBdr>
    </w:div>
    <w:div w:id="1585529920">
      <w:bodyDiv w:val="1"/>
      <w:marLeft w:val="0"/>
      <w:marRight w:val="0"/>
      <w:marTop w:val="0"/>
      <w:marBottom w:val="0"/>
      <w:divBdr>
        <w:top w:val="none" w:sz="0" w:space="0" w:color="auto"/>
        <w:left w:val="none" w:sz="0" w:space="0" w:color="auto"/>
        <w:bottom w:val="none" w:sz="0" w:space="0" w:color="auto"/>
        <w:right w:val="none" w:sz="0" w:space="0" w:color="auto"/>
      </w:divBdr>
    </w:div>
    <w:div w:id="1761683741">
      <w:bodyDiv w:val="1"/>
      <w:marLeft w:val="0"/>
      <w:marRight w:val="0"/>
      <w:marTop w:val="0"/>
      <w:marBottom w:val="0"/>
      <w:divBdr>
        <w:top w:val="none" w:sz="0" w:space="0" w:color="auto"/>
        <w:left w:val="none" w:sz="0" w:space="0" w:color="auto"/>
        <w:bottom w:val="none" w:sz="0" w:space="0" w:color="auto"/>
        <w:right w:val="none" w:sz="0" w:space="0" w:color="auto"/>
      </w:divBdr>
    </w:div>
    <w:div w:id="18331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rpansa.gov.au/regulation-and-licensing/licensing/information-for-licence-holders/regulatory-guides" TargetMode="External"/><Relationship Id="rId18" Type="http://schemas.openxmlformats.org/officeDocument/2006/relationships/hyperlink" Target="trim://R10%2f05424?db=VP&amp;edit" TargetMode="External"/><Relationship Id="rId26" Type="http://schemas.openxmlformats.org/officeDocument/2006/relationships/hyperlink" Target="https://www.arpansa.gov.au/regulation-and-licensing/regulatory-publications/national-directory-for-radiation-protection" TargetMode="External"/><Relationship Id="rId3" Type="http://schemas.openxmlformats.org/officeDocument/2006/relationships/styles" Target="styles.xml"/><Relationship Id="rId21" Type="http://schemas.openxmlformats.org/officeDocument/2006/relationships/hyperlink" Target="https://www.safeworkaustralia.gov.au/remote-work"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arpansa.gov.au/regulation-and-licensing/licensing/information-for-licence-holders/regulatory-guides" TargetMode="External"/><Relationship Id="rId17" Type="http://schemas.openxmlformats.org/officeDocument/2006/relationships/hyperlink" Target="https://www.legislation.gov.au/Details/C2016C00977" TargetMode="External"/><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safeworkaustralia.gov.au/remote-work" TargetMode="External"/><Relationship Id="rId20" Type="http://schemas.openxmlformats.org/officeDocument/2006/relationships/hyperlink" Target="https://www.comcare.gov.au/Forms_and_Publications/publications/services/safety_and_prevention/safety_and_prevention/guide_to_remote_or_isolated_work" TargetMode="External"/><Relationship Id="rId29" Type="http://schemas.openxmlformats.org/officeDocument/2006/relationships/hyperlink" Target="https://www.arpansa.gov.au/regulation-and-licensing/licensing/information-for-licence-holders/regulatory-gu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sc.gov.au/publications-and-media/current-publications/aps-values-and-code-of-conduct-in-practice" TargetMode="External"/><Relationship Id="rId24" Type="http://schemas.openxmlformats.org/officeDocument/2006/relationships/footer" Target="footer2.xm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mcare.gov.au/Forms_and_Publications/publications/services/safety_and_prevention/safety_and_prevention/guide_to_remote_or_isolated_work" TargetMode="External"/><Relationship Id="rId23" Type="http://schemas.openxmlformats.org/officeDocument/2006/relationships/footer" Target="footer1.xml"/><Relationship Id="rId28" Type="http://schemas.openxmlformats.org/officeDocument/2006/relationships/hyperlink" Target="https://www.arpansa.gov.au/regulation-and-licensing/licensing/information-for-licence-holders/regulatory-guides" TargetMode="External"/><Relationship Id="rId36" Type="http://schemas.openxmlformats.org/officeDocument/2006/relationships/fontTable" Target="fontTable.xml"/><Relationship Id="rId10" Type="http://schemas.openxmlformats.org/officeDocument/2006/relationships/hyperlink" Target="http://www-pub.iaea.org/MTCD/publications/PDF/Pub1713web-70795870.pdf" TargetMode="External"/><Relationship Id="rId19" Type="http://schemas.openxmlformats.org/officeDocument/2006/relationships/hyperlink" Target="trim://R15%2f08485/?db=VP&amp;edit"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arpansa.gov.au/regulation-and-licensing/regulation/regulatory-integrity/policy-arpansas-regulatory-activities" TargetMode="External"/><Relationship Id="rId14" Type="http://schemas.openxmlformats.org/officeDocument/2006/relationships/hyperlink" Target="http://www.arpansa.gov.au/regulation/inspections/POandC.cfm" TargetMode="External"/><Relationship Id="rId22" Type="http://schemas.openxmlformats.org/officeDocument/2006/relationships/image" Target="media/image2.emf"/><Relationship Id="rId27" Type="http://schemas.openxmlformats.org/officeDocument/2006/relationships/hyperlink" Target="https://www.arpansa.gov.au/regulation-and-licensing/licensing/information-for-licence-holders/regulatory-guides" TargetMode="External"/><Relationship Id="rId30" Type="http://schemas.openxmlformats.org/officeDocument/2006/relationships/footer" Target="footer4.xml"/><Relationship Id="rId35"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ARPANSA Brand">
      <a:dk1>
        <a:sysClr val="windowText" lastClr="000000"/>
      </a:dk1>
      <a:lt1>
        <a:sysClr val="window" lastClr="FFFFFF"/>
      </a:lt1>
      <a:dk2>
        <a:srgbClr val="444448"/>
      </a:dk2>
      <a:lt2>
        <a:srgbClr val="EEECE1"/>
      </a:lt2>
      <a:accent1>
        <a:srgbClr val="2B992B"/>
      </a:accent1>
      <a:accent2>
        <a:srgbClr val="4E1A74"/>
      </a:accent2>
      <a:accent3>
        <a:srgbClr val="B6C900"/>
      </a:accent3>
      <a:accent4>
        <a:srgbClr val="FDC822"/>
      </a:accent4>
      <a:accent5>
        <a:srgbClr val="CDACD2"/>
      </a:accent5>
      <a:accent6>
        <a:srgbClr val="EE743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FB45-C1DB-44B8-83CB-5573EDD3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9059</Words>
  <Characters>51642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60580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lockjo</dc:creator>
  <cp:lastModifiedBy>Diane Harrison</cp:lastModifiedBy>
  <cp:revision>14</cp:revision>
  <cp:lastPrinted>2018-09-26T06:20:00Z</cp:lastPrinted>
  <dcterms:created xsi:type="dcterms:W3CDTF">2019-04-04T04:33:00Z</dcterms:created>
  <dcterms:modified xsi:type="dcterms:W3CDTF">2019-05-14T03:46:00Z</dcterms:modified>
</cp:coreProperties>
</file>