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153FA" w14:textId="77777777" w:rsidR="001E59CA" w:rsidRDefault="001600EF">
      <w:pPr>
        <w:pStyle w:val="BodyText"/>
        <w:ind w:left="2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CA15457" wp14:editId="7CA15458">
            <wp:extent cx="6137177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177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153FB" w14:textId="77777777" w:rsidR="001E59CA" w:rsidRDefault="001E59CA">
      <w:pPr>
        <w:pStyle w:val="BodyText"/>
        <w:rPr>
          <w:rFonts w:ascii="Times New Roman"/>
          <w:sz w:val="20"/>
        </w:rPr>
      </w:pPr>
    </w:p>
    <w:p w14:paraId="7CA153FC" w14:textId="77777777" w:rsidR="001E59CA" w:rsidRDefault="001E59CA">
      <w:pPr>
        <w:pStyle w:val="BodyText"/>
        <w:rPr>
          <w:rFonts w:ascii="Times New Roman"/>
          <w:sz w:val="20"/>
        </w:rPr>
      </w:pPr>
    </w:p>
    <w:p w14:paraId="7CA153FD" w14:textId="77777777" w:rsidR="001E59CA" w:rsidRDefault="001600EF">
      <w:pPr>
        <w:pStyle w:val="BodyText"/>
        <w:spacing w:before="5"/>
        <w:rPr>
          <w:rFonts w:ascii="Times New Roman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CA15459" wp14:editId="7CA1545A">
            <wp:simplePos x="0" y="0"/>
            <wp:positionH relativeFrom="page">
              <wp:posOffset>654123</wp:posOffset>
            </wp:positionH>
            <wp:positionV relativeFrom="paragraph">
              <wp:posOffset>149861</wp:posOffset>
            </wp:positionV>
            <wp:extent cx="6147503" cy="34747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7503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A153FE" w14:textId="77777777" w:rsidR="001E59CA" w:rsidRDefault="001E59CA">
      <w:pPr>
        <w:pStyle w:val="BodyText"/>
        <w:spacing w:before="9"/>
        <w:rPr>
          <w:rFonts w:ascii="Times New Roman"/>
          <w:sz w:val="16"/>
        </w:rPr>
      </w:pPr>
    </w:p>
    <w:p w14:paraId="7CA153FF" w14:textId="77777777" w:rsidR="001E59CA" w:rsidRDefault="001600EF">
      <w:pPr>
        <w:pStyle w:val="Title"/>
      </w:pPr>
      <w:r>
        <w:rPr>
          <w:color w:val="4E1A74"/>
        </w:rPr>
        <w:t>Level</w:t>
      </w:r>
      <w:r>
        <w:rPr>
          <w:color w:val="4E1A74"/>
          <w:spacing w:val="-3"/>
        </w:rPr>
        <w:t xml:space="preserve"> </w:t>
      </w:r>
      <w:r>
        <w:rPr>
          <w:color w:val="4E1A74"/>
        </w:rPr>
        <w:t>I</w:t>
      </w:r>
      <w:r>
        <w:rPr>
          <w:color w:val="4E1A74"/>
          <w:spacing w:val="-1"/>
        </w:rPr>
        <w:t xml:space="preserve"> </w:t>
      </w:r>
      <w:r>
        <w:rPr>
          <w:color w:val="4E1A74"/>
        </w:rPr>
        <w:t>OSLD</w:t>
      </w:r>
      <w:r>
        <w:rPr>
          <w:color w:val="4E1A74"/>
          <w:spacing w:val="-1"/>
        </w:rPr>
        <w:t xml:space="preserve"> </w:t>
      </w:r>
      <w:r>
        <w:rPr>
          <w:color w:val="4E1A74"/>
        </w:rPr>
        <w:t>Audit</w:t>
      </w:r>
      <w:r>
        <w:rPr>
          <w:color w:val="4E1A74"/>
          <w:spacing w:val="1"/>
        </w:rPr>
        <w:t xml:space="preserve"> </w:t>
      </w:r>
      <w:r>
        <w:rPr>
          <w:color w:val="4E1A74"/>
        </w:rPr>
        <w:t>–</w:t>
      </w:r>
      <w:r>
        <w:rPr>
          <w:color w:val="4E1A74"/>
          <w:spacing w:val="-3"/>
        </w:rPr>
        <w:t xml:space="preserve"> </w:t>
      </w:r>
      <w:r>
        <w:rPr>
          <w:color w:val="4E1A74"/>
        </w:rPr>
        <w:t>Fact</w:t>
      </w:r>
      <w:r>
        <w:rPr>
          <w:color w:val="4E1A74"/>
          <w:spacing w:val="-1"/>
        </w:rPr>
        <w:t xml:space="preserve"> </w:t>
      </w:r>
      <w:r>
        <w:rPr>
          <w:color w:val="4E1A74"/>
        </w:rPr>
        <w:t>Sheet</w:t>
      </w:r>
    </w:p>
    <w:p w14:paraId="7CA15400" w14:textId="77777777" w:rsidR="001E59CA" w:rsidRDefault="001600EF">
      <w:pPr>
        <w:pStyle w:val="Heading1"/>
        <w:spacing w:before="279"/>
      </w:pPr>
      <w:r>
        <w:rPr>
          <w:color w:val="4E1A74"/>
        </w:rPr>
        <w:t>Definition</w:t>
      </w:r>
    </w:p>
    <w:p w14:paraId="7CA15401" w14:textId="77777777" w:rsidR="001E59CA" w:rsidRDefault="001600EF">
      <w:pPr>
        <w:pStyle w:val="BodyText"/>
        <w:spacing w:before="28" w:line="264" w:lineRule="auto"/>
        <w:ind w:left="212" w:right="283"/>
      </w:pPr>
      <w:r>
        <w:rPr>
          <w:color w:val="444444"/>
        </w:rPr>
        <w:t>The ACDS Level I Audit determines absorbed dose to water per monitor unit for Mega-Voltage Photon and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Electron beams under reference conditions. Optically Stimulated Luminescence Dosimeters (OSLD) are sent</w:t>
      </w:r>
      <w:r>
        <w:rPr>
          <w:color w:val="444444"/>
          <w:spacing w:val="-47"/>
        </w:rPr>
        <w:t xml:space="preserve"> </w:t>
      </w:r>
      <w:r>
        <w:rPr>
          <w:color w:val="444444"/>
        </w:rPr>
        <w:t>by post to the Radiation Oncology Facility (Facility).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The OSLDs are irradiated by the Facility physicists and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returned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ACDS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processing.</w:t>
      </w:r>
    </w:p>
    <w:p w14:paraId="7CA15402" w14:textId="77777777" w:rsidR="001E59CA" w:rsidRDefault="001E59CA">
      <w:pPr>
        <w:pStyle w:val="BodyText"/>
        <w:spacing w:before="8"/>
        <w:rPr>
          <w:sz w:val="19"/>
        </w:rPr>
      </w:pPr>
    </w:p>
    <w:p w14:paraId="7CA15403" w14:textId="77777777" w:rsidR="001E59CA" w:rsidRDefault="001600EF">
      <w:pPr>
        <w:pStyle w:val="Heading1"/>
      </w:pPr>
      <w:r>
        <w:rPr>
          <w:color w:val="4E1A74"/>
        </w:rPr>
        <w:t>Aud</w:t>
      </w:r>
      <w:r>
        <w:rPr>
          <w:color w:val="4E1A74"/>
        </w:rPr>
        <w:t>it</w:t>
      </w:r>
      <w:r>
        <w:rPr>
          <w:color w:val="4E1A74"/>
          <w:spacing w:val="-4"/>
        </w:rPr>
        <w:t xml:space="preserve"> </w:t>
      </w:r>
      <w:r>
        <w:rPr>
          <w:color w:val="4E1A74"/>
        </w:rPr>
        <w:t>Coverage</w:t>
      </w:r>
    </w:p>
    <w:p w14:paraId="7CA15404" w14:textId="77777777" w:rsidR="001E59CA" w:rsidRDefault="001600EF">
      <w:pPr>
        <w:pStyle w:val="BodyText"/>
        <w:spacing w:before="31" w:line="264" w:lineRule="auto"/>
        <w:ind w:left="212" w:right="361"/>
      </w:pPr>
      <w:r>
        <w:rPr>
          <w:color w:val="444444"/>
        </w:rPr>
        <w:t xml:space="preserve">The Level I Audit is available to all facilities as part of a scheduled program. All clinical </w:t>
      </w:r>
      <w:proofErr w:type="spellStart"/>
      <w:r>
        <w:rPr>
          <w:color w:val="444444"/>
        </w:rPr>
        <w:t>linacs</w:t>
      </w:r>
      <w:proofErr w:type="spellEnd"/>
      <w:r>
        <w:rPr>
          <w:color w:val="444444"/>
        </w:rPr>
        <w:t xml:space="preserve"> in a facility are</w:t>
      </w:r>
      <w:r>
        <w:rPr>
          <w:color w:val="444444"/>
          <w:spacing w:val="-47"/>
        </w:rPr>
        <w:t xml:space="preserve"> </w:t>
      </w:r>
      <w:r>
        <w:rPr>
          <w:color w:val="444444"/>
        </w:rPr>
        <w:t>tested.</w:t>
      </w:r>
    </w:p>
    <w:p w14:paraId="7CA15405" w14:textId="77777777" w:rsidR="001E59CA" w:rsidRDefault="001E59CA">
      <w:pPr>
        <w:pStyle w:val="BodyText"/>
        <w:spacing w:before="8"/>
        <w:rPr>
          <w:sz w:val="19"/>
        </w:rPr>
      </w:pPr>
    </w:p>
    <w:p w14:paraId="7CA15406" w14:textId="77777777" w:rsidR="001E59CA" w:rsidRDefault="001600EF">
      <w:pPr>
        <w:pStyle w:val="Heading1"/>
      </w:pPr>
      <w:r>
        <w:rPr>
          <w:color w:val="4E1A74"/>
        </w:rPr>
        <w:t>Audit</w:t>
      </w:r>
      <w:r>
        <w:rPr>
          <w:color w:val="4E1A74"/>
          <w:spacing w:val="-2"/>
        </w:rPr>
        <w:t xml:space="preserve"> </w:t>
      </w:r>
      <w:r>
        <w:rPr>
          <w:color w:val="4E1A74"/>
        </w:rPr>
        <w:t>Outcome</w:t>
      </w:r>
    </w:p>
    <w:p w14:paraId="7CA15407" w14:textId="77777777" w:rsidR="001E59CA" w:rsidRDefault="001600EF">
      <w:pPr>
        <w:pStyle w:val="BodyText"/>
        <w:spacing w:before="28" w:line="264" w:lineRule="auto"/>
        <w:ind w:left="212" w:right="458"/>
      </w:pPr>
      <w:r>
        <w:rPr>
          <w:color w:val="444444"/>
        </w:rPr>
        <w:t>The Audit results are determined by the percentage deviation of the Facility Stated Dose Output from the</w:t>
      </w:r>
      <w:r>
        <w:rPr>
          <w:color w:val="444444"/>
          <w:spacing w:val="-47"/>
        </w:rPr>
        <w:t xml:space="preserve"> </w:t>
      </w:r>
      <w:r>
        <w:rPr>
          <w:color w:val="444444"/>
        </w:rPr>
        <w:t>ACDS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Determined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Dose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Output,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each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clinical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beam.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All beams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on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each</w:t>
      </w:r>
      <w:r>
        <w:rPr>
          <w:color w:val="444444"/>
          <w:spacing w:val="-2"/>
        </w:rPr>
        <w:t xml:space="preserve"> </w:t>
      </w:r>
      <w:proofErr w:type="spellStart"/>
      <w:r>
        <w:rPr>
          <w:color w:val="444444"/>
        </w:rPr>
        <w:t>linac</w:t>
      </w:r>
      <w:proofErr w:type="spellEnd"/>
      <w:r>
        <w:rPr>
          <w:color w:val="444444"/>
          <w:spacing w:val="-4"/>
        </w:rPr>
        <w:t xml:space="preserve"> </w:t>
      </w:r>
      <w:r>
        <w:rPr>
          <w:color w:val="444444"/>
        </w:rPr>
        <w:t>are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tested,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unless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the</w:t>
      </w:r>
    </w:p>
    <w:p w14:paraId="7CA15408" w14:textId="77777777" w:rsidR="001E59CA" w:rsidRDefault="001600EF">
      <w:pPr>
        <w:pStyle w:val="BodyText"/>
        <w:spacing w:after="28" w:line="268" w:lineRule="exact"/>
        <w:ind w:left="212"/>
      </w:pPr>
      <w:r>
        <w:rPr>
          <w:color w:val="444444"/>
        </w:rPr>
        <w:t>Facility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states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that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beam is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“Not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Clinical”.</w:t>
      </w:r>
      <w:r>
        <w:rPr>
          <w:color w:val="444444"/>
          <w:spacing w:val="48"/>
        </w:rPr>
        <w:t xml:space="preserve"> </w:t>
      </w:r>
      <w:r>
        <w:rPr>
          <w:color w:val="444444"/>
        </w:rPr>
        <w:t>Curr</w:t>
      </w:r>
      <w:r>
        <w:rPr>
          <w:color w:val="444444"/>
        </w:rPr>
        <w:t>ent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Result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Levels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are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given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in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Table 1.</w:t>
      </w:r>
    </w:p>
    <w:tbl>
      <w:tblPr>
        <w:tblW w:w="0" w:type="auto"/>
        <w:tblInd w:w="330" w:type="dxa"/>
        <w:tbl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1854"/>
        <w:gridCol w:w="1976"/>
        <w:gridCol w:w="1702"/>
        <w:gridCol w:w="1983"/>
      </w:tblGrid>
      <w:tr w:rsidR="001E59CA" w14:paraId="7CA15414" w14:textId="77777777">
        <w:trPr>
          <w:trHeight w:val="973"/>
        </w:trPr>
        <w:tc>
          <w:tcPr>
            <w:tcW w:w="2156" w:type="dxa"/>
            <w:vMerge w:val="restart"/>
          </w:tcPr>
          <w:p w14:paraId="7CA15409" w14:textId="77777777" w:rsidR="001E59CA" w:rsidRDefault="001E59CA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7CA1540A" w14:textId="77777777" w:rsidR="001E59CA" w:rsidRDefault="001E59CA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7CA1540B" w14:textId="77777777" w:rsidR="001E59CA" w:rsidRDefault="001E59CA">
            <w:pPr>
              <w:pStyle w:val="TableParagraph"/>
              <w:spacing w:before="4"/>
              <w:jc w:val="left"/>
              <w:rPr>
                <w:sz w:val="15"/>
              </w:rPr>
            </w:pPr>
          </w:p>
          <w:p w14:paraId="7CA1540C" w14:textId="77777777" w:rsidR="001E59CA" w:rsidRDefault="001600EF">
            <w:pPr>
              <w:pStyle w:val="TableParagraph"/>
              <w:spacing w:before="0"/>
              <w:ind w:left="800" w:right="787"/>
              <w:rPr>
                <w:b/>
                <w:sz w:val="20"/>
              </w:rPr>
            </w:pPr>
            <w:r>
              <w:rPr>
                <w:b/>
                <w:color w:val="4E1A74"/>
                <w:sz w:val="20"/>
              </w:rPr>
              <w:t>Result</w:t>
            </w:r>
          </w:p>
        </w:tc>
        <w:tc>
          <w:tcPr>
            <w:tcW w:w="1854" w:type="dxa"/>
            <w:vMerge w:val="restart"/>
          </w:tcPr>
          <w:p w14:paraId="7CA1540D" w14:textId="77777777" w:rsidR="001E59CA" w:rsidRDefault="001E59CA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7CA1540E" w14:textId="77777777" w:rsidR="001E59CA" w:rsidRDefault="001E59CA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7CA1540F" w14:textId="77777777" w:rsidR="001E59CA" w:rsidRDefault="001E59CA">
            <w:pPr>
              <w:pStyle w:val="TableParagraph"/>
              <w:spacing w:before="4"/>
              <w:jc w:val="left"/>
              <w:rPr>
                <w:sz w:val="15"/>
              </w:rPr>
            </w:pPr>
          </w:p>
          <w:p w14:paraId="7CA15410" w14:textId="77777777" w:rsidR="001E59CA" w:rsidRDefault="001600EF">
            <w:pPr>
              <w:pStyle w:val="TableParagraph"/>
              <w:spacing w:before="0"/>
              <w:ind w:left="689" w:right="685"/>
              <w:rPr>
                <w:b/>
                <w:sz w:val="20"/>
              </w:rPr>
            </w:pPr>
            <w:r>
              <w:rPr>
                <w:b/>
                <w:color w:val="4E1A74"/>
                <w:sz w:val="20"/>
              </w:rPr>
              <w:t>Level</w:t>
            </w:r>
          </w:p>
        </w:tc>
        <w:tc>
          <w:tcPr>
            <w:tcW w:w="3678" w:type="dxa"/>
            <w:gridSpan w:val="2"/>
          </w:tcPr>
          <w:p w14:paraId="7CA15411" w14:textId="77777777" w:rsidR="001E59CA" w:rsidRDefault="001600EF">
            <w:pPr>
              <w:pStyle w:val="TableParagraph"/>
              <w:spacing w:before="3"/>
              <w:ind w:left="254" w:right="252"/>
              <w:rPr>
                <w:b/>
                <w:sz w:val="20"/>
              </w:rPr>
            </w:pPr>
            <w:r>
              <w:rPr>
                <w:b/>
                <w:color w:val="4E1A74"/>
                <w:sz w:val="20"/>
              </w:rPr>
              <w:t>%</w:t>
            </w:r>
            <w:r>
              <w:rPr>
                <w:b/>
                <w:color w:val="4E1A74"/>
                <w:spacing w:val="-4"/>
                <w:sz w:val="20"/>
              </w:rPr>
              <w:t xml:space="preserve"> </w:t>
            </w:r>
            <w:r>
              <w:rPr>
                <w:b/>
                <w:color w:val="4E1A74"/>
                <w:sz w:val="20"/>
              </w:rPr>
              <w:t>Deviation</w:t>
            </w:r>
          </w:p>
          <w:p w14:paraId="7CA15412" w14:textId="77777777" w:rsidR="001E59CA" w:rsidRDefault="001600EF">
            <w:pPr>
              <w:pStyle w:val="TableParagraph"/>
              <w:spacing w:before="119"/>
              <w:ind w:left="258" w:right="252"/>
              <w:rPr>
                <w:b/>
                <w:sz w:val="20"/>
              </w:rPr>
            </w:pPr>
            <w:r>
              <w:rPr>
                <w:b/>
                <w:color w:val="4E1A74"/>
                <w:sz w:val="20"/>
              </w:rPr>
              <w:t>(Facility</w:t>
            </w:r>
            <w:r>
              <w:rPr>
                <w:b/>
                <w:color w:val="4E1A74"/>
                <w:spacing w:val="-4"/>
                <w:sz w:val="20"/>
              </w:rPr>
              <w:t xml:space="preserve"> </w:t>
            </w:r>
            <w:r>
              <w:rPr>
                <w:b/>
                <w:color w:val="4E1A74"/>
                <w:sz w:val="20"/>
              </w:rPr>
              <w:t>stated</w:t>
            </w:r>
            <w:r>
              <w:rPr>
                <w:b/>
                <w:color w:val="4E1A74"/>
                <w:spacing w:val="-2"/>
                <w:sz w:val="20"/>
              </w:rPr>
              <w:t xml:space="preserve"> </w:t>
            </w:r>
            <w:r>
              <w:rPr>
                <w:b/>
                <w:color w:val="4E1A74"/>
                <w:sz w:val="20"/>
              </w:rPr>
              <w:t>dose</w:t>
            </w:r>
            <w:r>
              <w:rPr>
                <w:b/>
                <w:color w:val="4E1A74"/>
                <w:spacing w:val="-3"/>
                <w:sz w:val="20"/>
              </w:rPr>
              <w:t xml:space="preserve"> </w:t>
            </w:r>
            <w:r>
              <w:rPr>
                <w:b/>
                <w:color w:val="4E1A74"/>
                <w:sz w:val="20"/>
              </w:rPr>
              <w:t>/</w:t>
            </w:r>
            <w:r>
              <w:rPr>
                <w:b/>
                <w:color w:val="4E1A74"/>
                <w:spacing w:val="-2"/>
                <w:sz w:val="20"/>
              </w:rPr>
              <w:t xml:space="preserve"> </w:t>
            </w:r>
            <w:r>
              <w:rPr>
                <w:b/>
                <w:color w:val="4E1A74"/>
                <w:sz w:val="20"/>
              </w:rPr>
              <w:t>ACDS</w:t>
            </w:r>
            <w:r>
              <w:rPr>
                <w:b/>
                <w:color w:val="4E1A74"/>
                <w:spacing w:val="-1"/>
                <w:sz w:val="20"/>
              </w:rPr>
              <w:t xml:space="preserve"> </w:t>
            </w:r>
            <w:r>
              <w:rPr>
                <w:b/>
                <w:color w:val="4E1A74"/>
                <w:sz w:val="20"/>
              </w:rPr>
              <w:t>measured</w:t>
            </w:r>
            <w:r>
              <w:rPr>
                <w:b/>
                <w:color w:val="4E1A74"/>
                <w:spacing w:val="-42"/>
                <w:sz w:val="20"/>
              </w:rPr>
              <w:t xml:space="preserve"> </w:t>
            </w:r>
            <w:r>
              <w:rPr>
                <w:b/>
                <w:color w:val="4E1A74"/>
                <w:sz w:val="20"/>
              </w:rPr>
              <w:t>dose)</w:t>
            </w:r>
          </w:p>
        </w:tc>
        <w:tc>
          <w:tcPr>
            <w:tcW w:w="1983" w:type="dxa"/>
          </w:tcPr>
          <w:p w14:paraId="7CA15413" w14:textId="77777777" w:rsidR="001E59CA" w:rsidRDefault="001600EF">
            <w:pPr>
              <w:pStyle w:val="TableParagraph"/>
              <w:spacing w:before="123" w:line="357" w:lineRule="auto"/>
              <w:ind w:left="314" w:right="306" w:firstLine="88"/>
              <w:jc w:val="left"/>
              <w:rPr>
                <w:b/>
                <w:sz w:val="20"/>
              </w:rPr>
            </w:pPr>
            <w:r>
              <w:rPr>
                <w:b/>
                <w:color w:val="4E1A74"/>
                <w:sz w:val="20"/>
              </w:rPr>
              <w:t>mm Deviation</w:t>
            </w:r>
            <w:r>
              <w:rPr>
                <w:b/>
                <w:color w:val="4E1A74"/>
                <w:spacing w:val="1"/>
                <w:sz w:val="20"/>
              </w:rPr>
              <w:t xml:space="preserve"> </w:t>
            </w:r>
            <w:r>
              <w:rPr>
                <w:b/>
                <w:color w:val="4E1A74"/>
                <w:sz w:val="20"/>
              </w:rPr>
              <w:t>(Facility</w:t>
            </w:r>
            <w:r>
              <w:rPr>
                <w:b/>
                <w:color w:val="4E1A74"/>
                <w:spacing w:val="-8"/>
                <w:sz w:val="20"/>
              </w:rPr>
              <w:t xml:space="preserve"> </w:t>
            </w:r>
            <w:r>
              <w:rPr>
                <w:b/>
                <w:color w:val="4E1A74"/>
                <w:sz w:val="20"/>
              </w:rPr>
              <w:t>–</w:t>
            </w:r>
            <w:r>
              <w:rPr>
                <w:b/>
                <w:color w:val="4E1A74"/>
                <w:spacing w:val="-7"/>
                <w:sz w:val="20"/>
              </w:rPr>
              <w:t xml:space="preserve"> </w:t>
            </w:r>
            <w:r>
              <w:rPr>
                <w:b/>
                <w:color w:val="4E1A74"/>
                <w:sz w:val="20"/>
              </w:rPr>
              <w:t>ACDS)</w:t>
            </w:r>
          </w:p>
        </w:tc>
      </w:tr>
      <w:tr w:rsidR="001E59CA" w14:paraId="7CA1541B" w14:textId="77777777">
        <w:trPr>
          <w:trHeight w:val="607"/>
        </w:trPr>
        <w:tc>
          <w:tcPr>
            <w:tcW w:w="2156" w:type="dxa"/>
            <w:vMerge/>
            <w:tcBorders>
              <w:top w:val="nil"/>
            </w:tcBorders>
          </w:tcPr>
          <w:p w14:paraId="7CA15415" w14:textId="77777777" w:rsidR="001E59CA" w:rsidRDefault="001E59C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14:paraId="7CA15416" w14:textId="77777777" w:rsidR="001E59CA" w:rsidRDefault="001E59CA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</w:tcPr>
          <w:p w14:paraId="7CA15417" w14:textId="77777777" w:rsidR="001E59CA" w:rsidRDefault="001600EF">
            <w:pPr>
              <w:pStyle w:val="TableParagraph"/>
              <w:spacing w:before="153"/>
              <w:ind w:left="369" w:right="366"/>
              <w:rPr>
                <w:b/>
                <w:sz w:val="20"/>
              </w:rPr>
            </w:pPr>
            <w:r>
              <w:rPr>
                <w:b/>
                <w:color w:val="4E1A74"/>
                <w:sz w:val="20"/>
              </w:rPr>
              <w:t>Photons</w:t>
            </w:r>
          </w:p>
        </w:tc>
        <w:tc>
          <w:tcPr>
            <w:tcW w:w="1702" w:type="dxa"/>
          </w:tcPr>
          <w:p w14:paraId="7CA15418" w14:textId="77777777" w:rsidR="001E59CA" w:rsidRDefault="001600EF">
            <w:pPr>
              <w:pStyle w:val="TableParagraph"/>
              <w:spacing w:before="152"/>
              <w:ind w:left="233" w:right="230"/>
              <w:rPr>
                <w:b/>
                <w:sz w:val="13"/>
              </w:rPr>
            </w:pPr>
            <w:r>
              <w:rPr>
                <w:b/>
                <w:color w:val="4E1A74"/>
                <w:position w:val="1"/>
                <w:sz w:val="20"/>
              </w:rPr>
              <w:t>Electrons</w:t>
            </w:r>
            <w:r>
              <w:rPr>
                <w:b/>
                <w:color w:val="4E1A74"/>
                <w:spacing w:val="-4"/>
                <w:position w:val="1"/>
                <w:sz w:val="20"/>
              </w:rPr>
              <w:t xml:space="preserve"> </w:t>
            </w:r>
            <w:r>
              <w:rPr>
                <w:b/>
                <w:color w:val="4E1A74"/>
                <w:position w:val="1"/>
                <w:sz w:val="20"/>
              </w:rPr>
              <w:t>D</w:t>
            </w:r>
            <w:r>
              <w:rPr>
                <w:b/>
                <w:color w:val="4E1A74"/>
                <w:sz w:val="13"/>
              </w:rPr>
              <w:t>max</w:t>
            </w:r>
          </w:p>
        </w:tc>
        <w:tc>
          <w:tcPr>
            <w:tcW w:w="1983" w:type="dxa"/>
          </w:tcPr>
          <w:p w14:paraId="7CA15419" w14:textId="77777777" w:rsidR="001E59CA" w:rsidRDefault="001600EF">
            <w:pPr>
              <w:pStyle w:val="TableParagraph"/>
              <w:ind w:left="351" w:right="347"/>
              <w:rPr>
                <w:b/>
                <w:sz w:val="13"/>
              </w:rPr>
            </w:pPr>
            <w:r>
              <w:rPr>
                <w:b/>
                <w:color w:val="4E1A74"/>
                <w:position w:val="1"/>
                <w:sz w:val="20"/>
              </w:rPr>
              <w:t>Electrons</w:t>
            </w:r>
            <w:r>
              <w:rPr>
                <w:b/>
                <w:color w:val="4E1A74"/>
                <w:spacing w:val="-4"/>
                <w:position w:val="1"/>
                <w:sz w:val="20"/>
              </w:rPr>
              <w:t xml:space="preserve"> </w:t>
            </w:r>
            <w:r>
              <w:rPr>
                <w:b/>
                <w:color w:val="4E1A74"/>
                <w:position w:val="1"/>
                <w:sz w:val="20"/>
              </w:rPr>
              <w:t>R</w:t>
            </w:r>
            <w:r>
              <w:rPr>
                <w:b/>
                <w:color w:val="4E1A74"/>
                <w:sz w:val="13"/>
              </w:rPr>
              <w:t>50</w:t>
            </w:r>
          </w:p>
          <w:p w14:paraId="7CA1541A" w14:textId="77777777" w:rsidR="001E59CA" w:rsidRDefault="001600EF">
            <w:pPr>
              <w:pStyle w:val="TableParagraph"/>
              <w:spacing w:before="137"/>
              <w:ind w:left="351" w:right="348"/>
              <w:rPr>
                <w:b/>
                <w:sz w:val="13"/>
              </w:rPr>
            </w:pPr>
            <w:r>
              <w:rPr>
                <w:b/>
                <w:color w:val="4E1A74"/>
                <w:sz w:val="13"/>
              </w:rPr>
              <w:t>(6-16</w:t>
            </w:r>
            <w:r>
              <w:rPr>
                <w:b/>
                <w:color w:val="4E1A74"/>
                <w:spacing w:val="-4"/>
                <w:sz w:val="13"/>
              </w:rPr>
              <w:t xml:space="preserve"> </w:t>
            </w:r>
            <w:r>
              <w:rPr>
                <w:b/>
                <w:color w:val="4E1A74"/>
                <w:sz w:val="13"/>
              </w:rPr>
              <w:t>MeV)</w:t>
            </w:r>
          </w:p>
        </w:tc>
      </w:tr>
      <w:tr w:rsidR="001E59CA" w14:paraId="7CA15421" w14:textId="77777777">
        <w:trPr>
          <w:trHeight w:val="304"/>
        </w:trPr>
        <w:tc>
          <w:tcPr>
            <w:tcW w:w="2156" w:type="dxa"/>
            <w:vMerge w:val="restart"/>
            <w:shd w:val="clear" w:color="auto" w:fill="F6EEFA"/>
          </w:tcPr>
          <w:p w14:paraId="7CA1541C" w14:textId="77777777" w:rsidR="001E59CA" w:rsidRDefault="001600EF">
            <w:pPr>
              <w:pStyle w:val="TableParagraph"/>
              <w:spacing w:before="159"/>
              <w:ind w:left="800" w:right="787"/>
              <w:rPr>
                <w:sz w:val="20"/>
              </w:rPr>
            </w:pPr>
            <w:r>
              <w:rPr>
                <w:color w:val="444444"/>
                <w:sz w:val="20"/>
              </w:rPr>
              <w:t>Pass</w:t>
            </w:r>
          </w:p>
        </w:tc>
        <w:tc>
          <w:tcPr>
            <w:tcW w:w="1854" w:type="dxa"/>
            <w:shd w:val="clear" w:color="auto" w:fill="F6EEFA"/>
          </w:tcPr>
          <w:p w14:paraId="7CA1541D" w14:textId="77777777" w:rsidR="001E59CA" w:rsidRDefault="001600EF">
            <w:pPr>
              <w:pStyle w:val="TableParagraph"/>
              <w:spacing w:before="3"/>
              <w:ind w:left="599"/>
              <w:jc w:val="left"/>
              <w:rPr>
                <w:sz w:val="20"/>
              </w:rPr>
            </w:pPr>
            <w:r>
              <w:rPr>
                <w:color w:val="444444"/>
                <w:sz w:val="20"/>
              </w:rPr>
              <w:t>Optimal</w:t>
            </w:r>
          </w:p>
        </w:tc>
        <w:tc>
          <w:tcPr>
            <w:tcW w:w="1976" w:type="dxa"/>
            <w:shd w:val="clear" w:color="auto" w:fill="F6EEFA"/>
          </w:tcPr>
          <w:p w14:paraId="7CA1541E" w14:textId="77777777" w:rsidR="001E59CA" w:rsidRDefault="001600EF">
            <w:pPr>
              <w:pStyle w:val="TableParagraph"/>
              <w:spacing w:before="3"/>
              <w:ind w:left="368" w:right="366"/>
              <w:rPr>
                <w:sz w:val="20"/>
              </w:rPr>
            </w:pPr>
            <w:r>
              <w:rPr>
                <w:color w:val="444444"/>
                <w:sz w:val="20"/>
              </w:rPr>
              <w:t>≤</w:t>
            </w:r>
            <w:r>
              <w:rPr>
                <w:color w:val="444444"/>
                <w:spacing w:val="-2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2.6</w:t>
            </w:r>
          </w:p>
        </w:tc>
        <w:tc>
          <w:tcPr>
            <w:tcW w:w="1702" w:type="dxa"/>
            <w:shd w:val="clear" w:color="auto" w:fill="F6EEFA"/>
          </w:tcPr>
          <w:p w14:paraId="7CA1541F" w14:textId="77777777" w:rsidR="001E59CA" w:rsidRDefault="001600EF">
            <w:pPr>
              <w:pStyle w:val="TableParagraph"/>
              <w:spacing w:before="3"/>
              <w:ind w:left="231" w:right="230"/>
              <w:rPr>
                <w:sz w:val="20"/>
              </w:rPr>
            </w:pPr>
            <w:r>
              <w:rPr>
                <w:color w:val="444444"/>
                <w:sz w:val="20"/>
              </w:rPr>
              <w:t>≤</w:t>
            </w:r>
            <w:r>
              <w:rPr>
                <w:color w:val="444444"/>
                <w:spacing w:val="-2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3.4</w:t>
            </w:r>
          </w:p>
        </w:tc>
        <w:tc>
          <w:tcPr>
            <w:tcW w:w="1983" w:type="dxa"/>
            <w:shd w:val="clear" w:color="auto" w:fill="F6EEFA"/>
          </w:tcPr>
          <w:p w14:paraId="7CA15420" w14:textId="77777777" w:rsidR="001E59CA" w:rsidRDefault="001600EF">
            <w:pPr>
              <w:pStyle w:val="TableParagraph"/>
              <w:spacing w:before="3"/>
              <w:ind w:left="351" w:right="347"/>
              <w:rPr>
                <w:sz w:val="20"/>
              </w:rPr>
            </w:pPr>
            <w:r>
              <w:rPr>
                <w:color w:val="444444"/>
                <w:sz w:val="20"/>
              </w:rPr>
              <w:t>≤</w:t>
            </w:r>
            <w:r>
              <w:rPr>
                <w:color w:val="444444"/>
                <w:spacing w:val="-2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2.4</w:t>
            </w:r>
          </w:p>
        </w:tc>
      </w:tr>
      <w:tr w:rsidR="001E59CA" w14:paraId="7CA15427" w14:textId="77777777">
        <w:trPr>
          <w:trHeight w:val="304"/>
        </w:trPr>
        <w:tc>
          <w:tcPr>
            <w:tcW w:w="2156" w:type="dxa"/>
            <w:vMerge/>
            <w:tcBorders>
              <w:top w:val="nil"/>
            </w:tcBorders>
            <w:shd w:val="clear" w:color="auto" w:fill="F6EEFA"/>
          </w:tcPr>
          <w:p w14:paraId="7CA15422" w14:textId="77777777" w:rsidR="001E59CA" w:rsidRDefault="001E59C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</w:tcPr>
          <w:p w14:paraId="7CA15423" w14:textId="77777777" w:rsidR="001E59CA" w:rsidRDefault="001600EF">
            <w:pPr>
              <w:pStyle w:val="TableParagraph"/>
              <w:ind w:left="664"/>
              <w:jc w:val="left"/>
              <w:rPr>
                <w:sz w:val="20"/>
              </w:rPr>
            </w:pPr>
            <w:r>
              <w:rPr>
                <w:color w:val="444444"/>
                <w:sz w:val="20"/>
              </w:rPr>
              <w:t>Action</w:t>
            </w:r>
          </w:p>
        </w:tc>
        <w:tc>
          <w:tcPr>
            <w:tcW w:w="1976" w:type="dxa"/>
          </w:tcPr>
          <w:p w14:paraId="7CA15424" w14:textId="77777777" w:rsidR="001E59CA" w:rsidRDefault="001600EF">
            <w:pPr>
              <w:pStyle w:val="TableParagraph"/>
              <w:ind w:left="370" w:right="366"/>
              <w:rPr>
                <w:sz w:val="20"/>
              </w:rPr>
            </w:pPr>
            <w:r>
              <w:rPr>
                <w:color w:val="444444"/>
                <w:sz w:val="20"/>
              </w:rPr>
              <w:t>&gt;</w:t>
            </w:r>
            <w:r>
              <w:rPr>
                <w:color w:val="444444"/>
                <w:spacing w:val="-2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2.6</w:t>
            </w:r>
            <w:r>
              <w:rPr>
                <w:color w:val="444444"/>
                <w:spacing w:val="-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and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≤</w:t>
            </w:r>
            <w:r>
              <w:rPr>
                <w:color w:val="444444"/>
                <w:spacing w:val="-2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3.9</w:t>
            </w:r>
          </w:p>
        </w:tc>
        <w:tc>
          <w:tcPr>
            <w:tcW w:w="1702" w:type="dxa"/>
          </w:tcPr>
          <w:p w14:paraId="7CA15425" w14:textId="77777777" w:rsidR="001E59CA" w:rsidRDefault="001600EF">
            <w:pPr>
              <w:pStyle w:val="TableParagraph"/>
              <w:ind w:left="233" w:right="230"/>
              <w:rPr>
                <w:sz w:val="20"/>
              </w:rPr>
            </w:pPr>
            <w:r>
              <w:rPr>
                <w:color w:val="444444"/>
                <w:sz w:val="20"/>
              </w:rPr>
              <w:t>&gt;</w:t>
            </w:r>
            <w:r>
              <w:rPr>
                <w:color w:val="444444"/>
                <w:spacing w:val="-2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3.4</w:t>
            </w:r>
            <w:r>
              <w:rPr>
                <w:color w:val="444444"/>
                <w:spacing w:val="-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and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≤</w:t>
            </w:r>
            <w:r>
              <w:rPr>
                <w:color w:val="444444"/>
                <w:spacing w:val="-2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5.1</w:t>
            </w:r>
          </w:p>
        </w:tc>
        <w:tc>
          <w:tcPr>
            <w:tcW w:w="1983" w:type="dxa"/>
          </w:tcPr>
          <w:p w14:paraId="7CA15426" w14:textId="77777777" w:rsidR="001E59CA" w:rsidRDefault="001600EF">
            <w:pPr>
              <w:pStyle w:val="TableParagraph"/>
              <w:ind w:left="351" w:right="348"/>
              <w:rPr>
                <w:sz w:val="20"/>
              </w:rPr>
            </w:pPr>
            <w:r>
              <w:rPr>
                <w:color w:val="444444"/>
                <w:sz w:val="20"/>
              </w:rPr>
              <w:t>&gt;</w:t>
            </w:r>
            <w:r>
              <w:rPr>
                <w:color w:val="444444"/>
                <w:spacing w:val="43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2.4</w:t>
            </w:r>
            <w:r>
              <w:rPr>
                <w:color w:val="444444"/>
                <w:spacing w:val="-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and ≤</w:t>
            </w:r>
            <w:r>
              <w:rPr>
                <w:color w:val="444444"/>
                <w:spacing w:val="-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3.6</w:t>
            </w:r>
          </w:p>
        </w:tc>
      </w:tr>
      <w:tr w:rsidR="001E59CA" w14:paraId="7CA1542D" w14:textId="77777777">
        <w:trPr>
          <w:trHeight w:val="304"/>
        </w:trPr>
        <w:tc>
          <w:tcPr>
            <w:tcW w:w="2156" w:type="dxa"/>
            <w:shd w:val="clear" w:color="auto" w:fill="F6EEFA"/>
          </w:tcPr>
          <w:p w14:paraId="7CA15428" w14:textId="77777777" w:rsidR="001E59CA" w:rsidRDefault="001600EF">
            <w:pPr>
              <w:pStyle w:val="TableParagraph"/>
              <w:ind w:left="396"/>
              <w:jc w:val="left"/>
              <w:rPr>
                <w:sz w:val="20"/>
              </w:rPr>
            </w:pPr>
            <w:r>
              <w:rPr>
                <w:color w:val="444444"/>
                <w:sz w:val="20"/>
              </w:rPr>
              <w:t>Out</w:t>
            </w:r>
            <w:r>
              <w:rPr>
                <w:color w:val="444444"/>
                <w:spacing w:val="-3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of</w:t>
            </w:r>
            <w:r>
              <w:rPr>
                <w:color w:val="444444"/>
                <w:spacing w:val="-4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Tolerance</w:t>
            </w:r>
          </w:p>
        </w:tc>
        <w:tc>
          <w:tcPr>
            <w:tcW w:w="1854" w:type="dxa"/>
            <w:shd w:val="clear" w:color="auto" w:fill="F6EEFA"/>
          </w:tcPr>
          <w:p w14:paraId="7CA15429" w14:textId="77777777" w:rsidR="001E59CA" w:rsidRDefault="001E59C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76" w:type="dxa"/>
            <w:shd w:val="clear" w:color="auto" w:fill="F6EEFA"/>
          </w:tcPr>
          <w:p w14:paraId="7CA1542A" w14:textId="77777777" w:rsidR="001E59CA" w:rsidRDefault="001600EF">
            <w:pPr>
              <w:pStyle w:val="TableParagraph"/>
              <w:ind w:left="368" w:right="366"/>
              <w:rPr>
                <w:sz w:val="20"/>
              </w:rPr>
            </w:pPr>
            <w:r>
              <w:rPr>
                <w:color w:val="444444"/>
                <w:sz w:val="20"/>
              </w:rPr>
              <w:t>&gt;</w:t>
            </w:r>
            <w:r>
              <w:rPr>
                <w:color w:val="444444"/>
                <w:spacing w:val="-2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3.9</w:t>
            </w:r>
          </w:p>
        </w:tc>
        <w:tc>
          <w:tcPr>
            <w:tcW w:w="1702" w:type="dxa"/>
            <w:shd w:val="clear" w:color="auto" w:fill="F6EEFA"/>
          </w:tcPr>
          <w:p w14:paraId="7CA1542B" w14:textId="77777777" w:rsidR="001E59CA" w:rsidRDefault="001600EF">
            <w:pPr>
              <w:pStyle w:val="TableParagraph"/>
              <w:ind w:left="231" w:right="230"/>
              <w:rPr>
                <w:sz w:val="20"/>
              </w:rPr>
            </w:pPr>
            <w:r>
              <w:rPr>
                <w:color w:val="444444"/>
                <w:sz w:val="20"/>
              </w:rPr>
              <w:t>&gt;</w:t>
            </w:r>
            <w:r>
              <w:rPr>
                <w:color w:val="444444"/>
                <w:spacing w:val="-2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5.1</w:t>
            </w:r>
          </w:p>
        </w:tc>
        <w:tc>
          <w:tcPr>
            <w:tcW w:w="1983" w:type="dxa"/>
            <w:shd w:val="clear" w:color="auto" w:fill="F6EEFA"/>
          </w:tcPr>
          <w:p w14:paraId="7CA1542C" w14:textId="77777777" w:rsidR="001E59CA" w:rsidRDefault="001600EF">
            <w:pPr>
              <w:pStyle w:val="TableParagraph"/>
              <w:ind w:left="351" w:right="348"/>
              <w:rPr>
                <w:sz w:val="20"/>
              </w:rPr>
            </w:pPr>
            <w:r>
              <w:rPr>
                <w:color w:val="444444"/>
                <w:sz w:val="20"/>
              </w:rPr>
              <w:t>&gt;</w:t>
            </w:r>
            <w:r>
              <w:rPr>
                <w:color w:val="444444"/>
                <w:spacing w:val="-2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3.6</w:t>
            </w:r>
          </w:p>
        </w:tc>
      </w:tr>
    </w:tbl>
    <w:p w14:paraId="7CA1542E" w14:textId="77777777" w:rsidR="001E59CA" w:rsidRDefault="001600EF">
      <w:pPr>
        <w:spacing w:before="121"/>
        <w:ind w:left="212"/>
        <w:rPr>
          <w:b/>
          <w:sz w:val="16"/>
        </w:rPr>
      </w:pPr>
      <w:r>
        <w:rPr>
          <w:b/>
          <w:color w:val="4E1A74"/>
          <w:sz w:val="16"/>
        </w:rPr>
        <w:t>Table</w:t>
      </w:r>
      <w:r>
        <w:rPr>
          <w:b/>
          <w:color w:val="4E1A74"/>
          <w:spacing w:val="-1"/>
          <w:sz w:val="16"/>
        </w:rPr>
        <w:t xml:space="preserve"> </w:t>
      </w:r>
      <w:r>
        <w:rPr>
          <w:b/>
          <w:color w:val="4E1A74"/>
          <w:sz w:val="16"/>
        </w:rPr>
        <w:t>1.</w:t>
      </w:r>
      <w:r>
        <w:rPr>
          <w:b/>
          <w:color w:val="4E1A74"/>
          <w:spacing w:val="-1"/>
          <w:sz w:val="16"/>
        </w:rPr>
        <w:t xml:space="preserve"> </w:t>
      </w:r>
      <w:r>
        <w:rPr>
          <w:b/>
          <w:color w:val="4E1A74"/>
          <w:sz w:val="16"/>
        </w:rPr>
        <w:t>General</w:t>
      </w:r>
      <w:r>
        <w:rPr>
          <w:b/>
          <w:color w:val="4E1A74"/>
          <w:spacing w:val="-4"/>
          <w:sz w:val="16"/>
        </w:rPr>
        <w:t xml:space="preserve"> </w:t>
      </w:r>
      <w:r>
        <w:rPr>
          <w:b/>
          <w:color w:val="4E1A74"/>
          <w:sz w:val="16"/>
        </w:rPr>
        <w:t>audit</w:t>
      </w:r>
      <w:r>
        <w:rPr>
          <w:b/>
          <w:color w:val="4E1A74"/>
          <w:spacing w:val="-2"/>
          <w:sz w:val="16"/>
        </w:rPr>
        <w:t xml:space="preserve"> </w:t>
      </w:r>
      <w:r>
        <w:rPr>
          <w:b/>
          <w:color w:val="4E1A74"/>
          <w:sz w:val="16"/>
        </w:rPr>
        <w:t>pass</w:t>
      </w:r>
      <w:r>
        <w:rPr>
          <w:b/>
          <w:color w:val="4E1A74"/>
          <w:spacing w:val="-2"/>
          <w:sz w:val="16"/>
        </w:rPr>
        <w:t xml:space="preserve"> </w:t>
      </w:r>
      <w:r>
        <w:rPr>
          <w:b/>
          <w:color w:val="4E1A74"/>
          <w:sz w:val="16"/>
        </w:rPr>
        <w:t>criteria</w:t>
      </w:r>
    </w:p>
    <w:p w14:paraId="7CA1542F" w14:textId="77777777" w:rsidR="001E59CA" w:rsidRDefault="001E59CA">
      <w:pPr>
        <w:pStyle w:val="BodyText"/>
        <w:spacing w:before="9"/>
        <w:rPr>
          <w:b/>
          <w:sz w:val="19"/>
        </w:rPr>
      </w:pPr>
    </w:p>
    <w:p w14:paraId="7CA15430" w14:textId="77777777" w:rsidR="001E59CA" w:rsidRDefault="001600EF">
      <w:pPr>
        <w:pStyle w:val="BodyText"/>
        <w:spacing w:before="1" w:line="264" w:lineRule="auto"/>
        <w:ind w:left="212" w:right="276"/>
      </w:pPr>
      <w:r>
        <w:rPr>
          <w:color w:val="444444"/>
        </w:rPr>
        <w:t xml:space="preserve">An overall Audit outcome for each </w:t>
      </w:r>
      <w:proofErr w:type="spellStart"/>
      <w:r>
        <w:rPr>
          <w:color w:val="444444"/>
        </w:rPr>
        <w:t>linac</w:t>
      </w:r>
      <w:proofErr w:type="spellEnd"/>
      <w:r>
        <w:rPr>
          <w:color w:val="444444"/>
        </w:rPr>
        <w:t xml:space="preserve"> is determined, which is equal to the poorest result of any individual</w:t>
      </w:r>
      <w:r>
        <w:rPr>
          <w:color w:val="444444"/>
          <w:spacing w:val="-47"/>
        </w:rPr>
        <w:t xml:space="preserve"> </w:t>
      </w:r>
      <w:r>
        <w:rPr>
          <w:color w:val="444444"/>
        </w:rPr>
        <w:t>beam.</w:t>
      </w:r>
    </w:p>
    <w:p w14:paraId="7CA15431" w14:textId="77777777" w:rsidR="001E59CA" w:rsidRDefault="001E59CA">
      <w:pPr>
        <w:pStyle w:val="BodyText"/>
        <w:spacing w:before="7"/>
        <w:rPr>
          <w:sz w:val="19"/>
        </w:rPr>
      </w:pPr>
    </w:p>
    <w:p w14:paraId="7CA15432" w14:textId="77777777" w:rsidR="001E59CA" w:rsidRDefault="001600EF">
      <w:pPr>
        <w:pStyle w:val="Heading1"/>
      </w:pPr>
      <w:r>
        <w:rPr>
          <w:color w:val="4E1A74"/>
        </w:rPr>
        <w:t>Outcome</w:t>
      </w:r>
      <w:r>
        <w:rPr>
          <w:color w:val="4E1A74"/>
          <w:spacing w:val="-5"/>
        </w:rPr>
        <w:t xml:space="preserve"> </w:t>
      </w:r>
      <w:r>
        <w:rPr>
          <w:color w:val="4E1A74"/>
        </w:rPr>
        <w:t>Reporting</w:t>
      </w:r>
    </w:p>
    <w:p w14:paraId="7CA15433" w14:textId="77777777" w:rsidR="001E59CA" w:rsidRDefault="001600EF">
      <w:pPr>
        <w:pStyle w:val="BodyText"/>
        <w:spacing w:before="29" w:line="264" w:lineRule="auto"/>
        <w:ind w:left="212" w:right="331"/>
      </w:pPr>
      <w:r>
        <w:rPr>
          <w:color w:val="444444"/>
        </w:rPr>
        <w:t>A formal report will be sent to the Facility within approximately one month of the audit. A minimum fading</w:t>
      </w:r>
      <w:r>
        <w:rPr>
          <w:color w:val="444444"/>
          <w:spacing w:val="-47"/>
        </w:rPr>
        <w:t xml:space="preserve"> </w:t>
      </w:r>
      <w:r>
        <w:rPr>
          <w:color w:val="444444"/>
        </w:rPr>
        <w:t>time of at least one week is required before the OSLDs can be processed. The OSLD are processed in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batches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which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may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cover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several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facilities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res</w:t>
      </w:r>
      <w:r>
        <w:rPr>
          <w:color w:val="444444"/>
        </w:rPr>
        <w:t>ult in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short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delays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in individual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OSLD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readout.</w:t>
      </w:r>
    </w:p>
    <w:p w14:paraId="7CA15434" w14:textId="77777777" w:rsidR="001E59CA" w:rsidRDefault="001E59CA">
      <w:pPr>
        <w:pStyle w:val="BodyText"/>
        <w:spacing w:before="8"/>
        <w:rPr>
          <w:sz w:val="19"/>
        </w:rPr>
      </w:pPr>
    </w:p>
    <w:p w14:paraId="7CA15435" w14:textId="77777777" w:rsidR="001E59CA" w:rsidRDefault="001600EF">
      <w:pPr>
        <w:pStyle w:val="Heading1"/>
      </w:pPr>
      <w:r>
        <w:rPr>
          <w:color w:val="4E1A74"/>
        </w:rPr>
        <w:t>Audit</w:t>
      </w:r>
      <w:r>
        <w:rPr>
          <w:color w:val="4E1A74"/>
          <w:spacing w:val="-2"/>
        </w:rPr>
        <w:t xml:space="preserve"> </w:t>
      </w:r>
      <w:r>
        <w:rPr>
          <w:color w:val="4E1A74"/>
        </w:rPr>
        <w:t>Scope</w:t>
      </w:r>
    </w:p>
    <w:p w14:paraId="7CA15436" w14:textId="77777777" w:rsidR="001E59CA" w:rsidRDefault="001600EF">
      <w:pPr>
        <w:pStyle w:val="BodyText"/>
        <w:spacing w:before="31" w:line="264" w:lineRule="auto"/>
        <w:ind w:left="212" w:right="341"/>
      </w:pPr>
      <w:r>
        <w:rPr>
          <w:color w:val="444444"/>
        </w:rPr>
        <w:t>The ACDS aims to ensure a high degree of independence from the Facility by providing external equipment</w:t>
      </w:r>
      <w:r>
        <w:rPr>
          <w:color w:val="444444"/>
          <w:spacing w:val="-47"/>
        </w:rPr>
        <w:t xml:space="preserve"> </w:t>
      </w:r>
      <w:r>
        <w:rPr>
          <w:color w:val="444444"/>
        </w:rPr>
        <w:t xml:space="preserve">for measurements were practicable. The ACDS assumes that the </w:t>
      </w:r>
      <w:proofErr w:type="spellStart"/>
      <w:r>
        <w:rPr>
          <w:color w:val="444444"/>
        </w:rPr>
        <w:t>linac</w:t>
      </w:r>
      <w:proofErr w:type="spellEnd"/>
      <w:r>
        <w:rPr>
          <w:color w:val="444444"/>
        </w:rPr>
        <w:t xml:space="preserve"> has been accepted from t</w:t>
      </w:r>
      <w:r>
        <w:rPr>
          <w:color w:val="444444"/>
        </w:rPr>
        <w:t>he supplier</w:t>
      </w:r>
      <w:r>
        <w:rPr>
          <w:color w:val="444444"/>
          <w:spacing w:val="-47"/>
        </w:rPr>
        <w:t xml:space="preserve"> </w:t>
      </w:r>
      <w:r>
        <w:rPr>
          <w:color w:val="444444"/>
        </w:rPr>
        <w:t>by the Facility and has been commissioned by the responsible medical physicist and performance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(Mechanical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Radiation)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is within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the tolerances defined by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Facility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on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day of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measurement.</w:t>
      </w:r>
    </w:p>
    <w:p w14:paraId="7CA15437" w14:textId="77777777" w:rsidR="001E59CA" w:rsidRDefault="001600EF">
      <w:pPr>
        <w:pStyle w:val="BodyText"/>
        <w:spacing w:before="6"/>
        <w:rPr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CA1545B" wp14:editId="7CA1545C">
            <wp:simplePos x="0" y="0"/>
            <wp:positionH relativeFrom="page">
              <wp:posOffset>720090</wp:posOffset>
            </wp:positionH>
            <wp:positionV relativeFrom="paragraph">
              <wp:posOffset>182448</wp:posOffset>
            </wp:positionV>
            <wp:extent cx="6174928" cy="54483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4928" cy="54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A15438" w14:textId="77777777" w:rsidR="001E59CA" w:rsidRDefault="001600EF">
      <w:pPr>
        <w:tabs>
          <w:tab w:val="left" w:pos="8429"/>
        </w:tabs>
        <w:spacing w:before="127"/>
        <w:ind w:left="212"/>
        <w:rPr>
          <w:sz w:val="16"/>
        </w:rPr>
      </w:pPr>
      <w:r>
        <w:rPr>
          <w:color w:val="444444"/>
          <w:sz w:val="16"/>
        </w:rPr>
        <w:t>619</w:t>
      </w:r>
      <w:r>
        <w:rPr>
          <w:color w:val="444444"/>
          <w:spacing w:val="-1"/>
          <w:sz w:val="16"/>
        </w:rPr>
        <w:t xml:space="preserve"> </w:t>
      </w:r>
      <w:r>
        <w:rPr>
          <w:color w:val="444444"/>
          <w:sz w:val="16"/>
        </w:rPr>
        <w:t>Lower</w:t>
      </w:r>
      <w:r>
        <w:rPr>
          <w:color w:val="444444"/>
          <w:spacing w:val="-2"/>
          <w:sz w:val="16"/>
        </w:rPr>
        <w:t xml:space="preserve"> </w:t>
      </w:r>
      <w:r>
        <w:rPr>
          <w:color w:val="444444"/>
          <w:sz w:val="16"/>
        </w:rPr>
        <w:t>Plenty</w:t>
      </w:r>
      <w:r>
        <w:rPr>
          <w:color w:val="444444"/>
          <w:spacing w:val="-2"/>
          <w:sz w:val="16"/>
        </w:rPr>
        <w:t xml:space="preserve"> </w:t>
      </w:r>
      <w:r>
        <w:rPr>
          <w:color w:val="444444"/>
          <w:sz w:val="16"/>
        </w:rPr>
        <w:t>Road,</w:t>
      </w:r>
      <w:r>
        <w:rPr>
          <w:color w:val="444444"/>
          <w:spacing w:val="-1"/>
          <w:sz w:val="16"/>
        </w:rPr>
        <w:t xml:space="preserve"> </w:t>
      </w:r>
      <w:r>
        <w:rPr>
          <w:color w:val="444444"/>
          <w:sz w:val="16"/>
        </w:rPr>
        <w:t>Yallambie</w:t>
      </w:r>
      <w:r>
        <w:rPr>
          <w:color w:val="444444"/>
          <w:spacing w:val="-2"/>
          <w:sz w:val="16"/>
        </w:rPr>
        <w:t xml:space="preserve"> </w:t>
      </w:r>
      <w:r>
        <w:rPr>
          <w:color w:val="444444"/>
          <w:sz w:val="16"/>
        </w:rPr>
        <w:t>VIC</w:t>
      </w:r>
      <w:r>
        <w:rPr>
          <w:color w:val="444444"/>
          <w:spacing w:val="-3"/>
          <w:sz w:val="16"/>
        </w:rPr>
        <w:t xml:space="preserve"> </w:t>
      </w:r>
      <w:r>
        <w:rPr>
          <w:color w:val="444444"/>
          <w:sz w:val="16"/>
        </w:rPr>
        <w:t>3085</w:t>
      </w:r>
      <w:r>
        <w:rPr>
          <w:color w:val="444444"/>
          <w:sz w:val="16"/>
        </w:rPr>
        <w:tab/>
      </w:r>
      <w:hyperlink r:id="rId7">
        <w:r>
          <w:rPr>
            <w:color w:val="444444"/>
            <w:sz w:val="16"/>
          </w:rPr>
          <w:t>acds@arpansa.gov.au</w:t>
        </w:r>
      </w:hyperlink>
    </w:p>
    <w:p w14:paraId="7CA15439" w14:textId="77777777" w:rsidR="001E59CA" w:rsidRDefault="001600EF">
      <w:pPr>
        <w:tabs>
          <w:tab w:val="left" w:pos="8511"/>
        </w:tabs>
        <w:spacing w:before="21"/>
        <w:ind w:left="212"/>
        <w:rPr>
          <w:sz w:val="16"/>
        </w:rPr>
      </w:pPr>
      <w:r>
        <w:rPr>
          <w:color w:val="444444"/>
          <w:sz w:val="16"/>
        </w:rPr>
        <w:t>+61 3 9433 2220</w:t>
      </w:r>
      <w:r>
        <w:rPr>
          <w:color w:val="444444"/>
          <w:sz w:val="16"/>
        </w:rPr>
        <w:tab/>
        <w:t>arpansa.gov.au/</w:t>
      </w:r>
      <w:proofErr w:type="spellStart"/>
      <w:r>
        <w:rPr>
          <w:color w:val="444444"/>
          <w:sz w:val="16"/>
        </w:rPr>
        <w:t>acds</w:t>
      </w:r>
      <w:proofErr w:type="spellEnd"/>
    </w:p>
    <w:p w14:paraId="7CA1543A" w14:textId="77777777" w:rsidR="001E59CA" w:rsidRDefault="001E59CA">
      <w:pPr>
        <w:rPr>
          <w:sz w:val="16"/>
        </w:rPr>
        <w:sectPr w:rsidR="001E59CA">
          <w:type w:val="continuous"/>
          <w:pgSz w:w="11910" w:h="16840"/>
          <w:pgMar w:top="820" w:right="880" w:bottom="280" w:left="920" w:header="720" w:footer="720" w:gutter="0"/>
          <w:cols w:space="720"/>
        </w:sectPr>
      </w:pPr>
    </w:p>
    <w:p w14:paraId="7CA1543B" w14:textId="77777777" w:rsidR="001E59CA" w:rsidRDefault="001600EF">
      <w:pPr>
        <w:pStyle w:val="Heading1"/>
        <w:spacing w:before="34"/>
      </w:pPr>
      <w:r>
        <w:rPr>
          <w:color w:val="4E1A74"/>
        </w:rPr>
        <w:lastRenderedPageBreak/>
        <w:t>General</w:t>
      </w:r>
      <w:r>
        <w:rPr>
          <w:color w:val="4E1A74"/>
          <w:spacing w:val="-7"/>
        </w:rPr>
        <w:t xml:space="preserve"> </w:t>
      </w:r>
      <w:r>
        <w:rPr>
          <w:color w:val="4E1A74"/>
        </w:rPr>
        <w:t>Audit</w:t>
      </w:r>
      <w:r>
        <w:rPr>
          <w:color w:val="4E1A74"/>
          <w:spacing w:val="-5"/>
        </w:rPr>
        <w:t xml:space="preserve"> </w:t>
      </w:r>
      <w:r>
        <w:rPr>
          <w:color w:val="4E1A74"/>
        </w:rPr>
        <w:t>Procedures</w:t>
      </w:r>
    </w:p>
    <w:p w14:paraId="7CA1543C" w14:textId="77777777" w:rsidR="001E59CA" w:rsidRDefault="001600EF">
      <w:pPr>
        <w:pStyle w:val="BodyText"/>
        <w:spacing w:before="30" w:line="264" w:lineRule="auto"/>
        <w:ind w:left="212" w:right="281"/>
      </w:pPr>
      <w:r>
        <w:rPr>
          <w:color w:val="444444"/>
        </w:rPr>
        <w:t>For the ACDS Level I audit, OSL detectors are mailed to the facility enclosed in PMMA blocks. Each photon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be</w:t>
      </w:r>
      <w:r>
        <w:rPr>
          <w:color w:val="444444"/>
        </w:rPr>
        <w:t xml:space="preserve">am has a designated block with two OSLDs positioned side by side at approximately </w:t>
      </w:r>
      <w:proofErr w:type="spellStart"/>
      <w:r>
        <w:rPr>
          <w:color w:val="444444"/>
        </w:rPr>
        <w:t>dmax</w:t>
      </w:r>
      <w:proofErr w:type="spellEnd"/>
      <w:r>
        <w:rPr>
          <w:color w:val="444444"/>
        </w:rPr>
        <w:t>. The photon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block is placed on a platform to reduce scatter effects from the table. The platform is not necessary for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electrons as the electron block provides full scatt</w:t>
      </w:r>
      <w:r>
        <w:rPr>
          <w:color w:val="444444"/>
        </w:rPr>
        <w:t>er. The electron block consists of three stacked outer rings</w:t>
      </w:r>
      <w:r>
        <w:rPr>
          <w:color w:val="444444"/>
          <w:spacing w:val="-47"/>
        </w:rPr>
        <w:t xml:space="preserve"> </w:t>
      </w:r>
      <w:r>
        <w:rPr>
          <w:color w:val="444444"/>
        </w:rPr>
        <w:t xml:space="preserve">and a </w:t>
      </w:r>
      <w:proofErr w:type="gramStart"/>
      <w:r>
        <w:rPr>
          <w:color w:val="444444"/>
        </w:rPr>
        <w:t>central acrylic plugs</w:t>
      </w:r>
      <w:proofErr w:type="gramEnd"/>
      <w:r>
        <w:rPr>
          <w:color w:val="444444"/>
        </w:rPr>
        <w:t xml:space="preserve"> containing the OSLD. Each electron beam has a designated central plug with one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set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of OSLD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 xml:space="preserve">near </w:t>
      </w:r>
      <w:proofErr w:type="spellStart"/>
      <w:r>
        <w:rPr>
          <w:color w:val="444444"/>
        </w:rPr>
        <w:t>dmax</w:t>
      </w:r>
      <w:proofErr w:type="spellEnd"/>
      <w:r>
        <w:rPr>
          <w:color w:val="444444"/>
          <w:spacing w:val="-2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one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set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in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the linear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fall-off region between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80%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30% depth dose.</w:t>
      </w:r>
    </w:p>
    <w:p w14:paraId="7CA1543D" w14:textId="77777777" w:rsidR="001E59CA" w:rsidRDefault="001E59CA">
      <w:pPr>
        <w:pStyle w:val="BodyText"/>
        <w:spacing w:before="7"/>
        <w:rPr>
          <w:sz w:val="19"/>
        </w:rPr>
      </w:pPr>
    </w:p>
    <w:p w14:paraId="7CA1543E" w14:textId="77777777" w:rsidR="001E59CA" w:rsidRDefault="001600EF">
      <w:pPr>
        <w:pStyle w:val="BodyText"/>
        <w:spacing w:before="1" w:line="264" w:lineRule="auto"/>
        <w:ind w:left="212" w:right="257"/>
      </w:pPr>
      <w:r>
        <w:rPr>
          <w:color w:val="444444"/>
        </w:rPr>
        <w:t>For both photon and electron audits the facility delivers 100 MU to the OSLD. For each energy, the facility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states the absorbed dose to water that would have been delivered to the dose output specification p</w:t>
      </w:r>
      <w:r>
        <w:rPr>
          <w:color w:val="444444"/>
        </w:rPr>
        <w:t>oint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(DOSP) if the 100 monitor units had been delivered to a water phantom under the facility’s reference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conditions. This determination should include the daily output variation, as determined by the Facility’s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routine protocol for weekly/monthly output c</w:t>
      </w:r>
      <w:r>
        <w:rPr>
          <w:color w:val="444444"/>
        </w:rPr>
        <w:t xml:space="preserve">hecks. At the time of </w:t>
      </w:r>
      <w:proofErr w:type="gramStart"/>
      <w:r>
        <w:rPr>
          <w:color w:val="444444"/>
        </w:rPr>
        <w:t>measurements</w:t>
      </w:r>
      <w:proofErr w:type="gramEnd"/>
      <w:r>
        <w:rPr>
          <w:color w:val="444444"/>
        </w:rPr>
        <w:t xml:space="preserve"> a Facility representative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should complete, sign &amp; date the ACDS form for this, which is included in the audit kit. The ACDS places no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 xml:space="preserve">requirement on determination of the stated dose output. </w:t>
      </w:r>
      <w:proofErr w:type="gramStart"/>
      <w:r>
        <w:rPr>
          <w:color w:val="444444"/>
        </w:rPr>
        <w:t>However</w:t>
      </w:r>
      <w:proofErr w:type="gramEnd"/>
      <w:r>
        <w:rPr>
          <w:color w:val="444444"/>
        </w:rPr>
        <w:t xml:space="preserve"> to achieve the best pos</w:t>
      </w:r>
      <w:r>
        <w:rPr>
          <w:color w:val="444444"/>
        </w:rPr>
        <w:t>sible comparison</w:t>
      </w:r>
      <w:r>
        <w:rPr>
          <w:color w:val="444444"/>
          <w:spacing w:val="-47"/>
        </w:rPr>
        <w:t xml:space="preserve"> </w:t>
      </w:r>
      <w:r>
        <w:rPr>
          <w:color w:val="444444"/>
        </w:rPr>
        <w:t>it is recommended the measurements be performed with an ionization chamber and ultimately be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traceable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local reference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dosimetry.</w:t>
      </w:r>
    </w:p>
    <w:p w14:paraId="7CA1543F" w14:textId="77777777" w:rsidR="001E59CA" w:rsidRDefault="001E59CA">
      <w:pPr>
        <w:pStyle w:val="BodyText"/>
        <w:spacing w:before="9"/>
        <w:rPr>
          <w:sz w:val="19"/>
        </w:rPr>
      </w:pPr>
    </w:p>
    <w:p w14:paraId="7CA15440" w14:textId="77777777" w:rsidR="001E59CA" w:rsidRDefault="001600EF">
      <w:pPr>
        <w:pStyle w:val="BodyText"/>
        <w:spacing w:line="264" w:lineRule="auto"/>
        <w:ind w:left="212" w:right="605"/>
      </w:pPr>
      <w:r>
        <w:rPr>
          <w:color w:val="444444"/>
        </w:rPr>
        <w:t xml:space="preserve">All irradiations are required to be performed in the clinically used </w:t>
      </w:r>
      <w:proofErr w:type="spellStart"/>
      <w:r>
        <w:rPr>
          <w:color w:val="444444"/>
        </w:rPr>
        <w:t>linac</w:t>
      </w:r>
      <w:proofErr w:type="spellEnd"/>
      <w:r>
        <w:rPr>
          <w:color w:val="444444"/>
        </w:rPr>
        <w:t xml:space="preserve"> mode, not “Physics” or “Se</w:t>
      </w:r>
      <w:r>
        <w:rPr>
          <w:color w:val="444444"/>
        </w:rPr>
        <w:t>rvice”</w:t>
      </w:r>
      <w:r>
        <w:rPr>
          <w:color w:val="444444"/>
          <w:spacing w:val="-47"/>
        </w:rPr>
        <w:t xml:space="preserve"> </w:t>
      </w:r>
      <w:r>
        <w:rPr>
          <w:color w:val="444444"/>
        </w:rPr>
        <w:t>modes.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Record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&amp;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Verify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(R&amp;V)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system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may be left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in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stand-by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mode for these measurements.</w:t>
      </w:r>
    </w:p>
    <w:p w14:paraId="7CA15441" w14:textId="77777777" w:rsidR="001E59CA" w:rsidRDefault="001E59CA">
      <w:pPr>
        <w:pStyle w:val="BodyText"/>
        <w:spacing w:before="7"/>
        <w:rPr>
          <w:sz w:val="19"/>
        </w:rPr>
      </w:pPr>
    </w:p>
    <w:p w14:paraId="7CA15442" w14:textId="77777777" w:rsidR="001E59CA" w:rsidRDefault="001600EF">
      <w:pPr>
        <w:pStyle w:val="BodyText"/>
        <w:spacing w:line="264" w:lineRule="auto"/>
        <w:ind w:left="212" w:right="334"/>
      </w:pPr>
      <w:r>
        <w:rPr>
          <w:color w:val="444444"/>
        </w:rPr>
        <w:t>The ACDS converts the quoted reference dose to the actual dose delivered to the OSLD under audit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conditions using a beam quality dependant Block Factor (BF). The Block Factor is defined as the ratio of the</w:t>
      </w:r>
      <w:r>
        <w:rPr>
          <w:color w:val="444444"/>
          <w:spacing w:val="-47"/>
        </w:rPr>
        <w:t xml:space="preserve"> </w:t>
      </w:r>
      <w:r>
        <w:rPr>
          <w:color w:val="444444"/>
        </w:rPr>
        <w:t>dose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OSLD under reference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conditions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the dose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OSLD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under audit conditions.</w:t>
      </w:r>
    </w:p>
    <w:p w14:paraId="7CA15443" w14:textId="77777777" w:rsidR="001E59CA" w:rsidRDefault="001E59CA">
      <w:pPr>
        <w:pStyle w:val="BodyText"/>
        <w:spacing w:before="9"/>
        <w:rPr>
          <w:sz w:val="19"/>
        </w:rPr>
      </w:pPr>
    </w:p>
    <w:p w14:paraId="7CA15444" w14:textId="77777777" w:rsidR="001E59CA" w:rsidRDefault="001600EF">
      <w:pPr>
        <w:spacing w:before="1"/>
        <w:ind w:right="37"/>
        <w:jc w:val="center"/>
        <w:rPr>
          <w:i/>
        </w:rPr>
      </w:pPr>
      <w:r>
        <w:rPr>
          <w:i/>
          <w:color w:val="444444"/>
          <w:position w:val="2"/>
        </w:rPr>
        <w:t>D</w:t>
      </w:r>
      <w:r>
        <w:rPr>
          <w:i/>
          <w:color w:val="444444"/>
          <w:sz w:val="14"/>
        </w:rPr>
        <w:t>ref</w:t>
      </w:r>
      <w:r>
        <w:rPr>
          <w:i/>
          <w:color w:val="444444"/>
          <w:spacing w:val="36"/>
          <w:sz w:val="14"/>
        </w:rPr>
        <w:t xml:space="preserve"> </w:t>
      </w:r>
      <w:r>
        <w:rPr>
          <w:i/>
          <w:color w:val="444444"/>
          <w:position w:val="2"/>
        </w:rPr>
        <w:t>=</w:t>
      </w:r>
      <w:r>
        <w:rPr>
          <w:i/>
          <w:color w:val="444444"/>
          <w:spacing w:val="-2"/>
          <w:position w:val="2"/>
        </w:rPr>
        <w:t xml:space="preserve"> </w:t>
      </w:r>
      <w:r>
        <w:rPr>
          <w:i/>
          <w:color w:val="444444"/>
          <w:position w:val="2"/>
        </w:rPr>
        <w:t>D</w:t>
      </w:r>
      <w:r>
        <w:rPr>
          <w:i/>
          <w:color w:val="444444"/>
          <w:sz w:val="14"/>
        </w:rPr>
        <w:t>audit</w:t>
      </w:r>
      <w:r>
        <w:rPr>
          <w:i/>
          <w:color w:val="444444"/>
          <w:spacing w:val="37"/>
          <w:sz w:val="14"/>
        </w:rPr>
        <w:t xml:space="preserve"> </w:t>
      </w:r>
      <w:r>
        <w:rPr>
          <w:i/>
          <w:color w:val="444444"/>
          <w:position w:val="2"/>
        </w:rPr>
        <w:t>× BF</w:t>
      </w:r>
    </w:p>
    <w:p w14:paraId="7CA15445" w14:textId="77777777" w:rsidR="001E59CA" w:rsidRDefault="001E59CA">
      <w:pPr>
        <w:pStyle w:val="BodyText"/>
        <w:spacing w:before="10"/>
        <w:rPr>
          <w:i/>
          <w:sz w:val="21"/>
        </w:rPr>
      </w:pPr>
    </w:p>
    <w:p w14:paraId="7CA15446" w14:textId="77777777" w:rsidR="001E59CA" w:rsidRDefault="001600EF">
      <w:pPr>
        <w:pStyle w:val="BodyText"/>
        <w:spacing w:before="1" w:line="264" w:lineRule="auto"/>
        <w:ind w:left="212" w:right="254"/>
      </w:pPr>
      <w:r>
        <w:rPr>
          <w:color w:val="444444"/>
        </w:rPr>
        <w:t>The BF was determined by Monte Carlo modelling the OSLDs in the audit blocks and in a water phantom for</w:t>
      </w:r>
      <w:r>
        <w:rPr>
          <w:color w:val="444444"/>
          <w:spacing w:val="-47"/>
        </w:rPr>
        <w:t xml:space="preserve"> </w:t>
      </w:r>
      <w:r>
        <w:rPr>
          <w:color w:val="444444"/>
        </w:rPr>
        <w:t>a range a photon and electron beams. The BF for a facility beam is deter</w:t>
      </w:r>
      <w:r>
        <w:rPr>
          <w:color w:val="444444"/>
        </w:rPr>
        <w:t>mined by interpolating the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modelled BF with the facility stated TPR20,10 or R50. The OSLDs in the linear fall-off region of electron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 xml:space="preserve">beams are used to measure the facility R50. The facility R50 is determined using the </w:t>
      </w:r>
      <w:proofErr w:type="spellStart"/>
      <w:r>
        <w:rPr>
          <w:color w:val="444444"/>
        </w:rPr>
        <w:t>modeled</w:t>
      </w:r>
      <w:proofErr w:type="spellEnd"/>
      <w:r>
        <w:rPr>
          <w:color w:val="444444"/>
        </w:rPr>
        <w:t xml:space="preserve"> relationship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between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BF and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R5</w:t>
      </w:r>
      <w:r>
        <w:rPr>
          <w:color w:val="444444"/>
        </w:rPr>
        <w:t>0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interpolating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measured BF.</w:t>
      </w:r>
    </w:p>
    <w:p w14:paraId="7CA15447" w14:textId="77777777" w:rsidR="001E59CA" w:rsidRDefault="001E59CA">
      <w:pPr>
        <w:pStyle w:val="BodyText"/>
        <w:spacing w:before="7"/>
        <w:rPr>
          <w:sz w:val="19"/>
        </w:rPr>
      </w:pPr>
    </w:p>
    <w:p w14:paraId="7CA15448" w14:textId="77777777" w:rsidR="001E59CA" w:rsidRDefault="001600EF">
      <w:pPr>
        <w:pStyle w:val="BodyText"/>
        <w:spacing w:line="264" w:lineRule="auto"/>
        <w:ind w:left="212" w:right="367"/>
      </w:pPr>
      <w:r>
        <w:rPr>
          <w:color w:val="444444"/>
        </w:rPr>
        <w:t xml:space="preserve">The irradiated OSLD are read out between one week and </w:t>
      </w:r>
      <w:proofErr w:type="gramStart"/>
      <w:r>
        <w:rPr>
          <w:color w:val="444444"/>
        </w:rPr>
        <w:t>one month</w:t>
      </w:r>
      <w:proofErr w:type="gramEnd"/>
      <w:r>
        <w:rPr>
          <w:color w:val="444444"/>
        </w:rPr>
        <w:t xml:space="preserve"> post-irradiation.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The raw PMT count</w:t>
      </w:r>
      <w:r>
        <w:rPr>
          <w:color w:val="444444"/>
          <w:spacing w:val="-47"/>
        </w:rPr>
        <w:t xml:space="preserve"> </w:t>
      </w:r>
      <w:r>
        <w:rPr>
          <w:color w:val="444444"/>
          <w:position w:val="2"/>
        </w:rPr>
        <w:t>is</w:t>
      </w:r>
      <w:r>
        <w:rPr>
          <w:color w:val="444444"/>
          <w:spacing w:val="-1"/>
          <w:position w:val="2"/>
        </w:rPr>
        <w:t xml:space="preserve"> </w:t>
      </w:r>
      <w:r>
        <w:rPr>
          <w:color w:val="444444"/>
          <w:position w:val="2"/>
        </w:rPr>
        <w:t>converted to</w:t>
      </w:r>
      <w:r>
        <w:rPr>
          <w:color w:val="444444"/>
          <w:spacing w:val="1"/>
          <w:position w:val="2"/>
        </w:rPr>
        <w:t xml:space="preserve"> </w:t>
      </w:r>
      <w:r>
        <w:rPr>
          <w:color w:val="444444"/>
          <w:position w:val="2"/>
        </w:rPr>
        <w:t>dose,</w:t>
      </w:r>
      <w:r>
        <w:rPr>
          <w:color w:val="444444"/>
          <w:spacing w:val="-2"/>
          <w:position w:val="2"/>
        </w:rPr>
        <w:t xml:space="preserve"> </w:t>
      </w:r>
      <w:r>
        <w:rPr>
          <w:color w:val="444444"/>
          <w:position w:val="2"/>
        </w:rPr>
        <w:t>D</w:t>
      </w:r>
      <w:r>
        <w:rPr>
          <w:color w:val="444444"/>
          <w:sz w:val="14"/>
        </w:rPr>
        <w:t>audit</w:t>
      </w:r>
      <w:r>
        <w:rPr>
          <w:color w:val="444444"/>
          <w:position w:val="2"/>
        </w:rPr>
        <w:t>,</w:t>
      </w:r>
      <w:r>
        <w:rPr>
          <w:color w:val="444444"/>
          <w:spacing w:val="3"/>
          <w:position w:val="2"/>
        </w:rPr>
        <w:t xml:space="preserve"> </w:t>
      </w:r>
      <w:r>
        <w:rPr>
          <w:color w:val="444444"/>
          <w:position w:val="2"/>
        </w:rPr>
        <w:t>according</w:t>
      </w:r>
      <w:r>
        <w:rPr>
          <w:color w:val="444444"/>
          <w:spacing w:val="-1"/>
          <w:position w:val="2"/>
        </w:rPr>
        <w:t xml:space="preserve"> </w:t>
      </w:r>
      <w:r>
        <w:rPr>
          <w:color w:val="444444"/>
          <w:position w:val="2"/>
        </w:rPr>
        <w:t>to:</w:t>
      </w:r>
    </w:p>
    <w:p w14:paraId="7CA15449" w14:textId="77777777" w:rsidR="001E59CA" w:rsidRDefault="001E59CA">
      <w:pPr>
        <w:pStyle w:val="BodyText"/>
        <w:spacing w:before="7"/>
        <w:rPr>
          <w:sz w:val="19"/>
        </w:rPr>
      </w:pPr>
    </w:p>
    <w:p w14:paraId="7CA1544A" w14:textId="77777777" w:rsidR="001E59CA" w:rsidRDefault="001600EF">
      <w:pPr>
        <w:ind w:right="40"/>
        <w:jc w:val="center"/>
        <w:rPr>
          <w:i/>
        </w:rPr>
      </w:pPr>
      <w:r>
        <w:rPr>
          <w:i/>
          <w:color w:val="444444"/>
          <w:position w:val="2"/>
        </w:rPr>
        <w:t>D</w:t>
      </w:r>
      <w:r>
        <w:rPr>
          <w:i/>
          <w:color w:val="444444"/>
          <w:sz w:val="14"/>
        </w:rPr>
        <w:t>audit</w:t>
      </w:r>
      <w:r>
        <w:rPr>
          <w:i/>
          <w:color w:val="444444"/>
          <w:spacing w:val="13"/>
          <w:sz w:val="14"/>
        </w:rPr>
        <w:t xml:space="preserve"> </w:t>
      </w:r>
      <w:r>
        <w:rPr>
          <w:i/>
          <w:color w:val="444444"/>
          <w:position w:val="2"/>
        </w:rPr>
        <w:t>=</w:t>
      </w:r>
      <w:r>
        <w:rPr>
          <w:i/>
          <w:color w:val="444444"/>
          <w:spacing w:val="-5"/>
          <w:position w:val="2"/>
        </w:rPr>
        <w:t xml:space="preserve"> </w:t>
      </w:r>
      <w:proofErr w:type="spellStart"/>
      <w:r>
        <w:rPr>
          <w:i/>
          <w:color w:val="444444"/>
          <w:position w:val="2"/>
        </w:rPr>
        <w:t>Counts.ECF.S.k</w:t>
      </w:r>
      <w:proofErr w:type="spellEnd"/>
      <w:r>
        <w:rPr>
          <w:i/>
          <w:color w:val="444444"/>
          <w:sz w:val="14"/>
        </w:rPr>
        <w:t>E</w:t>
      </w:r>
      <w:r>
        <w:rPr>
          <w:i/>
          <w:color w:val="444444"/>
          <w:position w:val="2"/>
        </w:rPr>
        <w:t>.k</w:t>
      </w:r>
      <w:r>
        <w:rPr>
          <w:i/>
          <w:color w:val="444444"/>
          <w:sz w:val="14"/>
        </w:rPr>
        <w:t>L</w:t>
      </w:r>
      <w:r>
        <w:rPr>
          <w:i/>
          <w:color w:val="444444"/>
          <w:position w:val="2"/>
        </w:rPr>
        <w:t>.k</w:t>
      </w:r>
      <w:r>
        <w:rPr>
          <w:i/>
          <w:color w:val="444444"/>
          <w:sz w:val="14"/>
        </w:rPr>
        <w:t>r</w:t>
      </w:r>
      <w:r>
        <w:rPr>
          <w:i/>
          <w:color w:val="444444"/>
          <w:position w:val="2"/>
        </w:rPr>
        <w:t>.</w:t>
      </w:r>
      <w:proofErr w:type="spellStart"/>
      <w:r>
        <w:rPr>
          <w:i/>
          <w:color w:val="444444"/>
          <w:position w:val="2"/>
        </w:rPr>
        <w:t>kf</w:t>
      </w:r>
      <w:proofErr w:type="spellEnd"/>
    </w:p>
    <w:p w14:paraId="7CA1544B" w14:textId="77777777" w:rsidR="001E59CA" w:rsidRDefault="001E59CA">
      <w:pPr>
        <w:pStyle w:val="BodyText"/>
        <w:spacing w:before="11"/>
        <w:rPr>
          <w:i/>
          <w:sz w:val="21"/>
        </w:rPr>
      </w:pPr>
    </w:p>
    <w:p w14:paraId="7CA1544C" w14:textId="77777777" w:rsidR="001E59CA" w:rsidRDefault="001600EF">
      <w:pPr>
        <w:pStyle w:val="BodyText"/>
        <w:spacing w:line="264" w:lineRule="auto"/>
        <w:ind w:left="212" w:right="318"/>
      </w:pPr>
      <w:r>
        <w:rPr>
          <w:i/>
          <w:color w:val="444444"/>
        </w:rPr>
        <w:t xml:space="preserve">ECF </w:t>
      </w:r>
      <w:r>
        <w:rPr>
          <w:color w:val="444444"/>
        </w:rPr>
        <w:t xml:space="preserve">is the individual element correction factor defined as the ratio of the mean batch counts, after 100 </w:t>
      </w:r>
      <w:proofErr w:type="spellStart"/>
      <w:r>
        <w:rPr>
          <w:color w:val="444444"/>
        </w:rPr>
        <w:t>cGy</w:t>
      </w:r>
      <w:proofErr w:type="spellEnd"/>
      <w:r>
        <w:rPr>
          <w:color w:val="444444"/>
          <w:spacing w:val="-47"/>
        </w:rPr>
        <w:t xml:space="preserve"> </w:t>
      </w:r>
      <w:r>
        <w:rPr>
          <w:color w:val="444444"/>
        </w:rPr>
        <w:t>irradiation, to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the individual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OSL counts,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after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100</w:t>
      </w:r>
      <w:r>
        <w:rPr>
          <w:color w:val="444444"/>
          <w:spacing w:val="-2"/>
        </w:rPr>
        <w:t xml:space="preserve"> </w:t>
      </w:r>
      <w:proofErr w:type="spellStart"/>
      <w:r>
        <w:rPr>
          <w:color w:val="444444"/>
        </w:rPr>
        <w:t>cGy</w:t>
      </w:r>
      <w:proofErr w:type="spellEnd"/>
      <w:r>
        <w:rPr>
          <w:color w:val="444444"/>
          <w:spacing w:val="-4"/>
        </w:rPr>
        <w:t xml:space="preserve"> </w:t>
      </w:r>
      <w:r>
        <w:rPr>
          <w:color w:val="444444"/>
        </w:rPr>
        <w:t>irradiation.</w:t>
      </w:r>
    </w:p>
    <w:p w14:paraId="7CA1544D" w14:textId="77777777" w:rsidR="001E59CA" w:rsidRDefault="001E59CA">
      <w:pPr>
        <w:pStyle w:val="BodyText"/>
        <w:spacing w:before="7"/>
        <w:rPr>
          <w:sz w:val="19"/>
        </w:rPr>
      </w:pPr>
    </w:p>
    <w:p w14:paraId="7CA1544E" w14:textId="77777777" w:rsidR="001E59CA" w:rsidRDefault="001600EF">
      <w:pPr>
        <w:pStyle w:val="BodyText"/>
        <w:spacing w:before="1"/>
        <w:ind w:left="212"/>
      </w:pPr>
      <w:r>
        <w:rPr>
          <w:i/>
          <w:color w:val="444444"/>
        </w:rPr>
        <w:t xml:space="preserve">S </w:t>
      </w:r>
      <w:r>
        <w:rPr>
          <w:color w:val="444444"/>
        </w:rPr>
        <w:t>is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the batch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sensitivity, in</w:t>
      </w:r>
      <w:r>
        <w:rPr>
          <w:color w:val="444444"/>
          <w:spacing w:val="-4"/>
        </w:rPr>
        <w:t xml:space="preserve"> </w:t>
      </w:r>
      <w:proofErr w:type="spellStart"/>
      <w:r>
        <w:rPr>
          <w:color w:val="444444"/>
        </w:rPr>
        <w:t>cGy</w:t>
      </w:r>
      <w:proofErr w:type="spellEnd"/>
      <w:r>
        <w:rPr>
          <w:color w:val="444444"/>
        </w:rPr>
        <w:t>/counts,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 xml:space="preserve">100 </w:t>
      </w:r>
      <w:proofErr w:type="spellStart"/>
      <w:r>
        <w:rPr>
          <w:color w:val="444444"/>
        </w:rPr>
        <w:t>cGy</w:t>
      </w:r>
      <w:proofErr w:type="spellEnd"/>
      <w:r>
        <w:rPr>
          <w:color w:val="444444"/>
          <w:spacing w:val="-3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6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MV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photons.</w:t>
      </w:r>
    </w:p>
    <w:p w14:paraId="7CA1544F" w14:textId="77777777" w:rsidR="001E59CA" w:rsidRDefault="001E59CA">
      <w:pPr>
        <w:pStyle w:val="BodyText"/>
      </w:pPr>
    </w:p>
    <w:p w14:paraId="7CA15450" w14:textId="77777777" w:rsidR="001E59CA" w:rsidRDefault="001600EF">
      <w:pPr>
        <w:pStyle w:val="BodyText"/>
        <w:spacing w:line="264" w:lineRule="auto"/>
        <w:ind w:left="212" w:right="334"/>
      </w:pPr>
      <w:r>
        <w:rPr>
          <w:i/>
          <w:color w:val="444444"/>
          <w:position w:val="2"/>
        </w:rPr>
        <w:t>K</w:t>
      </w:r>
      <w:r>
        <w:rPr>
          <w:i/>
          <w:color w:val="444444"/>
          <w:sz w:val="14"/>
        </w:rPr>
        <w:t xml:space="preserve">E </w:t>
      </w:r>
      <w:r>
        <w:rPr>
          <w:color w:val="444444"/>
          <w:position w:val="2"/>
        </w:rPr>
        <w:t>is the energy correction to account for the slight energy dependence in OSLD response relative to 6 MV</w:t>
      </w:r>
      <w:r>
        <w:rPr>
          <w:color w:val="444444"/>
          <w:spacing w:val="-47"/>
          <w:position w:val="2"/>
        </w:rPr>
        <w:t xml:space="preserve"> </w:t>
      </w:r>
      <w:r>
        <w:rPr>
          <w:color w:val="444444"/>
        </w:rPr>
        <w:t>photons.</w:t>
      </w:r>
    </w:p>
    <w:p w14:paraId="7CA15451" w14:textId="77777777" w:rsidR="001E59CA" w:rsidRDefault="001E59CA">
      <w:pPr>
        <w:pStyle w:val="BodyText"/>
        <w:spacing w:before="7"/>
        <w:rPr>
          <w:sz w:val="19"/>
        </w:rPr>
      </w:pPr>
    </w:p>
    <w:p w14:paraId="7CA15452" w14:textId="77777777" w:rsidR="001E59CA" w:rsidRDefault="001600EF">
      <w:pPr>
        <w:pStyle w:val="BodyText"/>
        <w:spacing w:before="1" w:line="264" w:lineRule="auto"/>
        <w:ind w:left="212"/>
      </w:pPr>
      <w:r>
        <w:rPr>
          <w:i/>
          <w:color w:val="444444"/>
          <w:position w:val="2"/>
        </w:rPr>
        <w:t>k</w:t>
      </w:r>
      <w:r>
        <w:rPr>
          <w:i/>
          <w:color w:val="444444"/>
          <w:sz w:val="14"/>
        </w:rPr>
        <w:t xml:space="preserve">L </w:t>
      </w:r>
      <w:r>
        <w:rPr>
          <w:color w:val="444444"/>
          <w:position w:val="2"/>
        </w:rPr>
        <w:t>is the non-linearity correction to account for the non-linear sensitivity of the OSLD, normalized to the</w:t>
      </w:r>
      <w:r>
        <w:rPr>
          <w:color w:val="444444"/>
          <w:spacing w:val="-47"/>
          <w:position w:val="2"/>
        </w:rPr>
        <w:t xml:space="preserve"> </w:t>
      </w:r>
      <w:r>
        <w:rPr>
          <w:color w:val="444444"/>
        </w:rPr>
        <w:t>sensitivity at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 xml:space="preserve">100 </w:t>
      </w:r>
      <w:proofErr w:type="spellStart"/>
      <w:r>
        <w:rPr>
          <w:color w:val="444444"/>
        </w:rPr>
        <w:t>cGy</w:t>
      </w:r>
      <w:proofErr w:type="spellEnd"/>
      <w:r>
        <w:rPr>
          <w:color w:val="444444"/>
        </w:rPr>
        <w:t>.</w:t>
      </w:r>
    </w:p>
    <w:p w14:paraId="7CA15453" w14:textId="77777777" w:rsidR="001E59CA" w:rsidRDefault="001E59CA">
      <w:pPr>
        <w:pStyle w:val="BodyText"/>
        <w:spacing w:before="7"/>
        <w:rPr>
          <w:sz w:val="19"/>
        </w:rPr>
      </w:pPr>
    </w:p>
    <w:p w14:paraId="7CA15454" w14:textId="77777777" w:rsidR="001E59CA" w:rsidRDefault="001600EF">
      <w:pPr>
        <w:pStyle w:val="BodyText"/>
        <w:spacing w:line="264" w:lineRule="auto"/>
        <w:ind w:left="212"/>
      </w:pPr>
      <w:r>
        <w:rPr>
          <w:i/>
          <w:color w:val="444444"/>
          <w:position w:val="2"/>
        </w:rPr>
        <w:t>k</w:t>
      </w:r>
      <w:r>
        <w:rPr>
          <w:i/>
          <w:color w:val="444444"/>
          <w:sz w:val="14"/>
        </w:rPr>
        <w:t>r</w:t>
      </w:r>
      <w:r>
        <w:rPr>
          <w:i/>
          <w:color w:val="444444"/>
          <w:spacing w:val="18"/>
          <w:sz w:val="14"/>
        </w:rPr>
        <w:t xml:space="preserve"> </w:t>
      </w:r>
      <w:r>
        <w:rPr>
          <w:color w:val="444444"/>
          <w:position w:val="2"/>
        </w:rPr>
        <w:t>is</w:t>
      </w:r>
      <w:r>
        <w:rPr>
          <w:color w:val="444444"/>
          <w:spacing w:val="-1"/>
          <w:position w:val="2"/>
        </w:rPr>
        <w:t xml:space="preserve"> </w:t>
      </w:r>
      <w:r>
        <w:rPr>
          <w:color w:val="444444"/>
          <w:position w:val="2"/>
        </w:rPr>
        <w:t>the</w:t>
      </w:r>
      <w:r>
        <w:rPr>
          <w:color w:val="444444"/>
          <w:spacing w:val="1"/>
          <w:position w:val="2"/>
        </w:rPr>
        <w:t xml:space="preserve"> </w:t>
      </w:r>
      <w:r>
        <w:rPr>
          <w:color w:val="444444"/>
          <w:position w:val="2"/>
        </w:rPr>
        <w:t>reader</w:t>
      </w:r>
      <w:r>
        <w:rPr>
          <w:color w:val="444444"/>
          <w:spacing w:val="-1"/>
          <w:position w:val="2"/>
        </w:rPr>
        <w:t xml:space="preserve"> </w:t>
      </w:r>
      <w:r>
        <w:rPr>
          <w:color w:val="444444"/>
          <w:position w:val="2"/>
        </w:rPr>
        <w:t>correction</w:t>
      </w:r>
      <w:r>
        <w:rPr>
          <w:color w:val="444444"/>
          <w:spacing w:val="-3"/>
          <w:position w:val="2"/>
        </w:rPr>
        <w:t xml:space="preserve"> </w:t>
      </w:r>
      <w:r>
        <w:rPr>
          <w:color w:val="444444"/>
          <w:position w:val="2"/>
        </w:rPr>
        <w:t>to account for</w:t>
      </w:r>
      <w:r>
        <w:rPr>
          <w:color w:val="444444"/>
          <w:spacing w:val="-3"/>
          <w:position w:val="2"/>
        </w:rPr>
        <w:t xml:space="preserve"> </w:t>
      </w:r>
      <w:r>
        <w:rPr>
          <w:color w:val="444444"/>
          <w:position w:val="2"/>
        </w:rPr>
        <w:t>the daily</w:t>
      </w:r>
      <w:r>
        <w:rPr>
          <w:color w:val="444444"/>
          <w:spacing w:val="-1"/>
          <w:position w:val="2"/>
        </w:rPr>
        <w:t xml:space="preserve"> </w:t>
      </w:r>
      <w:r>
        <w:rPr>
          <w:color w:val="444444"/>
          <w:position w:val="2"/>
        </w:rPr>
        <w:t>variation</w:t>
      </w:r>
      <w:r>
        <w:rPr>
          <w:color w:val="444444"/>
          <w:spacing w:val="-1"/>
          <w:position w:val="2"/>
        </w:rPr>
        <w:t xml:space="preserve"> </w:t>
      </w:r>
      <w:r>
        <w:rPr>
          <w:color w:val="444444"/>
          <w:position w:val="2"/>
        </w:rPr>
        <w:t>in</w:t>
      </w:r>
      <w:r>
        <w:rPr>
          <w:color w:val="444444"/>
          <w:spacing w:val="-1"/>
          <w:position w:val="2"/>
        </w:rPr>
        <w:t xml:space="preserve"> </w:t>
      </w:r>
      <w:r>
        <w:rPr>
          <w:color w:val="444444"/>
          <w:position w:val="2"/>
        </w:rPr>
        <w:t>the</w:t>
      </w:r>
      <w:r>
        <w:rPr>
          <w:color w:val="444444"/>
          <w:spacing w:val="1"/>
          <w:position w:val="2"/>
        </w:rPr>
        <w:t xml:space="preserve"> </w:t>
      </w:r>
      <w:r>
        <w:rPr>
          <w:color w:val="444444"/>
          <w:position w:val="2"/>
        </w:rPr>
        <w:t>OSLD</w:t>
      </w:r>
      <w:r>
        <w:rPr>
          <w:color w:val="444444"/>
          <w:spacing w:val="-2"/>
          <w:position w:val="2"/>
        </w:rPr>
        <w:t xml:space="preserve"> </w:t>
      </w:r>
      <w:r>
        <w:rPr>
          <w:color w:val="444444"/>
          <w:position w:val="2"/>
        </w:rPr>
        <w:t>reader. A</w:t>
      </w:r>
      <w:r>
        <w:rPr>
          <w:color w:val="444444"/>
          <w:spacing w:val="-4"/>
          <w:position w:val="2"/>
        </w:rPr>
        <w:t xml:space="preserve"> </w:t>
      </w:r>
      <w:r>
        <w:rPr>
          <w:color w:val="444444"/>
          <w:position w:val="2"/>
        </w:rPr>
        <w:t>reader</w:t>
      </w:r>
      <w:r>
        <w:rPr>
          <w:color w:val="444444"/>
          <w:spacing w:val="-2"/>
          <w:position w:val="2"/>
        </w:rPr>
        <w:t xml:space="preserve"> </w:t>
      </w:r>
      <w:r>
        <w:rPr>
          <w:color w:val="444444"/>
          <w:position w:val="2"/>
        </w:rPr>
        <w:t xml:space="preserve">correction, </w:t>
      </w:r>
      <w:r>
        <w:rPr>
          <w:i/>
          <w:color w:val="444444"/>
          <w:position w:val="2"/>
        </w:rPr>
        <w:t>k</w:t>
      </w:r>
      <w:r>
        <w:rPr>
          <w:i/>
          <w:color w:val="444444"/>
          <w:sz w:val="14"/>
        </w:rPr>
        <w:t>f</w:t>
      </w:r>
      <w:r>
        <w:rPr>
          <w:i/>
          <w:color w:val="444444"/>
          <w:spacing w:val="18"/>
          <w:sz w:val="14"/>
        </w:rPr>
        <w:t xml:space="preserve"> </w:t>
      </w:r>
      <w:r>
        <w:rPr>
          <w:color w:val="444444"/>
          <w:position w:val="2"/>
        </w:rPr>
        <w:t>is</w:t>
      </w:r>
      <w:r>
        <w:rPr>
          <w:color w:val="444444"/>
          <w:spacing w:val="-2"/>
          <w:position w:val="2"/>
        </w:rPr>
        <w:t xml:space="preserve"> </w:t>
      </w:r>
      <w:r>
        <w:rPr>
          <w:color w:val="444444"/>
          <w:position w:val="2"/>
        </w:rPr>
        <w:t>the</w:t>
      </w:r>
      <w:r>
        <w:rPr>
          <w:color w:val="444444"/>
          <w:spacing w:val="-47"/>
          <w:position w:val="2"/>
        </w:rPr>
        <w:t xml:space="preserve"> </w:t>
      </w:r>
      <w:r>
        <w:rPr>
          <w:color w:val="444444"/>
        </w:rPr>
        <w:t>fading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correction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account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reduced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signal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that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occurs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between irradiation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readout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date.</w:t>
      </w:r>
    </w:p>
    <w:p w14:paraId="7CA15455" w14:textId="77777777" w:rsidR="001E59CA" w:rsidRDefault="001600EF">
      <w:pPr>
        <w:pStyle w:val="BodyText"/>
        <w:spacing w:before="1"/>
        <w:rPr>
          <w:sz w:val="19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CA1545D" wp14:editId="7CA1545E">
            <wp:simplePos x="0" y="0"/>
            <wp:positionH relativeFrom="page">
              <wp:posOffset>720090</wp:posOffset>
            </wp:positionH>
            <wp:positionV relativeFrom="paragraph">
              <wp:posOffset>163360</wp:posOffset>
            </wp:positionV>
            <wp:extent cx="6174928" cy="54482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4928" cy="5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A15456" w14:textId="77777777" w:rsidR="001E59CA" w:rsidRDefault="001600EF">
      <w:pPr>
        <w:tabs>
          <w:tab w:val="left" w:pos="9227"/>
        </w:tabs>
        <w:spacing w:before="128"/>
        <w:ind w:right="35"/>
        <w:jc w:val="center"/>
        <w:rPr>
          <w:sz w:val="18"/>
        </w:rPr>
      </w:pPr>
      <w:r>
        <w:rPr>
          <w:color w:val="444444"/>
          <w:sz w:val="18"/>
        </w:rPr>
        <w:t>ARPANSA-SUP-1008-v7</w:t>
      </w:r>
      <w:r>
        <w:rPr>
          <w:color w:val="444444"/>
          <w:spacing w:val="-4"/>
          <w:sz w:val="18"/>
        </w:rPr>
        <w:t xml:space="preserve"> </w:t>
      </w:r>
      <w:r>
        <w:rPr>
          <w:color w:val="444444"/>
          <w:sz w:val="18"/>
        </w:rPr>
        <w:t>LI</w:t>
      </w:r>
      <w:r>
        <w:rPr>
          <w:color w:val="444444"/>
          <w:spacing w:val="-4"/>
          <w:sz w:val="18"/>
        </w:rPr>
        <w:t xml:space="preserve"> </w:t>
      </w:r>
      <w:r>
        <w:rPr>
          <w:color w:val="444444"/>
          <w:sz w:val="18"/>
        </w:rPr>
        <w:t>OSLD</w:t>
      </w:r>
      <w:r>
        <w:rPr>
          <w:color w:val="444444"/>
          <w:spacing w:val="-4"/>
          <w:sz w:val="18"/>
        </w:rPr>
        <w:t xml:space="preserve"> </w:t>
      </w:r>
      <w:r>
        <w:rPr>
          <w:color w:val="444444"/>
          <w:sz w:val="18"/>
        </w:rPr>
        <w:t>audit</w:t>
      </w:r>
      <w:r>
        <w:rPr>
          <w:color w:val="444444"/>
          <w:spacing w:val="-4"/>
          <w:sz w:val="18"/>
        </w:rPr>
        <w:t xml:space="preserve"> </w:t>
      </w:r>
      <w:r>
        <w:rPr>
          <w:color w:val="444444"/>
          <w:sz w:val="18"/>
        </w:rPr>
        <w:t>fact</w:t>
      </w:r>
      <w:r>
        <w:rPr>
          <w:color w:val="444444"/>
          <w:spacing w:val="-4"/>
          <w:sz w:val="18"/>
        </w:rPr>
        <w:t xml:space="preserve"> </w:t>
      </w:r>
      <w:r>
        <w:rPr>
          <w:color w:val="444444"/>
          <w:sz w:val="18"/>
        </w:rPr>
        <w:t>sheet</w:t>
      </w:r>
      <w:r>
        <w:rPr>
          <w:color w:val="444444"/>
          <w:sz w:val="18"/>
        </w:rPr>
        <w:tab/>
        <w:t>2 of 2</w:t>
      </w:r>
    </w:p>
    <w:sectPr w:rsidR="001E59CA">
      <w:pgSz w:w="11910" w:h="16840"/>
      <w:pgMar w:top="108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59CA"/>
    <w:rsid w:val="001600EF"/>
    <w:rsid w:val="001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53FA"/>
  <w15:docId w15:val="{839606F1-2558-45C8-9E15-A3CA9E79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uiPriority w:val="9"/>
    <w:qFormat/>
    <w:pPr>
      <w:ind w:left="212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4"/>
      <w:ind w:right="18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cds@arpansa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Thomas Sammut</cp:lastModifiedBy>
  <cp:revision>2</cp:revision>
  <dcterms:created xsi:type="dcterms:W3CDTF">2021-08-30T00:03:00Z</dcterms:created>
  <dcterms:modified xsi:type="dcterms:W3CDTF">2021-08-30T00:04:00Z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2021-08-30T00:00:00Z</vt:filetime>
  </property>
</Properties>
</file>