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956BF" w14:textId="25EDE9E0" w:rsidR="00777F4A" w:rsidRDefault="00F26FBC" w:rsidP="00067C8C">
      <w:pPr>
        <w:pStyle w:val="Title"/>
      </w:pPr>
      <w:r>
        <w:rPr>
          <w:noProof/>
        </w:rPr>
        <w:drawing>
          <wp:anchor distT="0" distB="0" distL="114300" distR="114300" simplePos="0" relativeHeight="251660288" behindDoc="1" locked="0" layoutInCell="1" allowOverlap="1" wp14:anchorId="3331F504" wp14:editId="32F89665">
            <wp:simplePos x="0" y="0"/>
            <wp:positionH relativeFrom="page">
              <wp:align>right</wp:align>
            </wp:positionH>
            <wp:positionV relativeFrom="paragraph">
              <wp:posOffset>-720237</wp:posOffset>
            </wp:positionV>
            <wp:extent cx="755882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8828" cy="10692000"/>
                    </a:xfrm>
                    <a:prstGeom prst="rect">
                      <a:avLst/>
                    </a:prstGeom>
                  </pic:spPr>
                </pic:pic>
              </a:graphicData>
            </a:graphic>
            <wp14:sizeRelH relativeFrom="page">
              <wp14:pctWidth>0</wp14:pctWidth>
            </wp14:sizeRelH>
            <wp14:sizeRelV relativeFrom="page">
              <wp14:pctHeight>0</wp14:pctHeight>
            </wp14:sizeRelV>
          </wp:anchor>
        </w:drawing>
      </w:r>
    </w:p>
    <w:p w14:paraId="6D173781" w14:textId="39165CBB" w:rsidR="00777F4A" w:rsidRDefault="00777F4A">
      <w:pPr>
        <w:rPr>
          <w:rFonts w:ascii="Calibri" w:eastAsiaTheme="majorEastAsia" w:hAnsi="Calibri" w:cstheme="majorBidi"/>
          <w:b/>
          <w:color w:val="4E1A74"/>
          <w:spacing w:val="5"/>
          <w:kern w:val="28"/>
          <w:sz w:val="52"/>
          <w:szCs w:val="52"/>
        </w:rPr>
      </w:pPr>
      <w:r>
        <w:br w:type="page"/>
      </w:r>
    </w:p>
    <w:p w14:paraId="1DB5D669" w14:textId="33E036E4" w:rsidR="00067C8C" w:rsidRDefault="00777F4A" w:rsidP="00777F4A">
      <w:pPr>
        <w:pStyle w:val="Title"/>
        <w:tabs>
          <w:tab w:val="left" w:pos="3609"/>
          <w:tab w:val="left" w:pos="4264"/>
        </w:tabs>
        <w:jc w:val="left"/>
      </w:pPr>
      <w:r>
        <w:lastRenderedPageBreak/>
        <w:tab/>
      </w:r>
      <w:r>
        <w:tab/>
      </w:r>
    </w:p>
    <w:p w14:paraId="06C1BA87" w14:textId="77777777" w:rsidR="00067C8C" w:rsidRDefault="00067C8C" w:rsidP="00067C8C">
      <w:pPr>
        <w:pStyle w:val="Title"/>
      </w:pPr>
    </w:p>
    <w:p w14:paraId="511D780D" w14:textId="1B04C11F" w:rsidR="00067C8C" w:rsidRDefault="00067C8C" w:rsidP="00067C8C">
      <w:pPr>
        <w:pStyle w:val="Title"/>
      </w:pPr>
    </w:p>
    <w:p w14:paraId="72936E99" w14:textId="77777777" w:rsidR="00067C8C" w:rsidRDefault="00067C8C" w:rsidP="00067C8C">
      <w:pPr>
        <w:pStyle w:val="Title"/>
      </w:pPr>
    </w:p>
    <w:p w14:paraId="1D06E8A8" w14:textId="77777777" w:rsidR="00067C8C" w:rsidRDefault="00067C8C" w:rsidP="00067C8C">
      <w:pPr>
        <w:pStyle w:val="Title"/>
      </w:pPr>
    </w:p>
    <w:p w14:paraId="2D183F49" w14:textId="77777777" w:rsidR="00067C8C" w:rsidRDefault="00067C8C" w:rsidP="00067C8C">
      <w:pPr>
        <w:pStyle w:val="Title"/>
      </w:pPr>
    </w:p>
    <w:p w14:paraId="1640AD96" w14:textId="3B253DFC" w:rsidR="00067C8C" w:rsidRDefault="0044202B" w:rsidP="00067C8C">
      <w:pPr>
        <w:pStyle w:val="Title"/>
      </w:pPr>
      <w:r>
        <w:t>National Diagnostic Reference Level Service Year in Review 2020</w:t>
      </w:r>
    </w:p>
    <w:p w14:paraId="4A5013B5" w14:textId="77777777" w:rsidR="00067C8C" w:rsidRDefault="00067C8C" w:rsidP="00067C8C">
      <w:pPr>
        <w:pStyle w:val="Title"/>
      </w:pPr>
    </w:p>
    <w:p w14:paraId="7D10D3C7" w14:textId="2713D1E0" w:rsidR="00067C8C" w:rsidRPr="00DC6AEC" w:rsidRDefault="00DC6AEC" w:rsidP="00DC6AEC">
      <w:pPr>
        <w:jc w:val="center"/>
        <w:rPr>
          <w:sz w:val="24"/>
          <w:szCs w:val="24"/>
        </w:rPr>
      </w:pPr>
      <w:r w:rsidRPr="00DC6AEC">
        <w:rPr>
          <w:sz w:val="24"/>
          <w:szCs w:val="24"/>
        </w:rPr>
        <w:t>Technical Report 187</w:t>
      </w:r>
    </w:p>
    <w:p w14:paraId="6929E9B4" w14:textId="77777777" w:rsidR="00DC6AEC" w:rsidRPr="00DC6AEC" w:rsidRDefault="00DC6AEC" w:rsidP="00DC6AEC">
      <w:pPr>
        <w:jc w:val="center"/>
        <w:rPr>
          <w:sz w:val="24"/>
          <w:szCs w:val="24"/>
        </w:rPr>
      </w:pPr>
    </w:p>
    <w:p w14:paraId="09996F02" w14:textId="677BD5FF" w:rsidR="00067C8C" w:rsidRPr="00DC6AEC" w:rsidRDefault="00A923DF" w:rsidP="00DC6AEC">
      <w:pPr>
        <w:jc w:val="center"/>
        <w:rPr>
          <w:sz w:val="24"/>
          <w:szCs w:val="24"/>
        </w:rPr>
      </w:pPr>
      <w:r>
        <w:rPr>
          <w:sz w:val="24"/>
          <w:szCs w:val="24"/>
        </w:rPr>
        <w:t>April</w:t>
      </w:r>
      <w:r w:rsidR="0044202B" w:rsidRPr="00DC6AEC">
        <w:rPr>
          <w:sz w:val="24"/>
          <w:szCs w:val="24"/>
        </w:rPr>
        <w:t xml:space="preserve"> 2022</w:t>
      </w:r>
    </w:p>
    <w:p w14:paraId="5E4460FD" w14:textId="77777777" w:rsidR="00310092" w:rsidRPr="00DC6AEC" w:rsidRDefault="00310092" w:rsidP="00DC6AEC">
      <w:pPr>
        <w:jc w:val="center"/>
        <w:rPr>
          <w:sz w:val="24"/>
          <w:szCs w:val="24"/>
        </w:rPr>
      </w:pPr>
    </w:p>
    <w:p w14:paraId="0049ABC5" w14:textId="77777777" w:rsidR="00310092" w:rsidRPr="00DC6AEC" w:rsidRDefault="00310092" w:rsidP="00DC6AEC">
      <w:pPr>
        <w:rPr>
          <w:sz w:val="24"/>
          <w:szCs w:val="24"/>
        </w:rPr>
      </w:pPr>
    </w:p>
    <w:p w14:paraId="254F6096" w14:textId="16FA3411" w:rsidR="00310092" w:rsidRPr="00DC6AEC" w:rsidRDefault="0044202B" w:rsidP="00DC6AEC">
      <w:pPr>
        <w:jc w:val="center"/>
        <w:rPr>
          <w:sz w:val="24"/>
          <w:szCs w:val="24"/>
        </w:rPr>
      </w:pPr>
      <w:r w:rsidRPr="00DC6AEC">
        <w:rPr>
          <w:sz w:val="24"/>
          <w:szCs w:val="24"/>
        </w:rPr>
        <w:t xml:space="preserve">Peter Thomas, Toby Beveridge, Masoumeh </w:t>
      </w:r>
      <w:proofErr w:type="spellStart"/>
      <w:r w:rsidRPr="00DC6AEC">
        <w:rPr>
          <w:sz w:val="24"/>
          <w:szCs w:val="24"/>
        </w:rPr>
        <w:t>Sanagou</w:t>
      </w:r>
      <w:proofErr w:type="spellEnd"/>
    </w:p>
    <w:p w14:paraId="713920EC" w14:textId="77777777" w:rsidR="00310092" w:rsidRPr="00DC6AEC" w:rsidRDefault="00310092" w:rsidP="00DC6AEC">
      <w:pPr>
        <w:jc w:val="center"/>
        <w:rPr>
          <w:sz w:val="24"/>
          <w:szCs w:val="24"/>
        </w:rPr>
      </w:pPr>
    </w:p>
    <w:p w14:paraId="37B1026F" w14:textId="77777777" w:rsidR="00067C8C" w:rsidRDefault="00067C8C" w:rsidP="00067C8C"/>
    <w:p w14:paraId="1CB72A2D" w14:textId="77777777" w:rsidR="00067C8C" w:rsidRDefault="00067C8C" w:rsidP="00067C8C"/>
    <w:p w14:paraId="5F0091A4" w14:textId="12B98B0B" w:rsidR="00777F4A" w:rsidRDefault="00777F4A">
      <w:pPr>
        <w:sectPr w:rsidR="00777F4A" w:rsidSect="005A5E5B">
          <w:headerReference w:type="default" r:id="rId9"/>
          <w:footerReference w:type="default" r:id="rId10"/>
          <w:headerReference w:type="first" r:id="rId11"/>
          <w:footerReference w:type="first" r:id="rId12"/>
          <w:pgSz w:w="11906" w:h="16838" w:code="9"/>
          <w:pgMar w:top="1134" w:right="1134" w:bottom="1134" w:left="1134" w:header="567" w:footer="567" w:gutter="0"/>
          <w:pgNumType w:fmt="lowerRoman" w:start="1"/>
          <w:cols w:space="708"/>
          <w:titlePg/>
          <w:docGrid w:linePitch="360"/>
        </w:sectPr>
      </w:pPr>
    </w:p>
    <w:tbl>
      <w:tblPr>
        <w:tblStyle w:val="TableGrid"/>
        <w:tblW w:w="0" w:type="auto"/>
        <w:tblLook w:val="04A0" w:firstRow="1" w:lastRow="0" w:firstColumn="1" w:lastColumn="0" w:noHBand="0" w:noVBand="1"/>
      </w:tblPr>
      <w:tblGrid>
        <w:gridCol w:w="9628"/>
      </w:tblGrid>
      <w:tr w:rsidR="0060042E" w14:paraId="534EDE98" w14:textId="77777777" w:rsidTr="00777F4A">
        <w:tc>
          <w:tcPr>
            <w:tcW w:w="9628" w:type="dxa"/>
          </w:tcPr>
          <w:p w14:paraId="14FDF9FB" w14:textId="77777777" w:rsidR="0060042E" w:rsidRDefault="0060042E" w:rsidP="0060042E">
            <w:pPr>
              <w:pStyle w:val="Text"/>
              <w:spacing w:before="0" w:after="0" w:line="240" w:lineRule="auto"/>
              <w:rPr>
                <w:sz w:val="18"/>
                <w:szCs w:val="18"/>
                <w:lang w:eastAsia="en-US"/>
              </w:rPr>
            </w:pPr>
          </w:p>
          <w:p w14:paraId="6E6BD1F2" w14:textId="6E609C2F" w:rsidR="0060042E" w:rsidRPr="00F55D63" w:rsidRDefault="0060042E" w:rsidP="0060042E">
            <w:pPr>
              <w:pStyle w:val="Text"/>
              <w:spacing w:before="0" w:after="0" w:line="240" w:lineRule="auto"/>
              <w:rPr>
                <w:sz w:val="18"/>
                <w:szCs w:val="18"/>
              </w:rPr>
            </w:pPr>
            <w:r w:rsidRPr="00F55D63">
              <w:rPr>
                <w:sz w:val="18"/>
                <w:szCs w:val="18"/>
                <w:lang w:eastAsia="en-US"/>
              </w:rPr>
              <w:t xml:space="preserve">© Commonwealth of Australia </w:t>
            </w:r>
            <w:r w:rsidRPr="00DC6AEC">
              <w:rPr>
                <w:sz w:val="18"/>
                <w:szCs w:val="18"/>
                <w:lang w:eastAsia="en-US"/>
              </w:rPr>
              <w:t>20</w:t>
            </w:r>
            <w:r w:rsidR="0044202B" w:rsidRPr="00DC6AEC">
              <w:rPr>
                <w:sz w:val="18"/>
                <w:szCs w:val="18"/>
                <w:lang w:eastAsia="en-US"/>
              </w:rPr>
              <w:t>22</w:t>
            </w:r>
          </w:p>
          <w:p w14:paraId="396220DC" w14:textId="77777777" w:rsidR="0060042E" w:rsidRPr="00F55D63" w:rsidRDefault="0060042E" w:rsidP="0060042E">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049359CA" w14:textId="77777777" w:rsidR="0060042E" w:rsidRPr="00F55D63" w:rsidRDefault="0060042E" w:rsidP="0060042E">
            <w:pPr>
              <w:pStyle w:val="Text"/>
              <w:spacing w:before="0" w:after="0" w:line="240" w:lineRule="auto"/>
              <w:rPr>
                <w:sz w:val="18"/>
                <w:szCs w:val="18"/>
              </w:rPr>
            </w:pPr>
          </w:p>
          <w:p w14:paraId="23E840E6" w14:textId="77777777" w:rsidR="0060042E" w:rsidRPr="00F55D63" w:rsidRDefault="0060042E" w:rsidP="0060042E">
            <w:pPr>
              <w:pStyle w:val="Text"/>
              <w:spacing w:before="0" w:after="0" w:line="240" w:lineRule="auto"/>
              <w:rPr>
                <w:sz w:val="18"/>
                <w:szCs w:val="18"/>
              </w:rPr>
            </w:pPr>
          </w:p>
          <w:p w14:paraId="200E78F8" w14:textId="77777777" w:rsidR="0060042E" w:rsidRPr="00F55D63" w:rsidRDefault="0060042E" w:rsidP="0060042E">
            <w:pPr>
              <w:pStyle w:val="Text"/>
              <w:spacing w:before="0" w:after="0" w:line="240" w:lineRule="auto"/>
              <w:rPr>
                <w:sz w:val="18"/>
                <w:szCs w:val="18"/>
              </w:rPr>
            </w:pPr>
            <w:r>
              <w:rPr>
                <w:sz w:val="18"/>
                <w:szCs w:val="18"/>
              </w:rPr>
              <w:t>ISSN 0157-1400</w:t>
            </w:r>
          </w:p>
          <w:p w14:paraId="66438B85" w14:textId="77777777" w:rsidR="0060042E" w:rsidRPr="00F55D63" w:rsidRDefault="0060042E" w:rsidP="0060042E">
            <w:pPr>
              <w:pStyle w:val="Text"/>
              <w:spacing w:before="0" w:after="0" w:line="240" w:lineRule="auto"/>
              <w:rPr>
                <w:sz w:val="18"/>
                <w:szCs w:val="18"/>
              </w:rPr>
            </w:pPr>
          </w:p>
          <w:p w14:paraId="484C6DD1" w14:textId="77777777" w:rsidR="0060042E" w:rsidRPr="00F55D63" w:rsidRDefault="0060042E" w:rsidP="0060042E">
            <w:pPr>
              <w:pStyle w:val="Text"/>
              <w:spacing w:before="0" w:after="0" w:line="240" w:lineRule="auto"/>
              <w:rPr>
                <w:sz w:val="18"/>
                <w:szCs w:val="18"/>
              </w:rPr>
            </w:pPr>
            <w:r w:rsidRPr="00F55D63">
              <w:rPr>
                <w:noProof/>
                <w:sz w:val="18"/>
                <w:szCs w:val="18"/>
                <w:lang w:val="en-AU"/>
              </w:rPr>
              <w:drawing>
                <wp:inline distT="0" distB="0" distL="0" distR="0" wp14:anchorId="0FE886EE" wp14:editId="668D15C0">
                  <wp:extent cx="760095" cy="264160"/>
                  <wp:effectExtent l="0" t="0" r="190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371DD879" w14:textId="77777777" w:rsidR="0060042E" w:rsidRPr="00F55D63" w:rsidRDefault="0060042E" w:rsidP="0060042E">
            <w:pPr>
              <w:pStyle w:val="Text"/>
              <w:spacing w:before="0" w:after="0" w:line="240" w:lineRule="auto"/>
              <w:rPr>
                <w:sz w:val="18"/>
                <w:szCs w:val="18"/>
              </w:rPr>
            </w:pPr>
          </w:p>
          <w:p w14:paraId="0F0662DE" w14:textId="77777777" w:rsidR="0060042E" w:rsidRPr="00F55D63" w:rsidRDefault="0060042E" w:rsidP="0060042E">
            <w:pPr>
              <w:pStyle w:val="Text"/>
              <w:spacing w:before="0" w:after="0" w:line="240" w:lineRule="auto"/>
              <w:rPr>
                <w:b/>
                <w:sz w:val="18"/>
                <w:szCs w:val="18"/>
              </w:rPr>
            </w:pPr>
            <w:r w:rsidRPr="00F55D63">
              <w:rPr>
                <w:b/>
                <w:sz w:val="18"/>
                <w:szCs w:val="18"/>
              </w:rPr>
              <w:t>Creative Commons</w:t>
            </w:r>
          </w:p>
          <w:p w14:paraId="030B8803" w14:textId="77777777" w:rsidR="0060042E" w:rsidRPr="00F55D63" w:rsidRDefault="0060042E" w:rsidP="0060042E">
            <w:pPr>
              <w:pStyle w:val="Text"/>
              <w:spacing w:before="0" w:after="0" w:line="240" w:lineRule="auto"/>
              <w:rPr>
                <w:sz w:val="18"/>
                <w:szCs w:val="18"/>
              </w:rPr>
            </w:pPr>
          </w:p>
          <w:p w14:paraId="6C6D98C1" w14:textId="1A73C0BC" w:rsidR="0060042E" w:rsidRPr="00DC6AEC" w:rsidRDefault="0060042E" w:rsidP="0060042E">
            <w:pPr>
              <w:pStyle w:val="Text"/>
              <w:spacing w:before="0" w:after="0" w:line="240" w:lineRule="auto"/>
              <w:rPr>
                <w:sz w:val="18"/>
                <w:szCs w:val="18"/>
              </w:rPr>
            </w:pPr>
            <w:r w:rsidRPr="00F55D63">
              <w:rPr>
                <w:sz w:val="18"/>
                <w:szCs w:val="18"/>
              </w:rPr>
              <w:t xml:space="preserve">With the exception of the Commonwealth Coat of Arms, any ARPANSA logos and any content that is marked as being third party material, this </w:t>
            </w:r>
            <w:r w:rsidRPr="00DC6AEC">
              <w:rPr>
                <w:sz w:val="18"/>
                <w:szCs w:val="18"/>
              </w:rPr>
              <w:t xml:space="preserve">publication, </w:t>
            </w:r>
            <w:r w:rsidR="0044202B" w:rsidRPr="00DC6AEC">
              <w:rPr>
                <w:i/>
                <w:sz w:val="18"/>
                <w:szCs w:val="18"/>
              </w:rPr>
              <w:t>National Diagnostic Reference Level Service Year in Review 2020</w:t>
            </w:r>
            <w:r w:rsidRPr="00DC6AEC">
              <w:rPr>
                <w:sz w:val="18"/>
                <w:szCs w:val="18"/>
              </w:rPr>
              <w:t xml:space="preserve">, by the Australian Radiation Protection and Nuclear Safety Agency is licensed under a Creative Commons Attribution 3.0 Australia </w:t>
            </w:r>
            <w:proofErr w:type="spellStart"/>
            <w:r w:rsidRPr="00DC6AEC">
              <w:rPr>
                <w:sz w:val="18"/>
                <w:szCs w:val="18"/>
              </w:rPr>
              <w:t>licence</w:t>
            </w:r>
            <w:proofErr w:type="spellEnd"/>
            <w:r w:rsidRPr="00DC6AEC">
              <w:rPr>
                <w:sz w:val="18"/>
                <w:szCs w:val="18"/>
              </w:rPr>
              <w:t xml:space="preserve"> (to view a copy of the </w:t>
            </w:r>
            <w:proofErr w:type="spellStart"/>
            <w:r w:rsidRPr="00DC6AEC">
              <w:rPr>
                <w:sz w:val="18"/>
                <w:szCs w:val="18"/>
              </w:rPr>
              <w:t>licence</w:t>
            </w:r>
            <w:proofErr w:type="spellEnd"/>
            <w:r w:rsidRPr="00DC6AEC">
              <w:rPr>
                <w:sz w:val="18"/>
                <w:szCs w:val="18"/>
              </w:rPr>
              <w:t xml:space="preserve">, visit </w:t>
            </w:r>
            <w:hyperlink r:id="rId14" w:history="1">
              <w:r w:rsidRPr="00DC6AEC">
                <w:rPr>
                  <w:rStyle w:val="Hyperlink"/>
                  <w:i/>
                  <w:iCs/>
                  <w:spacing w:val="-4"/>
                  <w:sz w:val="18"/>
                  <w:szCs w:val="18"/>
                </w:rPr>
                <w:t>http://creativecommons.org/licenses/by/3.0/au</w:t>
              </w:r>
            </w:hyperlink>
            <w:r w:rsidRPr="00DC6AEC">
              <w:rPr>
                <w:sz w:val="18"/>
                <w:szCs w:val="18"/>
              </w:rPr>
              <w:t xml:space="preserve">). It is a further condition of the </w:t>
            </w:r>
            <w:proofErr w:type="spellStart"/>
            <w:r w:rsidRPr="00DC6AEC">
              <w:rPr>
                <w:sz w:val="18"/>
                <w:szCs w:val="18"/>
              </w:rPr>
              <w:t>licence</w:t>
            </w:r>
            <w:proofErr w:type="spellEnd"/>
            <w:r w:rsidRPr="00DC6AEC">
              <w:rPr>
                <w:sz w:val="18"/>
                <w:szCs w:val="18"/>
              </w:rPr>
              <w:t xml:space="preserve"> that any numerical data referred to in this publication may not be changed. To the extent that copyright subsists in a third party, permission will be required from the third party to reuse the material.</w:t>
            </w:r>
          </w:p>
          <w:p w14:paraId="438A10C3" w14:textId="77777777" w:rsidR="0060042E" w:rsidRPr="00DC6AEC" w:rsidRDefault="0060042E" w:rsidP="0060042E">
            <w:pPr>
              <w:pStyle w:val="Text"/>
              <w:spacing w:before="0" w:after="0" w:line="240" w:lineRule="auto"/>
              <w:rPr>
                <w:sz w:val="18"/>
                <w:szCs w:val="18"/>
              </w:rPr>
            </w:pPr>
          </w:p>
          <w:p w14:paraId="22B1E1EF" w14:textId="77777777" w:rsidR="0060042E" w:rsidRPr="00DC6AEC" w:rsidRDefault="0060042E" w:rsidP="0060042E">
            <w:pPr>
              <w:pStyle w:val="Text"/>
              <w:spacing w:before="0" w:after="0" w:line="240" w:lineRule="auto"/>
              <w:rPr>
                <w:sz w:val="18"/>
                <w:szCs w:val="18"/>
              </w:rPr>
            </w:pPr>
            <w:r w:rsidRPr="00DC6AEC">
              <w:rPr>
                <w:sz w:val="18"/>
                <w:szCs w:val="18"/>
              </w:rPr>
              <w:t xml:space="preserve">In essence, you are free to copy, communicate and adapt the material </w:t>
            </w:r>
            <w:proofErr w:type="gramStart"/>
            <w:r w:rsidRPr="00DC6AEC">
              <w:rPr>
                <w:sz w:val="18"/>
                <w:szCs w:val="18"/>
              </w:rPr>
              <w:t>as long as</w:t>
            </w:r>
            <w:proofErr w:type="gramEnd"/>
            <w:r w:rsidRPr="00DC6AEC">
              <w:rPr>
                <w:sz w:val="18"/>
                <w:szCs w:val="18"/>
              </w:rPr>
              <w:t xml:space="preserve"> you attribute the work to ARPANSA and abide by the other </w:t>
            </w:r>
            <w:proofErr w:type="spellStart"/>
            <w:r w:rsidRPr="00DC6AEC">
              <w:rPr>
                <w:sz w:val="18"/>
                <w:szCs w:val="18"/>
              </w:rPr>
              <w:t>licence</w:t>
            </w:r>
            <w:proofErr w:type="spellEnd"/>
            <w:r w:rsidRPr="00DC6AEC">
              <w:rPr>
                <w:sz w:val="18"/>
                <w:szCs w:val="18"/>
              </w:rPr>
              <w:t xml:space="preserve"> terms. The works are to be attributed to the Commonwealth as </w:t>
            </w:r>
            <w:proofErr w:type="gramStart"/>
            <w:r w:rsidRPr="00DC6AEC">
              <w:rPr>
                <w:sz w:val="18"/>
                <w:szCs w:val="18"/>
              </w:rPr>
              <w:t>follows:-</w:t>
            </w:r>
            <w:proofErr w:type="gramEnd"/>
            <w:r w:rsidRPr="00DC6AEC">
              <w:rPr>
                <w:sz w:val="18"/>
                <w:szCs w:val="18"/>
              </w:rPr>
              <w:t xml:space="preserve"> </w:t>
            </w:r>
          </w:p>
          <w:p w14:paraId="1D35402E" w14:textId="77777777" w:rsidR="0060042E" w:rsidRPr="00DC6AEC" w:rsidRDefault="0060042E" w:rsidP="0060042E">
            <w:pPr>
              <w:pStyle w:val="Text"/>
              <w:spacing w:before="0" w:after="0" w:line="240" w:lineRule="auto"/>
              <w:rPr>
                <w:sz w:val="18"/>
                <w:szCs w:val="18"/>
              </w:rPr>
            </w:pPr>
          </w:p>
          <w:p w14:paraId="1EEBDA96" w14:textId="305B3EE8" w:rsidR="0060042E" w:rsidRPr="00DC6AEC" w:rsidRDefault="0060042E" w:rsidP="0060042E">
            <w:pPr>
              <w:pStyle w:val="Text"/>
              <w:spacing w:before="0" w:after="0" w:line="240" w:lineRule="auto"/>
              <w:rPr>
                <w:sz w:val="18"/>
                <w:szCs w:val="18"/>
              </w:rPr>
            </w:pPr>
            <w:r w:rsidRPr="00DC6AEC">
              <w:rPr>
                <w:sz w:val="18"/>
                <w:szCs w:val="18"/>
              </w:rPr>
              <w:t xml:space="preserve">‘© Commonwealth of Australia </w:t>
            </w:r>
            <w:r w:rsidR="00A31504" w:rsidRPr="00DC6AEC">
              <w:rPr>
                <w:sz w:val="18"/>
                <w:szCs w:val="18"/>
              </w:rPr>
              <w:t>2022</w:t>
            </w:r>
            <w:r w:rsidRPr="00DC6AEC">
              <w:rPr>
                <w:sz w:val="18"/>
                <w:szCs w:val="18"/>
              </w:rPr>
              <w:t>, as represented by the Australian Radiation Protection and Nuclear Safety Agency (ARPANSA)’</w:t>
            </w:r>
          </w:p>
          <w:p w14:paraId="592D76F8" w14:textId="77777777" w:rsidR="0060042E" w:rsidRPr="00DC6AEC" w:rsidRDefault="0060042E" w:rsidP="0060042E">
            <w:pPr>
              <w:pStyle w:val="Text"/>
              <w:spacing w:before="0" w:after="0" w:line="240" w:lineRule="auto"/>
              <w:rPr>
                <w:sz w:val="18"/>
                <w:szCs w:val="18"/>
              </w:rPr>
            </w:pPr>
          </w:p>
          <w:p w14:paraId="4039F710" w14:textId="6787DB5C" w:rsidR="0060042E" w:rsidRPr="00F55D63" w:rsidRDefault="0060042E" w:rsidP="0060042E">
            <w:pPr>
              <w:pStyle w:val="Text"/>
              <w:spacing w:before="0" w:after="0" w:line="240" w:lineRule="auto"/>
              <w:rPr>
                <w:sz w:val="18"/>
                <w:szCs w:val="18"/>
              </w:rPr>
            </w:pPr>
            <w:r w:rsidRPr="00DC6AEC">
              <w:rPr>
                <w:sz w:val="18"/>
                <w:szCs w:val="18"/>
              </w:rPr>
              <w:t xml:space="preserve">The publication should be attributed as: </w:t>
            </w:r>
            <w:r w:rsidR="00A31504" w:rsidRPr="00DC6AEC">
              <w:rPr>
                <w:i/>
                <w:sz w:val="18"/>
                <w:szCs w:val="18"/>
              </w:rPr>
              <w:t>National Diagnostic Reference Level Service Year in Review 2020</w:t>
            </w:r>
            <w:r w:rsidRPr="00DC6AEC">
              <w:rPr>
                <w:sz w:val="18"/>
                <w:szCs w:val="18"/>
              </w:rPr>
              <w:t>.</w:t>
            </w:r>
          </w:p>
          <w:p w14:paraId="0AC7FB08" w14:textId="77777777" w:rsidR="0060042E" w:rsidRPr="00F55D63" w:rsidRDefault="0060042E" w:rsidP="0060042E">
            <w:pPr>
              <w:pStyle w:val="Text"/>
              <w:spacing w:before="0" w:after="0" w:line="240" w:lineRule="auto"/>
              <w:rPr>
                <w:sz w:val="18"/>
                <w:szCs w:val="18"/>
              </w:rPr>
            </w:pPr>
          </w:p>
          <w:p w14:paraId="34F609B2" w14:textId="77777777" w:rsidR="0060042E" w:rsidRPr="004219C4" w:rsidRDefault="0060042E" w:rsidP="0060042E">
            <w:pPr>
              <w:pStyle w:val="Text"/>
              <w:spacing w:before="0" w:after="0" w:line="240" w:lineRule="auto"/>
              <w:rPr>
                <w:b/>
                <w:sz w:val="18"/>
                <w:szCs w:val="18"/>
              </w:rPr>
            </w:pPr>
            <w:r w:rsidRPr="004219C4">
              <w:rPr>
                <w:b/>
                <w:sz w:val="18"/>
                <w:szCs w:val="18"/>
              </w:rPr>
              <w:t>Use of the Coat of Arms</w:t>
            </w:r>
          </w:p>
          <w:p w14:paraId="5DDEB672" w14:textId="77777777" w:rsidR="0060042E" w:rsidRPr="00F55D63" w:rsidRDefault="0060042E" w:rsidP="0060042E">
            <w:pPr>
              <w:pStyle w:val="Text"/>
              <w:spacing w:before="0" w:after="0" w:line="240" w:lineRule="auto"/>
              <w:rPr>
                <w:sz w:val="18"/>
                <w:szCs w:val="18"/>
              </w:rPr>
            </w:pPr>
          </w:p>
          <w:p w14:paraId="440A29E0" w14:textId="77777777" w:rsidR="0060042E" w:rsidRPr="00F55D63" w:rsidRDefault="0060042E" w:rsidP="0060042E">
            <w:pPr>
              <w:pStyle w:val="Text"/>
              <w:spacing w:before="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15" w:history="1">
              <w:r w:rsidRPr="00067C8C">
                <w:rPr>
                  <w:rStyle w:val="Hyperlink"/>
                  <w:sz w:val="18"/>
                </w:rPr>
                <w:t>www.dpmc.gov.au/government/commonwealth-coat-arms</w:t>
              </w:r>
            </w:hyperlink>
            <w:r w:rsidRPr="00F55D63">
              <w:rPr>
                <w:sz w:val="18"/>
                <w:szCs w:val="18"/>
              </w:rPr>
              <w:t>).</w:t>
            </w:r>
          </w:p>
          <w:p w14:paraId="54F556E2" w14:textId="77777777" w:rsidR="0060042E" w:rsidRPr="00067C8C" w:rsidRDefault="0060042E" w:rsidP="0060042E">
            <w:pPr>
              <w:pStyle w:val="Text"/>
              <w:spacing w:before="0" w:after="0" w:line="240" w:lineRule="auto"/>
              <w:rPr>
                <w:sz w:val="18"/>
                <w:szCs w:val="18"/>
              </w:rPr>
            </w:pPr>
          </w:p>
          <w:p w14:paraId="6312F424" w14:textId="77777777" w:rsidR="0060042E" w:rsidRPr="00F55D63" w:rsidRDefault="0060042E" w:rsidP="0060042E">
            <w:pPr>
              <w:pStyle w:val="Text"/>
              <w:spacing w:before="0" w:after="0" w:line="240" w:lineRule="auto"/>
              <w:rPr>
                <w:sz w:val="18"/>
                <w:szCs w:val="18"/>
              </w:rPr>
            </w:pPr>
            <w:r w:rsidRPr="00F55D63">
              <w:rPr>
                <w:sz w:val="18"/>
                <w:szCs w:val="18"/>
              </w:rPr>
              <w:t xml:space="preserve">Enquiries regarding the </w:t>
            </w:r>
            <w:proofErr w:type="spellStart"/>
            <w:r w:rsidRPr="00F55D63">
              <w:rPr>
                <w:sz w:val="18"/>
                <w:szCs w:val="18"/>
              </w:rPr>
              <w:t>licence</w:t>
            </w:r>
            <w:proofErr w:type="spellEnd"/>
            <w:r w:rsidRPr="00F55D63">
              <w:rPr>
                <w:sz w:val="18"/>
                <w:szCs w:val="18"/>
              </w:rPr>
              <w:t xml:space="preserve"> and any use of this report are welcome.</w:t>
            </w:r>
          </w:p>
          <w:p w14:paraId="692CF353" w14:textId="77777777" w:rsidR="0060042E" w:rsidRPr="00F55D63" w:rsidRDefault="0060042E" w:rsidP="0060042E">
            <w:pPr>
              <w:pStyle w:val="Text"/>
              <w:spacing w:before="0" w:after="0" w:line="240" w:lineRule="auto"/>
              <w:rPr>
                <w:sz w:val="18"/>
                <w:szCs w:val="18"/>
              </w:rPr>
            </w:pPr>
          </w:p>
          <w:p w14:paraId="7C7FA6B8" w14:textId="77777777" w:rsidR="0060042E" w:rsidRPr="00F55D63" w:rsidRDefault="0060042E" w:rsidP="0060042E">
            <w:pPr>
              <w:pStyle w:val="Text"/>
              <w:spacing w:before="0" w:after="0" w:line="240" w:lineRule="auto"/>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482BCC71" w14:textId="77777777" w:rsidR="0060042E" w:rsidRPr="0060042E" w:rsidRDefault="0060042E" w:rsidP="0060042E">
            <w:pPr>
              <w:pStyle w:val="Text"/>
              <w:spacing w:before="0" w:after="0" w:line="240" w:lineRule="auto"/>
              <w:rPr>
                <w:sz w:val="18"/>
                <w:szCs w:val="18"/>
              </w:rPr>
            </w:pPr>
            <w:r w:rsidRPr="00F55D63">
              <w:rPr>
                <w:sz w:val="18"/>
                <w:szCs w:val="18"/>
              </w:rPr>
              <w:tab/>
              <w:t>Tel:   1800 022 333 (</w:t>
            </w:r>
            <w:proofErr w:type="spellStart"/>
            <w:r w:rsidRPr="00F55D63">
              <w:rPr>
                <w:sz w:val="18"/>
                <w:szCs w:val="18"/>
              </w:rPr>
              <w:t>Freecall</w:t>
            </w:r>
            <w:proofErr w:type="spellEnd"/>
            <w:r w:rsidRPr="00F55D63">
              <w:rPr>
                <w:sz w:val="18"/>
                <w:szCs w:val="18"/>
              </w:rPr>
              <w:t>) or +61 3 9433 2211</w:t>
            </w:r>
            <w:r w:rsidRPr="00F55D63">
              <w:rPr>
                <w:sz w:val="18"/>
                <w:szCs w:val="18"/>
              </w:rPr>
              <w:br/>
            </w:r>
            <w:r w:rsidRPr="00F55D63">
              <w:rPr>
                <w:sz w:val="18"/>
                <w:szCs w:val="18"/>
              </w:rPr>
              <w:br/>
            </w:r>
            <w:r w:rsidRPr="00F55D63">
              <w:rPr>
                <w:sz w:val="18"/>
                <w:szCs w:val="18"/>
              </w:rPr>
              <w:tab/>
              <w:t xml:space="preserve">Email:  </w:t>
            </w:r>
            <w:hyperlink r:id="rId16" w:history="1">
              <w:r w:rsidRPr="00067C8C">
                <w:rPr>
                  <w:rStyle w:val="Hyperlink"/>
                  <w:sz w:val="18"/>
                  <w:szCs w:val="18"/>
                </w:rPr>
                <w:t>info@arpansa.gov.au</w:t>
              </w:r>
            </w:hyperlink>
            <w:r w:rsidRPr="00F55D63">
              <w:rPr>
                <w:sz w:val="18"/>
                <w:szCs w:val="18"/>
              </w:rPr>
              <w:br/>
            </w:r>
            <w:r w:rsidRPr="00F55D63">
              <w:rPr>
                <w:sz w:val="18"/>
                <w:szCs w:val="18"/>
              </w:rPr>
              <w:tab/>
              <w:t xml:space="preserve">Website:  </w:t>
            </w:r>
            <w:hyperlink r:id="rId17" w:history="1">
              <w:r w:rsidRPr="00067C8C">
                <w:rPr>
                  <w:rStyle w:val="Hyperlink"/>
                  <w:sz w:val="18"/>
                  <w:szCs w:val="18"/>
                </w:rPr>
                <w:t>www.arpansa.gov.au</w:t>
              </w:r>
            </w:hyperlink>
            <w:r>
              <w:rPr>
                <w:rStyle w:val="Hyperlink"/>
                <w:sz w:val="18"/>
                <w:szCs w:val="18"/>
              </w:rPr>
              <w:br/>
            </w:r>
          </w:p>
        </w:tc>
      </w:tr>
    </w:tbl>
    <w:p w14:paraId="13BE5B5E" w14:textId="77777777" w:rsidR="0060042E" w:rsidRDefault="0060042E" w:rsidP="00AD297B">
      <w:pPr>
        <w:pStyle w:val="Heading1Nonumber"/>
      </w:pPr>
      <w:r>
        <w:br w:type="page"/>
      </w:r>
    </w:p>
    <w:p w14:paraId="08C3D914" w14:textId="60F276AB" w:rsidR="00E84E35" w:rsidRDefault="00EE020D" w:rsidP="00AD297B">
      <w:pPr>
        <w:pStyle w:val="Heading1Nonumber"/>
      </w:pPr>
      <w:bookmarkStart w:id="0" w:name="_Toc100137167"/>
      <w:r>
        <w:lastRenderedPageBreak/>
        <w:t>Acknowledgement of Country</w:t>
      </w:r>
      <w:bookmarkEnd w:id="0"/>
    </w:p>
    <w:p w14:paraId="15B7F09F" w14:textId="77777777" w:rsidR="00EE020D" w:rsidRDefault="00EE020D">
      <w:r>
        <w:t>ARPANSA respectfully acknowledges Australia’s Aboriginal and Torres Strait Islander communities and their rich culture and pays respect to their Elders past and present. We acknowledge Aboriginal and Torres Strait Islander peoples as Australia’s first peoples and as the Traditional Owners and custodians of the land and water on which we rely.</w:t>
      </w:r>
    </w:p>
    <w:p w14:paraId="4EAF9D6F" w14:textId="77777777" w:rsidR="00EE020D" w:rsidRDefault="00EE020D">
      <w:r>
        <w:t>We recognise and value the ongoing contribution of Aboriginal and Torres Strait Islander peoples and communities to Australian life and how this enriches us. We embrace the spirit of reconciliation, working towards the equality of outcomes and ensuring an equal voice.</w:t>
      </w:r>
    </w:p>
    <w:p w14:paraId="5C6B8305" w14:textId="4C96C27A" w:rsidR="00244A6C" w:rsidRDefault="004219C4">
      <w:r>
        <w:br w:type="page"/>
      </w:r>
    </w:p>
    <w:p w14:paraId="238E3DD8" w14:textId="77777777" w:rsidR="00067C8C" w:rsidRPr="004219C4" w:rsidRDefault="00067C8C" w:rsidP="004219C4">
      <w:pPr>
        <w:rPr>
          <w:b/>
          <w:color w:val="4E1A74" w:themeColor="text2"/>
          <w:sz w:val="32"/>
        </w:rPr>
      </w:pPr>
      <w:r w:rsidRPr="004219C4">
        <w:rPr>
          <w:b/>
          <w:color w:val="4E1A74" w:themeColor="text2"/>
          <w:sz w:val="32"/>
        </w:rPr>
        <w:lastRenderedPageBreak/>
        <w:t>C</w:t>
      </w:r>
      <w:r w:rsidR="004219C4">
        <w:rPr>
          <w:b/>
          <w:color w:val="4E1A74" w:themeColor="text2"/>
          <w:sz w:val="32"/>
        </w:rPr>
        <w:t>ontents</w:t>
      </w:r>
    </w:p>
    <w:p w14:paraId="08E8664E" w14:textId="6033EE81" w:rsidR="00D509CD" w:rsidRDefault="00773742">
      <w:pPr>
        <w:pStyle w:val="TOC1"/>
        <w:rPr>
          <w:rFonts w:eastAsiaTheme="minorEastAsia"/>
          <w:b w:val="0"/>
          <w:noProof/>
          <w:color w:val="auto"/>
          <w:lang w:eastAsia="en-AU"/>
        </w:rPr>
      </w:pPr>
      <w:r>
        <w:rPr>
          <w:bCs/>
        </w:rPr>
        <w:fldChar w:fldCharType="begin"/>
      </w:r>
      <w:r>
        <w:rPr>
          <w:bCs/>
        </w:rPr>
        <w:instrText xml:space="preserve"> TOC \o "1-2" \h \z \u \t "Heading 4,3" </w:instrText>
      </w:r>
      <w:r>
        <w:rPr>
          <w:bCs/>
        </w:rPr>
        <w:fldChar w:fldCharType="separate"/>
      </w:r>
      <w:hyperlink w:anchor="_Toc100137167" w:history="1">
        <w:r w:rsidR="00D509CD" w:rsidRPr="000970E2">
          <w:rPr>
            <w:rStyle w:val="Hyperlink"/>
            <w:noProof/>
          </w:rPr>
          <w:t>Acknowledgement of Country</w:t>
        </w:r>
        <w:r w:rsidR="00D509CD">
          <w:rPr>
            <w:noProof/>
            <w:webHidden/>
          </w:rPr>
          <w:tab/>
        </w:r>
        <w:r w:rsidR="00D509CD">
          <w:rPr>
            <w:noProof/>
            <w:webHidden/>
          </w:rPr>
          <w:fldChar w:fldCharType="begin"/>
        </w:r>
        <w:r w:rsidR="00D509CD">
          <w:rPr>
            <w:noProof/>
            <w:webHidden/>
          </w:rPr>
          <w:instrText xml:space="preserve"> PAGEREF _Toc100137167 \h </w:instrText>
        </w:r>
        <w:r w:rsidR="00D509CD">
          <w:rPr>
            <w:noProof/>
            <w:webHidden/>
          </w:rPr>
        </w:r>
        <w:r w:rsidR="00D509CD">
          <w:rPr>
            <w:noProof/>
            <w:webHidden/>
          </w:rPr>
          <w:fldChar w:fldCharType="separate"/>
        </w:r>
        <w:r w:rsidR="00D509CD">
          <w:rPr>
            <w:noProof/>
            <w:webHidden/>
          </w:rPr>
          <w:t>iv</w:t>
        </w:r>
        <w:r w:rsidR="00D509CD">
          <w:rPr>
            <w:noProof/>
            <w:webHidden/>
          </w:rPr>
          <w:fldChar w:fldCharType="end"/>
        </w:r>
      </w:hyperlink>
    </w:p>
    <w:p w14:paraId="56A96705" w14:textId="636535E3" w:rsidR="00D509CD" w:rsidRDefault="00A549BE">
      <w:pPr>
        <w:pStyle w:val="TOC1"/>
        <w:rPr>
          <w:rFonts w:eastAsiaTheme="minorEastAsia"/>
          <w:b w:val="0"/>
          <w:noProof/>
          <w:color w:val="auto"/>
          <w:lang w:eastAsia="en-AU"/>
        </w:rPr>
      </w:pPr>
      <w:hyperlink w:anchor="_Toc100137168" w:history="1">
        <w:r w:rsidR="00D509CD" w:rsidRPr="000970E2">
          <w:rPr>
            <w:rStyle w:val="Hyperlink"/>
            <w:noProof/>
          </w:rPr>
          <w:t>Executive Summary</w:t>
        </w:r>
        <w:r w:rsidR="00D509CD">
          <w:rPr>
            <w:noProof/>
            <w:webHidden/>
          </w:rPr>
          <w:tab/>
        </w:r>
        <w:r w:rsidR="00D509CD">
          <w:rPr>
            <w:noProof/>
            <w:webHidden/>
          </w:rPr>
          <w:fldChar w:fldCharType="begin"/>
        </w:r>
        <w:r w:rsidR="00D509CD">
          <w:rPr>
            <w:noProof/>
            <w:webHidden/>
          </w:rPr>
          <w:instrText xml:space="preserve"> PAGEREF _Toc100137168 \h </w:instrText>
        </w:r>
        <w:r w:rsidR="00D509CD">
          <w:rPr>
            <w:noProof/>
            <w:webHidden/>
          </w:rPr>
        </w:r>
        <w:r w:rsidR="00D509CD">
          <w:rPr>
            <w:noProof/>
            <w:webHidden/>
          </w:rPr>
          <w:fldChar w:fldCharType="separate"/>
        </w:r>
        <w:r w:rsidR="00D509CD">
          <w:rPr>
            <w:noProof/>
            <w:webHidden/>
          </w:rPr>
          <w:t>vi</w:t>
        </w:r>
        <w:r w:rsidR="00D509CD">
          <w:rPr>
            <w:noProof/>
            <w:webHidden/>
          </w:rPr>
          <w:fldChar w:fldCharType="end"/>
        </w:r>
      </w:hyperlink>
    </w:p>
    <w:p w14:paraId="3BE21CDC" w14:textId="5F49C57C" w:rsidR="00D509CD" w:rsidRDefault="00A549BE">
      <w:pPr>
        <w:pStyle w:val="TOC1"/>
        <w:tabs>
          <w:tab w:val="left" w:pos="567"/>
        </w:tabs>
        <w:rPr>
          <w:rFonts w:eastAsiaTheme="minorEastAsia"/>
          <w:b w:val="0"/>
          <w:noProof/>
          <w:color w:val="auto"/>
          <w:lang w:eastAsia="en-AU"/>
        </w:rPr>
      </w:pPr>
      <w:hyperlink w:anchor="_Toc100137169" w:history="1">
        <w:r w:rsidR="00D509CD" w:rsidRPr="000970E2">
          <w:rPr>
            <w:rStyle w:val="Hyperlink"/>
            <w:noProof/>
          </w:rPr>
          <w:t>1.</w:t>
        </w:r>
        <w:r w:rsidR="00D509CD">
          <w:rPr>
            <w:rFonts w:eastAsiaTheme="minorEastAsia"/>
            <w:b w:val="0"/>
            <w:noProof/>
            <w:color w:val="auto"/>
            <w:lang w:eastAsia="en-AU"/>
          </w:rPr>
          <w:tab/>
        </w:r>
        <w:r w:rsidR="00D509CD" w:rsidRPr="000970E2">
          <w:rPr>
            <w:rStyle w:val="Hyperlink"/>
            <w:noProof/>
          </w:rPr>
          <w:t>Introduction</w:t>
        </w:r>
        <w:r w:rsidR="00D509CD">
          <w:rPr>
            <w:noProof/>
            <w:webHidden/>
          </w:rPr>
          <w:tab/>
        </w:r>
        <w:r w:rsidR="00D509CD">
          <w:rPr>
            <w:noProof/>
            <w:webHidden/>
          </w:rPr>
          <w:fldChar w:fldCharType="begin"/>
        </w:r>
        <w:r w:rsidR="00D509CD">
          <w:rPr>
            <w:noProof/>
            <w:webHidden/>
          </w:rPr>
          <w:instrText xml:space="preserve"> PAGEREF _Toc100137169 \h </w:instrText>
        </w:r>
        <w:r w:rsidR="00D509CD">
          <w:rPr>
            <w:noProof/>
            <w:webHidden/>
          </w:rPr>
        </w:r>
        <w:r w:rsidR="00D509CD">
          <w:rPr>
            <w:noProof/>
            <w:webHidden/>
          </w:rPr>
          <w:fldChar w:fldCharType="separate"/>
        </w:r>
        <w:r w:rsidR="00D509CD">
          <w:rPr>
            <w:noProof/>
            <w:webHidden/>
          </w:rPr>
          <w:t>1</w:t>
        </w:r>
        <w:r w:rsidR="00D509CD">
          <w:rPr>
            <w:noProof/>
            <w:webHidden/>
          </w:rPr>
          <w:fldChar w:fldCharType="end"/>
        </w:r>
      </w:hyperlink>
    </w:p>
    <w:p w14:paraId="6C79E8EE" w14:textId="273E5331" w:rsidR="00D509CD" w:rsidRDefault="00A549BE">
      <w:pPr>
        <w:pStyle w:val="TOC1"/>
        <w:tabs>
          <w:tab w:val="left" w:pos="567"/>
        </w:tabs>
        <w:rPr>
          <w:rFonts w:eastAsiaTheme="minorEastAsia"/>
          <w:b w:val="0"/>
          <w:noProof/>
          <w:color w:val="auto"/>
          <w:lang w:eastAsia="en-AU"/>
        </w:rPr>
      </w:pPr>
      <w:hyperlink w:anchor="_Toc100137170" w:history="1">
        <w:r w:rsidR="00D509CD" w:rsidRPr="000970E2">
          <w:rPr>
            <w:rStyle w:val="Hyperlink"/>
            <w:noProof/>
          </w:rPr>
          <w:t>2.</w:t>
        </w:r>
        <w:r w:rsidR="00D509CD">
          <w:rPr>
            <w:rFonts w:eastAsiaTheme="minorEastAsia"/>
            <w:b w:val="0"/>
            <w:noProof/>
            <w:color w:val="auto"/>
            <w:lang w:eastAsia="en-AU"/>
          </w:rPr>
          <w:tab/>
        </w:r>
        <w:r w:rsidR="00D509CD" w:rsidRPr="000970E2">
          <w:rPr>
            <w:rStyle w:val="Hyperlink"/>
            <w:noProof/>
          </w:rPr>
          <w:t>ARPANSA’s National Diagnostic Reference Level Service</w:t>
        </w:r>
        <w:r w:rsidR="00D509CD">
          <w:rPr>
            <w:noProof/>
            <w:webHidden/>
          </w:rPr>
          <w:tab/>
        </w:r>
        <w:r w:rsidR="00D509CD">
          <w:rPr>
            <w:noProof/>
            <w:webHidden/>
          </w:rPr>
          <w:fldChar w:fldCharType="begin"/>
        </w:r>
        <w:r w:rsidR="00D509CD">
          <w:rPr>
            <w:noProof/>
            <w:webHidden/>
          </w:rPr>
          <w:instrText xml:space="preserve"> PAGEREF _Toc100137170 \h </w:instrText>
        </w:r>
        <w:r w:rsidR="00D509CD">
          <w:rPr>
            <w:noProof/>
            <w:webHidden/>
          </w:rPr>
        </w:r>
        <w:r w:rsidR="00D509CD">
          <w:rPr>
            <w:noProof/>
            <w:webHidden/>
          </w:rPr>
          <w:fldChar w:fldCharType="separate"/>
        </w:r>
        <w:r w:rsidR="00D509CD">
          <w:rPr>
            <w:noProof/>
            <w:webHidden/>
          </w:rPr>
          <w:t>1</w:t>
        </w:r>
        <w:r w:rsidR="00D509CD">
          <w:rPr>
            <w:noProof/>
            <w:webHidden/>
          </w:rPr>
          <w:fldChar w:fldCharType="end"/>
        </w:r>
      </w:hyperlink>
    </w:p>
    <w:p w14:paraId="74FBC45F" w14:textId="229FC259" w:rsidR="00D509CD" w:rsidRDefault="00A549BE">
      <w:pPr>
        <w:pStyle w:val="TOC1"/>
        <w:tabs>
          <w:tab w:val="left" w:pos="567"/>
        </w:tabs>
        <w:rPr>
          <w:rFonts w:eastAsiaTheme="minorEastAsia"/>
          <w:b w:val="0"/>
          <w:noProof/>
          <w:color w:val="auto"/>
          <w:lang w:eastAsia="en-AU"/>
        </w:rPr>
      </w:pPr>
      <w:hyperlink w:anchor="_Toc100137172" w:history="1">
        <w:r w:rsidR="00D509CD" w:rsidRPr="000970E2">
          <w:rPr>
            <w:rStyle w:val="Hyperlink"/>
            <w:noProof/>
          </w:rPr>
          <w:t>3.</w:t>
        </w:r>
        <w:r w:rsidR="00D509CD">
          <w:rPr>
            <w:rFonts w:eastAsiaTheme="minorEastAsia"/>
            <w:b w:val="0"/>
            <w:noProof/>
            <w:color w:val="auto"/>
            <w:lang w:eastAsia="en-AU"/>
          </w:rPr>
          <w:tab/>
        </w:r>
        <w:r w:rsidR="00D509CD" w:rsidRPr="000970E2">
          <w:rPr>
            <w:rStyle w:val="Hyperlink"/>
            <w:noProof/>
          </w:rPr>
          <w:t>Year in Review – 2020</w:t>
        </w:r>
        <w:r w:rsidR="00D509CD">
          <w:rPr>
            <w:noProof/>
            <w:webHidden/>
          </w:rPr>
          <w:tab/>
        </w:r>
        <w:r w:rsidR="00D509CD">
          <w:rPr>
            <w:noProof/>
            <w:webHidden/>
          </w:rPr>
          <w:fldChar w:fldCharType="begin"/>
        </w:r>
        <w:r w:rsidR="00D509CD">
          <w:rPr>
            <w:noProof/>
            <w:webHidden/>
          </w:rPr>
          <w:instrText xml:space="preserve"> PAGEREF _Toc100137172 \h </w:instrText>
        </w:r>
        <w:r w:rsidR="00D509CD">
          <w:rPr>
            <w:noProof/>
            <w:webHidden/>
          </w:rPr>
        </w:r>
        <w:r w:rsidR="00D509CD">
          <w:rPr>
            <w:noProof/>
            <w:webHidden/>
          </w:rPr>
          <w:fldChar w:fldCharType="separate"/>
        </w:r>
        <w:r w:rsidR="00D509CD">
          <w:rPr>
            <w:noProof/>
            <w:webHidden/>
          </w:rPr>
          <w:t>3</w:t>
        </w:r>
        <w:r w:rsidR="00D509CD">
          <w:rPr>
            <w:noProof/>
            <w:webHidden/>
          </w:rPr>
          <w:fldChar w:fldCharType="end"/>
        </w:r>
      </w:hyperlink>
    </w:p>
    <w:p w14:paraId="79A97009" w14:textId="2EAD1747" w:rsidR="00D509CD" w:rsidRDefault="00A549BE">
      <w:pPr>
        <w:pStyle w:val="TOC2"/>
        <w:tabs>
          <w:tab w:val="left" w:pos="1100"/>
        </w:tabs>
        <w:rPr>
          <w:rFonts w:eastAsiaTheme="minorEastAsia"/>
          <w:color w:val="auto"/>
          <w:lang w:eastAsia="en-AU"/>
        </w:rPr>
      </w:pPr>
      <w:hyperlink w:anchor="_Toc100137173" w:history="1">
        <w:r w:rsidR="00D509CD" w:rsidRPr="000970E2">
          <w:rPr>
            <w:rStyle w:val="Hyperlink"/>
          </w:rPr>
          <w:t>3.1</w:t>
        </w:r>
        <w:r w:rsidR="00D509CD">
          <w:rPr>
            <w:rFonts w:eastAsiaTheme="minorEastAsia"/>
            <w:color w:val="auto"/>
            <w:lang w:eastAsia="en-AU"/>
          </w:rPr>
          <w:tab/>
        </w:r>
        <w:r w:rsidR="00D509CD" w:rsidRPr="000970E2">
          <w:rPr>
            <w:rStyle w:val="Hyperlink"/>
          </w:rPr>
          <w:t>Computed Tomography</w:t>
        </w:r>
        <w:r w:rsidR="00D509CD">
          <w:rPr>
            <w:webHidden/>
          </w:rPr>
          <w:tab/>
        </w:r>
        <w:r w:rsidR="00D509CD">
          <w:rPr>
            <w:webHidden/>
          </w:rPr>
          <w:fldChar w:fldCharType="begin"/>
        </w:r>
        <w:r w:rsidR="00D509CD">
          <w:rPr>
            <w:webHidden/>
          </w:rPr>
          <w:instrText xml:space="preserve"> PAGEREF _Toc100137173 \h </w:instrText>
        </w:r>
        <w:r w:rsidR="00D509CD">
          <w:rPr>
            <w:webHidden/>
          </w:rPr>
        </w:r>
        <w:r w:rsidR="00D509CD">
          <w:rPr>
            <w:webHidden/>
          </w:rPr>
          <w:fldChar w:fldCharType="separate"/>
        </w:r>
        <w:r w:rsidR="00D509CD">
          <w:rPr>
            <w:webHidden/>
          </w:rPr>
          <w:t>3</w:t>
        </w:r>
        <w:r w:rsidR="00D509CD">
          <w:rPr>
            <w:webHidden/>
          </w:rPr>
          <w:fldChar w:fldCharType="end"/>
        </w:r>
      </w:hyperlink>
    </w:p>
    <w:p w14:paraId="743C0F77" w14:textId="417C3014" w:rsidR="00D509CD" w:rsidRDefault="00A549BE">
      <w:pPr>
        <w:pStyle w:val="TOC2"/>
        <w:tabs>
          <w:tab w:val="left" w:pos="1100"/>
        </w:tabs>
        <w:rPr>
          <w:rFonts w:eastAsiaTheme="minorEastAsia"/>
          <w:color w:val="auto"/>
          <w:lang w:eastAsia="en-AU"/>
        </w:rPr>
      </w:pPr>
      <w:hyperlink w:anchor="_Toc100137174" w:history="1">
        <w:r w:rsidR="00D509CD" w:rsidRPr="000970E2">
          <w:rPr>
            <w:rStyle w:val="Hyperlink"/>
          </w:rPr>
          <w:t>3.2</w:t>
        </w:r>
        <w:r w:rsidR="00D509CD">
          <w:rPr>
            <w:rFonts w:eastAsiaTheme="minorEastAsia"/>
            <w:color w:val="auto"/>
            <w:lang w:eastAsia="en-AU"/>
          </w:rPr>
          <w:tab/>
        </w:r>
        <w:r w:rsidR="00D509CD" w:rsidRPr="000970E2">
          <w:rPr>
            <w:rStyle w:val="Hyperlink"/>
          </w:rPr>
          <w:t>Image-Guided and Interventional Procedures</w:t>
        </w:r>
        <w:r w:rsidR="00D509CD">
          <w:rPr>
            <w:webHidden/>
          </w:rPr>
          <w:tab/>
        </w:r>
        <w:r w:rsidR="00D509CD">
          <w:rPr>
            <w:webHidden/>
          </w:rPr>
          <w:fldChar w:fldCharType="begin"/>
        </w:r>
        <w:r w:rsidR="00D509CD">
          <w:rPr>
            <w:webHidden/>
          </w:rPr>
          <w:instrText xml:space="preserve"> PAGEREF _Toc100137174 \h </w:instrText>
        </w:r>
        <w:r w:rsidR="00D509CD">
          <w:rPr>
            <w:webHidden/>
          </w:rPr>
        </w:r>
        <w:r w:rsidR="00D509CD">
          <w:rPr>
            <w:webHidden/>
          </w:rPr>
          <w:fldChar w:fldCharType="separate"/>
        </w:r>
        <w:r w:rsidR="00D509CD">
          <w:rPr>
            <w:webHidden/>
          </w:rPr>
          <w:t>6</w:t>
        </w:r>
        <w:r w:rsidR="00D509CD">
          <w:rPr>
            <w:webHidden/>
          </w:rPr>
          <w:fldChar w:fldCharType="end"/>
        </w:r>
      </w:hyperlink>
    </w:p>
    <w:p w14:paraId="3F2A2E5C" w14:textId="773CC64D" w:rsidR="00D509CD" w:rsidRDefault="00A549BE">
      <w:pPr>
        <w:pStyle w:val="TOC2"/>
        <w:tabs>
          <w:tab w:val="left" w:pos="1100"/>
        </w:tabs>
        <w:rPr>
          <w:rFonts w:eastAsiaTheme="minorEastAsia"/>
          <w:color w:val="auto"/>
          <w:lang w:eastAsia="en-AU"/>
        </w:rPr>
      </w:pPr>
      <w:hyperlink w:anchor="_Toc100137175" w:history="1">
        <w:r w:rsidR="00D509CD" w:rsidRPr="000970E2">
          <w:rPr>
            <w:rStyle w:val="Hyperlink"/>
          </w:rPr>
          <w:t>3.3</w:t>
        </w:r>
        <w:r w:rsidR="00D509CD">
          <w:rPr>
            <w:rFonts w:eastAsiaTheme="minorEastAsia"/>
            <w:color w:val="auto"/>
            <w:lang w:eastAsia="en-AU"/>
          </w:rPr>
          <w:tab/>
        </w:r>
        <w:r w:rsidR="00D509CD" w:rsidRPr="000970E2">
          <w:rPr>
            <w:rStyle w:val="Hyperlink"/>
          </w:rPr>
          <w:t>Nuclear Medicine</w:t>
        </w:r>
        <w:r w:rsidR="00D509CD">
          <w:rPr>
            <w:webHidden/>
          </w:rPr>
          <w:tab/>
        </w:r>
        <w:r w:rsidR="00D509CD">
          <w:rPr>
            <w:webHidden/>
          </w:rPr>
          <w:fldChar w:fldCharType="begin"/>
        </w:r>
        <w:r w:rsidR="00D509CD">
          <w:rPr>
            <w:webHidden/>
          </w:rPr>
          <w:instrText xml:space="preserve"> PAGEREF _Toc100137175 \h </w:instrText>
        </w:r>
        <w:r w:rsidR="00D509CD">
          <w:rPr>
            <w:webHidden/>
          </w:rPr>
        </w:r>
        <w:r w:rsidR="00D509CD">
          <w:rPr>
            <w:webHidden/>
          </w:rPr>
          <w:fldChar w:fldCharType="separate"/>
        </w:r>
        <w:r w:rsidR="00D509CD">
          <w:rPr>
            <w:webHidden/>
          </w:rPr>
          <w:t>7</w:t>
        </w:r>
        <w:r w:rsidR="00D509CD">
          <w:rPr>
            <w:webHidden/>
          </w:rPr>
          <w:fldChar w:fldCharType="end"/>
        </w:r>
      </w:hyperlink>
    </w:p>
    <w:p w14:paraId="50414913" w14:textId="50A10637" w:rsidR="00D509CD" w:rsidRDefault="00A549BE">
      <w:pPr>
        <w:pStyle w:val="TOC1"/>
        <w:tabs>
          <w:tab w:val="left" w:pos="567"/>
        </w:tabs>
        <w:rPr>
          <w:rFonts w:eastAsiaTheme="minorEastAsia"/>
          <w:b w:val="0"/>
          <w:noProof/>
          <w:color w:val="auto"/>
          <w:lang w:eastAsia="en-AU"/>
        </w:rPr>
      </w:pPr>
      <w:hyperlink w:anchor="_Toc100137176" w:history="1">
        <w:r w:rsidR="00D509CD" w:rsidRPr="000970E2">
          <w:rPr>
            <w:rStyle w:val="Hyperlink"/>
            <w:noProof/>
          </w:rPr>
          <w:t>4.</w:t>
        </w:r>
        <w:r w:rsidR="00D509CD">
          <w:rPr>
            <w:rFonts w:eastAsiaTheme="minorEastAsia"/>
            <w:b w:val="0"/>
            <w:noProof/>
            <w:color w:val="auto"/>
            <w:lang w:eastAsia="en-AU"/>
          </w:rPr>
          <w:tab/>
        </w:r>
        <w:r w:rsidR="00D509CD" w:rsidRPr="000970E2">
          <w:rPr>
            <w:rStyle w:val="Hyperlink"/>
            <w:noProof/>
          </w:rPr>
          <w:t>Conclusions</w:t>
        </w:r>
        <w:r w:rsidR="00D509CD">
          <w:rPr>
            <w:noProof/>
            <w:webHidden/>
          </w:rPr>
          <w:tab/>
        </w:r>
        <w:r w:rsidR="00D509CD">
          <w:rPr>
            <w:noProof/>
            <w:webHidden/>
          </w:rPr>
          <w:fldChar w:fldCharType="begin"/>
        </w:r>
        <w:r w:rsidR="00D509CD">
          <w:rPr>
            <w:noProof/>
            <w:webHidden/>
          </w:rPr>
          <w:instrText xml:space="preserve"> PAGEREF _Toc100137176 \h </w:instrText>
        </w:r>
        <w:r w:rsidR="00D509CD">
          <w:rPr>
            <w:noProof/>
            <w:webHidden/>
          </w:rPr>
        </w:r>
        <w:r w:rsidR="00D509CD">
          <w:rPr>
            <w:noProof/>
            <w:webHidden/>
          </w:rPr>
          <w:fldChar w:fldCharType="separate"/>
        </w:r>
        <w:r w:rsidR="00D509CD">
          <w:rPr>
            <w:noProof/>
            <w:webHidden/>
          </w:rPr>
          <w:t>7</w:t>
        </w:r>
        <w:r w:rsidR="00D509CD">
          <w:rPr>
            <w:noProof/>
            <w:webHidden/>
          </w:rPr>
          <w:fldChar w:fldCharType="end"/>
        </w:r>
      </w:hyperlink>
    </w:p>
    <w:p w14:paraId="739D4CF1" w14:textId="20989052" w:rsidR="00D509CD" w:rsidRDefault="00A549BE">
      <w:pPr>
        <w:pStyle w:val="TOC1"/>
        <w:rPr>
          <w:rFonts w:eastAsiaTheme="minorEastAsia"/>
          <w:b w:val="0"/>
          <w:noProof/>
          <w:color w:val="auto"/>
          <w:lang w:eastAsia="en-AU"/>
        </w:rPr>
      </w:pPr>
      <w:hyperlink w:anchor="_Toc100137177" w:history="1">
        <w:r w:rsidR="00D509CD" w:rsidRPr="000970E2">
          <w:rPr>
            <w:rStyle w:val="Hyperlink"/>
            <w:noProof/>
          </w:rPr>
          <w:t>References</w:t>
        </w:r>
        <w:r w:rsidR="00D509CD">
          <w:rPr>
            <w:noProof/>
            <w:webHidden/>
          </w:rPr>
          <w:tab/>
        </w:r>
        <w:r w:rsidR="00D509CD">
          <w:rPr>
            <w:noProof/>
            <w:webHidden/>
          </w:rPr>
          <w:fldChar w:fldCharType="begin"/>
        </w:r>
        <w:r w:rsidR="00D509CD">
          <w:rPr>
            <w:noProof/>
            <w:webHidden/>
          </w:rPr>
          <w:instrText xml:space="preserve"> PAGEREF _Toc100137177 \h </w:instrText>
        </w:r>
        <w:r w:rsidR="00D509CD">
          <w:rPr>
            <w:noProof/>
            <w:webHidden/>
          </w:rPr>
        </w:r>
        <w:r w:rsidR="00D509CD">
          <w:rPr>
            <w:noProof/>
            <w:webHidden/>
          </w:rPr>
          <w:fldChar w:fldCharType="separate"/>
        </w:r>
        <w:r w:rsidR="00D509CD">
          <w:rPr>
            <w:noProof/>
            <w:webHidden/>
          </w:rPr>
          <w:t>8</w:t>
        </w:r>
        <w:r w:rsidR="00D509CD">
          <w:rPr>
            <w:noProof/>
            <w:webHidden/>
          </w:rPr>
          <w:fldChar w:fldCharType="end"/>
        </w:r>
      </w:hyperlink>
    </w:p>
    <w:p w14:paraId="749DC118" w14:textId="2D2877E8" w:rsidR="00D509CD" w:rsidRDefault="00A549BE">
      <w:pPr>
        <w:pStyle w:val="TOC3"/>
        <w:rPr>
          <w:rFonts w:eastAsiaTheme="minorEastAsia"/>
          <w:b w:val="0"/>
          <w:color w:val="auto"/>
          <w:lang w:eastAsia="en-AU"/>
        </w:rPr>
      </w:pPr>
      <w:hyperlink w:anchor="_Toc100137178" w:history="1">
        <w:r w:rsidR="00D509CD" w:rsidRPr="000970E2">
          <w:rPr>
            <w:rStyle w:val="Hyperlink"/>
          </w:rPr>
          <w:t>Appendix 1:</w:t>
        </w:r>
        <w:r w:rsidR="00D509CD">
          <w:rPr>
            <w:rFonts w:eastAsiaTheme="minorEastAsia"/>
            <w:b w:val="0"/>
            <w:color w:val="auto"/>
            <w:lang w:eastAsia="en-AU"/>
          </w:rPr>
          <w:tab/>
        </w:r>
        <w:r w:rsidR="00D509CD" w:rsidRPr="000970E2">
          <w:rPr>
            <w:rStyle w:val="Hyperlink"/>
          </w:rPr>
          <w:t>Cumulative FRL distributions for MDCT surveys in 2020</w:t>
        </w:r>
        <w:r w:rsidR="00D509CD">
          <w:rPr>
            <w:webHidden/>
          </w:rPr>
          <w:tab/>
        </w:r>
        <w:r w:rsidR="00D509CD">
          <w:rPr>
            <w:webHidden/>
          </w:rPr>
          <w:fldChar w:fldCharType="begin"/>
        </w:r>
        <w:r w:rsidR="00D509CD">
          <w:rPr>
            <w:webHidden/>
          </w:rPr>
          <w:instrText xml:space="preserve"> PAGEREF _Toc100137178 \h </w:instrText>
        </w:r>
        <w:r w:rsidR="00D509CD">
          <w:rPr>
            <w:webHidden/>
          </w:rPr>
        </w:r>
        <w:r w:rsidR="00D509CD">
          <w:rPr>
            <w:webHidden/>
          </w:rPr>
          <w:fldChar w:fldCharType="separate"/>
        </w:r>
        <w:r w:rsidR="00D509CD">
          <w:rPr>
            <w:webHidden/>
          </w:rPr>
          <w:t>9</w:t>
        </w:r>
        <w:r w:rsidR="00D509CD">
          <w:rPr>
            <w:webHidden/>
          </w:rPr>
          <w:fldChar w:fldCharType="end"/>
        </w:r>
      </w:hyperlink>
    </w:p>
    <w:p w14:paraId="6305A62F" w14:textId="75B33D5E" w:rsidR="00D509CD" w:rsidRDefault="00A549BE">
      <w:pPr>
        <w:pStyle w:val="TOC3"/>
        <w:rPr>
          <w:rFonts w:eastAsiaTheme="minorEastAsia"/>
          <w:b w:val="0"/>
          <w:color w:val="auto"/>
          <w:lang w:eastAsia="en-AU"/>
        </w:rPr>
      </w:pPr>
      <w:hyperlink w:anchor="_Toc100137179" w:history="1">
        <w:r w:rsidR="00D509CD" w:rsidRPr="000970E2">
          <w:rPr>
            <w:rStyle w:val="Hyperlink"/>
          </w:rPr>
          <w:t>Appendix 2:</w:t>
        </w:r>
        <w:r w:rsidR="00D509CD">
          <w:rPr>
            <w:rFonts w:eastAsiaTheme="minorEastAsia"/>
            <w:b w:val="0"/>
            <w:color w:val="auto"/>
            <w:lang w:eastAsia="en-AU"/>
          </w:rPr>
          <w:tab/>
        </w:r>
        <w:r w:rsidR="00D509CD" w:rsidRPr="000970E2">
          <w:rPr>
            <w:rStyle w:val="Hyperlink"/>
          </w:rPr>
          <w:t>Historical trends</w:t>
        </w:r>
        <w:r w:rsidR="00D509CD">
          <w:rPr>
            <w:webHidden/>
          </w:rPr>
          <w:tab/>
        </w:r>
        <w:r w:rsidR="00D509CD">
          <w:rPr>
            <w:webHidden/>
          </w:rPr>
          <w:fldChar w:fldCharType="begin"/>
        </w:r>
        <w:r w:rsidR="00D509CD">
          <w:rPr>
            <w:webHidden/>
          </w:rPr>
          <w:instrText xml:space="preserve"> PAGEREF _Toc100137179 \h </w:instrText>
        </w:r>
        <w:r w:rsidR="00D509CD">
          <w:rPr>
            <w:webHidden/>
          </w:rPr>
        </w:r>
        <w:r w:rsidR="00D509CD">
          <w:rPr>
            <w:webHidden/>
          </w:rPr>
          <w:fldChar w:fldCharType="separate"/>
        </w:r>
        <w:r w:rsidR="00D509CD">
          <w:rPr>
            <w:webHidden/>
          </w:rPr>
          <w:t>18</w:t>
        </w:r>
        <w:r w:rsidR="00D509CD">
          <w:rPr>
            <w:webHidden/>
          </w:rPr>
          <w:fldChar w:fldCharType="end"/>
        </w:r>
      </w:hyperlink>
    </w:p>
    <w:p w14:paraId="7B6D8A25" w14:textId="6AC54BA3" w:rsidR="00937076" w:rsidRDefault="00773742" w:rsidP="00AD297B">
      <w:r>
        <w:rPr>
          <w:b/>
          <w:bCs/>
          <w:color w:val="4E1A74"/>
        </w:rPr>
        <w:fldChar w:fldCharType="end"/>
      </w:r>
    </w:p>
    <w:p w14:paraId="34599B96" w14:textId="77777777" w:rsidR="00DC23A8" w:rsidRDefault="00937076">
      <w:r>
        <w:br w:type="page"/>
      </w:r>
    </w:p>
    <w:p w14:paraId="1C47C485" w14:textId="40FEFEC0" w:rsidR="00DC23A8" w:rsidRDefault="00DC23A8" w:rsidP="00AD297B">
      <w:pPr>
        <w:pStyle w:val="Heading1Nonumber"/>
      </w:pPr>
      <w:bookmarkStart w:id="1" w:name="_Toc100137168"/>
      <w:bookmarkStart w:id="2" w:name="_Hlk100066948"/>
      <w:r>
        <w:lastRenderedPageBreak/>
        <w:t>Executive Summary</w:t>
      </w:r>
      <w:bookmarkEnd w:id="1"/>
    </w:p>
    <w:p w14:paraId="4F7D3BBF" w14:textId="2F86ACC8" w:rsidR="006767B7" w:rsidRDefault="006767B7" w:rsidP="00C5735F">
      <w:r w:rsidRPr="006767B7">
        <w:t xml:space="preserve">ARPANSA collects data to establish and update national </w:t>
      </w:r>
      <w:r>
        <w:t>diagnostic reference levels (</w:t>
      </w:r>
      <w:r w:rsidRPr="006767B7">
        <w:t>DRLs</w:t>
      </w:r>
      <w:r>
        <w:t>)</w:t>
      </w:r>
      <w:r w:rsidRPr="006767B7">
        <w:t xml:space="preserve">. </w:t>
      </w:r>
      <w:r>
        <w:t>The National Diagnostic Reference Level Service (NDRLS), a</w:t>
      </w:r>
      <w:r w:rsidRPr="006767B7">
        <w:t xml:space="preserve"> free </w:t>
      </w:r>
      <w:r>
        <w:t xml:space="preserve">on-line </w:t>
      </w:r>
      <w:r w:rsidR="00D509CD">
        <w:t>service</w:t>
      </w:r>
      <w:r>
        <w:t xml:space="preserve"> maintained and operated by ARPANSA,</w:t>
      </w:r>
      <w:r w:rsidRPr="006767B7">
        <w:t xml:space="preserve"> </w:t>
      </w:r>
      <w:r>
        <w:t>provides tools for imaging facilities to record data on radiation dose</w:t>
      </w:r>
      <w:r w:rsidR="002D7CC7">
        <w:t>s in imaging procedures</w:t>
      </w:r>
      <w:r>
        <w:t xml:space="preserve"> </w:t>
      </w:r>
      <w:r w:rsidR="002D7CC7">
        <w:t xml:space="preserve">and compare their practice with the national </w:t>
      </w:r>
      <w:r w:rsidRPr="006767B7">
        <w:t>DRLs, providing guidance to optimise radiation dose. More than 60 per cent of imaging facilities</w:t>
      </w:r>
      <w:r w:rsidR="00D11C37">
        <w:t xml:space="preserve"> with computed tomography (CT) scanners</w:t>
      </w:r>
      <w:r w:rsidRPr="006767B7">
        <w:t xml:space="preserve"> use this service, </w:t>
      </w:r>
      <w:r w:rsidR="0096579E">
        <w:t xml:space="preserve">which supports patient safety </w:t>
      </w:r>
      <w:r w:rsidR="00C20461">
        <w:t>in CT and other imaging procedures</w:t>
      </w:r>
      <w:r w:rsidRPr="006767B7">
        <w:t>.</w:t>
      </w:r>
    </w:p>
    <w:p w14:paraId="047C876D" w14:textId="398A1E0C" w:rsidR="00C5735F" w:rsidRDefault="00C5735F" w:rsidP="00C5735F">
      <w:r>
        <w:t xml:space="preserve">A total of 5078 surveys from 722 scanners were completed in 2020 for multi-detector computed tomography (MDCT) procedures. For several scan categories the third quartile of the distribution of scanner median dose metrics for 2020 is more than 10% below the </w:t>
      </w:r>
      <w:r w:rsidR="006767B7">
        <w:t xml:space="preserve">relevant </w:t>
      </w:r>
      <w:r>
        <w:t xml:space="preserve">national </w:t>
      </w:r>
      <w:r w:rsidR="00C20461">
        <w:t>DRL</w:t>
      </w:r>
      <w:r>
        <w:t xml:space="preserve">. In many cases more than 85% of surveys have median values under the </w:t>
      </w:r>
      <w:r w:rsidR="006752AF">
        <w:t xml:space="preserve">national </w:t>
      </w:r>
      <w:r>
        <w:t xml:space="preserve">DRL. These data suggest that a general review of the MDCT DRLs is warranted, especially the DRLs for </w:t>
      </w:r>
      <w:proofErr w:type="spellStart"/>
      <w:r>
        <w:t>pediatric</w:t>
      </w:r>
      <w:proofErr w:type="spellEnd"/>
      <w:r>
        <w:t xml:space="preserve"> patients.</w:t>
      </w:r>
    </w:p>
    <w:p w14:paraId="3864059D" w14:textId="61E59EF3" w:rsidR="00C5735F" w:rsidRDefault="00C5735F" w:rsidP="00C5735F">
      <w:r>
        <w:t>Forty-six (46) surveys were submitted for image-guided procedures in 2020, mostly for diagnostic coronary angiography. The third quartiles of the distributions of dose metrics were consistent with the national DRLs</w:t>
      </w:r>
      <w:r w:rsidR="00C20461">
        <w:t xml:space="preserve"> for diagnostic coronary angiography</w:t>
      </w:r>
      <w:r>
        <w:t xml:space="preserve">. More data submissions are needed to establish national DRLs for other image-guided procedures. </w:t>
      </w:r>
    </w:p>
    <w:p w14:paraId="6317C2CC" w14:textId="77777777" w:rsidR="00C72C2E" w:rsidRDefault="00C5735F" w:rsidP="00C5735F">
      <w:r>
        <w:t xml:space="preserve">A new survey </w:t>
      </w:r>
      <w:r w:rsidR="00580E11">
        <w:t>was developed</w:t>
      </w:r>
      <w:r>
        <w:t xml:space="preserve"> to collect data for nuclear medicine procedures. Updated DRLs for nuclear medicine and positron emission tomography are expected </w:t>
      </w:r>
      <w:r w:rsidR="00580E11">
        <w:t>following the completion of the survey and analysis of the data</w:t>
      </w:r>
      <w:r>
        <w:t>.</w:t>
      </w:r>
    </w:p>
    <w:p w14:paraId="084ADAE4" w14:textId="60C2AC12" w:rsidR="00C72C2E" w:rsidRDefault="00C72C2E" w:rsidP="00C5735F">
      <w:pPr>
        <w:sectPr w:rsidR="00C72C2E" w:rsidSect="00777F4A">
          <w:headerReference w:type="default" r:id="rId18"/>
          <w:footerReference w:type="default" r:id="rId19"/>
          <w:headerReference w:type="first" r:id="rId20"/>
          <w:footerReference w:type="first" r:id="rId21"/>
          <w:pgSz w:w="11906" w:h="16838" w:code="9"/>
          <w:pgMar w:top="1134" w:right="1134" w:bottom="1134" w:left="1134" w:header="567" w:footer="567" w:gutter="0"/>
          <w:pgNumType w:fmt="lowerRoman"/>
          <w:cols w:space="708"/>
          <w:titlePg/>
          <w:docGrid w:linePitch="360"/>
        </w:sectPr>
      </w:pPr>
      <w:r w:rsidRPr="00C72C2E">
        <w:t>The data collected</w:t>
      </w:r>
      <w:r>
        <w:t xml:space="preserve"> for MDCT</w:t>
      </w:r>
      <w:r w:rsidRPr="00C72C2E">
        <w:t xml:space="preserve"> over the last decade demonstrate a reduction in dose per procedure for all procedures which have </w:t>
      </w:r>
      <w:r>
        <w:t>an established national D</w:t>
      </w:r>
      <w:r w:rsidRPr="00C72C2E">
        <w:t>RL.</w:t>
      </w:r>
      <w:r>
        <w:t xml:space="preserve"> These changes reflect advances in technology and optimisation of practice. DRL programs in other modalities are less mature and </w:t>
      </w:r>
      <w:r w:rsidR="007E12A6">
        <w:t xml:space="preserve">greater engagement is needed to increase the volume of data submission and foster optimisation. </w:t>
      </w:r>
      <w:r w:rsidRPr="00C72C2E">
        <w:t xml:space="preserve"> </w:t>
      </w:r>
    </w:p>
    <w:p w14:paraId="3ABC15A0" w14:textId="1597F943" w:rsidR="00067C8C" w:rsidRPr="00362AB9" w:rsidRDefault="00C5735F" w:rsidP="00DC6AEC">
      <w:pPr>
        <w:pStyle w:val="Heading1"/>
        <w:spacing w:before="0"/>
      </w:pPr>
      <w:bookmarkStart w:id="3" w:name="_Toc100137169"/>
      <w:bookmarkEnd w:id="2"/>
      <w:r>
        <w:lastRenderedPageBreak/>
        <w:t>Introduction</w:t>
      </w:r>
      <w:bookmarkEnd w:id="3"/>
    </w:p>
    <w:p w14:paraId="5920E7DE" w14:textId="19770E56" w:rsidR="00C5735F" w:rsidRDefault="00C5735F" w:rsidP="00C5735F">
      <w:r>
        <w:t>The Australian Radiation Protection and Nuclear Safety Agency (ARPANSA) has a legislated responsibility to “protect the health and safety of people, and to protect the environment, from the harmful effects of radiation.”</w:t>
      </w:r>
      <w:r>
        <w:rPr>
          <w:rStyle w:val="FootnoteReference"/>
        </w:rPr>
        <w:footnoteReference w:id="1"/>
      </w:r>
      <w:r>
        <w:t xml:space="preserve">  ARPANSA’s National Diagnostic Reference Level Service (NDRLS) is maintained to support radiation safety for patients undergoing diagnostic imaging with ionising radiation.</w:t>
      </w:r>
    </w:p>
    <w:p w14:paraId="5E6C0D28" w14:textId="0659F6E7" w:rsidR="00C5735F" w:rsidRDefault="00C5735F" w:rsidP="00C5735F">
      <w:r>
        <w:t xml:space="preserve">ARPANSA’s Medical Imaging section developed the NDRLS in response to the publication and adoption in 2008 of the </w:t>
      </w:r>
      <w:r w:rsidRPr="00C46939">
        <w:rPr>
          <w:i/>
          <w:iCs/>
        </w:rPr>
        <w:t>Code for Radiation Protection in the Medical Applications of Ionizing Radiation</w:t>
      </w:r>
      <w:r>
        <w:t xml:space="preserve"> (RPS 14)</w:t>
      </w:r>
      <w:r w:rsidR="00C46939">
        <w:t xml:space="preserve"> (ARPANSA, 2008). The code</w:t>
      </w:r>
      <w:r>
        <w:t xml:space="preserve"> included a requirement for facilities to compare radiation doses in diagnostic imaging procedures with diagnostic reference levels (DRLs) where such DRLs had been established. Since the inception of the NDRLS in 2011, usage has grown such that nearly 800 facilities with </w:t>
      </w:r>
      <w:r w:rsidR="00C46939">
        <w:t>a combined total of more</w:t>
      </w:r>
      <w:r>
        <w:t xml:space="preserve"> than 1000 </w:t>
      </w:r>
      <w:r w:rsidR="00E1074B">
        <w:t>computed tomography (</w:t>
      </w:r>
      <w:r>
        <w:t>CT</w:t>
      </w:r>
      <w:r w:rsidR="00E1074B">
        <w:t>)</w:t>
      </w:r>
      <w:r>
        <w:t xml:space="preserve"> scanners are registered with the service. It is estimated that this represents more than 60% of all providers of CT services in Australia. The NDRLS supports </w:t>
      </w:r>
      <w:r w:rsidR="000C4F09">
        <w:t xml:space="preserve">patient </w:t>
      </w:r>
      <w:r>
        <w:t>safety for the approximately 5 million CT imaging procedures performed in Australia each year.</w:t>
      </w:r>
    </w:p>
    <w:p w14:paraId="5C9668D3" w14:textId="20555222" w:rsidR="00067C8C" w:rsidRDefault="00C5735F" w:rsidP="00C5735F">
      <w:r>
        <w:t xml:space="preserve">This report analyses data collected through the NDRLS for the 2020 calendar year and presents historical trends over the </w:t>
      </w:r>
      <w:r w:rsidR="00AE1CAB">
        <w:t>s</w:t>
      </w:r>
      <w:r>
        <w:t>ervice’s operational lifetime since 2011.</w:t>
      </w:r>
    </w:p>
    <w:p w14:paraId="3F4C0C35" w14:textId="7CB57EC7" w:rsidR="00C5735F" w:rsidRDefault="00C5735F" w:rsidP="00C5735F">
      <w:pPr>
        <w:pStyle w:val="Heading1"/>
      </w:pPr>
      <w:bookmarkStart w:id="4" w:name="_Toc100137170"/>
      <w:r>
        <w:t>ARPANSA’s National Diagnostic Reference Level Service</w:t>
      </w:r>
      <w:bookmarkEnd w:id="4"/>
    </w:p>
    <w:p w14:paraId="74A609F3" w14:textId="443EAB94" w:rsidR="00C5735F" w:rsidRDefault="00C5735F" w:rsidP="00C5735F">
      <w:r>
        <w:t>ARPANSA’s Diagnostic Reference Level (DRL) program supports optimisation of medical exposures by providing guidance on typical dose</w:t>
      </w:r>
      <w:r w:rsidR="006767B7">
        <w:t>s</w:t>
      </w:r>
      <w:r>
        <w:t xml:space="preserve"> for common imaging procedures. Routine comparison against DRLs is included in regulatory requirements such as the Medical Exposure Code (RPS C-5) </w:t>
      </w:r>
      <w:r w:rsidR="000F367E">
        <w:t>(ARPANSA, 2019)</w:t>
      </w:r>
      <w:r>
        <w:t xml:space="preserve"> and the Diagnostic Imaging Accreditation Scheme (DIAS) </w:t>
      </w:r>
      <w:r w:rsidR="000F367E">
        <w:t>(ACSQHC, 2016)</w:t>
      </w:r>
      <w:r>
        <w:t>.</w:t>
      </w:r>
    </w:p>
    <w:p w14:paraId="20D8A9DD" w14:textId="1266541D" w:rsidR="00C5735F" w:rsidRDefault="00C5735F" w:rsidP="00C5735F">
      <w:r>
        <w:t xml:space="preserve">The International Commission on Radiological Protection (ICRP) recommends that DRLs should reflect common practice within a given geographical region </w:t>
      </w:r>
      <w:r w:rsidR="000F367E">
        <w:t>(ICRP, 2017)</w:t>
      </w:r>
      <w:r>
        <w:t>. ARPANSA achieves this by determining national DRLs based on the results of wide-scale surveys of Australian imaging facilities.</w:t>
      </w:r>
    </w:p>
    <w:p w14:paraId="32F93D0E" w14:textId="2266FBD1" w:rsidR="00C5735F" w:rsidRDefault="00C5735F" w:rsidP="00C5735F">
      <w:r>
        <w:t xml:space="preserve">ARPANSA has published national DRLs for multi-detector computed tomography (MDCT), image guided and interventional procedures (IGIP) and nuclear medicine </w:t>
      </w:r>
      <w:r w:rsidR="000F367E">
        <w:t xml:space="preserve">(ARPANSA, 2021; Hayton </w:t>
      </w:r>
      <w:r w:rsidR="000F367E" w:rsidRPr="000F367E">
        <w:rPr>
          <w:i/>
          <w:iCs/>
        </w:rPr>
        <w:t>et al</w:t>
      </w:r>
      <w:r w:rsidR="000F367E">
        <w:t xml:space="preserve">., 2013a; Lee </w:t>
      </w:r>
      <w:r w:rsidR="000F367E" w:rsidRPr="000F367E">
        <w:rPr>
          <w:i/>
          <w:iCs/>
        </w:rPr>
        <w:t>et al</w:t>
      </w:r>
      <w:r w:rsidR="000F367E">
        <w:t xml:space="preserve">., 2020; Beveridge </w:t>
      </w:r>
      <w:r w:rsidR="000F367E" w:rsidRPr="000F367E">
        <w:rPr>
          <w:i/>
          <w:iCs/>
        </w:rPr>
        <w:t>et al</w:t>
      </w:r>
      <w:r w:rsidR="000F367E">
        <w:t>., 2019)</w:t>
      </w:r>
      <w:r>
        <w:t xml:space="preserve">. These three modalities include the imaging procedures with the highest radiation doses and are responsible for the majority of the Australian population’s medical imaging dose burden </w:t>
      </w:r>
      <w:r w:rsidR="000F367E">
        <w:t xml:space="preserve">(Hayton </w:t>
      </w:r>
      <w:r w:rsidR="000F367E" w:rsidRPr="000F367E">
        <w:rPr>
          <w:i/>
          <w:iCs/>
        </w:rPr>
        <w:t>et al</w:t>
      </w:r>
      <w:r w:rsidR="000F367E">
        <w:t>., 2013b)</w:t>
      </w:r>
      <w:r>
        <w:t>.</w:t>
      </w:r>
    </w:p>
    <w:p w14:paraId="184CE314" w14:textId="73CB9670" w:rsidR="0037745C" w:rsidRDefault="00D11C37" w:rsidP="00C5735F">
      <w:r>
        <w:t>The NDRLS</w:t>
      </w:r>
      <w:r w:rsidR="00C5735F">
        <w:t xml:space="preserve"> collects MDCT survey data through a web portal</w:t>
      </w:r>
      <w:r w:rsidR="00E1074B">
        <w:t xml:space="preserve"> (Wallace </w:t>
      </w:r>
      <w:r w:rsidR="00E1074B" w:rsidRPr="000F367E">
        <w:rPr>
          <w:i/>
          <w:iCs/>
        </w:rPr>
        <w:t>et al</w:t>
      </w:r>
      <w:r w:rsidR="00E1074B">
        <w:t>., 2015)</w:t>
      </w:r>
      <w:r w:rsidR="00C5735F">
        <w:t>. Data for IGIP and nuclear medicine procedures are collected using spreadsheet templates</w:t>
      </w:r>
      <w:r w:rsidR="00C5735F">
        <w:rPr>
          <w:rStyle w:val="FootnoteReference"/>
        </w:rPr>
        <w:footnoteReference w:id="2"/>
      </w:r>
      <w:r w:rsidR="00C5735F">
        <w:t xml:space="preserve">. </w:t>
      </w:r>
      <w:r w:rsidR="006767B7">
        <w:t>Imaging facilities</w:t>
      </w:r>
      <w:r w:rsidR="00C5735F">
        <w:t xml:space="preserve"> submit their protocol, patient, and dose information to the ARPANSA NDRLS for a variety of procedures. A single survey consists of the protocol information (technical parameters for the scan or procedure) for a particular scan category along with the dose metrics and patient characteristics for a sample of individual patients undergoing that scan or procedure. Surveys include data for up to 20 patients in MDCT and 50 patients for IGIP. The median value of each dose metric is reported as the facility reference level (FRL) for the survey. The national DRLs </w:t>
      </w:r>
      <w:r w:rsidR="00C5735F">
        <w:lastRenderedPageBreak/>
        <w:t xml:space="preserve">are based on the 75th percentile (third quartile) of the resulting FRL distributions across all participating facilities for each scan or </w:t>
      </w:r>
      <w:r w:rsidR="00E1741F">
        <w:rPr>
          <w:noProof/>
        </w:rPr>
        <mc:AlternateContent>
          <mc:Choice Requires="wps">
            <w:drawing>
              <wp:anchor distT="182880" distB="182880" distL="114300" distR="114300" simplePos="0" relativeHeight="251659264" behindDoc="0" locked="0" layoutInCell="1" allowOverlap="1" wp14:anchorId="6923EF50" wp14:editId="49884793">
                <wp:simplePos x="0" y="0"/>
                <wp:positionH relativeFrom="margin">
                  <wp:align>right</wp:align>
                </wp:positionH>
                <wp:positionV relativeFrom="margin">
                  <wp:posOffset>989330</wp:posOffset>
                </wp:positionV>
                <wp:extent cx="5943600" cy="7219950"/>
                <wp:effectExtent l="0" t="0" r="0" b="0"/>
                <wp:wrapTopAndBottom/>
                <wp:docPr id="38" name="Rectangle 38" descr="Color-block pull quote"/>
                <wp:cNvGraphicFramePr/>
                <a:graphic xmlns:a="http://schemas.openxmlformats.org/drawingml/2006/main">
                  <a:graphicData uri="http://schemas.microsoft.com/office/word/2010/wordprocessingShape">
                    <wps:wsp>
                      <wps:cNvSpPr/>
                      <wps:spPr>
                        <a:xfrm>
                          <a:off x="0" y="0"/>
                          <a:ext cx="5943600" cy="72201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B6A655" w14:textId="61950327" w:rsidR="0037745C" w:rsidRPr="0037745C" w:rsidRDefault="0037745C" w:rsidP="00E1741F">
                            <w:pPr>
                              <w:pStyle w:val="Heading1Nonumber"/>
                              <w:spacing w:before="0"/>
                            </w:pPr>
                            <w:bookmarkStart w:id="5" w:name="_Toc100137171"/>
                            <w:r w:rsidRPr="0037745C">
                              <w:rPr>
                                <w:color w:val="FFFFFF" w:themeColor="background1"/>
                              </w:rPr>
                              <w:t>What are DRLs?</w:t>
                            </w:r>
                            <w:bookmarkEnd w:id="5"/>
                            <w:r w:rsidRPr="0037745C">
                              <w:t xml:space="preserve"> </w:t>
                            </w:r>
                          </w:p>
                          <w:p w14:paraId="1417E924" w14:textId="77777777" w:rsidR="0037745C" w:rsidRPr="0037745C" w:rsidRDefault="0037745C" w:rsidP="0037745C">
                            <w:pPr>
                              <w:rPr>
                                <w:color w:val="FFFFFF" w:themeColor="background1"/>
                              </w:rPr>
                            </w:pPr>
                            <w:r w:rsidRPr="0037745C">
                              <w:rPr>
                                <w:color w:val="FFFFFF" w:themeColor="background1"/>
                              </w:rPr>
                              <w:t>A key principle for radiation protection in medical uses of ionising radiation is that procedures should be optimised, meaning that the ratio of benefit to risk should be maximised. For a given imaging procedure, the risk is assumed to be proportional to the radiation dose delivered. Benefit is harder to quantify but a key requirement is that the images obtained are of sufficient quality to address the clinical question that prompted the imaging procedure in the first place.</w:t>
                            </w:r>
                          </w:p>
                          <w:p w14:paraId="7457D0E2" w14:textId="77777777" w:rsidR="0037745C" w:rsidRPr="0037745C" w:rsidRDefault="0037745C" w:rsidP="0037745C">
                            <w:pPr>
                              <w:rPr>
                                <w:color w:val="FFFFFF" w:themeColor="background1"/>
                              </w:rPr>
                            </w:pPr>
                            <w:r w:rsidRPr="0037745C">
                              <w:rPr>
                                <w:color w:val="FFFFFF" w:themeColor="background1"/>
                              </w:rPr>
                              <w:t>Diagnostic reference levels (DRLs) are an optimisation tool. They provide an indication of the expected radiation dose delivered for a given imaging procedure. A medical imaging facility must periodically compare their typical dose with the DRL for each of the common procedures they perform that have a published national DRL. The typical dose at a facility is the median value of the relevant dose metric from a representative sample of patient exposures. If the facility’s median value is above the DRL, this is an indication that further optimisation (reduction in dose) may be possible. The facility should review the imaging protocol to determine whether a reduction in dose can be achieved, without compromising the image quality required for the clinical task.</w:t>
                            </w:r>
                          </w:p>
                          <w:p w14:paraId="400AA218" w14:textId="2CA6E9C1" w:rsidR="0037745C" w:rsidRDefault="0037745C" w:rsidP="0037745C">
                            <w:pPr>
                              <w:rPr>
                                <w:color w:val="FFFFFF" w:themeColor="background1"/>
                              </w:rPr>
                            </w:pPr>
                            <w:r w:rsidRPr="0037745C">
                              <w:rPr>
                                <w:color w:val="FFFFFF" w:themeColor="background1"/>
                              </w:rPr>
                              <w:t>DRLs are usually established from surveys of typical doses for common procedures across many facilities in a nation or region. The International Commission on Radiological Protection (ICRP) recommends that DRLs be established at the 75th percentile of the distribution of facility median dose values. This means that 75% of facilities would have a typical dose either at or below the DRL. The other 25% of facilities may be doing the best they can, but the fact that 75% of facilities can perform the same imaging task at a lower dose level suggests that improvement is possible and worth investigating. Improvement may be possible even for sites that are under the DRL, and this is encouraged where resources permit, but it is likely that the best gains can be made in those sites that are above the DRL.</w:t>
                            </w:r>
                          </w:p>
                          <w:p w14:paraId="1A624AE3" w14:textId="17CBF91C" w:rsidR="0037745C" w:rsidRDefault="0037745C" w:rsidP="0037745C">
                            <w:pPr>
                              <w:rPr>
                                <w:color w:val="FFFFFF" w:themeColor="background1"/>
                              </w:rPr>
                            </w:pPr>
                            <w:r w:rsidRPr="0037745C">
                              <w:rPr>
                                <w:color w:val="FFFFFF" w:themeColor="background1"/>
                              </w:rPr>
                              <w:t>Continued monitoring of facility median dose levels would be expected to show a reduction in the 75th percentile of the distribution over time as facilities review and optimise their imaging protocols and as new equipment is installed with the capability of producing the required image quality at lower doses. DRLs should thus be reviewed over time and revised as necessary to ensure they are continuing to reflect the typical dose achieved by about 75% of facilities. This ongoing process of continuous improvement helps ensure that the ratio of benefit to risk is maximised for patients</w:t>
                            </w:r>
                            <w:r>
                              <w:rPr>
                                <w:color w:val="FFFFFF" w:themeColor="background1"/>
                              </w:rPr>
                              <w:t>.</w:t>
                            </w: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6923EF50" id="Rectangle 38" o:spid="_x0000_s1026" alt="Color-block pull quote" style="position:absolute;margin-left:416.8pt;margin-top:77.9pt;width:468pt;height:568.5pt;z-index:251659264;visibility:visible;mso-wrap-style:square;mso-width-percent:1000;mso-height-percent:0;mso-wrap-distance-left:9pt;mso-wrap-distance-top:14.4pt;mso-wrap-distance-right:9pt;mso-wrap-distance-bottom:14.4pt;mso-position-horizontal:right;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" fillcolor="#4e1a74 [3215]" stroked="f" strokeweight="2pt">
                <v:textbox inset="28.8pt,7.2pt,28.8pt,7.2pt">
                  <w:txbxContent>
                    <w:p w14:paraId="62B6A655" w14:textId="61950327" w:rsidR="0037745C" w:rsidRPr="0037745C" w:rsidRDefault="0037745C" w:rsidP="00E1741F">
                      <w:pPr>
                        <w:pStyle w:val="Heading1Nonumber"/>
                        <w:spacing w:before="0"/>
                      </w:pPr>
                      <w:bookmarkStart w:id="6" w:name="_Toc100137171"/>
                      <w:r w:rsidRPr="0037745C">
                        <w:rPr>
                          <w:color w:val="FFFFFF" w:themeColor="background1"/>
                        </w:rPr>
                        <w:t>What are DRLs?</w:t>
                      </w:r>
                      <w:bookmarkEnd w:id="6"/>
                      <w:r w:rsidRPr="0037745C">
                        <w:t xml:space="preserve"> </w:t>
                      </w:r>
                    </w:p>
                    <w:p w14:paraId="1417E924" w14:textId="77777777" w:rsidR="0037745C" w:rsidRPr="0037745C" w:rsidRDefault="0037745C" w:rsidP="0037745C">
                      <w:pPr>
                        <w:rPr>
                          <w:color w:val="FFFFFF" w:themeColor="background1"/>
                        </w:rPr>
                      </w:pPr>
                      <w:r w:rsidRPr="0037745C">
                        <w:rPr>
                          <w:color w:val="FFFFFF" w:themeColor="background1"/>
                        </w:rPr>
                        <w:t>A key principle for radiation protection in medical uses of ionising radiation is that procedures should be optimised, meaning that the ratio of benefit to risk should be maximised. For a given imaging procedure, the risk is assumed to be proportional to the radiation dose delivered. Benefit is harder to quantify but a key requirement is that the images obtained are of sufficient quality to address the clinical question that prompted the imaging procedure in the first place.</w:t>
                      </w:r>
                    </w:p>
                    <w:p w14:paraId="7457D0E2" w14:textId="77777777" w:rsidR="0037745C" w:rsidRPr="0037745C" w:rsidRDefault="0037745C" w:rsidP="0037745C">
                      <w:pPr>
                        <w:rPr>
                          <w:color w:val="FFFFFF" w:themeColor="background1"/>
                        </w:rPr>
                      </w:pPr>
                      <w:r w:rsidRPr="0037745C">
                        <w:rPr>
                          <w:color w:val="FFFFFF" w:themeColor="background1"/>
                        </w:rPr>
                        <w:t>Diagnostic reference levels (DRLs) are an optimisation tool. They provide an indication of the expected radiation dose delivered for a given imaging procedure. A medical imaging facility must periodically compare their typical dose with the DRL for each of the common procedures they perform that have a published national DRL. The typical dose at a facility is the median value of the relevant dose metric from a representative sample of patient exposures. If the facility’s median value is above the DRL, this is an indication that further optimisation (reduction in dose) may be possible. The facility should review the imaging protocol to determine whether a reduction in dose can be achieved, without compromising the image quality required for the clinical task.</w:t>
                      </w:r>
                    </w:p>
                    <w:p w14:paraId="400AA218" w14:textId="2CA6E9C1" w:rsidR="0037745C" w:rsidRDefault="0037745C" w:rsidP="0037745C">
                      <w:pPr>
                        <w:rPr>
                          <w:color w:val="FFFFFF" w:themeColor="background1"/>
                        </w:rPr>
                      </w:pPr>
                      <w:r w:rsidRPr="0037745C">
                        <w:rPr>
                          <w:color w:val="FFFFFF" w:themeColor="background1"/>
                        </w:rPr>
                        <w:t>DRLs are usually established from surveys of typical doses for common procedures across many facilities in a nation or region. The International Commission on Radiological Protection (ICRP) recommends that DRLs be established at the 75th percentile of the distribution of facility median dose values. This means that 75% of facilities would have a typical dose either at or below the DRL. The other 25% of facilities may be doing the best they can, but the fact that 75% of facilities can perform the same imaging task at a lower dose level suggests that improvement is possible and worth investigating. Improvement may be possible even for sites that are under the DRL, and this is encouraged where resources permit, but it is likely that the best gains can be made in those sites that are above the DRL.</w:t>
                      </w:r>
                    </w:p>
                    <w:p w14:paraId="1A624AE3" w14:textId="17CBF91C" w:rsidR="0037745C" w:rsidRDefault="0037745C" w:rsidP="0037745C">
                      <w:pPr>
                        <w:rPr>
                          <w:color w:val="FFFFFF" w:themeColor="background1"/>
                        </w:rPr>
                      </w:pPr>
                      <w:r w:rsidRPr="0037745C">
                        <w:rPr>
                          <w:color w:val="FFFFFF" w:themeColor="background1"/>
                        </w:rPr>
                        <w:t>Continued monitoring of facility median dose levels would be expected to show a reduction in the 75th percentile of the distribution over time as facilities review and optimise their imaging protocols and as new equipment is installed with the capability of producing the required image quality at lower doses. DRLs should thus be reviewed over time and revised as necessary to ensure they are continuing to reflect the typical dose achieved by about 75% of facilities. This ongoing process of continuous improvement helps ensure that the ratio of benefit to risk is maximised for patients</w:t>
                      </w:r>
                      <w:r>
                        <w:rPr>
                          <w:color w:val="FFFFFF" w:themeColor="background1"/>
                        </w:rPr>
                        <w:t>.</w:t>
                      </w:r>
                    </w:p>
                  </w:txbxContent>
                </v:textbox>
                <w10:wrap type="topAndBottom" anchorx="margin" anchory="margin"/>
              </v:rect>
            </w:pict>
          </mc:Fallback>
        </mc:AlternateContent>
      </w:r>
      <w:r w:rsidR="00C5735F">
        <w:t>procedure category.</w:t>
      </w:r>
    </w:p>
    <w:p w14:paraId="5B82B2A6" w14:textId="5BC442D0" w:rsidR="00C5735F" w:rsidRDefault="00C5735F" w:rsidP="00C5735F">
      <w:pPr>
        <w:pStyle w:val="Heading1"/>
      </w:pPr>
      <w:bookmarkStart w:id="6" w:name="_Toc100137172"/>
      <w:r>
        <w:lastRenderedPageBreak/>
        <w:t>Year in Review – 2020</w:t>
      </w:r>
      <w:bookmarkEnd w:id="6"/>
    </w:p>
    <w:p w14:paraId="601F5346" w14:textId="2DFF0694" w:rsidR="00C5735F" w:rsidRDefault="00C5735F" w:rsidP="00C5735F">
      <w:pPr>
        <w:pStyle w:val="Heading2"/>
      </w:pPr>
      <w:bookmarkStart w:id="7" w:name="_Toc100137173"/>
      <w:r>
        <w:t>Computed Tomography</w:t>
      </w:r>
      <w:bookmarkEnd w:id="7"/>
    </w:p>
    <w:p w14:paraId="1A2DE60A" w14:textId="6341F15F" w:rsidR="00C5735F" w:rsidRDefault="00C5735F" w:rsidP="00C5735F">
      <w:r>
        <w:t>The MDCT survey continued to show growth in the number of users participating and the amount of data submitted. At the end of 2020, the MDCT survey had 787 registered participants, with 52 registering during 2020. A total of 5078 CT surveys from 722 scanners were completed in 2020, an increase of 297 surveys from the total for 2019. A breakdown of the surveys by age group and scan category is shown in Table 1.</w:t>
      </w:r>
    </w:p>
    <w:p w14:paraId="6DDEDC28" w14:textId="77777777" w:rsidR="00C5735F" w:rsidRDefault="00C5735F" w:rsidP="00E1741F">
      <w:pPr>
        <w:pStyle w:val="Caption"/>
        <w:spacing w:before="360"/>
        <w:jc w:val="center"/>
      </w:pPr>
      <w:r>
        <w:t>Table 1 - Number of MDCT DRL surveys submitted in 2020 by age group and scan category</w:t>
      </w:r>
    </w:p>
    <w:tbl>
      <w:tblPr>
        <w:tblStyle w:val="GenericARPANSA"/>
        <w:tblW w:w="5000" w:type="pct"/>
        <w:jc w:val="center"/>
        <w:tblInd w:w="0" w:type="dxa"/>
        <w:tblLook w:val="04A0" w:firstRow="1" w:lastRow="0" w:firstColumn="1" w:lastColumn="0" w:noHBand="0" w:noVBand="1"/>
      </w:tblPr>
      <w:tblGrid>
        <w:gridCol w:w="3503"/>
        <w:gridCol w:w="4343"/>
        <w:gridCol w:w="1782"/>
      </w:tblGrid>
      <w:tr w:rsidR="007667D4" w:rsidRPr="005E5557" w14:paraId="0B7858A9" w14:textId="77777777" w:rsidTr="00E1741F">
        <w:trPr>
          <w:cnfStyle w:val="100000000000" w:firstRow="1" w:lastRow="0" w:firstColumn="0" w:lastColumn="0" w:oddVBand="0" w:evenVBand="0" w:oddHBand="0" w:evenHBand="0" w:firstRowFirstColumn="0" w:firstRowLastColumn="0" w:lastRowFirstColumn="0" w:lastRowLastColumn="0"/>
          <w:jc w:val="center"/>
        </w:trPr>
        <w:tc>
          <w:tcPr>
            <w:tcW w:w="1887" w:type="dxa"/>
            <w:noWrap/>
            <w:hideMark/>
          </w:tcPr>
          <w:p w14:paraId="19B0D229" w14:textId="77777777" w:rsidR="00C5735F" w:rsidRPr="007667D4" w:rsidRDefault="00C5735F" w:rsidP="00E1741F">
            <w:pPr>
              <w:spacing w:before="60" w:after="60"/>
              <w:rPr>
                <w:rFonts w:eastAsia="Times New Roman" w:cs="Calibri"/>
                <w:lang w:eastAsia="en-AU"/>
              </w:rPr>
            </w:pPr>
            <w:r w:rsidRPr="007667D4">
              <w:rPr>
                <w:rFonts w:eastAsia="Times New Roman" w:cs="Calibri"/>
                <w:lang w:eastAsia="en-AU"/>
              </w:rPr>
              <w:t>Age group</w:t>
            </w:r>
          </w:p>
        </w:tc>
        <w:tc>
          <w:tcPr>
            <w:tcW w:w="2340" w:type="dxa"/>
            <w:noWrap/>
            <w:hideMark/>
          </w:tcPr>
          <w:p w14:paraId="2F7B2A77" w14:textId="77777777" w:rsidR="00C5735F" w:rsidRPr="007667D4" w:rsidRDefault="00C5735F" w:rsidP="00E1741F">
            <w:pPr>
              <w:spacing w:before="60" w:after="60"/>
              <w:rPr>
                <w:rFonts w:eastAsia="Times New Roman" w:cs="Calibri"/>
                <w:lang w:eastAsia="en-AU"/>
              </w:rPr>
            </w:pPr>
            <w:r w:rsidRPr="007667D4">
              <w:rPr>
                <w:rFonts w:eastAsia="Times New Roman" w:cs="Calibri"/>
                <w:lang w:eastAsia="en-AU"/>
              </w:rPr>
              <w:t>Scan category</w:t>
            </w:r>
          </w:p>
        </w:tc>
        <w:tc>
          <w:tcPr>
            <w:tcW w:w="960" w:type="dxa"/>
            <w:noWrap/>
            <w:hideMark/>
          </w:tcPr>
          <w:p w14:paraId="2318DA38" w14:textId="77777777" w:rsidR="00C5735F" w:rsidRPr="007667D4" w:rsidRDefault="00C5735F" w:rsidP="00E1741F">
            <w:pPr>
              <w:spacing w:before="60" w:after="60"/>
              <w:rPr>
                <w:rFonts w:eastAsia="Times New Roman" w:cs="Calibri"/>
                <w:lang w:eastAsia="en-AU"/>
              </w:rPr>
            </w:pPr>
            <w:r w:rsidRPr="007667D4">
              <w:rPr>
                <w:rFonts w:eastAsia="Times New Roman" w:cs="Calibri"/>
                <w:lang w:eastAsia="en-AU"/>
              </w:rPr>
              <w:t>Surveys</w:t>
            </w:r>
          </w:p>
        </w:tc>
      </w:tr>
      <w:tr w:rsidR="00C5735F" w:rsidRPr="005E5557" w14:paraId="56E2A434" w14:textId="77777777" w:rsidTr="00E1741F">
        <w:trPr>
          <w:jc w:val="center"/>
        </w:trPr>
        <w:tc>
          <w:tcPr>
            <w:tcW w:w="1887" w:type="dxa"/>
            <w:vMerge w:val="restart"/>
            <w:hideMark/>
          </w:tcPr>
          <w:p w14:paraId="22EDF55B" w14:textId="77777777" w:rsidR="00C5735F" w:rsidRPr="00E1741F" w:rsidRDefault="00C5735F" w:rsidP="00E1741F">
            <w:pPr>
              <w:rPr>
                <w:rFonts w:ascii="Calibri" w:eastAsia="Times New Roman" w:hAnsi="Calibri" w:cs="Calibri"/>
                <w:lang w:eastAsia="en-AU"/>
              </w:rPr>
            </w:pPr>
            <w:r w:rsidRPr="00E1741F">
              <w:rPr>
                <w:rFonts w:ascii="Calibri" w:eastAsia="Times New Roman" w:hAnsi="Calibri" w:cs="Calibri"/>
                <w:lang w:eastAsia="en-AU"/>
              </w:rPr>
              <w:t>Adult (15+ years)</w:t>
            </w:r>
          </w:p>
        </w:tc>
        <w:tc>
          <w:tcPr>
            <w:tcW w:w="2340" w:type="dxa"/>
            <w:noWrap/>
            <w:hideMark/>
          </w:tcPr>
          <w:p w14:paraId="1DEA731C" w14:textId="77777777" w:rsidR="00C5735F" w:rsidRPr="00E1741F" w:rsidRDefault="00C5735F" w:rsidP="00E1741F">
            <w:pPr>
              <w:rPr>
                <w:rFonts w:ascii="Calibri" w:eastAsia="Times New Roman" w:hAnsi="Calibri" w:cs="Calibri"/>
                <w:lang w:eastAsia="en-AU"/>
              </w:rPr>
            </w:pPr>
            <w:r w:rsidRPr="00E1741F">
              <w:rPr>
                <w:rFonts w:ascii="Calibri" w:eastAsia="Times New Roman" w:hAnsi="Calibri" w:cs="Calibri"/>
                <w:lang w:eastAsia="en-AU"/>
              </w:rPr>
              <w:t>Head</w:t>
            </w:r>
          </w:p>
        </w:tc>
        <w:tc>
          <w:tcPr>
            <w:tcW w:w="960" w:type="dxa"/>
            <w:noWrap/>
            <w:hideMark/>
          </w:tcPr>
          <w:p w14:paraId="464EC4D9" w14:textId="77777777" w:rsidR="00C5735F" w:rsidRPr="00E1741F" w:rsidRDefault="00C5735F" w:rsidP="00E1741F">
            <w:pPr>
              <w:jc w:val="right"/>
              <w:rPr>
                <w:rFonts w:ascii="Calibri" w:eastAsia="Times New Roman" w:hAnsi="Calibri" w:cs="Calibri"/>
                <w:lang w:eastAsia="en-AU"/>
              </w:rPr>
            </w:pPr>
            <w:r w:rsidRPr="00E1741F">
              <w:rPr>
                <w:rFonts w:ascii="Calibri" w:eastAsia="Times New Roman" w:hAnsi="Calibri" w:cs="Calibri"/>
                <w:lang w:eastAsia="en-AU"/>
              </w:rPr>
              <w:t>729</w:t>
            </w:r>
          </w:p>
        </w:tc>
      </w:tr>
      <w:tr w:rsidR="006575AD" w:rsidRPr="005E5557" w14:paraId="12D61D78" w14:textId="77777777" w:rsidTr="00E1741F">
        <w:trPr>
          <w:cnfStyle w:val="000000010000" w:firstRow="0" w:lastRow="0" w:firstColumn="0" w:lastColumn="0" w:oddVBand="0" w:evenVBand="0" w:oddHBand="0" w:evenHBand="1" w:firstRowFirstColumn="0" w:firstRowLastColumn="0" w:lastRowFirstColumn="0" w:lastRowLastColumn="0"/>
          <w:jc w:val="center"/>
        </w:trPr>
        <w:tc>
          <w:tcPr>
            <w:tcW w:w="1887" w:type="dxa"/>
            <w:vMerge/>
          </w:tcPr>
          <w:p w14:paraId="4FC243E5" w14:textId="77777777" w:rsidR="00C5735F" w:rsidRPr="00E1741F" w:rsidRDefault="00C5735F" w:rsidP="00E1741F">
            <w:pPr>
              <w:rPr>
                <w:rFonts w:ascii="Calibri" w:eastAsia="Times New Roman" w:hAnsi="Calibri" w:cs="Calibri"/>
                <w:lang w:eastAsia="en-AU"/>
              </w:rPr>
            </w:pPr>
          </w:p>
        </w:tc>
        <w:tc>
          <w:tcPr>
            <w:tcW w:w="2340" w:type="dxa"/>
            <w:noWrap/>
          </w:tcPr>
          <w:p w14:paraId="6AB37C55" w14:textId="77777777" w:rsidR="00C5735F" w:rsidRPr="00E1741F" w:rsidRDefault="00C5735F" w:rsidP="00E1741F">
            <w:pPr>
              <w:rPr>
                <w:rFonts w:ascii="Calibri" w:eastAsia="Times New Roman" w:hAnsi="Calibri" w:cs="Calibri"/>
                <w:lang w:eastAsia="en-AU"/>
              </w:rPr>
            </w:pPr>
            <w:r w:rsidRPr="00E1741F">
              <w:rPr>
                <w:rFonts w:ascii="Calibri" w:eastAsia="Times New Roman" w:hAnsi="Calibri" w:cs="Calibri"/>
                <w:lang w:eastAsia="en-AU"/>
              </w:rPr>
              <w:t>Cervical spine</w:t>
            </w:r>
          </w:p>
        </w:tc>
        <w:tc>
          <w:tcPr>
            <w:tcW w:w="960" w:type="dxa"/>
            <w:noWrap/>
          </w:tcPr>
          <w:p w14:paraId="02B5C869" w14:textId="77777777" w:rsidR="00C5735F" w:rsidRPr="00E1741F" w:rsidRDefault="00C5735F" w:rsidP="00E1741F">
            <w:pPr>
              <w:jc w:val="right"/>
              <w:rPr>
                <w:rFonts w:ascii="Calibri" w:eastAsia="Times New Roman" w:hAnsi="Calibri" w:cs="Calibri"/>
                <w:lang w:eastAsia="en-AU"/>
              </w:rPr>
            </w:pPr>
            <w:r w:rsidRPr="00E1741F">
              <w:rPr>
                <w:rFonts w:ascii="Calibri" w:eastAsia="Times New Roman" w:hAnsi="Calibri" w:cs="Calibri"/>
                <w:lang w:eastAsia="en-AU"/>
              </w:rPr>
              <w:t>597</w:t>
            </w:r>
          </w:p>
        </w:tc>
      </w:tr>
      <w:tr w:rsidR="00C5735F" w:rsidRPr="005E5557" w14:paraId="13712BBA" w14:textId="77777777" w:rsidTr="00E1741F">
        <w:trPr>
          <w:jc w:val="center"/>
        </w:trPr>
        <w:tc>
          <w:tcPr>
            <w:tcW w:w="1887" w:type="dxa"/>
            <w:vMerge/>
            <w:hideMark/>
          </w:tcPr>
          <w:p w14:paraId="3B353659" w14:textId="77777777" w:rsidR="00C5735F" w:rsidRPr="00E1741F" w:rsidRDefault="00C5735F" w:rsidP="00E1741F">
            <w:pPr>
              <w:rPr>
                <w:rFonts w:ascii="Calibri" w:eastAsia="Times New Roman" w:hAnsi="Calibri" w:cs="Calibri"/>
                <w:lang w:eastAsia="en-AU"/>
              </w:rPr>
            </w:pPr>
          </w:p>
        </w:tc>
        <w:tc>
          <w:tcPr>
            <w:tcW w:w="2340" w:type="dxa"/>
            <w:noWrap/>
            <w:hideMark/>
          </w:tcPr>
          <w:p w14:paraId="0372D631" w14:textId="77777777" w:rsidR="00C5735F" w:rsidRPr="00E1741F" w:rsidRDefault="00C5735F" w:rsidP="00E1741F">
            <w:pPr>
              <w:rPr>
                <w:rFonts w:ascii="Calibri" w:eastAsia="Times New Roman" w:hAnsi="Calibri" w:cs="Calibri"/>
                <w:lang w:eastAsia="en-AU"/>
              </w:rPr>
            </w:pPr>
            <w:r w:rsidRPr="00E1741F">
              <w:rPr>
                <w:rFonts w:ascii="Calibri" w:eastAsia="Times New Roman" w:hAnsi="Calibri" w:cs="Calibri"/>
                <w:lang w:eastAsia="en-AU"/>
              </w:rPr>
              <w:t>Soft-tissue neck</w:t>
            </w:r>
          </w:p>
        </w:tc>
        <w:tc>
          <w:tcPr>
            <w:tcW w:w="960" w:type="dxa"/>
            <w:noWrap/>
            <w:hideMark/>
          </w:tcPr>
          <w:p w14:paraId="678FD1D1" w14:textId="77777777" w:rsidR="00C5735F" w:rsidRPr="00E1741F" w:rsidRDefault="00C5735F" w:rsidP="00E1741F">
            <w:pPr>
              <w:jc w:val="right"/>
              <w:rPr>
                <w:rFonts w:ascii="Calibri" w:eastAsia="Times New Roman" w:hAnsi="Calibri" w:cs="Calibri"/>
                <w:lang w:eastAsia="en-AU"/>
              </w:rPr>
            </w:pPr>
            <w:r w:rsidRPr="00E1741F">
              <w:rPr>
                <w:rFonts w:ascii="Calibri" w:eastAsia="Times New Roman" w:hAnsi="Calibri" w:cs="Calibri"/>
                <w:lang w:eastAsia="en-AU"/>
              </w:rPr>
              <w:t>530</w:t>
            </w:r>
          </w:p>
        </w:tc>
      </w:tr>
      <w:tr w:rsidR="006575AD" w:rsidRPr="005E5557" w14:paraId="681AFACF" w14:textId="77777777" w:rsidTr="00E1741F">
        <w:trPr>
          <w:cnfStyle w:val="000000010000" w:firstRow="0" w:lastRow="0" w:firstColumn="0" w:lastColumn="0" w:oddVBand="0" w:evenVBand="0" w:oddHBand="0" w:evenHBand="1" w:firstRowFirstColumn="0" w:firstRowLastColumn="0" w:lastRowFirstColumn="0" w:lastRowLastColumn="0"/>
          <w:jc w:val="center"/>
        </w:trPr>
        <w:tc>
          <w:tcPr>
            <w:tcW w:w="1887" w:type="dxa"/>
            <w:vMerge/>
            <w:hideMark/>
          </w:tcPr>
          <w:p w14:paraId="77A72827" w14:textId="77777777" w:rsidR="00C5735F" w:rsidRPr="00E1741F" w:rsidRDefault="00C5735F" w:rsidP="00E1741F">
            <w:pPr>
              <w:rPr>
                <w:rFonts w:ascii="Calibri" w:eastAsia="Times New Roman" w:hAnsi="Calibri" w:cs="Calibri"/>
                <w:lang w:eastAsia="en-AU"/>
              </w:rPr>
            </w:pPr>
          </w:p>
        </w:tc>
        <w:tc>
          <w:tcPr>
            <w:tcW w:w="2340" w:type="dxa"/>
            <w:noWrap/>
            <w:hideMark/>
          </w:tcPr>
          <w:p w14:paraId="62BC591A" w14:textId="77777777" w:rsidR="00C5735F" w:rsidRPr="00E1741F" w:rsidRDefault="00C5735F" w:rsidP="00E1741F">
            <w:pPr>
              <w:rPr>
                <w:rFonts w:ascii="Calibri" w:eastAsia="Times New Roman" w:hAnsi="Calibri" w:cs="Calibri"/>
                <w:lang w:eastAsia="en-AU"/>
              </w:rPr>
            </w:pPr>
            <w:r w:rsidRPr="00E1741F">
              <w:rPr>
                <w:rFonts w:ascii="Calibri" w:eastAsia="Times New Roman" w:hAnsi="Calibri" w:cs="Calibri"/>
                <w:lang w:eastAsia="en-AU"/>
              </w:rPr>
              <w:t>Chest</w:t>
            </w:r>
          </w:p>
        </w:tc>
        <w:tc>
          <w:tcPr>
            <w:tcW w:w="960" w:type="dxa"/>
            <w:noWrap/>
            <w:hideMark/>
          </w:tcPr>
          <w:p w14:paraId="6EB31AE0" w14:textId="77777777" w:rsidR="00C5735F" w:rsidRPr="00E1741F" w:rsidRDefault="00C5735F" w:rsidP="00E1741F">
            <w:pPr>
              <w:jc w:val="right"/>
              <w:rPr>
                <w:rFonts w:ascii="Calibri" w:eastAsia="Times New Roman" w:hAnsi="Calibri" w:cs="Calibri"/>
                <w:lang w:eastAsia="en-AU"/>
              </w:rPr>
            </w:pPr>
            <w:r w:rsidRPr="00E1741F">
              <w:rPr>
                <w:rFonts w:ascii="Calibri" w:eastAsia="Times New Roman" w:hAnsi="Calibri" w:cs="Calibri"/>
                <w:lang w:eastAsia="en-AU"/>
              </w:rPr>
              <w:t>682</w:t>
            </w:r>
          </w:p>
        </w:tc>
      </w:tr>
      <w:tr w:rsidR="00C5735F" w:rsidRPr="005E5557" w14:paraId="186EB881" w14:textId="77777777" w:rsidTr="00E1741F">
        <w:trPr>
          <w:jc w:val="center"/>
        </w:trPr>
        <w:tc>
          <w:tcPr>
            <w:tcW w:w="1887" w:type="dxa"/>
            <w:vMerge/>
            <w:hideMark/>
          </w:tcPr>
          <w:p w14:paraId="6E14C5B7" w14:textId="77777777" w:rsidR="00C5735F" w:rsidRPr="00E1741F" w:rsidRDefault="00C5735F" w:rsidP="00E1741F">
            <w:pPr>
              <w:rPr>
                <w:rFonts w:ascii="Calibri" w:eastAsia="Times New Roman" w:hAnsi="Calibri" w:cs="Calibri"/>
                <w:lang w:eastAsia="en-AU"/>
              </w:rPr>
            </w:pPr>
          </w:p>
        </w:tc>
        <w:tc>
          <w:tcPr>
            <w:tcW w:w="2340" w:type="dxa"/>
            <w:noWrap/>
            <w:hideMark/>
          </w:tcPr>
          <w:p w14:paraId="2DF1FA9D" w14:textId="77777777" w:rsidR="00C5735F" w:rsidRPr="00E1741F" w:rsidRDefault="00C5735F" w:rsidP="00E1741F">
            <w:pPr>
              <w:rPr>
                <w:rFonts w:ascii="Calibri" w:eastAsia="Times New Roman" w:hAnsi="Calibri" w:cs="Calibri"/>
                <w:lang w:eastAsia="en-AU"/>
              </w:rPr>
            </w:pPr>
            <w:r w:rsidRPr="00E1741F">
              <w:rPr>
                <w:rFonts w:ascii="Calibri" w:eastAsia="Times New Roman" w:hAnsi="Calibri" w:cs="Calibri"/>
                <w:lang w:eastAsia="en-AU"/>
              </w:rPr>
              <w:t>Chest-</w:t>
            </w:r>
            <w:proofErr w:type="spellStart"/>
            <w:r w:rsidRPr="00E1741F">
              <w:rPr>
                <w:rFonts w:ascii="Calibri" w:eastAsia="Times New Roman" w:hAnsi="Calibri" w:cs="Calibri"/>
                <w:lang w:eastAsia="en-AU"/>
              </w:rPr>
              <w:t>abdo</w:t>
            </w:r>
            <w:proofErr w:type="spellEnd"/>
            <w:r w:rsidRPr="00E1741F">
              <w:rPr>
                <w:rFonts w:ascii="Calibri" w:eastAsia="Times New Roman" w:hAnsi="Calibri" w:cs="Calibri"/>
                <w:lang w:eastAsia="en-AU"/>
              </w:rPr>
              <w:t>-pelvis</w:t>
            </w:r>
          </w:p>
        </w:tc>
        <w:tc>
          <w:tcPr>
            <w:tcW w:w="960" w:type="dxa"/>
            <w:noWrap/>
            <w:hideMark/>
          </w:tcPr>
          <w:p w14:paraId="372819B3" w14:textId="77777777" w:rsidR="00C5735F" w:rsidRPr="00E1741F" w:rsidRDefault="00C5735F" w:rsidP="00E1741F">
            <w:pPr>
              <w:jc w:val="right"/>
              <w:rPr>
                <w:rFonts w:ascii="Calibri" w:eastAsia="Times New Roman" w:hAnsi="Calibri" w:cs="Calibri"/>
                <w:lang w:eastAsia="en-AU"/>
              </w:rPr>
            </w:pPr>
            <w:r w:rsidRPr="00E1741F">
              <w:rPr>
                <w:rFonts w:ascii="Calibri" w:eastAsia="Times New Roman" w:hAnsi="Calibri" w:cs="Calibri"/>
                <w:lang w:eastAsia="en-AU"/>
              </w:rPr>
              <w:t>621</w:t>
            </w:r>
          </w:p>
        </w:tc>
      </w:tr>
      <w:tr w:rsidR="006575AD" w:rsidRPr="005E5557" w14:paraId="60F7BDE4" w14:textId="77777777" w:rsidTr="00E1741F">
        <w:trPr>
          <w:cnfStyle w:val="000000010000" w:firstRow="0" w:lastRow="0" w:firstColumn="0" w:lastColumn="0" w:oddVBand="0" w:evenVBand="0" w:oddHBand="0" w:evenHBand="1" w:firstRowFirstColumn="0" w:firstRowLastColumn="0" w:lastRowFirstColumn="0" w:lastRowLastColumn="0"/>
          <w:jc w:val="center"/>
        </w:trPr>
        <w:tc>
          <w:tcPr>
            <w:tcW w:w="1887" w:type="dxa"/>
            <w:vMerge/>
            <w:hideMark/>
          </w:tcPr>
          <w:p w14:paraId="6AA8E37C" w14:textId="77777777" w:rsidR="00C5735F" w:rsidRPr="00E1741F" w:rsidRDefault="00C5735F" w:rsidP="00E1741F">
            <w:pPr>
              <w:rPr>
                <w:rFonts w:ascii="Calibri" w:eastAsia="Times New Roman" w:hAnsi="Calibri" w:cs="Calibri"/>
                <w:lang w:eastAsia="en-AU"/>
              </w:rPr>
            </w:pPr>
          </w:p>
        </w:tc>
        <w:tc>
          <w:tcPr>
            <w:tcW w:w="2340" w:type="dxa"/>
            <w:noWrap/>
            <w:hideMark/>
          </w:tcPr>
          <w:p w14:paraId="6C2BF5D8" w14:textId="77777777" w:rsidR="00C5735F" w:rsidRPr="00E1741F" w:rsidRDefault="00C5735F" w:rsidP="00E1741F">
            <w:pPr>
              <w:rPr>
                <w:rFonts w:ascii="Calibri" w:eastAsia="Times New Roman" w:hAnsi="Calibri" w:cs="Calibri"/>
                <w:lang w:eastAsia="en-AU"/>
              </w:rPr>
            </w:pPr>
            <w:r w:rsidRPr="00E1741F">
              <w:rPr>
                <w:rFonts w:ascii="Calibri" w:eastAsia="Times New Roman" w:hAnsi="Calibri" w:cs="Calibri"/>
                <w:lang w:eastAsia="en-AU"/>
              </w:rPr>
              <w:t>Abdomen-pelvis</w:t>
            </w:r>
          </w:p>
        </w:tc>
        <w:tc>
          <w:tcPr>
            <w:tcW w:w="960" w:type="dxa"/>
            <w:noWrap/>
            <w:hideMark/>
          </w:tcPr>
          <w:p w14:paraId="6D834B96" w14:textId="77777777" w:rsidR="00C5735F" w:rsidRPr="00E1741F" w:rsidRDefault="00C5735F" w:rsidP="00E1741F">
            <w:pPr>
              <w:jc w:val="right"/>
              <w:rPr>
                <w:rFonts w:ascii="Calibri" w:eastAsia="Times New Roman" w:hAnsi="Calibri" w:cs="Calibri"/>
                <w:lang w:eastAsia="en-AU"/>
              </w:rPr>
            </w:pPr>
            <w:r w:rsidRPr="00E1741F">
              <w:rPr>
                <w:rFonts w:ascii="Calibri" w:eastAsia="Times New Roman" w:hAnsi="Calibri" w:cs="Calibri"/>
                <w:lang w:eastAsia="en-AU"/>
              </w:rPr>
              <w:t>693</w:t>
            </w:r>
          </w:p>
        </w:tc>
      </w:tr>
      <w:tr w:rsidR="00C5735F" w:rsidRPr="005E5557" w14:paraId="2C04F3E3" w14:textId="77777777" w:rsidTr="00E1741F">
        <w:trPr>
          <w:jc w:val="center"/>
        </w:trPr>
        <w:tc>
          <w:tcPr>
            <w:tcW w:w="1887" w:type="dxa"/>
            <w:vMerge/>
            <w:hideMark/>
          </w:tcPr>
          <w:p w14:paraId="1B3CAC2C" w14:textId="77777777" w:rsidR="00C5735F" w:rsidRPr="00E1741F" w:rsidRDefault="00C5735F" w:rsidP="00E1741F">
            <w:pPr>
              <w:rPr>
                <w:rFonts w:ascii="Calibri" w:eastAsia="Times New Roman" w:hAnsi="Calibri" w:cs="Calibri"/>
                <w:lang w:eastAsia="en-AU"/>
              </w:rPr>
            </w:pPr>
          </w:p>
        </w:tc>
        <w:tc>
          <w:tcPr>
            <w:tcW w:w="2340" w:type="dxa"/>
            <w:noWrap/>
            <w:hideMark/>
          </w:tcPr>
          <w:p w14:paraId="01A5CD62" w14:textId="77777777" w:rsidR="00C5735F" w:rsidRPr="00E1741F" w:rsidRDefault="00C5735F" w:rsidP="00E1741F">
            <w:pPr>
              <w:rPr>
                <w:rFonts w:ascii="Calibri" w:eastAsia="Times New Roman" w:hAnsi="Calibri" w:cs="Calibri"/>
                <w:lang w:eastAsia="en-AU"/>
              </w:rPr>
            </w:pPr>
            <w:r w:rsidRPr="00E1741F">
              <w:rPr>
                <w:rFonts w:ascii="Calibri" w:eastAsia="Times New Roman" w:hAnsi="Calibri" w:cs="Calibri"/>
                <w:lang w:eastAsia="en-AU"/>
              </w:rPr>
              <w:t>Kidney-ureter-bladder</w:t>
            </w:r>
          </w:p>
        </w:tc>
        <w:tc>
          <w:tcPr>
            <w:tcW w:w="960" w:type="dxa"/>
            <w:noWrap/>
            <w:hideMark/>
          </w:tcPr>
          <w:p w14:paraId="50C4E152" w14:textId="77777777" w:rsidR="00C5735F" w:rsidRPr="00E1741F" w:rsidRDefault="00C5735F" w:rsidP="00E1741F">
            <w:pPr>
              <w:jc w:val="right"/>
              <w:rPr>
                <w:rFonts w:ascii="Calibri" w:eastAsia="Times New Roman" w:hAnsi="Calibri" w:cs="Calibri"/>
                <w:lang w:eastAsia="en-AU"/>
              </w:rPr>
            </w:pPr>
            <w:r w:rsidRPr="00E1741F">
              <w:rPr>
                <w:rFonts w:ascii="Calibri" w:eastAsia="Times New Roman" w:hAnsi="Calibri" w:cs="Calibri"/>
                <w:lang w:eastAsia="en-AU"/>
              </w:rPr>
              <w:t>521</w:t>
            </w:r>
          </w:p>
        </w:tc>
      </w:tr>
      <w:tr w:rsidR="006575AD" w:rsidRPr="005E5557" w14:paraId="23649E25" w14:textId="77777777" w:rsidTr="00E1741F">
        <w:trPr>
          <w:cnfStyle w:val="000000010000" w:firstRow="0" w:lastRow="0" w:firstColumn="0" w:lastColumn="0" w:oddVBand="0" w:evenVBand="0" w:oddHBand="0" w:evenHBand="1" w:firstRowFirstColumn="0" w:firstRowLastColumn="0" w:lastRowFirstColumn="0" w:lastRowLastColumn="0"/>
          <w:jc w:val="center"/>
        </w:trPr>
        <w:tc>
          <w:tcPr>
            <w:tcW w:w="1887" w:type="dxa"/>
            <w:vMerge/>
            <w:hideMark/>
          </w:tcPr>
          <w:p w14:paraId="550D1C63" w14:textId="77777777" w:rsidR="00C5735F" w:rsidRPr="00E1741F" w:rsidRDefault="00C5735F" w:rsidP="00E1741F">
            <w:pPr>
              <w:rPr>
                <w:rFonts w:ascii="Calibri" w:eastAsia="Times New Roman" w:hAnsi="Calibri" w:cs="Calibri"/>
                <w:lang w:eastAsia="en-AU"/>
              </w:rPr>
            </w:pPr>
          </w:p>
        </w:tc>
        <w:tc>
          <w:tcPr>
            <w:tcW w:w="2340" w:type="dxa"/>
            <w:noWrap/>
            <w:hideMark/>
          </w:tcPr>
          <w:p w14:paraId="7306E265" w14:textId="77777777" w:rsidR="00C5735F" w:rsidRPr="00E1741F" w:rsidRDefault="00C5735F" w:rsidP="00E1741F">
            <w:pPr>
              <w:rPr>
                <w:rFonts w:ascii="Calibri" w:eastAsia="Times New Roman" w:hAnsi="Calibri" w:cs="Calibri"/>
                <w:lang w:eastAsia="en-AU"/>
              </w:rPr>
            </w:pPr>
            <w:r w:rsidRPr="00E1741F">
              <w:rPr>
                <w:rFonts w:ascii="Calibri" w:eastAsia="Times New Roman" w:hAnsi="Calibri" w:cs="Calibri"/>
                <w:lang w:eastAsia="en-AU"/>
              </w:rPr>
              <w:t>Lumbar spine</w:t>
            </w:r>
          </w:p>
        </w:tc>
        <w:tc>
          <w:tcPr>
            <w:tcW w:w="960" w:type="dxa"/>
            <w:noWrap/>
            <w:hideMark/>
          </w:tcPr>
          <w:p w14:paraId="6A283420" w14:textId="77777777" w:rsidR="00C5735F" w:rsidRPr="00E1741F" w:rsidRDefault="00C5735F" w:rsidP="00E1741F">
            <w:pPr>
              <w:jc w:val="right"/>
              <w:rPr>
                <w:rFonts w:ascii="Calibri" w:eastAsia="Times New Roman" w:hAnsi="Calibri" w:cs="Calibri"/>
                <w:lang w:eastAsia="en-AU"/>
              </w:rPr>
            </w:pPr>
            <w:r w:rsidRPr="00E1741F">
              <w:rPr>
                <w:rFonts w:ascii="Calibri" w:eastAsia="Times New Roman" w:hAnsi="Calibri" w:cs="Calibri"/>
                <w:lang w:eastAsia="en-AU"/>
              </w:rPr>
              <w:t>672</w:t>
            </w:r>
          </w:p>
        </w:tc>
      </w:tr>
      <w:tr w:rsidR="00C5735F" w:rsidRPr="005E5557" w14:paraId="307F9BB2" w14:textId="77777777" w:rsidTr="00E1741F">
        <w:trPr>
          <w:jc w:val="center"/>
        </w:trPr>
        <w:tc>
          <w:tcPr>
            <w:tcW w:w="1887" w:type="dxa"/>
            <w:vMerge/>
            <w:hideMark/>
          </w:tcPr>
          <w:p w14:paraId="6613C835" w14:textId="77777777" w:rsidR="00C5735F" w:rsidRPr="00E1741F" w:rsidRDefault="00C5735F" w:rsidP="00E1741F">
            <w:pPr>
              <w:rPr>
                <w:rFonts w:ascii="Calibri" w:eastAsia="Times New Roman" w:hAnsi="Calibri" w:cs="Calibri"/>
                <w:lang w:eastAsia="en-AU"/>
              </w:rPr>
            </w:pPr>
          </w:p>
        </w:tc>
        <w:tc>
          <w:tcPr>
            <w:tcW w:w="2340" w:type="dxa"/>
            <w:noWrap/>
            <w:hideMark/>
          </w:tcPr>
          <w:p w14:paraId="1FF48022" w14:textId="77777777" w:rsidR="00C5735F" w:rsidRPr="00E1741F" w:rsidRDefault="00C5735F" w:rsidP="00E1741F">
            <w:pPr>
              <w:rPr>
                <w:rFonts w:ascii="Calibri" w:eastAsia="Times New Roman" w:hAnsi="Calibri" w:cs="Calibri"/>
                <w:lang w:eastAsia="en-AU"/>
              </w:rPr>
            </w:pPr>
            <w:r w:rsidRPr="00E1741F">
              <w:rPr>
                <w:rFonts w:ascii="Calibri" w:eastAsia="Times New Roman" w:hAnsi="Calibri" w:cs="Calibri"/>
                <w:lang w:eastAsia="en-AU"/>
              </w:rPr>
              <w:t>Total</w:t>
            </w:r>
          </w:p>
        </w:tc>
        <w:tc>
          <w:tcPr>
            <w:tcW w:w="960" w:type="dxa"/>
            <w:noWrap/>
            <w:hideMark/>
          </w:tcPr>
          <w:p w14:paraId="01E45AE4" w14:textId="77777777" w:rsidR="00C5735F" w:rsidRPr="00E1741F" w:rsidRDefault="00C5735F" w:rsidP="00E1741F">
            <w:pPr>
              <w:jc w:val="right"/>
              <w:rPr>
                <w:rFonts w:ascii="Calibri" w:eastAsia="Times New Roman" w:hAnsi="Calibri" w:cs="Calibri"/>
                <w:lang w:eastAsia="en-AU"/>
              </w:rPr>
            </w:pPr>
            <w:r w:rsidRPr="00E1741F">
              <w:rPr>
                <w:rFonts w:ascii="Calibri" w:eastAsia="Times New Roman" w:hAnsi="Calibri" w:cs="Calibri"/>
                <w:lang w:eastAsia="en-AU"/>
              </w:rPr>
              <w:t>5045</w:t>
            </w:r>
          </w:p>
        </w:tc>
      </w:tr>
      <w:tr w:rsidR="006575AD" w:rsidRPr="005E5557" w14:paraId="3A395CE6" w14:textId="77777777" w:rsidTr="00E1741F">
        <w:trPr>
          <w:cnfStyle w:val="000000010000" w:firstRow="0" w:lastRow="0" w:firstColumn="0" w:lastColumn="0" w:oddVBand="0" w:evenVBand="0" w:oddHBand="0" w:evenHBand="1" w:firstRowFirstColumn="0" w:firstRowLastColumn="0" w:lastRowFirstColumn="0" w:lastRowLastColumn="0"/>
          <w:jc w:val="center"/>
        </w:trPr>
        <w:tc>
          <w:tcPr>
            <w:tcW w:w="1887" w:type="dxa"/>
            <w:vMerge w:val="restart"/>
            <w:hideMark/>
          </w:tcPr>
          <w:p w14:paraId="2A84BE5B" w14:textId="77777777" w:rsidR="00C5735F" w:rsidRPr="00E1741F" w:rsidRDefault="00C5735F" w:rsidP="00E1741F">
            <w:pPr>
              <w:rPr>
                <w:rFonts w:ascii="Calibri" w:eastAsia="Times New Roman" w:hAnsi="Calibri" w:cs="Calibri"/>
                <w:lang w:eastAsia="en-AU"/>
              </w:rPr>
            </w:pPr>
            <w:r w:rsidRPr="00E1741F">
              <w:rPr>
                <w:rFonts w:ascii="Calibri" w:eastAsia="Times New Roman" w:hAnsi="Calibri" w:cs="Calibri"/>
                <w:lang w:eastAsia="en-AU"/>
              </w:rPr>
              <w:t>Child (5-14 years)</w:t>
            </w:r>
          </w:p>
        </w:tc>
        <w:tc>
          <w:tcPr>
            <w:tcW w:w="2340" w:type="dxa"/>
            <w:noWrap/>
            <w:hideMark/>
          </w:tcPr>
          <w:p w14:paraId="41876680" w14:textId="77777777" w:rsidR="00C5735F" w:rsidRPr="00E1741F" w:rsidRDefault="00C5735F" w:rsidP="00E1741F">
            <w:pPr>
              <w:rPr>
                <w:rFonts w:ascii="Calibri" w:eastAsia="Times New Roman" w:hAnsi="Calibri" w:cs="Calibri"/>
                <w:lang w:eastAsia="en-AU"/>
              </w:rPr>
            </w:pPr>
            <w:r w:rsidRPr="00E1741F">
              <w:rPr>
                <w:rFonts w:ascii="Calibri" w:eastAsia="Times New Roman" w:hAnsi="Calibri" w:cs="Calibri"/>
                <w:lang w:eastAsia="en-AU"/>
              </w:rPr>
              <w:t>Head</w:t>
            </w:r>
          </w:p>
        </w:tc>
        <w:tc>
          <w:tcPr>
            <w:tcW w:w="960" w:type="dxa"/>
            <w:noWrap/>
            <w:hideMark/>
          </w:tcPr>
          <w:p w14:paraId="0274143F" w14:textId="77777777" w:rsidR="00C5735F" w:rsidRPr="00E1741F" w:rsidRDefault="00C5735F" w:rsidP="00E1741F">
            <w:pPr>
              <w:jc w:val="right"/>
              <w:rPr>
                <w:rFonts w:ascii="Calibri" w:eastAsia="Times New Roman" w:hAnsi="Calibri" w:cs="Calibri"/>
                <w:lang w:eastAsia="en-AU"/>
              </w:rPr>
            </w:pPr>
            <w:r w:rsidRPr="00E1741F">
              <w:rPr>
                <w:rFonts w:ascii="Calibri" w:eastAsia="Times New Roman" w:hAnsi="Calibri" w:cs="Calibri"/>
                <w:lang w:eastAsia="en-AU"/>
              </w:rPr>
              <w:t>10</w:t>
            </w:r>
          </w:p>
        </w:tc>
      </w:tr>
      <w:tr w:rsidR="00C5735F" w:rsidRPr="005E5557" w14:paraId="7CA03299" w14:textId="77777777" w:rsidTr="00E1741F">
        <w:trPr>
          <w:jc w:val="center"/>
        </w:trPr>
        <w:tc>
          <w:tcPr>
            <w:tcW w:w="1887" w:type="dxa"/>
            <w:vMerge/>
            <w:hideMark/>
          </w:tcPr>
          <w:p w14:paraId="45ADBD3F" w14:textId="77777777" w:rsidR="00C5735F" w:rsidRPr="00E1741F" w:rsidRDefault="00C5735F" w:rsidP="00E1741F">
            <w:pPr>
              <w:rPr>
                <w:rFonts w:ascii="Calibri" w:eastAsia="Times New Roman" w:hAnsi="Calibri" w:cs="Calibri"/>
                <w:lang w:eastAsia="en-AU"/>
              </w:rPr>
            </w:pPr>
          </w:p>
        </w:tc>
        <w:tc>
          <w:tcPr>
            <w:tcW w:w="2340" w:type="dxa"/>
            <w:noWrap/>
            <w:hideMark/>
          </w:tcPr>
          <w:p w14:paraId="3541F4A0" w14:textId="77777777" w:rsidR="00C5735F" w:rsidRPr="00E1741F" w:rsidRDefault="00C5735F" w:rsidP="00E1741F">
            <w:pPr>
              <w:rPr>
                <w:rFonts w:ascii="Calibri" w:eastAsia="Times New Roman" w:hAnsi="Calibri" w:cs="Calibri"/>
                <w:lang w:eastAsia="en-AU"/>
              </w:rPr>
            </w:pPr>
            <w:r w:rsidRPr="00E1741F">
              <w:rPr>
                <w:rFonts w:ascii="Calibri" w:eastAsia="Times New Roman" w:hAnsi="Calibri" w:cs="Calibri"/>
                <w:lang w:eastAsia="en-AU"/>
              </w:rPr>
              <w:t>Chest</w:t>
            </w:r>
          </w:p>
        </w:tc>
        <w:tc>
          <w:tcPr>
            <w:tcW w:w="960" w:type="dxa"/>
            <w:noWrap/>
            <w:hideMark/>
          </w:tcPr>
          <w:p w14:paraId="3E5276B1" w14:textId="77777777" w:rsidR="00C5735F" w:rsidRPr="00E1741F" w:rsidRDefault="00C5735F" w:rsidP="00E1741F">
            <w:pPr>
              <w:jc w:val="right"/>
              <w:rPr>
                <w:rFonts w:ascii="Calibri" w:eastAsia="Times New Roman" w:hAnsi="Calibri" w:cs="Calibri"/>
                <w:lang w:eastAsia="en-AU"/>
              </w:rPr>
            </w:pPr>
            <w:r w:rsidRPr="00E1741F">
              <w:rPr>
                <w:rFonts w:ascii="Calibri" w:eastAsia="Times New Roman" w:hAnsi="Calibri" w:cs="Calibri"/>
                <w:lang w:eastAsia="en-AU"/>
              </w:rPr>
              <w:t>6</w:t>
            </w:r>
          </w:p>
        </w:tc>
      </w:tr>
      <w:tr w:rsidR="006575AD" w:rsidRPr="005E5557" w14:paraId="11E5F744" w14:textId="77777777" w:rsidTr="00E1741F">
        <w:trPr>
          <w:cnfStyle w:val="000000010000" w:firstRow="0" w:lastRow="0" w:firstColumn="0" w:lastColumn="0" w:oddVBand="0" w:evenVBand="0" w:oddHBand="0" w:evenHBand="1" w:firstRowFirstColumn="0" w:firstRowLastColumn="0" w:lastRowFirstColumn="0" w:lastRowLastColumn="0"/>
          <w:jc w:val="center"/>
        </w:trPr>
        <w:tc>
          <w:tcPr>
            <w:tcW w:w="1887" w:type="dxa"/>
            <w:vMerge/>
            <w:hideMark/>
          </w:tcPr>
          <w:p w14:paraId="28C210AB" w14:textId="77777777" w:rsidR="00C5735F" w:rsidRPr="00E1741F" w:rsidRDefault="00C5735F" w:rsidP="00E1741F">
            <w:pPr>
              <w:rPr>
                <w:rFonts w:ascii="Calibri" w:eastAsia="Times New Roman" w:hAnsi="Calibri" w:cs="Calibri"/>
                <w:lang w:eastAsia="en-AU"/>
              </w:rPr>
            </w:pPr>
          </w:p>
        </w:tc>
        <w:tc>
          <w:tcPr>
            <w:tcW w:w="2340" w:type="dxa"/>
            <w:noWrap/>
            <w:hideMark/>
          </w:tcPr>
          <w:p w14:paraId="380637FA" w14:textId="77777777" w:rsidR="00C5735F" w:rsidRPr="00E1741F" w:rsidRDefault="00C5735F" w:rsidP="00E1741F">
            <w:pPr>
              <w:rPr>
                <w:rFonts w:ascii="Calibri" w:eastAsia="Times New Roman" w:hAnsi="Calibri" w:cs="Calibri"/>
                <w:lang w:eastAsia="en-AU"/>
              </w:rPr>
            </w:pPr>
            <w:r w:rsidRPr="00E1741F">
              <w:rPr>
                <w:rFonts w:ascii="Calibri" w:eastAsia="Times New Roman" w:hAnsi="Calibri" w:cs="Calibri"/>
                <w:lang w:eastAsia="en-AU"/>
              </w:rPr>
              <w:t>Abdomen-pelvis</w:t>
            </w:r>
          </w:p>
        </w:tc>
        <w:tc>
          <w:tcPr>
            <w:tcW w:w="960" w:type="dxa"/>
            <w:noWrap/>
            <w:hideMark/>
          </w:tcPr>
          <w:p w14:paraId="619E5313" w14:textId="77777777" w:rsidR="00C5735F" w:rsidRPr="00E1741F" w:rsidRDefault="00C5735F" w:rsidP="00E1741F">
            <w:pPr>
              <w:jc w:val="right"/>
              <w:rPr>
                <w:rFonts w:ascii="Calibri" w:eastAsia="Times New Roman" w:hAnsi="Calibri" w:cs="Calibri"/>
                <w:lang w:eastAsia="en-AU"/>
              </w:rPr>
            </w:pPr>
            <w:r w:rsidRPr="00E1741F">
              <w:rPr>
                <w:rFonts w:ascii="Calibri" w:eastAsia="Times New Roman" w:hAnsi="Calibri" w:cs="Calibri"/>
                <w:lang w:eastAsia="en-AU"/>
              </w:rPr>
              <w:t>4</w:t>
            </w:r>
          </w:p>
        </w:tc>
      </w:tr>
      <w:tr w:rsidR="00C5735F" w:rsidRPr="005E5557" w14:paraId="51E1FC59" w14:textId="77777777" w:rsidTr="00E1741F">
        <w:trPr>
          <w:jc w:val="center"/>
        </w:trPr>
        <w:tc>
          <w:tcPr>
            <w:tcW w:w="1887" w:type="dxa"/>
            <w:vMerge/>
            <w:hideMark/>
          </w:tcPr>
          <w:p w14:paraId="3E4BACBE" w14:textId="77777777" w:rsidR="00C5735F" w:rsidRPr="00E1741F" w:rsidRDefault="00C5735F" w:rsidP="00E1741F">
            <w:pPr>
              <w:rPr>
                <w:rFonts w:ascii="Calibri" w:eastAsia="Times New Roman" w:hAnsi="Calibri" w:cs="Calibri"/>
                <w:lang w:eastAsia="en-AU"/>
              </w:rPr>
            </w:pPr>
          </w:p>
        </w:tc>
        <w:tc>
          <w:tcPr>
            <w:tcW w:w="2340" w:type="dxa"/>
            <w:noWrap/>
            <w:hideMark/>
          </w:tcPr>
          <w:p w14:paraId="782EC1F9" w14:textId="77777777" w:rsidR="00C5735F" w:rsidRPr="00E1741F" w:rsidRDefault="00C5735F" w:rsidP="00E1741F">
            <w:pPr>
              <w:rPr>
                <w:rFonts w:ascii="Calibri" w:eastAsia="Times New Roman" w:hAnsi="Calibri" w:cs="Calibri"/>
                <w:lang w:eastAsia="en-AU"/>
              </w:rPr>
            </w:pPr>
            <w:r w:rsidRPr="00E1741F">
              <w:rPr>
                <w:rFonts w:ascii="Calibri" w:eastAsia="Times New Roman" w:hAnsi="Calibri" w:cs="Calibri"/>
                <w:lang w:eastAsia="en-AU"/>
              </w:rPr>
              <w:t>Total</w:t>
            </w:r>
          </w:p>
        </w:tc>
        <w:tc>
          <w:tcPr>
            <w:tcW w:w="960" w:type="dxa"/>
            <w:noWrap/>
            <w:hideMark/>
          </w:tcPr>
          <w:p w14:paraId="34D45C34" w14:textId="77777777" w:rsidR="00C5735F" w:rsidRPr="00E1741F" w:rsidRDefault="00C5735F" w:rsidP="00E1741F">
            <w:pPr>
              <w:jc w:val="right"/>
              <w:rPr>
                <w:rFonts w:ascii="Calibri" w:eastAsia="Times New Roman" w:hAnsi="Calibri" w:cs="Calibri"/>
                <w:lang w:eastAsia="en-AU"/>
              </w:rPr>
            </w:pPr>
            <w:r w:rsidRPr="00E1741F">
              <w:rPr>
                <w:rFonts w:ascii="Calibri" w:eastAsia="Times New Roman" w:hAnsi="Calibri" w:cs="Calibri"/>
                <w:lang w:eastAsia="en-AU"/>
              </w:rPr>
              <w:t>20</w:t>
            </w:r>
          </w:p>
        </w:tc>
      </w:tr>
      <w:tr w:rsidR="006575AD" w:rsidRPr="005E5557" w14:paraId="609A5FFF" w14:textId="77777777" w:rsidTr="00E1741F">
        <w:trPr>
          <w:cnfStyle w:val="000000010000" w:firstRow="0" w:lastRow="0" w:firstColumn="0" w:lastColumn="0" w:oddVBand="0" w:evenVBand="0" w:oddHBand="0" w:evenHBand="1" w:firstRowFirstColumn="0" w:firstRowLastColumn="0" w:lastRowFirstColumn="0" w:lastRowLastColumn="0"/>
          <w:jc w:val="center"/>
        </w:trPr>
        <w:tc>
          <w:tcPr>
            <w:tcW w:w="1887" w:type="dxa"/>
            <w:vMerge w:val="restart"/>
            <w:shd w:val="clear" w:color="auto" w:fill="auto"/>
            <w:hideMark/>
          </w:tcPr>
          <w:p w14:paraId="659ACAC8" w14:textId="77777777" w:rsidR="00C5735F" w:rsidRPr="00E1741F" w:rsidRDefault="00C5735F" w:rsidP="00E1741F">
            <w:pPr>
              <w:rPr>
                <w:rFonts w:ascii="Calibri" w:eastAsia="Times New Roman" w:hAnsi="Calibri" w:cs="Calibri"/>
                <w:lang w:eastAsia="en-AU"/>
              </w:rPr>
            </w:pPr>
            <w:r w:rsidRPr="00E1741F">
              <w:rPr>
                <w:rFonts w:ascii="Calibri" w:eastAsia="Times New Roman" w:hAnsi="Calibri" w:cs="Calibri"/>
                <w:lang w:eastAsia="en-AU"/>
              </w:rPr>
              <w:t>Infant (0-4 years)</w:t>
            </w:r>
          </w:p>
        </w:tc>
        <w:tc>
          <w:tcPr>
            <w:tcW w:w="2340" w:type="dxa"/>
            <w:noWrap/>
            <w:hideMark/>
          </w:tcPr>
          <w:p w14:paraId="7E623C6F" w14:textId="77777777" w:rsidR="00C5735F" w:rsidRPr="00E1741F" w:rsidRDefault="00C5735F" w:rsidP="00E1741F">
            <w:pPr>
              <w:rPr>
                <w:rFonts w:ascii="Calibri" w:eastAsia="Times New Roman" w:hAnsi="Calibri" w:cs="Calibri"/>
                <w:lang w:eastAsia="en-AU"/>
              </w:rPr>
            </w:pPr>
            <w:r w:rsidRPr="00E1741F">
              <w:rPr>
                <w:rFonts w:ascii="Calibri" w:eastAsia="Times New Roman" w:hAnsi="Calibri" w:cs="Calibri"/>
                <w:lang w:eastAsia="en-AU"/>
              </w:rPr>
              <w:t>Head</w:t>
            </w:r>
          </w:p>
        </w:tc>
        <w:tc>
          <w:tcPr>
            <w:tcW w:w="960" w:type="dxa"/>
            <w:noWrap/>
            <w:hideMark/>
          </w:tcPr>
          <w:p w14:paraId="19B5701A" w14:textId="77777777" w:rsidR="00C5735F" w:rsidRPr="00E1741F" w:rsidRDefault="00C5735F" w:rsidP="00E1741F">
            <w:pPr>
              <w:jc w:val="right"/>
              <w:rPr>
                <w:rFonts w:ascii="Calibri" w:eastAsia="Times New Roman" w:hAnsi="Calibri" w:cs="Calibri"/>
                <w:lang w:eastAsia="en-AU"/>
              </w:rPr>
            </w:pPr>
            <w:r w:rsidRPr="00E1741F">
              <w:rPr>
                <w:rFonts w:ascii="Calibri" w:eastAsia="Times New Roman" w:hAnsi="Calibri" w:cs="Calibri"/>
                <w:lang w:eastAsia="en-AU"/>
              </w:rPr>
              <w:t>8</w:t>
            </w:r>
          </w:p>
        </w:tc>
      </w:tr>
      <w:tr w:rsidR="00C5735F" w:rsidRPr="005E5557" w14:paraId="3EA3E905" w14:textId="77777777" w:rsidTr="00E1741F">
        <w:trPr>
          <w:jc w:val="center"/>
        </w:trPr>
        <w:tc>
          <w:tcPr>
            <w:tcW w:w="1887" w:type="dxa"/>
            <w:vMerge/>
            <w:shd w:val="clear" w:color="auto" w:fill="auto"/>
            <w:hideMark/>
          </w:tcPr>
          <w:p w14:paraId="1D61AF94" w14:textId="77777777" w:rsidR="00C5735F" w:rsidRPr="00E1741F" w:rsidRDefault="00C5735F" w:rsidP="00E1741F">
            <w:pPr>
              <w:rPr>
                <w:rFonts w:ascii="Calibri" w:eastAsia="Times New Roman" w:hAnsi="Calibri" w:cs="Calibri"/>
                <w:lang w:eastAsia="en-AU"/>
              </w:rPr>
            </w:pPr>
          </w:p>
        </w:tc>
        <w:tc>
          <w:tcPr>
            <w:tcW w:w="2340" w:type="dxa"/>
            <w:noWrap/>
            <w:hideMark/>
          </w:tcPr>
          <w:p w14:paraId="4799707F" w14:textId="77777777" w:rsidR="00C5735F" w:rsidRPr="00E1741F" w:rsidRDefault="00C5735F" w:rsidP="00E1741F">
            <w:pPr>
              <w:rPr>
                <w:rFonts w:ascii="Calibri" w:eastAsia="Times New Roman" w:hAnsi="Calibri" w:cs="Calibri"/>
                <w:lang w:eastAsia="en-AU"/>
              </w:rPr>
            </w:pPr>
            <w:r w:rsidRPr="00E1741F">
              <w:rPr>
                <w:rFonts w:ascii="Calibri" w:eastAsia="Times New Roman" w:hAnsi="Calibri" w:cs="Calibri"/>
                <w:lang w:eastAsia="en-AU"/>
              </w:rPr>
              <w:t>Chest</w:t>
            </w:r>
          </w:p>
        </w:tc>
        <w:tc>
          <w:tcPr>
            <w:tcW w:w="960" w:type="dxa"/>
            <w:noWrap/>
            <w:hideMark/>
          </w:tcPr>
          <w:p w14:paraId="647D86A9" w14:textId="77777777" w:rsidR="00C5735F" w:rsidRPr="00E1741F" w:rsidRDefault="00C5735F" w:rsidP="00E1741F">
            <w:pPr>
              <w:jc w:val="right"/>
              <w:rPr>
                <w:rFonts w:ascii="Calibri" w:eastAsia="Times New Roman" w:hAnsi="Calibri" w:cs="Calibri"/>
                <w:lang w:eastAsia="en-AU"/>
              </w:rPr>
            </w:pPr>
            <w:r w:rsidRPr="00E1741F">
              <w:rPr>
                <w:rFonts w:ascii="Calibri" w:eastAsia="Times New Roman" w:hAnsi="Calibri" w:cs="Calibri"/>
                <w:lang w:eastAsia="en-AU"/>
              </w:rPr>
              <w:t>3</w:t>
            </w:r>
          </w:p>
        </w:tc>
      </w:tr>
      <w:tr w:rsidR="006575AD" w:rsidRPr="005E5557" w14:paraId="1A6A3A94" w14:textId="77777777" w:rsidTr="00E1741F">
        <w:trPr>
          <w:cnfStyle w:val="000000010000" w:firstRow="0" w:lastRow="0" w:firstColumn="0" w:lastColumn="0" w:oddVBand="0" w:evenVBand="0" w:oddHBand="0" w:evenHBand="1" w:firstRowFirstColumn="0" w:firstRowLastColumn="0" w:lastRowFirstColumn="0" w:lastRowLastColumn="0"/>
          <w:jc w:val="center"/>
        </w:trPr>
        <w:tc>
          <w:tcPr>
            <w:tcW w:w="1887" w:type="dxa"/>
            <w:vMerge/>
            <w:shd w:val="clear" w:color="auto" w:fill="auto"/>
            <w:hideMark/>
          </w:tcPr>
          <w:p w14:paraId="312F46AD" w14:textId="77777777" w:rsidR="00C5735F" w:rsidRPr="00E1741F" w:rsidRDefault="00C5735F" w:rsidP="00E1741F">
            <w:pPr>
              <w:rPr>
                <w:rFonts w:ascii="Calibri" w:eastAsia="Times New Roman" w:hAnsi="Calibri" w:cs="Calibri"/>
                <w:lang w:eastAsia="en-AU"/>
              </w:rPr>
            </w:pPr>
          </w:p>
        </w:tc>
        <w:tc>
          <w:tcPr>
            <w:tcW w:w="2340" w:type="dxa"/>
            <w:noWrap/>
            <w:hideMark/>
          </w:tcPr>
          <w:p w14:paraId="7DB716DD" w14:textId="77777777" w:rsidR="00C5735F" w:rsidRPr="00E1741F" w:rsidRDefault="00C5735F" w:rsidP="00E1741F">
            <w:pPr>
              <w:rPr>
                <w:rFonts w:ascii="Calibri" w:eastAsia="Times New Roman" w:hAnsi="Calibri" w:cs="Calibri"/>
                <w:lang w:eastAsia="en-AU"/>
              </w:rPr>
            </w:pPr>
            <w:r w:rsidRPr="00E1741F">
              <w:rPr>
                <w:rFonts w:ascii="Calibri" w:eastAsia="Times New Roman" w:hAnsi="Calibri" w:cs="Calibri"/>
                <w:lang w:eastAsia="en-AU"/>
              </w:rPr>
              <w:t>Abdomen-pelvis</w:t>
            </w:r>
          </w:p>
        </w:tc>
        <w:tc>
          <w:tcPr>
            <w:tcW w:w="960" w:type="dxa"/>
            <w:noWrap/>
            <w:hideMark/>
          </w:tcPr>
          <w:p w14:paraId="73F50914" w14:textId="77777777" w:rsidR="00C5735F" w:rsidRPr="00E1741F" w:rsidRDefault="00C5735F" w:rsidP="00E1741F">
            <w:pPr>
              <w:jc w:val="right"/>
              <w:rPr>
                <w:rFonts w:ascii="Calibri" w:eastAsia="Times New Roman" w:hAnsi="Calibri" w:cs="Calibri"/>
                <w:lang w:eastAsia="en-AU"/>
              </w:rPr>
            </w:pPr>
            <w:r w:rsidRPr="00E1741F">
              <w:rPr>
                <w:rFonts w:ascii="Calibri" w:eastAsia="Times New Roman" w:hAnsi="Calibri" w:cs="Calibri"/>
                <w:lang w:eastAsia="en-AU"/>
              </w:rPr>
              <w:t>2</w:t>
            </w:r>
          </w:p>
        </w:tc>
      </w:tr>
      <w:tr w:rsidR="00C5735F" w:rsidRPr="005E5557" w14:paraId="16057FE8" w14:textId="77777777" w:rsidTr="00E1741F">
        <w:trPr>
          <w:jc w:val="center"/>
        </w:trPr>
        <w:tc>
          <w:tcPr>
            <w:tcW w:w="1887" w:type="dxa"/>
            <w:vMerge/>
            <w:shd w:val="clear" w:color="auto" w:fill="auto"/>
            <w:hideMark/>
          </w:tcPr>
          <w:p w14:paraId="78561269" w14:textId="77777777" w:rsidR="00C5735F" w:rsidRPr="00E1741F" w:rsidRDefault="00C5735F" w:rsidP="00E1741F">
            <w:pPr>
              <w:rPr>
                <w:rFonts w:ascii="Calibri" w:eastAsia="Times New Roman" w:hAnsi="Calibri" w:cs="Calibri"/>
                <w:lang w:eastAsia="en-AU"/>
              </w:rPr>
            </w:pPr>
          </w:p>
        </w:tc>
        <w:tc>
          <w:tcPr>
            <w:tcW w:w="2340" w:type="dxa"/>
            <w:noWrap/>
            <w:hideMark/>
          </w:tcPr>
          <w:p w14:paraId="190D2D66" w14:textId="77777777" w:rsidR="00C5735F" w:rsidRPr="00E1741F" w:rsidRDefault="00C5735F" w:rsidP="00E1741F">
            <w:pPr>
              <w:rPr>
                <w:rFonts w:ascii="Calibri" w:eastAsia="Times New Roman" w:hAnsi="Calibri" w:cs="Calibri"/>
                <w:lang w:eastAsia="en-AU"/>
              </w:rPr>
            </w:pPr>
            <w:r w:rsidRPr="00E1741F">
              <w:rPr>
                <w:rFonts w:ascii="Calibri" w:eastAsia="Times New Roman" w:hAnsi="Calibri" w:cs="Calibri"/>
                <w:lang w:eastAsia="en-AU"/>
              </w:rPr>
              <w:t>Total</w:t>
            </w:r>
          </w:p>
        </w:tc>
        <w:tc>
          <w:tcPr>
            <w:tcW w:w="960" w:type="dxa"/>
            <w:noWrap/>
            <w:hideMark/>
          </w:tcPr>
          <w:p w14:paraId="29936139" w14:textId="77777777" w:rsidR="00C5735F" w:rsidRPr="00E1741F" w:rsidRDefault="00C5735F" w:rsidP="00E1741F">
            <w:pPr>
              <w:jc w:val="right"/>
              <w:rPr>
                <w:rFonts w:ascii="Calibri" w:eastAsia="Times New Roman" w:hAnsi="Calibri" w:cs="Calibri"/>
                <w:lang w:eastAsia="en-AU"/>
              </w:rPr>
            </w:pPr>
            <w:r w:rsidRPr="00E1741F">
              <w:rPr>
                <w:rFonts w:ascii="Calibri" w:eastAsia="Times New Roman" w:hAnsi="Calibri" w:cs="Calibri"/>
                <w:lang w:eastAsia="en-AU"/>
              </w:rPr>
              <w:t>13</w:t>
            </w:r>
          </w:p>
        </w:tc>
      </w:tr>
      <w:tr w:rsidR="006575AD" w:rsidRPr="005E5557" w14:paraId="5652C951" w14:textId="77777777" w:rsidTr="00E1741F">
        <w:trPr>
          <w:cnfStyle w:val="000000010000" w:firstRow="0" w:lastRow="0" w:firstColumn="0" w:lastColumn="0" w:oddVBand="0" w:evenVBand="0" w:oddHBand="0" w:evenHBand="1" w:firstRowFirstColumn="0" w:firstRowLastColumn="0" w:lastRowFirstColumn="0" w:lastRowLastColumn="0"/>
          <w:jc w:val="center"/>
        </w:trPr>
        <w:tc>
          <w:tcPr>
            <w:tcW w:w="1887" w:type="dxa"/>
          </w:tcPr>
          <w:p w14:paraId="6C08A399" w14:textId="77777777" w:rsidR="00C5735F" w:rsidRPr="00E1741F" w:rsidRDefault="00C5735F" w:rsidP="00E1741F">
            <w:pPr>
              <w:rPr>
                <w:rFonts w:ascii="Calibri" w:eastAsia="Times New Roman" w:hAnsi="Calibri" w:cs="Calibri"/>
                <w:lang w:eastAsia="en-AU"/>
              </w:rPr>
            </w:pPr>
            <w:r w:rsidRPr="00E1741F">
              <w:rPr>
                <w:rFonts w:ascii="Calibri" w:eastAsia="Times New Roman" w:hAnsi="Calibri" w:cs="Calibri"/>
                <w:lang w:eastAsia="en-AU"/>
              </w:rPr>
              <w:t>Total Surveys</w:t>
            </w:r>
          </w:p>
        </w:tc>
        <w:tc>
          <w:tcPr>
            <w:tcW w:w="2340" w:type="dxa"/>
            <w:noWrap/>
          </w:tcPr>
          <w:p w14:paraId="227906E4" w14:textId="77777777" w:rsidR="00C5735F" w:rsidRPr="00E1741F" w:rsidRDefault="00C5735F" w:rsidP="00E1741F">
            <w:pPr>
              <w:rPr>
                <w:rFonts w:ascii="Calibri" w:eastAsia="Times New Roman" w:hAnsi="Calibri" w:cs="Calibri"/>
                <w:lang w:eastAsia="en-AU"/>
              </w:rPr>
            </w:pPr>
          </w:p>
        </w:tc>
        <w:tc>
          <w:tcPr>
            <w:tcW w:w="960" w:type="dxa"/>
            <w:noWrap/>
          </w:tcPr>
          <w:p w14:paraId="180A184C" w14:textId="77777777" w:rsidR="00C5735F" w:rsidRPr="00E1741F" w:rsidRDefault="00C5735F" w:rsidP="00E1741F">
            <w:pPr>
              <w:jc w:val="right"/>
              <w:rPr>
                <w:rFonts w:ascii="Calibri" w:eastAsia="Times New Roman" w:hAnsi="Calibri" w:cs="Calibri"/>
                <w:lang w:eastAsia="en-AU"/>
              </w:rPr>
            </w:pPr>
            <w:r w:rsidRPr="00E1741F">
              <w:rPr>
                <w:rFonts w:ascii="Calibri" w:eastAsia="Times New Roman" w:hAnsi="Calibri" w:cs="Calibri"/>
                <w:lang w:eastAsia="en-AU"/>
              </w:rPr>
              <w:t>5078</w:t>
            </w:r>
          </w:p>
        </w:tc>
      </w:tr>
    </w:tbl>
    <w:p w14:paraId="03F88992" w14:textId="792AA5F3" w:rsidR="00C5735F" w:rsidRDefault="00C5735F" w:rsidP="00C5735F">
      <w:r>
        <w:t xml:space="preserve">Table 2 shows the number of facilities and scanners registered with the ARPANSA NDRLS as at 1/1/2021 in each state and territory. Also shown is the number of scanners for which at least one </w:t>
      </w:r>
      <w:r w:rsidR="006767B7">
        <w:t>eligible survey</w:t>
      </w:r>
      <w:r>
        <w:t xml:space="preserve"> (at least 10 patients) for a scan category was submitted in 2020, the total number of such surveys, and the percentage of registered scanners that submitted at least one survey. Overall, 69% of registered scanners contributed at least one survey in 2020 and the proportion was reasonably consistent across the states and territories, varying from 64% to 74%.</w:t>
      </w:r>
    </w:p>
    <w:p w14:paraId="0603B3D5" w14:textId="77777777" w:rsidR="0037745C" w:rsidRDefault="0037745C" w:rsidP="00C5735F"/>
    <w:p w14:paraId="184212A0" w14:textId="77777777" w:rsidR="0037745C" w:rsidRDefault="0037745C">
      <w:pPr>
        <w:rPr>
          <w:b/>
          <w:bCs/>
          <w:color w:val="4E1A74"/>
          <w:sz w:val="20"/>
          <w:szCs w:val="18"/>
        </w:rPr>
      </w:pPr>
      <w:r>
        <w:br w:type="page"/>
      </w:r>
    </w:p>
    <w:p w14:paraId="70C2576A" w14:textId="5716943F" w:rsidR="00C5735F" w:rsidRDefault="00C5735F" w:rsidP="00213A52">
      <w:pPr>
        <w:pStyle w:val="Caption"/>
      </w:pPr>
      <w:r>
        <w:lastRenderedPageBreak/>
        <w:t xml:space="preserve">Table 2 – Distribution of registered facilities and scanners by state and territory, number of scanners submitting surveys, total surveys, and percentage of registered scanners submitting data in 2020 </w:t>
      </w:r>
    </w:p>
    <w:tbl>
      <w:tblPr>
        <w:tblStyle w:val="GenericARPANSA"/>
        <w:tblW w:w="5000" w:type="pct"/>
        <w:jc w:val="center"/>
        <w:tblInd w:w="0" w:type="dxa"/>
        <w:tblLook w:val="04A0" w:firstRow="1" w:lastRow="0" w:firstColumn="1" w:lastColumn="0" w:noHBand="0" w:noVBand="1"/>
      </w:tblPr>
      <w:tblGrid>
        <w:gridCol w:w="1025"/>
        <w:gridCol w:w="1688"/>
        <w:gridCol w:w="1689"/>
        <w:gridCol w:w="1954"/>
        <w:gridCol w:w="1318"/>
        <w:gridCol w:w="1954"/>
      </w:tblGrid>
      <w:tr w:rsidR="00C5735F" w14:paraId="4934A04F" w14:textId="77777777" w:rsidTr="00E1741F">
        <w:trPr>
          <w:cnfStyle w:val="100000000000" w:firstRow="1" w:lastRow="0" w:firstColumn="0" w:lastColumn="0" w:oddVBand="0" w:evenVBand="0" w:oddHBand="0" w:evenHBand="0" w:firstRowFirstColumn="0" w:firstRowLastColumn="0" w:lastRowFirstColumn="0" w:lastRowLastColumn="0"/>
          <w:jc w:val="center"/>
        </w:trPr>
        <w:tc>
          <w:tcPr>
            <w:tcW w:w="789" w:type="dxa"/>
          </w:tcPr>
          <w:p w14:paraId="6AA0723E" w14:textId="77777777" w:rsidR="00C5735F" w:rsidRDefault="00C5735F" w:rsidP="00E1741F">
            <w:pPr>
              <w:spacing w:before="60" w:after="60"/>
            </w:pPr>
            <w:r>
              <w:t>State</w:t>
            </w:r>
          </w:p>
        </w:tc>
        <w:tc>
          <w:tcPr>
            <w:tcW w:w="1299" w:type="dxa"/>
          </w:tcPr>
          <w:p w14:paraId="7B61153D" w14:textId="09C9959A" w:rsidR="00C5735F" w:rsidRDefault="00C5735F" w:rsidP="00E1741F">
            <w:pPr>
              <w:spacing w:before="60" w:after="60"/>
            </w:pPr>
            <w:r>
              <w:t>Registered</w:t>
            </w:r>
            <w:r w:rsidR="00E1741F">
              <w:t xml:space="preserve"> </w:t>
            </w:r>
            <w:r>
              <w:t>Facilities</w:t>
            </w:r>
          </w:p>
        </w:tc>
        <w:tc>
          <w:tcPr>
            <w:tcW w:w="1299" w:type="dxa"/>
          </w:tcPr>
          <w:p w14:paraId="7227134E" w14:textId="36FAFC36" w:rsidR="00C5735F" w:rsidRDefault="00C5735F" w:rsidP="00E1741F">
            <w:pPr>
              <w:spacing w:before="60" w:after="60"/>
            </w:pPr>
            <w:r>
              <w:t>Registered</w:t>
            </w:r>
            <w:r w:rsidR="00E1741F">
              <w:t xml:space="preserve"> </w:t>
            </w:r>
            <w:r>
              <w:t>Scanners</w:t>
            </w:r>
          </w:p>
        </w:tc>
        <w:tc>
          <w:tcPr>
            <w:tcW w:w="1503" w:type="dxa"/>
          </w:tcPr>
          <w:p w14:paraId="42DD4717" w14:textId="47A593BB" w:rsidR="00C5735F" w:rsidRDefault="00C5735F" w:rsidP="00E1741F">
            <w:pPr>
              <w:spacing w:before="60" w:after="60"/>
            </w:pPr>
            <w:r>
              <w:t>Scanners with</w:t>
            </w:r>
            <w:r w:rsidR="00E1741F">
              <w:t xml:space="preserve"> </w:t>
            </w:r>
            <w:r>
              <w:t>submitted surveys</w:t>
            </w:r>
          </w:p>
        </w:tc>
        <w:tc>
          <w:tcPr>
            <w:tcW w:w="1014" w:type="dxa"/>
          </w:tcPr>
          <w:p w14:paraId="3DFD1E9D" w14:textId="77777777" w:rsidR="00C5735F" w:rsidRDefault="00C5735F" w:rsidP="00E1741F">
            <w:pPr>
              <w:spacing w:before="60" w:after="60"/>
            </w:pPr>
            <w:r>
              <w:t>Surveys</w:t>
            </w:r>
          </w:p>
        </w:tc>
        <w:tc>
          <w:tcPr>
            <w:tcW w:w="1503" w:type="dxa"/>
          </w:tcPr>
          <w:p w14:paraId="328C3E09" w14:textId="5B7036C7" w:rsidR="00C5735F" w:rsidRDefault="00C5735F" w:rsidP="00E1741F">
            <w:pPr>
              <w:spacing w:before="60" w:after="60"/>
            </w:pPr>
            <w:r>
              <w:t>Registered scanners submitting</w:t>
            </w:r>
            <w:r w:rsidR="00E1741F">
              <w:t xml:space="preserve"> (%)</w:t>
            </w:r>
          </w:p>
        </w:tc>
      </w:tr>
      <w:tr w:rsidR="00C5735F" w14:paraId="11A29968" w14:textId="77777777" w:rsidTr="00E1741F">
        <w:trPr>
          <w:jc w:val="center"/>
        </w:trPr>
        <w:tc>
          <w:tcPr>
            <w:tcW w:w="789" w:type="dxa"/>
          </w:tcPr>
          <w:p w14:paraId="02F6C3A8" w14:textId="77777777" w:rsidR="00C5735F" w:rsidRDefault="00C5735F" w:rsidP="00E1741F">
            <w:r>
              <w:t>NSW</w:t>
            </w:r>
          </w:p>
        </w:tc>
        <w:tc>
          <w:tcPr>
            <w:tcW w:w="1299" w:type="dxa"/>
          </w:tcPr>
          <w:p w14:paraId="4FBCA60C" w14:textId="77777777" w:rsidR="00C5735F" w:rsidRDefault="00C5735F" w:rsidP="00E1741F">
            <w:pPr>
              <w:jc w:val="right"/>
            </w:pPr>
            <w:r>
              <w:t>278</w:t>
            </w:r>
          </w:p>
        </w:tc>
        <w:tc>
          <w:tcPr>
            <w:tcW w:w="1299" w:type="dxa"/>
          </w:tcPr>
          <w:p w14:paraId="133B0609" w14:textId="77777777" w:rsidR="00C5735F" w:rsidRDefault="00C5735F" w:rsidP="00E1741F">
            <w:pPr>
              <w:jc w:val="right"/>
            </w:pPr>
            <w:r>
              <w:t>322</w:t>
            </w:r>
          </w:p>
        </w:tc>
        <w:tc>
          <w:tcPr>
            <w:tcW w:w="1503" w:type="dxa"/>
          </w:tcPr>
          <w:p w14:paraId="5A63526C" w14:textId="77777777" w:rsidR="00C5735F" w:rsidRDefault="00C5735F" w:rsidP="00E1741F">
            <w:pPr>
              <w:jc w:val="right"/>
            </w:pPr>
            <w:r>
              <w:t>225</w:t>
            </w:r>
          </w:p>
        </w:tc>
        <w:tc>
          <w:tcPr>
            <w:tcW w:w="1014" w:type="dxa"/>
          </w:tcPr>
          <w:p w14:paraId="2F5DDA31" w14:textId="77777777" w:rsidR="00C5735F" w:rsidRDefault="00C5735F" w:rsidP="00E1741F">
            <w:pPr>
              <w:jc w:val="right"/>
            </w:pPr>
            <w:r>
              <w:t>1619</w:t>
            </w:r>
          </w:p>
        </w:tc>
        <w:tc>
          <w:tcPr>
            <w:tcW w:w="1503" w:type="dxa"/>
          </w:tcPr>
          <w:p w14:paraId="3E88654A" w14:textId="6CC85E9B" w:rsidR="00C5735F" w:rsidRDefault="00C5735F" w:rsidP="00E1741F">
            <w:pPr>
              <w:jc w:val="right"/>
            </w:pPr>
            <w:r>
              <w:t>70</w:t>
            </w:r>
          </w:p>
        </w:tc>
      </w:tr>
      <w:tr w:rsidR="00C5735F" w14:paraId="6DE3999E" w14:textId="77777777" w:rsidTr="00E1741F">
        <w:trPr>
          <w:cnfStyle w:val="000000010000" w:firstRow="0" w:lastRow="0" w:firstColumn="0" w:lastColumn="0" w:oddVBand="0" w:evenVBand="0" w:oddHBand="0" w:evenHBand="1" w:firstRowFirstColumn="0" w:firstRowLastColumn="0" w:lastRowFirstColumn="0" w:lastRowLastColumn="0"/>
          <w:jc w:val="center"/>
        </w:trPr>
        <w:tc>
          <w:tcPr>
            <w:tcW w:w="789" w:type="dxa"/>
          </w:tcPr>
          <w:p w14:paraId="25E3F63C" w14:textId="77777777" w:rsidR="00C5735F" w:rsidRDefault="00C5735F" w:rsidP="00E1741F">
            <w:r>
              <w:t>VIC</w:t>
            </w:r>
          </w:p>
        </w:tc>
        <w:tc>
          <w:tcPr>
            <w:tcW w:w="1299" w:type="dxa"/>
          </w:tcPr>
          <w:p w14:paraId="356A3244" w14:textId="77777777" w:rsidR="00C5735F" w:rsidRDefault="00C5735F" w:rsidP="00E1741F">
            <w:pPr>
              <w:jc w:val="right"/>
            </w:pPr>
            <w:r>
              <w:t>225</w:t>
            </w:r>
          </w:p>
        </w:tc>
        <w:tc>
          <w:tcPr>
            <w:tcW w:w="1299" w:type="dxa"/>
          </w:tcPr>
          <w:p w14:paraId="461725B5" w14:textId="77777777" w:rsidR="00C5735F" w:rsidRDefault="00C5735F" w:rsidP="00E1741F">
            <w:pPr>
              <w:jc w:val="right"/>
            </w:pPr>
            <w:r>
              <w:t>297</w:t>
            </w:r>
          </w:p>
        </w:tc>
        <w:tc>
          <w:tcPr>
            <w:tcW w:w="1503" w:type="dxa"/>
          </w:tcPr>
          <w:p w14:paraId="010E63C7" w14:textId="77777777" w:rsidR="00C5735F" w:rsidRDefault="00C5735F" w:rsidP="00E1741F">
            <w:pPr>
              <w:jc w:val="right"/>
            </w:pPr>
            <w:r>
              <w:t>207</w:t>
            </w:r>
          </w:p>
        </w:tc>
        <w:tc>
          <w:tcPr>
            <w:tcW w:w="1014" w:type="dxa"/>
          </w:tcPr>
          <w:p w14:paraId="201686A9" w14:textId="77777777" w:rsidR="00C5735F" w:rsidRDefault="00C5735F" w:rsidP="00E1741F">
            <w:pPr>
              <w:jc w:val="right"/>
            </w:pPr>
            <w:r>
              <w:t>1482</w:t>
            </w:r>
          </w:p>
        </w:tc>
        <w:tc>
          <w:tcPr>
            <w:tcW w:w="1503" w:type="dxa"/>
          </w:tcPr>
          <w:p w14:paraId="1B38D22C" w14:textId="5DE2410A" w:rsidR="00C5735F" w:rsidRDefault="00C5735F" w:rsidP="00E1741F">
            <w:pPr>
              <w:jc w:val="right"/>
            </w:pPr>
            <w:r>
              <w:t>70</w:t>
            </w:r>
          </w:p>
        </w:tc>
      </w:tr>
      <w:tr w:rsidR="00C5735F" w14:paraId="521A62A9" w14:textId="77777777" w:rsidTr="00E1741F">
        <w:trPr>
          <w:jc w:val="center"/>
        </w:trPr>
        <w:tc>
          <w:tcPr>
            <w:tcW w:w="789" w:type="dxa"/>
          </w:tcPr>
          <w:p w14:paraId="4F892A5C" w14:textId="77777777" w:rsidR="00C5735F" w:rsidRDefault="00C5735F" w:rsidP="00E1741F">
            <w:r>
              <w:t>QLD</w:t>
            </w:r>
          </w:p>
        </w:tc>
        <w:tc>
          <w:tcPr>
            <w:tcW w:w="1299" w:type="dxa"/>
          </w:tcPr>
          <w:p w14:paraId="5C2AF97D" w14:textId="77777777" w:rsidR="00C5735F" w:rsidRDefault="00C5735F" w:rsidP="00E1741F">
            <w:pPr>
              <w:jc w:val="right"/>
            </w:pPr>
            <w:r>
              <w:t>153</w:t>
            </w:r>
          </w:p>
        </w:tc>
        <w:tc>
          <w:tcPr>
            <w:tcW w:w="1299" w:type="dxa"/>
          </w:tcPr>
          <w:p w14:paraId="77B22A17" w14:textId="77777777" w:rsidR="00C5735F" w:rsidRDefault="00C5735F" w:rsidP="00E1741F">
            <w:pPr>
              <w:jc w:val="right"/>
            </w:pPr>
            <w:r>
              <w:t>231</w:t>
            </w:r>
          </w:p>
        </w:tc>
        <w:tc>
          <w:tcPr>
            <w:tcW w:w="1503" w:type="dxa"/>
          </w:tcPr>
          <w:p w14:paraId="0905B3F6" w14:textId="77777777" w:rsidR="00C5735F" w:rsidRDefault="00C5735F" w:rsidP="00E1741F">
            <w:pPr>
              <w:jc w:val="right"/>
            </w:pPr>
            <w:r>
              <w:t>151</w:t>
            </w:r>
          </w:p>
        </w:tc>
        <w:tc>
          <w:tcPr>
            <w:tcW w:w="1014" w:type="dxa"/>
          </w:tcPr>
          <w:p w14:paraId="3AD5A4BB" w14:textId="77777777" w:rsidR="00C5735F" w:rsidRDefault="00C5735F" w:rsidP="00E1741F">
            <w:pPr>
              <w:jc w:val="right"/>
            </w:pPr>
            <w:r>
              <w:t>1075</w:t>
            </w:r>
          </w:p>
        </w:tc>
        <w:tc>
          <w:tcPr>
            <w:tcW w:w="1503" w:type="dxa"/>
          </w:tcPr>
          <w:p w14:paraId="311D74E6" w14:textId="4BE609A7" w:rsidR="00C5735F" w:rsidRDefault="00C5735F" w:rsidP="00E1741F">
            <w:pPr>
              <w:jc w:val="right"/>
            </w:pPr>
            <w:r>
              <w:t>65</w:t>
            </w:r>
          </w:p>
        </w:tc>
      </w:tr>
      <w:tr w:rsidR="00C5735F" w14:paraId="52871AEA" w14:textId="77777777" w:rsidTr="00E1741F">
        <w:trPr>
          <w:cnfStyle w:val="000000010000" w:firstRow="0" w:lastRow="0" w:firstColumn="0" w:lastColumn="0" w:oddVBand="0" w:evenVBand="0" w:oddHBand="0" w:evenHBand="1" w:firstRowFirstColumn="0" w:firstRowLastColumn="0" w:lastRowFirstColumn="0" w:lastRowLastColumn="0"/>
          <w:jc w:val="center"/>
        </w:trPr>
        <w:tc>
          <w:tcPr>
            <w:tcW w:w="789" w:type="dxa"/>
          </w:tcPr>
          <w:p w14:paraId="5947D5B2" w14:textId="77777777" w:rsidR="00C5735F" w:rsidRDefault="00C5735F" w:rsidP="00E1741F">
            <w:r>
              <w:t>SA</w:t>
            </w:r>
          </w:p>
        </w:tc>
        <w:tc>
          <w:tcPr>
            <w:tcW w:w="1299" w:type="dxa"/>
          </w:tcPr>
          <w:p w14:paraId="33DDE183" w14:textId="77777777" w:rsidR="00C5735F" w:rsidRDefault="00C5735F" w:rsidP="00E1741F">
            <w:pPr>
              <w:jc w:val="right"/>
            </w:pPr>
            <w:r>
              <w:t>27</w:t>
            </w:r>
          </w:p>
        </w:tc>
        <w:tc>
          <w:tcPr>
            <w:tcW w:w="1299" w:type="dxa"/>
          </w:tcPr>
          <w:p w14:paraId="62211BE1" w14:textId="77777777" w:rsidR="00C5735F" w:rsidRDefault="00C5735F" w:rsidP="00E1741F">
            <w:pPr>
              <w:jc w:val="right"/>
            </w:pPr>
            <w:r>
              <w:t>66</w:t>
            </w:r>
          </w:p>
        </w:tc>
        <w:tc>
          <w:tcPr>
            <w:tcW w:w="1503" w:type="dxa"/>
          </w:tcPr>
          <w:p w14:paraId="2B3776E8" w14:textId="77777777" w:rsidR="00C5735F" w:rsidRDefault="00C5735F" w:rsidP="00E1741F">
            <w:pPr>
              <w:jc w:val="right"/>
            </w:pPr>
            <w:r>
              <w:t>49</w:t>
            </w:r>
          </w:p>
        </w:tc>
        <w:tc>
          <w:tcPr>
            <w:tcW w:w="1014" w:type="dxa"/>
          </w:tcPr>
          <w:p w14:paraId="09D978E7" w14:textId="77777777" w:rsidR="00C5735F" w:rsidRDefault="00C5735F" w:rsidP="00E1741F">
            <w:pPr>
              <w:jc w:val="right"/>
            </w:pPr>
            <w:r>
              <w:t>251</w:t>
            </w:r>
          </w:p>
        </w:tc>
        <w:tc>
          <w:tcPr>
            <w:tcW w:w="1503" w:type="dxa"/>
          </w:tcPr>
          <w:p w14:paraId="76FFE87E" w14:textId="530D3085" w:rsidR="00C5735F" w:rsidRDefault="00C5735F" w:rsidP="00E1741F">
            <w:pPr>
              <w:jc w:val="right"/>
            </w:pPr>
            <w:r>
              <w:t>74</w:t>
            </w:r>
          </w:p>
        </w:tc>
      </w:tr>
      <w:tr w:rsidR="00C5735F" w14:paraId="62D57FAD" w14:textId="77777777" w:rsidTr="00E1741F">
        <w:trPr>
          <w:jc w:val="center"/>
        </w:trPr>
        <w:tc>
          <w:tcPr>
            <w:tcW w:w="789" w:type="dxa"/>
          </w:tcPr>
          <w:p w14:paraId="242067A3" w14:textId="77777777" w:rsidR="00C5735F" w:rsidRDefault="00C5735F" w:rsidP="00E1741F">
            <w:r>
              <w:t>WA</w:t>
            </w:r>
          </w:p>
        </w:tc>
        <w:tc>
          <w:tcPr>
            <w:tcW w:w="1299" w:type="dxa"/>
          </w:tcPr>
          <w:p w14:paraId="0A34AFE2" w14:textId="77777777" w:rsidR="00C5735F" w:rsidRDefault="00C5735F" w:rsidP="00E1741F">
            <w:pPr>
              <w:jc w:val="right"/>
            </w:pPr>
            <w:r>
              <w:t>64</w:t>
            </w:r>
          </w:p>
        </w:tc>
        <w:tc>
          <w:tcPr>
            <w:tcW w:w="1299" w:type="dxa"/>
          </w:tcPr>
          <w:p w14:paraId="224C3883" w14:textId="77777777" w:rsidR="00C5735F" w:rsidRDefault="00C5735F" w:rsidP="00E1741F">
            <w:pPr>
              <w:jc w:val="right"/>
            </w:pPr>
            <w:r>
              <w:t>79</w:t>
            </w:r>
          </w:p>
        </w:tc>
        <w:tc>
          <w:tcPr>
            <w:tcW w:w="1503" w:type="dxa"/>
          </w:tcPr>
          <w:p w14:paraId="6120B109" w14:textId="77777777" w:rsidR="00C5735F" w:rsidRDefault="00C5735F" w:rsidP="00E1741F">
            <w:pPr>
              <w:jc w:val="right"/>
            </w:pPr>
            <w:r>
              <w:t>58</w:t>
            </w:r>
          </w:p>
        </w:tc>
        <w:tc>
          <w:tcPr>
            <w:tcW w:w="1014" w:type="dxa"/>
          </w:tcPr>
          <w:p w14:paraId="3E348FFE" w14:textId="77777777" w:rsidR="00C5735F" w:rsidRDefault="00C5735F" w:rsidP="00E1741F">
            <w:pPr>
              <w:jc w:val="right"/>
            </w:pPr>
            <w:r>
              <w:t>409</w:t>
            </w:r>
          </w:p>
        </w:tc>
        <w:tc>
          <w:tcPr>
            <w:tcW w:w="1503" w:type="dxa"/>
          </w:tcPr>
          <w:p w14:paraId="0184E86E" w14:textId="3C0B4AE3" w:rsidR="00C5735F" w:rsidRDefault="00C5735F" w:rsidP="00E1741F">
            <w:pPr>
              <w:jc w:val="right"/>
            </w:pPr>
            <w:r>
              <w:t>73</w:t>
            </w:r>
          </w:p>
        </w:tc>
      </w:tr>
      <w:tr w:rsidR="00C5735F" w14:paraId="0328D3D3" w14:textId="77777777" w:rsidTr="00E1741F">
        <w:trPr>
          <w:cnfStyle w:val="000000010000" w:firstRow="0" w:lastRow="0" w:firstColumn="0" w:lastColumn="0" w:oddVBand="0" w:evenVBand="0" w:oddHBand="0" w:evenHBand="1" w:firstRowFirstColumn="0" w:firstRowLastColumn="0" w:lastRowFirstColumn="0" w:lastRowLastColumn="0"/>
          <w:jc w:val="center"/>
        </w:trPr>
        <w:tc>
          <w:tcPr>
            <w:tcW w:w="789" w:type="dxa"/>
          </w:tcPr>
          <w:p w14:paraId="33900723" w14:textId="77777777" w:rsidR="00C5735F" w:rsidRDefault="00C5735F" w:rsidP="00E1741F">
            <w:r>
              <w:t>TAS</w:t>
            </w:r>
          </w:p>
        </w:tc>
        <w:tc>
          <w:tcPr>
            <w:tcW w:w="1299" w:type="dxa"/>
          </w:tcPr>
          <w:p w14:paraId="376E8F40" w14:textId="77777777" w:rsidR="00C5735F" w:rsidRDefault="00C5735F" w:rsidP="00E1741F">
            <w:pPr>
              <w:jc w:val="right"/>
            </w:pPr>
            <w:r>
              <w:t>14</w:t>
            </w:r>
          </w:p>
        </w:tc>
        <w:tc>
          <w:tcPr>
            <w:tcW w:w="1299" w:type="dxa"/>
          </w:tcPr>
          <w:p w14:paraId="277A534F" w14:textId="77777777" w:rsidR="00C5735F" w:rsidRDefault="00C5735F" w:rsidP="00E1741F">
            <w:pPr>
              <w:jc w:val="right"/>
            </w:pPr>
            <w:r>
              <w:t>15</w:t>
            </w:r>
          </w:p>
        </w:tc>
        <w:tc>
          <w:tcPr>
            <w:tcW w:w="1503" w:type="dxa"/>
          </w:tcPr>
          <w:p w14:paraId="1ADAB500" w14:textId="77777777" w:rsidR="00C5735F" w:rsidRDefault="00C5735F" w:rsidP="00E1741F">
            <w:pPr>
              <w:jc w:val="right"/>
            </w:pPr>
            <w:r>
              <w:t>11</w:t>
            </w:r>
          </w:p>
        </w:tc>
        <w:tc>
          <w:tcPr>
            <w:tcW w:w="1014" w:type="dxa"/>
          </w:tcPr>
          <w:p w14:paraId="535E766C" w14:textId="77777777" w:rsidR="00C5735F" w:rsidRDefault="00C5735F" w:rsidP="00E1741F">
            <w:pPr>
              <w:jc w:val="right"/>
            </w:pPr>
            <w:r>
              <w:t>74</w:t>
            </w:r>
          </w:p>
        </w:tc>
        <w:tc>
          <w:tcPr>
            <w:tcW w:w="1503" w:type="dxa"/>
          </w:tcPr>
          <w:p w14:paraId="69F1FAA1" w14:textId="1844C7E0" w:rsidR="00C5735F" w:rsidRDefault="00C5735F" w:rsidP="00E1741F">
            <w:pPr>
              <w:jc w:val="right"/>
            </w:pPr>
            <w:r>
              <w:t>73</w:t>
            </w:r>
          </w:p>
        </w:tc>
      </w:tr>
      <w:tr w:rsidR="00C5735F" w14:paraId="1658AEE4" w14:textId="77777777" w:rsidTr="00E1741F">
        <w:trPr>
          <w:jc w:val="center"/>
        </w:trPr>
        <w:tc>
          <w:tcPr>
            <w:tcW w:w="789" w:type="dxa"/>
          </w:tcPr>
          <w:p w14:paraId="5052F741" w14:textId="77777777" w:rsidR="00C5735F" w:rsidRDefault="00C5735F" w:rsidP="00E1741F">
            <w:r>
              <w:t>ACT</w:t>
            </w:r>
          </w:p>
        </w:tc>
        <w:tc>
          <w:tcPr>
            <w:tcW w:w="1299" w:type="dxa"/>
          </w:tcPr>
          <w:p w14:paraId="19E45BE6" w14:textId="77777777" w:rsidR="00C5735F" w:rsidRDefault="00C5735F" w:rsidP="00E1741F">
            <w:pPr>
              <w:jc w:val="right"/>
            </w:pPr>
            <w:r>
              <w:t>18</w:t>
            </w:r>
          </w:p>
        </w:tc>
        <w:tc>
          <w:tcPr>
            <w:tcW w:w="1299" w:type="dxa"/>
          </w:tcPr>
          <w:p w14:paraId="68A64485" w14:textId="77777777" w:rsidR="00C5735F" w:rsidRDefault="00C5735F" w:rsidP="00E1741F">
            <w:pPr>
              <w:jc w:val="right"/>
            </w:pPr>
            <w:r>
              <w:t>19</w:t>
            </w:r>
          </w:p>
        </w:tc>
        <w:tc>
          <w:tcPr>
            <w:tcW w:w="1503" w:type="dxa"/>
          </w:tcPr>
          <w:p w14:paraId="4D9F8479" w14:textId="77777777" w:rsidR="00C5735F" w:rsidRDefault="00C5735F" w:rsidP="00E1741F">
            <w:pPr>
              <w:jc w:val="right"/>
            </w:pPr>
            <w:r>
              <w:t>14</w:t>
            </w:r>
          </w:p>
        </w:tc>
        <w:tc>
          <w:tcPr>
            <w:tcW w:w="1014" w:type="dxa"/>
          </w:tcPr>
          <w:p w14:paraId="7BA9EDD8" w14:textId="77777777" w:rsidR="00C5735F" w:rsidRDefault="00C5735F" w:rsidP="00E1741F">
            <w:pPr>
              <w:jc w:val="right"/>
            </w:pPr>
            <w:r>
              <w:t>115</w:t>
            </w:r>
          </w:p>
        </w:tc>
        <w:tc>
          <w:tcPr>
            <w:tcW w:w="1503" w:type="dxa"/>
          </w:tcPr>
          <w:p w14:paraId="41167A25" w14:textId="21B494F3" w:rsidR="00C5735F" w:rsidRDefault="00C5735F" w:rsidP="00E1741F">
            <w:pPr>
              <w:jc w:val="right"/>
            </w:pPr>
            <w:r>
              <w:t>74</w:t>
            </w:r>
          </w:p>
        </w:tc>
      </w:tr>
      <w:tr w:rsidR="00C5735F" w14:paraId="64F086AA" w14:textId="77777777" w:rsidTr="00E1741F">
        <w:trPr>
          <w:cnfStyle w:val="000000010000" w:firstRow="0" w:lastRow="0" w:firstColumn="0" w:lastColumn="0" w:oddVBand="0" w:evenVBand="0" w:oddHBand="0" w:evenHBand="1" w:firstRowFirstColumn="0" w:firstRowLastColumn="0" w:lastRowFirstColumn="0" w:lastRowLastColumn="0"/>
          <w:jc w:val="center"/>
        </w:trPr>
        <w:tc>
          <w:tcPr>
            <w:tcW w:w="789" w:type="dxa"/>
          </w:tcPr>
          <w:p w14:paraId="633A2550" w14:textId="77777777" w:rsidR="00C5735F" w:rsidRDefault="00C5735F" w:rsidP="00E1741F">
            <w:r>
              <w:t>NT</w:t>
            </w:r>
          </w:p>
        </w:tc>
        <w:tc>
          <w:tcPr>
            <w:tcW w:w="1299" w:type="dxa"/>
          </w:tcPr>
          <w:p w14:paraId="48B648A7" w14:textId="77777777" w:rsidR="00C5735F" w:rsidRDefault="00C5735F" w:rsidP="00E1741F">
            <w:pPr>
              <w:jc w:val="right"/>
            </w:pPr>
            <w:r>
              <w:t>8</w:t>
            </w:r>
          </w:p>
        </w:tc>
        <w:tc>
          <w:tcPr>
            <w:tcW w:w="1299" w:type="dxa"/>
          </w:tcPr>
          <w:p w14:paraId="140DF94D" w14:textId="77777777" w:rsidR="00C5735F" w:rsidRDefault="00C5735F" w:rsidP="00E1741F">
            <w:pPr>
              <w:jc w:val="right"/>
            </w:pPr>
            <w:r>
              <w:t>11</w:t>
            </w:r>
          </w:p>
        </w:tc>
        <w:tc>
          <w:tcPr>
            <w:tcW w:w="1503" w:type="dxa"/>
          </w:tcPr>
          <w:p w14:paraId="7721AF26" w14:textId="77777777" w:rsidR="00C5735F" w:rsidRDefault="00C5735F" w:rsidP="00E1741F">
            <w:pPr>
              <w:jc w:val="right"/>
            </w:pPr>
            <w:r>
              <w:t>7</w:t>
            </w:r>
          </w:p>
        </w:tc>
        <w:tc>
          <w:tcPr>
            <w:tcW w:w="1014" w:type="dxa"/>
          </w:tcPr>
          <w:p w14:paraId="62493D23" w14:textId="77777777" w:rsidR="00C5735F" w:rsidRDefault="00C5735F" w:rsidP="00E1741F">
            <w:pPr>
              <w:jc w:val="right"/>
            </w:pPr>
            <w:r>
              <w:t>53</w:t>
            </w:r>
          </w:p>
        </w:tc>
        <w:tc>
          <w:tcPr>
            <w:tcW w:w="1503" w:type="dxa"/>
          </w:tcPr>
          <w:p w14:paraId="2EBB5D21" w14:textId="27C2E713" w:rsidR="00C5735F" w:rsidRDefault="00C5735F" w:rsidP="00E1741F">
            <w:pPr>
              <w:jc w:val="right"/>
            </w:pPr>
            <w:r>
              <w:t>64</w:t>
            </w:r>
          </w:p>
        </w:tc>
      </w:tr>
      <w:tr w:rsidR="00C5735F" w14:paraId="4499DE6C" w14:textId="77777777" w:rsidTr="00E1741F">
        <w:trPr>
          <w:jc w:val="center"/>
        </w:trPr>
        <w:tc>
          <w:tcPr>
            <w:tcW w:w="789" w:type="dxa"/>
          </w:tcPr>
          <w:p w14:paraId="7A6B1320" w14:textId="77777777" w:rsidR="00C5735F" w:rsidRDefault="00C5735F" w:rsidP="00E1741F">
            <w:r>
              <w:t>Total</w:t>
            </w:r>
          </w:p>
        </w:tc>
        <w:tc>
          <w:tcPr>
            <w:tcW w:w="1299" w:type="dxa"/>
          </w:tcPr>
          <w:p w14:paraId="78C9BDFD" w14:textId="77777777" w:rsidR="00C5735F" w:rsidRDefault="00C5735F" w:rsidP="00E1741F">
            <w:pPr>
              <w:jc w:val="right"/>
            </w:pPr>
            <w:r>
              <w:t>787</w:t>
            </w:r>
          </w:p>
        </w:tc>
        <w:tc>
          <w:tcPr>
            <w:tcW w:w="1299" w:type="dxa"/>
          </w:tcPr>
          <w:p w14:paraId="6E8A8D6A" w14:textId="77777777" w:rsidR="00C5735F" w:rsidRDefault="00C5735F" w:rsidP="00E1741F">
            <w:pPr>
              <w:jc w:val="right"/>
            </w:pPr>
            <w:r>
              <w:t>1040</w:t>
            </w:r>
          </w:p>
        </w:tc>
        <w:tc>
          <w:tcPr>
            <w:tcW w:w="1503" w:type="dxa"/>
          </w:tcPr>
          <w:p w14:paraId="54601B1C" w14:textId="77777777" w:rsidR="00C5735F" w:rsidRDefault="00C5735F" w:rsidP="00E1741F">
            <w:pPr>
              <w:jc w:val="right"/>
            </w:pPr>
            <w:r>
              <w:t>722</w:t>
            </w:r>
          </w:p>
        </w:tc>
        <w:tc>
          <w:tcPr>
            <w:tcW w:w="1014" w:type="dxa"/>
          </w:tcPr>
          <w:p w14:paraId="05FCE7E7" w14:textId="77777777" w:rsidR="00C5735F" w:rsidRDefault="00C5735F" w:rsidP="00E1741F">
            <w:pPr>
              <w:jc w:val="right"/>
            </w:pPr>
            <w:r>
              <w:t>5078</w:t>
            </w:r>
          </w:p>
        </w:tc>
        <w:tc>
          <w:tcPr>
            <w:tcW w:w="1503" w:type="dxa"/>
          </w:tcPr>
          <w:p w14:paraId="52593D84" w14:textId="7B27919A" w:rsidR="00C5735F" w:rsidRDefault="00C5735F" w:rsidP="00E1741F">
            <w:pPr>
              <w:jc w:val="right"/>
            </w:pPr>
            <w:r>
              <w:t>69</w:t>
            </w:r>
          </w:p>
        </w:tc>
      </w:tr>
    </w:tbl>
    <w:p w14:paraId="5DD2049D" w14:textId="0E42027B" w:rsidR="00C5735F" w:rsidRDefault="00C5735F" w:rsidP="00C5735F">
      <w:r>
        <w:t xml:space="preserve">According to data submitted to the Organisation for Economic Co-operation and Development (OECD) </w:t>
      </w:r>
      <w:r w:rsidR="000214C8">
        <w:t>(OECD, 2022)</w:t>
      </w:r>
      <w:r>
        <w:t>, Australia had 1769 CT scanners in 2019, however this figure is derived from the Medicare Location Specific Practice Number (LSPN) register and it is not known whether all such scanners are in active use, nor how many are used primarily for diagnostic radiology (in contrast to uses as part of hybrid equipment in nuclear medicine imaging or use in radiotherapy for treatment planning). The number of CT scanners registered with the NDRLS thus represents at least 60% of all diagnostic CT scanners in Australia, and the true proportion may be much higher. It seems likely therefore that the data comes from around half or more of all diagnostic CT scanners and is relatively evenly distributed across the country.</w:t>
      </w:r>
    </w:p>
    <w:p w14:paraId="2BA4F13B" w14:textId="74B428E3" w:rsidR="0037745C" w:rsidRDefault="00C5735F" w:rsidP="00C5735F">
      <w:r>
        <w:t xml:space="preserve">Table 3 shows the breakdown of registered facilities and scanners by facility type, along with the number of registered scanners submitting surveys, the total number of surveys, and the proportion of registered scanners submitting surveys. Public hospital facilities show a lower fraction of submissions from registered </w:t>
      </w:r>
      <w:r w:rsidR="00EB4526">
        <w:t>scanners;</w:t>
      </w:r>
      <w:r>
        <w:t xml:space="preserve"> however these facilities also show a higher number of scanners per </w:t>
      </w:r>
      <w:proofErr w:type="gramStart"/>
      <w:r>
        <w:t>facility</w:t>
      </w:r>
      <w:proofErr w:type="gramEnd"/>
      <w:r>
        <w:t xml:space="preserve"> and this may reflect different usage patterns or delay in removing replaced scanners from the registration list.</w:t>
      </w:r>
    </w:p>
    <w:p w14:paraId="11F6F61C" w14:textId="77777777" w:rsidR="00C5735F" w:rsidRDefault="00C5735F" w:rsidP="00E1741F">
      <w:pPr>
        <w:pStyle w:val="Caption"/>
        <w:spacing w:before="360"/>
      </w:pPr>
      <w:r>
        <w:t xml:space="preserve">Table 3 – Distribution of registered facilities and scanners by facility type, number of scanners submitting surveys, total surveys, and percentage of registered scanners submitting data in 2020 </w:t>
      </w:r>
    </w:p>
    <w:tbl>
      <w:tblPr>
        <w:tblStyle w:val="GenericARPANSA"/>
        <w:tblW w:w="5000" w:type="pct"/>
        <w:tblInd w:w="0" w:type="dxa"/>
        <w:tblLayout w:type="fixed"/>
        <w:tblLook w:val="04A0" w:firstRow="1" w:lastRow="0" w:firstColumn="1" w:lastColumn="0" w:noHBand="0" w:noVBand="1"/>
      </w:tblPr>
      <w:tblGrid>
        <w:gridCol w:w="3240"/>
        <w:gridCol w:w="1308"/>
        <w:gridCol w:w="1192"/>
        <w:gridCol w:w="1506"/>
        <w:gridCol w:w="982"/>
        <w:gridCol w:w="1400"/>
      </w:tblGrid>
      <w:tr w:rsidR="00C5735F" w14:paraId="523C9449" w14:textId="77777777" w:rsidTr="00E1741F">
        <w:trPr>
          <w:cnfStyle w:val="100000000000" w:firstRow="1" w:lastRow="0" w:firstColumn="0" w:lastColumn="0" w:oddVBand="0" w:evenVBand="0" w:oddHBand="0" w:evenHBand="0" w:firstRowFirstColumn="0" w:firstRowLastColumn="0" w:lastRowFirstColumn="0" w:lastRowLastColumn="0"/>
        </w:trPr>
        <w:tc>
          <w:tcPr>
            <w:tcW w:w="3283" w:type="dxa"/>
          </w:tcPr>
          <w:p w14:paraId="4A4C406D" w14:textId="77777777" w:rsidR="00C5735F" w:rsidRDefault="00C5735F" w:rsidP="00E1741F">
            <w:pPr>
              <w:spacing w:before="60" w:after="60"/>
            </w:pPr>
            <w:r>
              <w:t>Facility Type</w:t>
            </w:r>
          </w:p>
        </w:tc>
        <w:tc>
          <w:tcPr>
            <w:tcW w:w="1323" w:type="dxa"/>
          </w:tcPr>
          <w:p w14:paraId="6A506E89" w14:textId="77777777" w:rsidR="00C5735F" w:rsidRDefault="00C5735F" w:rsidP="00E1741F">
            <w:pPr>
              <w:spacing w:before="60" w:after="60"/>
            </w:pPr>
            <w:r>
              <w:t>Registered</w:t>
            </w:r>
          </w:p>
          <w:p w14:paraId="2AAD6EEA" w14:textId="77777777" w:rsidR="00C5735F" w:rsidRDefault="00C5735F" w:rsidP="00E1741F">
            <w:pPr>
              <w:spacing w:before="60" w:after="60"/>
            </w:pPr>
            <w:r>
              <w:t>Facilities</w:t>
            </w:r>
          </w:p>
        </w:tc>
        <w:tc>
          <w:tcPr>
            <w:tcW w:w="1206" w:type="dxa"/>
          </w:tcPr>
          <w:p w14:paraId="5A84C51F" w14:textId="77777777" w:rsidR="00C5735F" w:rsidRDefault="00C5735F" w:rsidP="00E1741F">
            <w:pPr>
              <w:spacing w:before="60" w:after="60"/>
            </w:pPr>
            <w:r>
              <w:t>Registered</w:t>
            </w:r>
          </w:p>
          <w:p w14:paraId="328B265B" w14:textId="77777777" w:rsidR="00C5735F" w:rsidRDefault="00C5735F" w:rsidP="00E1741F">
            <w:pPr>
              <w:spacing w:before="60" w:after="60"/>
            </w:pPr>
            <w:r>
              <w:t>Scanners</w:t>
            </w:r>
          </w:p>
        </w:tc>
        <w:tc>
          <w:tcPr>
            <w:tcW w:w="1524" w:type="dxa"/>
          </w:tcPr>
          <w:p w14:paraId="1F4B40B6" w14:textId="77777777" w:rsidR="00C5735F" w:rsidRDefault="00C5735F" w:rsidP="00E1741F">
            <w:pPr>
              <w:spacing w:before="60" w:after="60"/>
            </w:pPr>
            <w:r>
              <w:t>Scanners with</w:t>
            </w:r>
          </w:p>
          <w:p w14:paraId="24FE3CD1" w14:textId="77777777" w:rsidR="00C5735F" w:rsidRDefault="00C5735F" w:rsidP="00E1741F">
            <w:pPr>
              <w:spacing w:before="60" w:after="60"/>
            </w:pPr>
            <w:r>
              <w:t>submitted surveys</w:t>
            </w:r>
          </w:p>
        </w:tc>
        <w:tc>
          <w:tcPr>
            <w:tcW w:w="993" w:type="dxa"/>
          </w:tcPr>
          <w:p w14:paraId="486FE854" w14:textId="77777777" w:rsidR="00C5735F" w:rsidRDefault="00C5735F" w:rsidP="00E1741F">
            <w:pPr>
              <w:spacing w:before="60" w:after="60"/>
            </w:pPr>
            <w:r>
              <w:t>Surveys</w:t>
            </w:r>
          </w:p>
        </w:tc>
        <w:tc>
          <w:tcPr>
            <w:tcW w:w="1417" w:type="dxa"/>
          </w:tcPr>
          <w:p w14:paraId="0830C685" w14:textId="0BE2FD92" w:rsidR="00C5735F" w:rsidRDefault="00C5735F" w:rsidP="00E1741F">
            <w:pPr>
              <w:spacing w:before="60" w:after="60"/>
            </w:pPr>
            <w:r>
              <w:t>Registered scanners submitting</w:t>
            </w:r>
            <w:r w:rsidR="00E1741F">
              <w:t xml:space="preserve"> (%)</w:t>
            </w:r>
          </w:p>
        </w:tc>
      </w:tr>
      <w:tr w:rsidR="00C5735F" w14:paraId="5014FCD0" w14:textId="77777777" w:rsidTr="00E1741F">
        <w:tc>
          <w:tcPr>
            <w:tcW w:w="3283" w:type="dxa"/>
          </w:tcPr>
          <w:p w14:paraId="7911A8A8" w14:textId="77777777" w:rsidR="00C5735F" w:rsidRDefault="00C5735F" w:rsidP="00E1741F">
            <w:r>
              <w:t>Public clinic in a Public Hospital</w:t>
            </w:r>
          </w:p>
        </w:tc>
        <w:tc>
          <w:tcPr>
            <w:tcW w:w="1323" w:type="dxa"/>
          </w:tcPr>
          <w:p w14:paraId="358023B4" w14:textId="77777777" w:rsidR="00C5735F" w:rsidRDefault="00C5735F" w:rsidP="00E1741F">
            <w:pPr>
              <w:jc w:val="right"/>
            </w:pPr>
            <w:r>
              <w:t>124</w:t>
            </w:r>
          </w:p>
        </w:tc>
        <w:tc>
          <w:tcPr>
            <w:tcW w:w="1206" w:type="dxa"/>
          </w:tcPr>
          <w:p w14:paraId="0FE66ECF" w14:textId="77777777" w:rsidR="00C5735F" w:rsidRDefault="00C5735F" w:rsidP="00E1741F">
            <w:pPr>
              <w:jc w:val="right"/>
            </w:pPr>
            <w:r>
              <w:t>236</w:t>
            </w:r>
          </w:p>
        </w:tc>
        <w:tc>
          <w:tcPr>
            <w:tcW w:w="1524" w:type="dxa"/>
          </w:tcPr>
          <w:p w14:paraId="1635BA71" w14:textId="77777777" w:rsidR="00C5735F" w:rsidRDefault="00C5735F" w:rsidP="00E1741F">
            <w:pPr>
              <w:jc w:val="right"/>
            </w:pPr>
            <w:r>
              <w:t>129</w:t>
            </w:r>
          </w:p>
        </w:tc>
        <w:tc>
          <w:tcPr>
            <w:tcW w:w="993" w:type="dxa"/>
          </w:tcPr>
          <w:p w14:paraId="263E4038" w14:textId="77777777" w:rsidR="00C5735F" w:rsidRDefault="00C5735F" w:rsidP="00E1741F">
            <w:pPr>
              <w:jc w:val="right"/>
            </w:pPr>
            <w:r>
              <w:t>891</w:t>
            </w:r>
          </w:p>
        </w:tc>
        <w:tc>
          <w:tcPr>
            <w:tcW w:w="1417" w:type="dxa"/>
          </w:tcPr>
          <w:p w14:paraId="3D325C8A" w14:textId="1E267786" w:rsidR="00C5735F" w:rsidRDefault="00C5735F" w:rsidP="00E1741F">
            <w:pPr>
              <w:jc w:val="right"/>
            </w:pPr>
            <w:r>
              <w:t>55</w:t>
            </w:r>
          </w:p>
        </w:tc>
      </w:tr>
      <w:tr w:rsidR="00C5735F" w14:paraId="59ABBCC2" w14:textId="77777777" w:rsidTr="00E1741F">
        <w:trPr>
          <w:cnfStyle w:val="000000010000" w:firstRow="0" w:lastRow="0" w:firstColumn="0" w:lastColumn="0" w:oddVBand="0" w:evenVBand="0" w:oddHBand="0" w:evenHBand="1" w:firstRowFirstColumn="0" w:firstRowLastColumn="0" w:lastRowFirstColumn="0" w:lastRowLastColumn="0"/>
        </w:trPr>
        <w:tc>
          <w:tcPr>
            <w:tcW w:w="3283" w:type="dxa"/>
          </w:tcPr>
          <w:p w14:paraId="503399DE" w14:textId="77777777" w:rsidR="00C5735F" w:rsidRDefault="00C5735F" w:rsidP="00E1741F">
            <w:r>
              <w:t>Private clinic in a Public Hospital</w:t>
            </w:r>
          </w:p>
        </w:tc>
        <w:tc>
          <w:tcPr>
            <w:tcW w:w="1323" w:type="dxa"/>
          </w:tcPr>
          <w:p w14:paraId="66A2BF79" w14:textId="77777777" w:rsidR="00C5735F" w:rsidRDefault="00C5735F" w:rsidP="00E1741F">
            <w:pPr>
              <w:jc w:val="right"/>
            </w:pPr>
            <w:r>
              <w:t>43</w:t>
            </w:r>
          </w:p>
        </w:tc>
        <w:tc>
          <w:tcPr>
            <w:tcW w:w="1206" w:type="dxa"/>
          </w:tcPr>
          <w:p w14:paraId="0C987F65" w14:textId="77777777" w:rsidR="00C5735F" w:rsidRDefault="00C5735F" w:rsidP="00E1741F">
            <w:pPr>
              <w:jc w:val="right"/>
            </w:pPr>
            <w:r>
              <w:t>65</w:t>
            </w:r>
          </w:p>
        </w:tc>
        <w:tc>
          <w:tcPr>
            <w:tcW w:w="1524" w:type="dxa"/>
          </w:tcPr>
          <w:p w14:paraId="515BF186" w14:textId="77777777" w:rsidR="00C5735F" w:rsidRDefault="00C5735F" w:rsidP="00E1741F">
            <w:pPr>
              <w:jc w:val="right"/>
            </w:pPr>
            <w:r>
              <w:t>49</w:t>
            </w:r>
          </w:p>
        </w:tc>
        <w:tc>
          <w:tcPr>
            <w:tcW w:w="993" w:type="dxa"/>
          </w:tcPr>
          <w:p w14:paraId="4F4D857C" w14:textId="77777777" w:rsidR="00C5735F" w:rsidRDefault="00C5735F" w:rsidP="00E1741F">
            <w:pPr>
              <w:jc w:val="right"/>
            </w:pPr>
            <w:r>
              <w:t>334</w:t>
            </w:r>
          </w:p>
        </w:tc>
        <w:tc>
          <w:tcPr>
            <w:tcW w:w="1417" w:type="dxa"/>
          </w:tcPr>
          <w:p w14:paraId="6C06BDC9" w14:textId="44C40CF9" w:rsidR="00C5735F" w:rsidRDefault="00C5735F" w:rsidP="00E1741F">
            <w:pPr>
              <w:jc w:val="right"/>
            </w:pPr>
            <w:r>
              <w:t>75</w:t>
            </w:r>
          </w:p>
        </w:tc>
      </w:tr>
      <w:tr w:rsidR="00C5735F" w14:paraId="0F1F3808" w14:textId="77777777" w:rsidTr="00E1741F">
        <w:tc>
          <w:tcPr>
            <w:tcW w:w="3283" w:type="dxa"/>
          </w:tcPr>
          <w:p w14:paraId="2C753851" w14:textId="77777777" w:rsidR="00C5735F" w:rsidRDefault="00C5735F" w:rsidP="00E1741F">
            <w:r>
              <w:t>Private clinic in a Private Hospital</w:t>
            </w:r>
          </w:p>
        </w:tc>
        <w:tc>
          <w:tcPr>
            <w:tcW w:w="1323" w:type="dxa"/>
          </w:tcPr>
          <w:p w14:paraId="27FE4D19" w14:textId="77777777" w:rsidR="00C5735F" w:rsidRDefault="00C5735F" w:rsidP="00E1741F">
            <w:pPr>
              <w:jc w:val="right"/>
            </w:pPr>
            <w:r>
              <w:t>112</w:t>
            </w:r>
          </w:p>
        </w:tc>
        <w:tc>
          <w:tcPr>
            <w:tcW w:w="1206" w:type="dxa"/>
          </w:tcPr>
          <w:p w14:paraId="61E09178" w14:textId="77777777" w:rsidR="00C5735F" w:rsidRDefault="00C5735F" w:rsidP="00E1741F">
            <w:pPr>
              <w:jc w:val="right"/>
            </w:pPr>
            <w:r>
              <w:t>147</w:t>
            </w:r>
          </w:p>
        </w:tc>
        <w:tc>
          <w:tcPr>
            <w:tcW w:w="1524" w:type="dxa"/>
          </w:tcPr>
          <w:p w14:paraId="7F399D2E" w14:textId="77777777" w:rsidR="00C5735F" w:rsidRDefault="00C5735F" w:rsidP="00E1741F">
            <w:pPr>
              <w:jc w:val="right"/>
            </w:pPr>
            <w:r>
              <w:t>112</w:t>
            </w:r>
          </w:p>
        </w:tc>
        <w:tc>
          <w:tcPr>
            <w:tcW w:w="993" w:type="dxa"/>
          </w:tcPr>
          <w:p w14:paraId="604FDFD3" w14:textId="77777777" w:rsidR="00C5735F" w:rsidRDefault="00C5735F" w:rsidP="00E1741F">
            <w:pPr>
              <w:jc w:val="right"/>
            </w:pPr>
            <w:r>
              <w:t>794</w:t>
            </w:r>
          </w:p>
        </w:tc>
        <w:tc>
          <w:tcPr>
            <w:tcW w:w="1417" w:type="dxa"/>
          </w:tcPr>
          <w:p w14:paraId="734A9411" w14:textId="30327643" w:rsidR="00C5735F" w:rsidRDefault="00C5735F" w:rsidP="00E1741F">
            <w:pPr>
              <w:jc w:val="right"/>
            </w:pPr>
            <w:r>
              <w:t>76</w:t>
            </w:r>
          </w:p>
        </w:tc>
      </w:tr>
      <w:tr w:rsidR="00C5735F" w14:paraId="2612C3AB" w14:textId="77777777" w:rsidTr="00E1741F">
        <w:trPr>
          <w:cnfStyle w:val="000000010000" w:firstRow="0" w:lastRow="0" w:firstColumn="0" w:lastColumn="0" w:oddVBand="0" w:evenVBand="0" w:oddHBand="0" w:evenHBand="1" w:firstRowFirstColumn="0" w:firstRowLastColumn="0" w:lastRowFirstColumn="0" w:lastRowLastColumn="0"/>
        </w:trPr>
        <w:tc>
          <w:tcPr>
            <w:tcW w:w="3283" w:type="dxa"/>
          </w:tcPr>
          <w:p w14:paraId="3BB53517" w14:textId="77777777" w:rsidR="00C5735F" w:rsidRDefault="00C5735F" w:rsidP="00E1741F">
            <w:r>
              <w:t>Private clinic</w:t>
            </w:r>
          </w:p>
        </w:tc>
        <w:tc>
          <w:tcPr>
            <w:tcW w:w="1323" w:type="dxa"/>
          </w:tcPr>
          <w:p w14:paraId="31C29750" w14:textId="77777777" w:rsidR="00C5735F" w:rsidRDefault="00C5735F" w:rsidP="00E1741F">
            <w:pPr>
              <w:jc w:val="right"/>
            </w:pPr>
            <w:r>
              <w:t>508</w:t>
            </w:r>
          </w:p>
        </w:tc>
        <w:tc>
          <w:tcPr>
            <w:tcW w:w="1206" w:type="dxa"/>
          </w:tcPr>
          <w:p w14:paraId="11339761" w14:textId="77777777" w:rsidR="00C5735F" w:rsidRDefault="00C5735F" w:rsidP="00E1741F">
            <w:pPr>
              <w:jc w:val="right"/>
            </w:pPr>
            <w:r>
              <w:t>592</w:t>
            </w:r>
          </w:p>
        </w:tc>
        <w:tc>
          <w:tcPr>
            <w:tcW w:w="1524" w:type="dxa"/>
          </w:tcPr>
          <w:p w14:paraId="03432A60" w14:textId="77777777" w:rsidR="00C5735F" w:rsidRDefault="00C5735F" w:rsidP="00E1741F">
            <w:pPr>
              <w:jc w:val="right"/>
            </w:pPr>
            <w:r>
              <w:t>432</w:t>
            </w:r>
          </w:p>
        </w:tc>
        <w:tc>
          <w:tcPr>
            <w:tcW w:w="993" w:type="dxa"/>
          </w:tcPr>
          <w:p w14:paraId="42BD58F3" w14:textId="77777777" w:rsidR="00C5735F" w:rsidRDefault="00C5735F" w:rsidP="00E1741F">
            <w:pPr>
              <w:jc w:val="right"/>
            </w:pPr>
            <w:r>
              <w:t>3059</w:t>
            </w:r>
          </w:p>
        </w:tc>
        <w:tc>
          <w:tcPr>
            <w:tcW w:w="1417" w:type="dxa"/>
          </w:tcPr>
          <w:p w14:paraId="750A4555" w14:textId="1AEFBEF6" w:rsidR="00C5735F" w:rsidRDefault="00C5735F" w:rsidP="00E1741F">
            <w:pPr>
              <w:jc w:val="right"/>
            </w:pPr>
            <w:r>
              <w:t>73</w:t>
            </w:r>
          </w:p>
        </w:tc>
      </w:tr>
      <w:tr w:rsidR="00C5735F" w14:paraId="6D138BAF" w14:textId="77777777" w:rsidTr="00E1741F">
        <w:tc>
          <w:tcPr>
            <w:tcW w:w="3283" w:type="dxa"/>
          </w:tcPr>
          <w:p w14:paraId="38E93F47" w14:textId="77777777" w:rsidR="00C5735F" w:rsidRDefault="00C5735F" w:rsidP="00E1741F">
            <w:r>
              <w:t>Total</w:t>
            </w:r>
          </w:p>
        </w:tc>
        <w:tc>
          <w:tcPr>
            <w:tcW w:w="1323" w:type="dxa"/>
          </w:tcPr>
          <w:p w14:paraId="672D5D8F" w14:textId="77777777" w:rsidR="00C5735F" w:rsidRDefault="00C5735F" w:rsidP="00E1741F">
            <w:pPr>
              <w:jc w:val="right"/>
            </w:pPr>
            <w:r>
              <w:t>787</w:t>
            </w:r>
          </w:p>
        </w:tc>
        <w:tc>
          <w:tcPr>
            <w:tcW w:w="1206" w:type="dxa"/>
          </w:tcPr>
          <w:p w14:paraId="526B1DD3" w14:textId="77777777" w:rsidR="00C5735F" w:rsidRDefault="00C5735F" w:rsidP="00E1741F">
            <w:pPr>
              <w:jc w:val="right"/>
            </w:pPr>
            <w:r>
              <w:t>1040</w:t>
            </w:r>
          </w:p>
        </w:tc>
        <w:tc>
          <w:tcPr>
            <w:tcW w:w="1524" w:type="dxa"/>
          </w:tcPr>
          <w:p w14:paraId="7264108D" w14:textId="77777777" w:rsidR="00C5735F" w:rsidRDefault="00C5735F" w:rsidP="00E1741F">
            <w:pPr>
              <w:jc w:val="right"/>
            </w:pPr>
            <w:r>
              <w:t>722</w:t>
            </w:r>
          </w:p>
        </w:tc>
        <w:tc>
          <w:tcPr>
            <w:tcW w:w="993" w:type="dxa"/>
          </w:tcPr>
          <w:p w14:paraId="03DBD674" w14:textId="77777777" w:rsidR="00C5735F" w:rsidRDefault="00C5735F" w:rsidP="00E1741F">
            <w:pPr>
              <w:jc w:val="right"/>
            </w:pPr>
            <w:r>
              <w:t>5078</w:t>
            </w:r>
          </w:p>
        </w:tc>
        <w:tc>
          <w:tcPr>
            <w:tcW w:w="1417" w:type="dxa"/>
          </w:tcPr>
          <w:p w14:paraId="23BEE2E7" w14:textId="7A7D95F1" w:rsidR="00C5735F" w:rsidRDefault="00C5735F" w:rsidP="00E1741F">
            <w:pPr>
              <w:jc w:val="right"/>
            </w:pPr>
            <w:r>
              <w:t>69</w:t>
            </w:r>
          </w:p>
        </w:tc>
      </w:tr>
    </w:tbl>
    <w:p w14:paraId="7F1AE9BC" w14:textId="3EEE2FB1" w:rsidR="0037745C" w:rsidRDefault="00C5735F" w:rsidP="00C5735F">
      <w:r>
        <w:lastRenderedPageBreak/>
        <w:t xml:space="preserve">Third quartiles of the FRL distributions for adult patients in 2020 are shown in Table 4 and compared with the national DRLs. The percentage of surveys with median values under the relevant DRL is also shown. Plots of the cumulative FRL distributions for adult patients in 2020 for each scan category and dose metric are presented in Appendix </w:t>
      </w:r>
      <w:r w:rsidR="001311D5">
        <w:t>1</w:t>
      </w:r>
      <w:r>
        <w:t xml:space="preserve">. Historical trends in the FRL distributions for each scan category and dose metric are presented in Appendix </w:t>
      </w:r>
      <w:r w:rsidR="001311D5">
        <w:t>2</w:t>
      </w:r>
      <w:r>
        <w:t>.</w:t>
      </w:r>
    </w:p>
    <w:p w14:paraId="713223D5" w14:textId="77777777" w:rsidR="00C5735F" w:rsidRDefault="00C5735F" w:rsidP="00E1741F">
      <w:pPr>
        <w:pStyle w:val="Caption"/>
        <w:spacing w:before="360"/>
      </w:pPr>
      <w:r>
        <w:t>Table 4 – Third quartiles (75</w:t>
      </w:r>
      <w:r w:rsidRPr="00577FA0">
        <w:rPr>
          <w:vertAlign w:val="superscript"/>
        </w:rPr>
        <w:t>th</w:t>
      </w:r>
      <w:r>
        <w:t xml:space="preserve"> percentiles) of the 2020 CT FRL distributions for adult patients and comparison with the national DRLs, by scan category.</w:t>
      </w:r>
    </w:p>
    <w:tbl>
      <w:tblPr>
        <w:tblStyle w:val="GenericARPANSA"/>
        <w:tblW w:w="5000" w:type="pct"/>
        <w:tblInd w:w="0" w:type="dxa"/>
        <w:tblLayout w:type="fixed"/>
        <w:tblLook w:val="04A0" w:firstRow="1" w:lastRow="0" w:firstColumn="1" w:lastColumn="0" w:noHBand="0" w:noVBand="1"/>
      </w:tblPr>
      <w:tblGrid>
        <w:gridCol w:w="2499"/>
        <w:gridCol w:w="1319"/>
        <w:gridCol w:w="1070"/>
        <w:gridCol w:w="1223"/>
        <w:gridCol w:w="1223"/>
        <w:gridCol w:w="1071"/>
        <w:gridCol w:w="1223"/>
      </w:tblGrid>
      <w:tr w:rsidR="00C5735F" w14:paraId="403CF659" w14:textId="77777777" w:rsidTr="00E1741F">
        <w:trPr>
          <w:cnfStyle w:val="100000000000" w:firstRow="1" w:lastRow="0" w:firstColumn="0" w:lastColumn="0" w:oddVBand="0" w:evenVBand="0" w:oddHBand="0" w:evenHBand="0" w:firstRowFirstColumn="0" w:firstRowLastColumn="0" w:lastRowFirstColumn="0" w:lastRowLastColumn="0"/>
        </w:trPr>
        <w:tc>
          <w:tcPr>
            <w:tcW w:w="2316" w:type="dxa"/>
            <w:vMerge w:val="restart"/>
          </w:tcPr>
          <w:p w14:paraId="2B95A116" w14:textId="77777777" w:rsidR="00C5735F" w:rsidRDefault="00C5735F" w:rsidP="00DE2399">
            <w:pPr>
              <w:spacing w:before="0"/>
            </w:pPr>
            <w:r>
              <w:t>Scan Category</w:t>
            </w:r>
          </w:p>
        </w:tc>
        <w:tc>
          <w:tcPr>
            <w:tcW w:w="3349" w:type="dxa"/>
            <w:gridSpan w:val="3"/>
            <w:tcBorders>
              <w:bottom w:val="single" w:sz="4" w:space="0" w:color="FFFFFF"/>
            </w:tcBorders>
          </w:tcPr>
          <w:p w14:paraId="26518277" w14:textId="77777777" w:rsidR="00C5735F" w:rsidRDefault="00C5735F" w:rsidP="00DE2399">
            <w:pPr>
              <w:spacing w:before="0"/>
            </w:pPr>
            <w:proofErr w:type="spellStart"/>
            <w:r>
              <w:t>CTDI</w:t>
            </w:r>
            <w:r w:rsidRPr="00FB3037">
              <w:rPr>
                <w:vertAlign w:val="subscript"/>
              </w:rPr>
              <w:t>vol</w:t>
            </w:r>
            <w:proofErr w:type="spellEnd"/>
            <w:r>
              <w:t xml:space="preserve"> (</w:t>
            </w:r>
            <w:proofErr w:type="spellStart"/>
            <w:r>
              <w:t>mGy</w:t>
            </w:r>
            <w:proofErr w:type="spellEnd"/>
            <w:r>
              <w:t>)</w:t>
            </w:r>
          </w:p>
        </w:tc>
        <w:tc>
          <w:tcPr>
            <w:tcW w:w="3261" w:type="dxa"/>
            <w:gridSpan w:val="3"/>
            <w:tcBorders>
              <w:bottom w:val="single" w:sz="4" w:space="0" w:color="FFFFFF"/>
            </w:tcBorders>
          </w:tcPr>
          <w:p w14:paraId="2006CEEC" w14:textId="77777777" w:rsidR="00C5735F" w:rsidRDefault="00C5735F" w:rsidP="00DE2399">
            <w:pPr>
              <w:spacing w:before="0"/>
            </w:pPr>
            <w:r>
              <w:t>DLP (mGy.cm)</w:t>
            </w:r>
          </w:p>
        </w:tc>
      </w:tr>
      <w:tr w:rsidR="007667D4" w14:paraId="20C009E4" w14:textId="77777777" w:rsidTr="00E1741F">
        <w:tc>
          <w:tcPr>
            <w:tcW w:w="2316" w:type="dxa"/>
            <w:vMerge/>
            <w:tcBorders>
              <w:right w:val="single" w:sz="4" w:space="0" w:color="FFFFFF" w:themeColor="background1"/>
            </w:tcBorders>
          </w:tcPr>
          <w:p w14:paraId="7DC37A29" w14:textId="77777777" w:rsidR="00C5735F" w:rsidRDefault="00C5735F" w:rsidP="00DE2399">
            <w:pPr>
              <w:spacing w:before="0"/>
            </w:pPr>
          </w:p>
        </w:tc>
        <w:tc>
          <w:tcPr>
            <w:tcW w:w="1223" w:type="dxa"/>
            <w:tcBorders>
              <w:top w:val="single" w:sz="4" w:space="0" w:color="FFFFFF"/>
              <w:left w:val="single" w:sz="4" w:space="0" w:color="FFFFFF" w:themeColor="background1"/>
              <w:right w:val="single" w:sz="4" w:space="0" w:color="FFFFFF" w:themeColor="background1"/>
            </w:tcBorders>
            <w:shd w:val="clear" w:color="auto" w:fill="4E1A74" w:themeFill="text2"/>
          </w:tcPr>
          <w:p w14:paraId="4F328230" w14:textId="77777777" w:rsidR="00C5735F" w:rsidRPr="007667D4" w:rsidRDefault="00C5735F" w:rsidP="00DE2399">
            <w:pPr>
              <w:spacing w:before="0"/>
              <w:rPr>
                <w:color w:val="FFFFFF" w:themeColor="background1"/>
              </w:rPr>
            </w:pPr>
            <w:r w:rsidRPr="007667D4">
              <w:rPr>
                <w:color w:val="FFFFFF" w:themeColor="background1"/>
              </w:rPr>
              <w:t>75</w:t>
            </w:r>
            <w:r w:rsidRPr="007667D4">
              <w:rPr>
                <w:color w:val="FFFFFF" w:themeColor="background1"/>
                <w:vertAlign w:val="superscript"/>
              </w:rPr>
              <w:t>th</w:t>
            </w:r>
            <w:r w:rsidRPr="007667D4">
              <w:rPr>
                <w:color w:val="FFFFFF" w:themeColor="background1"/>
              </w:rPr>
              <w:t xml:space="preserve"> percentile</w:t>
            </w:r>
          </w:p>
        </w:tc>
        <w:tc>
          <w:tcPr>
            <w:tcW w:w="992" w:type="dxa"/>
            <w:tcBorders>
              <w:top w:val="single" w:sz="4" w:space="0" w:color="FFFFFF"/>
              <w:left w:val="single" w:sz="4" w:space="0" w:color="FFFFFF" w:themeColor="background1"/>
              <w:right w:val="single" w:sz="4" w:space="0" w:color="FFFFFF" w:themeColor="background1"/>
            </w:tcBorders>
            <w:shd w:val="clear" w:color="auto" w:fill="4E1A74" w:themeFill="text2"/>
          </w:tcPr>
          <w:p w14:paraId="5FB938B0" w14:textId="77777777" w:rsidR="00C5735F" w:rsidRPr="007667D4" w:rsidRDefault="00C5735F" w:rsidP="00DE2399">
            <w:pPr>
              <w:spacing w:before="0"/>
              <w:rPr>
                <w:color w:val="FFFFFF" w:themeColor="background1"/>
              </w:rPr>
            </w:pPr>
            <w:r w:rsidRPr="007667D4">
              <w:rPr>
                <w:color w:val="FFFFFF" w:themeColor="background1"/>
              </w:rPr>
              <w:t>National DRL</w:t>
            </w:r>
          </w:p>
        </w:tc>
        <w:tc>
          <w:tcPr>
            <w:tcW w:w="1134" w:type="dxa"/>
            <w:tcBorders>
              <w:top w:val="single" w:sz="4" w:space="0" w:color="FFFFFF"/>
              <w:left w:val="single" w:sz="4" w:space="0" w:color="FFFFFF" w:themeColor="background1"/>
              <w:right w:val="single" w:sz="4" w:space="0" w:color="FFFFFF" w:themeColor="background1"/>
            </w:tcBorders>
            <w:shd w:val="clear" w:color="auto" w:fill="4E1A74" w:themeFill="text2"/>
          </w:tcPr>
          <w:p w14:paraId="5FC09C31" w14:textId="5251A44D" w:rsidR="00C5735F" w:rsidRPr="007667D4" w:rsidRDefault="00C5735F" w:rsidP="00DE2399">
            <w:pPr>
              <w:spacing w:before="0"/>
              <w:rPr>
                <w:color w:val="FFFFFF" w:themeColor="background1"/>
              </w:rPr>
            </w:pPr>
            <w:r w:rsidRPr="007667D4">
              <w:rPr>
                <w:color w:val="FFFFFF" w:themeColor="background1"/>
              </w:rPr>
              <w:t>Surveys</w:t>
            </w:r>
          </w:p>
          <w:p w14:paraId="7B34DEFC" w14:textId="71C3C1AA" w:rsidR="00C5735F" w:rsidRPr="007667D4" w:rsidRDefault="00C5735F" w:rsidP="00DE2399">
            <w:pPr>
              <w:spacing w:before="0"/>
              <w:rPr>
                <w:color w:val="FFFFFF" w:themeColor="background1"/>
              </w:rPr>
            </w:pPr>
            <w:r w:rsidRPr="007667D4">
              <w:rPr>
                <w:color w:val="FFFFFF" w:themeColor="background1"/>
              </w:rPr>
              <w:t>&lt; DRL</w:t>
            </w:r>
            <w:r w:rsidR="00E1741F">
              <w:rPr>
                <w:color w:val="FFFFFF" w:themeColor="background1"/>
              </w:rPr>
              <w:br/>
              <w:t>(%)</w:t>
            </w:r>
          </w:p>
        </w:tc>
        <w:tc>
          <w:tcPr>
            <w:tcW w:w="1134" w:type="dxa"/>
            <w:tcBorders>
              <w:top w:val="single" w:sz="4" w:space="0" w:color="FFFFFF"/>
              <w:left w:val="single" w:sz="4" w:space="0" w:color="FFFFFF" w:themeColor="background1"/>
              <w:right w:val="single" w:sz="4" w:space="0" w:color="FFFFFF" w:themeColor="background1"/>
            </w:tcBorders>
            <w:shd w:val="clear" w:color="auto" w:fill="4E1A74" w:themeFill="text2"/>
          </w:tcPr>
          <w:p w14:paraId="365B6BEC" w14:textId="77777777" w:rsidR="00C5735F" w:rsidRPr="007667D4" w:rsidRDefault="00C5735F" w:rsidP="00DE2399">
            <w:pPr>
              <w:spacing w:before="0"/>
              <w:rPr>
                <w:color w:val="FFFFFF" w:themeColor="background1"/>
              </w:rPr>
            </w:pPr>
            <w:r w:rsidRPr="007667D4">
              <w:rPr>
                <w:color w:val="FFFFFF" w:themeColor="background1"/>
              </w:rPr>
              <w:t>75</w:t>
            </w:r>
            <w:r w:rsidRPr="007667D4">
              <w:rPr>
                <w:color w:val="FFFFFF" w:themeColor="background1"/>
                <w:vertAlign w:val="superscript"/>
              </w:rPr>
              <w:t>th</w:t>
            </w:r>
            <w:r w:rsidRPr="007667D4">
              <w:rPr>
                <w:color w:val="FFFFFF" w:themeColor="background1"/>
              </w:rPr>
              <w:t xml:space="preserve"> percentile</w:t>
            </w:r>
          </w:p>
        </w:tc>
        <w:tc>
          <w:tcPr>
            <w:tcW w:w="993" w:type="dxa"/>
            <w:tcBorders>
              <w:top w:val="single" w:sz="4" w:space="0" w:color="FFFFFF"/>
              <w:left w:val="single" w:sz="4" w:space="0" w:color="FFFFFF" w:themeColor="background1"/>
              <w:right w:val="single" w:sz="4" w:space="0" w:color="FFFFFF" w:themeColor="background1"/>
            </w:tcBorders>
            <w:shd w:val="clear" w:color="auto" w:fill="4E1A74" w:themeFill="text2"/>
          </w:tcPr>
          <w:p w14:paraId="6C4818AB" w14:textId="77777777" w:rsidR="00C5735F" w:rsidRPr="007667D4" w:rsidRDefault="00C5735F" w:rsidP="00DE2399">
            <w:pPr>
              <w:spacing w:before="0"/>
              <w:rPr>
                <w:color w:val="FFFFFF" w:themeColor="background1"/>
              </w:rPr>
            </w:pPr>
            <w:r w:rsidRPr="007667D4">
              <w:rPr>
                <w:color w:val="FFFFFF" w:themeColor="background1"/>
              </w:rPr>
              <w:t>National DRL</w:t>
            </w:r>
          </w:p>
        </w:tc>
        <w:tc>
          <w:tcPr>
            <w:tcW w:w="1134" w:type="dxa"/>
            <w:tcBorders>
              <w:top w:val="single" w:sz="4" w:space="0" w:color="FFFFFF"/>
              <w:left w:val="single" w:sz="4" w:space="0" w:color="FFFFFF" w:themeColor="background1"/>
              <w:right w:val="single" w:sz="4" w:space="0" w:color="4E1A74" w:themeColor="text2"/>
            </w:tcBorders>
            <w:shd w:val="clear" w:color="auto" w:fill="4E1A74" w:themeFill="text2"/>
          </w:tcPr>
          <w:p w14:paraId="24E75374" w14:textId="37DA9FF0" w:rsidR="00C5735F" w:rsidRPr="007667D4" w:rsidRDefault="00C5735F" w:rsidP="00DE2399">
            <w:pPr>
              <w:spacing w:before="0"/>
              <w:rPr>
                <w:color w:val="FFFFFF" w:themeColor="background1"/>
              </w:rPr>
            </w:pPr>
            <w:r w:rsidRPr="007667D4">
              <w:rPr>
                <w:color w:val="FFFFFF" w:themeColor="background1"/>
              </w:rPr>
              <w:t>Surveys</w:t>
            </w:r>
          </w:p>
          <w:p w14:paraId="59796261" w14:textId="15D8194A" w:rsidR="00C5735F" w:rsidRPr="007667D4" w:rsidRDefault="00C5735F" w:rsidP="00DE2399">
            <w:pPr>
              <w:spacing w:before="0"/>
              <w:rPr>
                <w:color w:val="FFFFFF" w:themeColor="background1"/>
              </w:rPr>
            </w:pPr>
            <w:r w:rsidRPr="007667D4">
              <w:rPr>
                <w:color w:val="FFFFFF" w:themeColor="background1"/>
              </w:rPr>
              <w:t>&lt; DRL</w:t>
            </w:r>
            <w:r w:rsidR="00E1741F">
              <w:rPr>
                <w:color w:val="FFFFFF" w:themeColor="background1"/>
              </w:rPr>
              <w:br/>
              <w:t>(%)</w:t>
            </w:r>
          </w:p>
        </w:tc>
      </w:tr>
      <w:tr w:rsidR="00C5735F" w14:paraId="253593B7" w14:textId="77777777" w:rsidTr="00E1741F">
        <w:trPr>
          <w:cnfStyle w:val="000000010000" w:firstRow="0" w:lastRow="0" w:firstColumn="0" w:lastColumn="0" w:oddVBand="0" w:evenVBand="0" w:oddHBand="0" w:evenHBand="1" w:firstRowFirstColumn="0" w:firstRowLastColumn="0" w:lastRowFirstColumn="0" w:lastRowLastColumn="0"/>
        </w:trPr>
        <w:tc>
          <w:tcPr>
            <w:tcW w:w="2316" w:type="dxa"/>
          </w:tcPr>
          <w:p w14:paraId="024843D4" w14:textId="77777777" w:rsidR="00C5735F" w:rsidRDefault="00C5735F" w:rsidP="00DE2399">
            <w:pPr>
              <w:spacing w:before="0"/>
            </w:pPr>
            <w:r>
              <w:t>Head</w:t>
            </w:r>
          </w:p>
        </w:tc>
        <w:tc>
          <w:tcPr>
            <w:tcW w:w="1223" w:type="dxa"/>
          </w:tcPr>
          <w:p w14:paraId="295EC0E2" w14:textId="77777777" w:rsidR="00C5735F" w:rsidRDefault="00C5735F" w:rsidP="00E1741F">
            <w:pPr>
              <w:spacing w:before="0"/>
              <w:jc w:val="right"/>
            </w:pPr>
            <w:r>
              <w:t>47.4</w:t>
            </w:r>
          </w:p>
        </w:tc>
        <w:tc>
          <w:tcPr>
            <w:tcW w:w="992" w:type="dxa"/>
          </w:tcPr>
          <w:p w14:paraId="331A5FAB" w14:textId="77777777" w:rsidR="00C5735F" w:rsidRDefault="00C5735F" w:rsidP="00E1741F">
            <w:pPr>
              <w:spacing w:before="0"/>
              <w:jc w:val="right"/>
            </w:pPr>
            <w:r>
              <w:t>52</w:t>
            </w:r>
          </w:p>
        </w:tc>
        <w:tc>
          <w:tcPr>
            <w:tcW w:w="1134" w:type="dxa"/>
          </w:tcPr>
          <w:p w14:paraId="15D4EB21" w14:textId="7DE990D0" w:rsidR="00C5735F" w:rsidRDefault="00C5735F" w:rsidP="00E1741F">
            <w:pPr>
              <w:spacing w:before="0"/>
              <w:jc w:val="right"/>
            </w:pPr>
            <w:r>
              <w:t>91</w:t>
            </w:r>
          </w:p>
        </w:tc>
        <w:tc>
          <w:tcPr>
            <w:tcW w:w="1134" w:type="dxa"/>
          </w:tcPr>
          <w:p w14:paraId="244D19D2" w14:textId="77777777" w:rsidR="00C5735F" w:rsidRDefault="00C5735F" w:rsidP="00E1741F">
            <w:pPr>
              <w:spacing w:before="0"/>
              <w:jc w:val="right"/>
            </w:pPr>
            <w:r>
              <w:t>835</w:t>
            </w:r>
          </w:p>
        </w:tc>
        <w:tc>
          <w:tcPr>
            <w:tcW w:w="993" w:type="dxa"/>
          </w:tcPr>
          <w:p w14:paraId="3CE4560C" w14:textId="77777777" w:rsidR="00C5735F" w:rsidRDefault="00C5735F" w:rsidP="00E1741F">
            <w:pPr>
              <w:spacing w:before="0"/>
              <w:jc w:val="right"/>
            </w:pPr>
            <w:r>
              <w:t>880</w:t>
            </w:r>
          </w:p>
        </w:tc>
        <w:tc>
          <w:tcPr>
            <w:tcW w:w="1134" w:type="dxa"/>
            <w:tcBorders>
              <w:right w:val="single" w:sz="4" w:space="0" w:color="4E1A74" w:themeColor="text2"/>
            </w:tcBorders>
          </w:tcPr>
          <w:p w14:paraId="1EC5CC26" w14:textId="733B16CA" w:rsidR="00C5735F" w:rsidRDefault="00C5735F" w:rsidP="00E1741F">
            <w:pPr>
              <w:spacing w:before="0"/>
              <w:jc w:val="right"/>
            </w:pPr>
            <w:r>
              <w:t>85</w:t>
            </w:r>
          </w:p>
        </w:tc>
      </w:tr>
      <w:tr w:rsidR="00C5735F" w14:paraId="7EA55F10" w14:textId="77777777" w:rsidTr="00E1741F">
        <w:tc>
          <w:tcPr>
            <w:tcW w:w="2316" w:type="dxa"/>
          </w:tcPr>
          <w:p w14:paraId="13709904" w14:textId="77777777" w:rsidR="00C5735F" w:rsidRDefault="00C5735F" w:rsidP="00DE2399">
            <w:pPr>
              <w:spacing w:before="0"/>
            </w:pPr>
            <w:r>
              <w:t>Cervical spine</w:t>
            </w:r>
          </w:p>
        </w:tc>
        <w:tc>
          <w:tcPr>
            <w:tcW w:w="1223" w:type="dxa"/>
          </w:tcPr>
          <w:p w14:paraId="61AAF782" w14:textId="77777777" w:rsidR="00C5735F" w:rsidRDefault="00C5735F" w:rsidP="00E1741F">
            <w:pPr>
              <w:spacing w:before="0"/>
              <w:jc w:val="right"/>
            </w:pPr>
            <w:r>
              <w:t>19.7</w:t>
            </w:r>
          </w:p>
        </w:tc>
        <w:tc>
          <w:tcPr>
            <w:tcW w:w="992" w:type="dxa"/>
          </w:tcPr>
          <w:p w14:paraId="76E613E2" w14:textId="77777777" w:rsidR="00C5735F" w:rsidRDefault="00C5735F" w:rsidP="00E1741F">
            <w:pPr>
              <w:spacing w:before="0"/>
              <w:jc w:val="right"/>
            </w:pPr>
            <w:r>
              <w:t>21</w:t>
            </w:r>
          </w:p>
        </w:tc>
        <w:tc>
          <w:tcPr>
            <w:tcW w:w="1134" w:type="dxa"/>
          </w:tcPr>
          <w:p w14:paraId="7395C740" w14:textId="046577B9" w:rsidR="00C5735F" w:rsidRDefault="00C5735F" w:rsidP="00E1741F">
            <w:pPr>
              <w:spacing w:before="0"/>
              <w:jc w:val="right"/>
            </w:pPr>
            <w:r>
              <w:t>81</w:t>
            </w:r>
          </w:p>
        </w:tc>
        <w:tc>
          <w:tcPr>
            <w:tcW w:w="1134" w:type="dxa"/>
          </w:tcPr>
          <w:p w14:paraId="5409CFB8" w14:textId="77777777" w:rsidR="00C5735F" w:rsidRDefault="00C5735F" w:rsidP="00E1741F">
            <w:pPr>
              <w:spacing w:before="0"/>
              <w:jc w:val="right"/>
            </w:pPr>
            <w:r>
              <w:t>407</w:t>
            </w:r>
          </w:p>
        </w:tc>
        <w:tc>
          <w:tcPr>
            <w:tcW w:w="993" w:type="dxa"/>
          </w:tcPr>
          <w:p w14:paraId="1772AE39" w14:textId="77777777" w:rsidR="00C5735F" w:rsidRDefault="00C5735F" w:rsidP="00E1741F">
            <w:pPr>
              <w:spacing w:before="0"/>
              <w:jc w:val="right"/>
            </w:pPr>
            <w:r>
              <w:t>470</w:t>
            </w:r>
          </w:p>
        </w:tc>
        <w:tc>
          <w:tcPr>
            <w:tcW w:w="1134" w:type="dxa"/>
          </w:tcPr>
          <w:p w14:paraId="25927529" w14:textId="0B4F0FF4" w:rsidR="00C5735F" w:rsidRDefault="00C5735F" w:rsidP="00E1741F">
            <w:pPr>
              <w:spacing w:before="0"/>
              <w:jc w:val="right"/>
            </w:pPr>
            <w:r>
              <w:t>87</w:t>
            </w:r>
          </w:p>
        </w:tc>
      </w:tr>
      <w:tr w:rsidR="00C5735F" w14:paraId="5C37B9FC" w14:textId="77777777" w:rsidTr="00E1741F">
        <w:trPr>
          <w:cnfStyle w:val="000000010000" w:firstRow="0" w:lastRow="0" w:firstColumn="0" w:lastColumn="0" w:oddVBand="0" w:evenVBand="0" w:oddHBand="0" w:evenHBand="1" w:firstRowFirstColumn="0" w:firstRowLastColumn="0" w:lastRowFirstColumn="0" w:lastRowLastColumn="0"/>
        </w:trPr>
        <w:tc>
          <w:tcPr>
            <w:tcW w:w="2316" w:type="dxa"/>
          </w:tcPr>
          <w:p w14:paraId="293CD95B" w14:textId="77777777" w:rsidR="00C5735F" w:rsidRDefault="00C5735F" w:rsidP="00DE2399">
            <w:pPr>
              <w:spacing w:before="0"/>
            </w:pPr>
            <w:r>
              <w:t>Soft-tissue neck</w:t>
            </w:r>
          </w:p>
        </w:tc>
        <w:tc>
          <w:tcPr>
            <w:tcW w:w="1223" w:type="dxa"/>
          </w:tcPr>
          <w:p w14:paraId="1E6B4B4E" w14:textId="77777777" w:rsidR="00C5735F" w:rsidRDefault="00C5735F" w:rsidP="00E1741F">
            <w:pPr>
              <w:spacing w:before="0"/>
              <w:jc w:val="right"/>
            </w:pPr>
            <w:r>
              <w:t>14.5</w:t>
            </w:r>
          </w:p>
        </w:tc>
        <w:tc>
          <w:tcPr>
            <w:tcW w:w="992" w:type="dxa"/>
          </w:tcPr>
          <w:p w14:paraId="1534C19C" w14:textId="77777777" w:rsidR="00C5735F" w:rsidRDefault="00C5735F" w:rsidP="00E1741F">
            <w:pPr>
              <w:spacing w:before="0"/>
              <w:jc w:val="right"/>
            </w:pPr>
            <w:r>
              <w:t>15</w:t>
            </w:r>
          </w:p>
        </w:tc>
        <w:tc>
          <w:tcPr>
            <w:tcW w:w="1134" w:type="dxa"/>
          </w:tcPr>
          <w:p w14:paraId="23F44215" w14:textId="43AEA6EF" w:rsidR="00C5735F" w:rsidRDefault="00C5735F" w:rsidP="00E1741F">
            <w:pPr>
              <w:spacing w:before="0"/>
              <w:jc w:val="right"/>
            </w:pPr>
            <w:r>
              <w:t>76</w:t>
            </w:r>
          </w:p>
        </w:tc>
        <w:tc>
          <w:tcPr>
            <w:tcW w:w="1134" w:type="dxa"/>
          </w:tcPr>
          <w:p w14:paraId="6C97F33F" w14:textId="77777777" w:rsidR="00C5735F" w:rsidRDefault="00C5735F" w:rsidP="00E1741F">
            <w:pPr>
              <w:spacing w:before="0"/>
              <w:jc w:val="right"/>
            </w:pPr>
            <w:r>
              <w:t>420</w:t>
            </w:r>
          </w:p>
        </w:tc>
        <w:tc>
          <w:tcPr>
            <w:tcW w:w="993" w:type="dxa"/>
          </w:tcPr>
          <w:p w14:paraId="1C5BAD01" w14:textId="77777777" w:rsidR="00C5735F" w:rsidRDefault="00C5735F" w:rsidP="00E1741F">
            <w:pPr>
              <w:spacing w:before="0"/>
              <w:jc w:val="right"/>
            </w:pPr>
            <w:r>
              <w:t>450</w:t>
            </w:r>
          </w:p>
        </w:tc>
        <w:tc>
          <w:tcPr>
            <w:tcW w:w="1134" w:type="dxa"/>
          </w:tcPr>
          <w:p w14:paraId="0408AF3F" w14:textId="7323CCC5" w:rsidR="00C5735F" w:rsidRDefault="00C5735F" w:rsidP="00E1741F">
            <w:pPr>
              <w:spacing w:before="0"/>
              <w:jc w:val="right"/>
            </w:pPr>
            <w:r>
              <w:t>80</w:t>
            </w:r>
          </w:p>
        </w:tc>
      </w:tr>
      <w:tr w:rsidR="00C5735F" w14:paraId="46D3F8D6" w14:textId="77777777" w:rsidTr="00E1741F">
        <w:tc>
          <w:tcPr>
            <w:tcW w:w="2316" w:type="dxa"/>
          </w:tcPr>
          <w:p w14:paraId="60E6D7EE" w14:textId="77777777" w:rsidR="00C5735F" w:rsidRDefault="00C5735F" w:rsidP="00DE2399">
            <w:pPr>
              <w:spacing w:before="0"/>
            </w:pPr>
            <w:r>
              <w:t>Chest</w:t>
            </w:r>
          </w:p>
        </w:tc>
        <w:tc>
          <w:tcPr>
            <w:tcW w:w="1223" w:type="dxa"/>
          </w:tcPr>
          <w:p w14:paraId="12F6A812" w14:textId="77777777" w:rsidR="00C5735F" w:rsidRDefault="00C5735F" w:rsidP="00E1741F">
            <w:pPr>
              <w:spacing w:before="0"/>
              <w:jc w:val="right"/>
            </w:pPr>
            <w:r>
              <w:t>8.6</w:t>
            </w:r>
          </w:p>
        </w:tc>
        <w:tc>
          <w:tcPr>
            <w:tcW w:w="992" w:type="dxa"/>
          </w:tcPr>
          <w:p w14:paraId="1B9A6F84" w14:textId="77777777" w:rsidR="00C5735F" w:rsidRDefault="00C5735F" w:rsidP="00E1741F">
            <w:pPr>
              <w:spacing w:before="0"/>
              <w:jc w:val="right"/>
            </w:pPr>
            <w:r>
              <w:t>10</w:t>
            </w:r>
          </w:p>
        </w:tc>
        <w:tc>
          <w:tcPr>
            <w:tcW w:w="1134" w:type="dxa"/>
          </w:tcPr>
          <w:p w14:paraId="0EB4DE8B" w14:textId="1E46F78B" w:rsidR="00C5735F" w:rsidRDefault="00C5735F" w:rsidP="00E1741F">
            <w:pPr>
              <w:spacing w:before="0"/>
              <w:jc w:val="right"/>
            </w:pPr>
            <w:r>
              <w:t>89</w:t>
            </w:r>
          </w:p>
        </w:tc>
        <w:tc>
          <w:tcPr>
            <w:tcW w:w="1134" w:type="dxa"/>
          </w:tcPr>
          <w:p w14:paraId="4BCA27D4" w14:textId="77777777" w:rsidR="00C5735F" w:rsidRDefault="00C5735F" w:rsidP="00E1741F">
            <w:pPr>
              <w:spacing w:before="0"/>
              <w:jc w:val="right"/>
            </w:pPr>
            <w:r>
              <w:t>344</w:t>
            </w:r>
          </w:p>
        </w:tc>
        <w:tc>
          <w:tcPr>
            <w:tcW w:w="993" w:type="dxa"/>
          </w:tcPr>
          <w:p w14:paraId="2566C5BC" w14:textId="77777777" w:rsidR="00C5735F" w:rsidRDefault="00C5735F" w:rsidP="00E1741F">
            <w:pPr>
              <w:spacing w:before="0"/>
              <w:jc w:val="right"/>
            </w:pPr>
            <w:r>
              <w:t>390</w:t>
            </w:r>
          </w:p>
        </w:tc>
        <w:tc>
          <w:tcPr>
            <w:tcW w:w="1134" w:type="dxa"/>
          </w:tcPr>
          <w:p w14:paraId="72BC8F57" w14:textId="3F738632" w:rsidR="00C5735F" w:rsidRDefault="00C5735F" w:rsidP="00E1741F">
            <w:pPr>
              <w:spacing w:before="0"/>
              <w:jc w:val="right"/>
            </w:pPr>
            <w:r>
              <w:t>85</w:t>
            </w:r>
          </w:p>
        </w:tc>
      </w:tr>
      <w:tr w:rsidR="00C5735F" w14:paraId="5686312B" w14:textId="77777777" w:rsidTr="00E1741F">
        <w:trPr>
          <w:cnfStyle w:val="000000010000" w:firstRow="0" w:lastRow="0" w:firstColumn="0" w:lastColumn="0" w:oddVBand="0" w:evenVBand="0" w:oddHBand="0" w:evenHBand="1" w:firstRowFirstColumn="0" w:firstRowLastColumn="0" w:lastRowFirstColumn="0" w:lastRowLastColumn="0"/>
        </w:trPr>
        <w:tc>
          <w:tcPr>
            <w:tcW w:w="2316" w:type="dxa"/>
          </w:tcPr>
          <w:p w14:paraId="4CFE09E0" w14:textId="77777777" w:rsidR="00C5735F" w:rsidRDefault="00C5735F" w:rsidP="00DE2399">
            <w:pPr>
              <w:spacing w:before="0"/>
            </w:pPr>
            <w:r>
              <w:t>Chest-</w:t>
            </w:r>
            <w:proofErr w:type="spellStart"/>
            <w:r>
              <w:t>abdo</w:t>
            </w:r>
            <w:proofErr w:type="spellEnd"/>
            <w:r>
              <w:t>-pelvis</w:t>
            </w:r>
          </w:p>
        </w:tc>
        <w:tc>
          <w:tcPr>
            <w:tcW w:w="1223" w:type="dxa"/>
          </w:tcPr>
          <w:p w14:paraId="48CDB1F0" w14:textId="77777777" w:rsidR="00C5735F" w:rsidRDefault="00C5735F" w:rsidP="00E1741F">
            <w:pPr>
              <w:spacing w:before="0"/>
              <w:jc w:val="right"/>
            </w:pPr>
            <w:r>
              <w:t>10.3</w:t>
            </w:r>
          </w:p>
        </w:tc>
        <w:tc>
          <w:tcPr>
            <w:tcW w:w="992" w:type="dxa"/>
          </w:tcPr>
          <w:p w14:paraId="16301CAE" w14:textId="77777777" w:rsidR="00C5735F" w:rsidRDefault="00C5735F" w:rsidP="00E1741F">
            <w:pPr>
              <w:spacing w:before="0"/>
              <w:jc w:val="right"/>
            </w:pPr>
            <w:r>
              <w:t>11</w:t>
            </w:r>
          </w:p>
        </w:tc>
        <w:tc>
          <w:tcPr>
            <w:tcW w:w="1134" w:type="dxa"/>
          </w:tcPr>
          <w:p w14:paraId="4EC9068B" w14:textId="2393455F" w:rsidR="00C5735F" w:rsidRDefault="00C5735F" w:rsidP="00E1741F">
            <w:pPr>
              <w:spacing w:before="0"/>
              <w:jc w:val="right"/>
            </w:pPr>
            <w:r>
              <w:t>78</w:t>
            </w:r>
          </w:p>
        </w:tc>
        <w:tc>
          <w:tcPr>
            <w:tcW w:w="1134" w:type="dxa"/>
          </w:tcPr>
          <w:p w14:paraId="110CD957" w14:textId="77777777" w:rsidR="00C5735F" w:rsidRDefault="00C5735F" w:rsidP="00E1741F">
            <w:pPr>
              <w:spacing w:before="0"/>
              <w:jc w:val="right"/>
            </w:pPr>
            <w:r>
              <w:t>842</w:t>
            </w:r>
          </w:p>
        </w:tc>
        <w:tc>
          <w:tcPr>
            <w:tcW w:w="993" w:type="dxa"/>
          </w:tcPr>
          <w:p w14:paraId="34FAA617" w14:textId="77777777" w:rsidR="00C5735F" w:rsidRDefault="00C5735F" w:rsidP="00E1741F">
            <w:pPr>
              <w:spacing w:before="0"/>
              <w:jc w:val="right"/>
            </w:pPr>
            <w:r>
              <w:t>940</w:t>
            </w:r>
          </w:p>
        </w:tc>
        <w:tc>
          <w:tcPr>
            <w:tcW w:w="1134" w:type="dxa"/>
          </w:tcPr>
          <w:p w14:paraId="0EC27EC6" w14:textId="4DF003E8" w:rsidR="00C5735F" w:rsidRDefault="00C5735F" w:rsidP="00E1741F">
            <w:pPr>
              <w:spacing w:before="0"/>
              <w:jc w:val="right"/>
            </w:pPr>
            <w:r>
              <w:t>86</w:t>
            </w:r>
          </w:p>
        </w:tc>
      </w:tr>
      <w:tr w:rsidR="00C5735F" w14:paraId="112BE8CC" w14:textId="77777777" w:rsidTr="00E1741F">
        <w:tc>
          <w:tcPr>
            <w:tcW w:w="2316" w:type="dxa"/>
          </w:tcPr>
          <w:p w14:paraId="75192425" w14:textId="77777777" w:rsidR="00C5735F" w:rsidRDefault="00C5735F" w:rsidP="00DE2399">
            <w:pPr>
              <w:spacing w:before="0"/>
            </w:pPr>
            <w:r>
              <w:t>Abdomen-pelvis</w:t>
            </w:r>
          </w:p>
        </w:tc>
        <w:tc>
          <w:tcPr>
            <w:tcW w:w="1223" w:type="dxa"/>
          </w:tcPr>
          <w:p w14:paraId="608CA45D" w14:textId="77777777" w:rsidR="00C5735F" w:rsidRDefault="00C5735F" w:rsidP="00E1741F">
            <w:pPr>
              <w:spacing w:before="0"/>
              <w:jc w:val="right"/>
            </w:pPr>
            <w:r>
              <w:t>10.8</w:t>
            </w:r>
          </w:p>
        </w:tc>
        <w:tc>
          <w:tcPr>
            <w:tcW w:w="992" w:type="dxa"/>
          </w:tcPr>
          <w:p w14:paraId="0E8A669E" w14:textId="77777777" w:rsidR="00C5735F" w:rsidRDefault="00C5735F" w:rsidP="00E1741F">
            <w:pPr>
              <w:spacing w:before="0"/>
              <w:jc w:val="right"/>
            </w:pPr>
            <w:r>
              <w:t>13</w:t>
            </w:r>
          </w:p>
        </w:tc>
        <w:tc>
          <w:tcPr>
            <w:tcW w:w="1134" w:type="dxa"/>
          </w:tcPr>
          <w:p w14:paraId="6E8F8546" w14:textId="63D917FD" w:rsidR="00C5735F" w:rsidRDefault="00C5735F" w:rsidP="00E1741F">
            <w:pPr>
              <w:spacing w:before="0"/>
              <w:jc w:val="right"/>
            </w:pPr>
            <w:r>
              <w:t>90</w:t>
            </w:r>
          </w:p>
        </w:tc>
        <w:tc>
          <w:tcPr>
            <w:tcW w:w="1134" w:type="dxa"/>
          </w:tcPr>
          <w:p w14:paraId="12F8D262" w14:textId="77777777" w:rsidR="00C5735F" w:rsidRDefault="00C5735F" w:rsidP="00E1741F">
            <w:pPr>
              <w:spacing w:before="0"/>
              <w:jc w:val="right"/>
            </w:pPr>
            <w:r>
              <w:t>532</w:t>
            </w:r>
          </w:p>
        </w:tc>
        <w:tc>
          <w:tcPr>
            <w:tcW w:w="993" w:type="dxa"/>
          </w:tcPr>
          <w:p w14:paraId="6EABA821" w14:textId="77777777" w:rsidR="00C5735F" w:rsidRDefault="00C5735F" w:rsidP="00E1741F">
            <w:pPr>
              <w:spacing w:before="0"/>
              <w:jc w:val="right"/>
            </w:pPr>
            <w:r>
              <w:t>600</w:t>
            </w:r>
          </w:p>
        </w:tc>
        <w:tc>
          <w:tcPr>
            <w:tcW w:w="1134" w:type="dxa"/>
          </w:tcPr>
          <w:p w14:paraId="4A5DF279" w14:textId="0BD2A9A9" w:rsidR="00C5735F" w:rsidRDefault="00C5735F" w:rsidP="00E1741F">
            <w:pPr>
              <w:spacing w:before="0"/>
              <w:jc w:val="right"/>
            </w:pPr>
            <w:r>
              <w:t>86</w:t>
            </w:r>
          </w:p>
        </w:tc>
      </w:tr>
      <w:tr w:rsidR="00C5735F" w14:paraId="2E46A1D7" w14:textId="77777777" w:rsidTr="00E1741F">
        <w:trPr>
          <w:cnfStyle w:val="000000010000" w:firstRow="0" w:lastRow="0" w:firstColumn="0" w:lastColumn="0" w:oddVBand="0" w:evenVBand="0" w:oddHBand="0" w:evenHBand="1" w:firstRowFirstColumn="0" w:firstRowLastColumn="0" w:lastRowFirstColumn="0" w:lastRowLastColumn="0"/>
        </w:trPr>
        <w:tc>
          <w:tcPr>
            <w:tcW w:w="2316" w:type="dxa"/>
          </w:tcPr>
          <w:p w14:paraId="5C8E8F9B" w14:textId="77777777" w:rsidR="00C5735F" w:rsidRDefault="00C5735F" w:rsidP="00DE2399">
            <w:pPr>
              <w:spacing w:before="0"/>
            </w:pPr>
            <w:r>
              <w:t>Kidney-ureter-bladder</w:t>
            </w:r>
          </w:p>
        </w:tc>
        <w:tc>
          <w:tcPr>
            <w:tcW w:w="1223" w:type="dxa"/>
          </w:tcPr>
          <w:p w14:paraId="642821AC" w14:textId="77777777" w:rsidR="00C5735F" w:rsidRDefault="00C5735F" w:rsidP="00E1741F">
            <w:pPr>
              <w:spacing w:before="0"/>
              <w:jc w:val="right"/>
            </w:pPr>
            <w:r>
              <w:t>9.2</w:t>
            </w:r>
          </w:p>
        </w:tc>
        <w:tc>
          <w:tcPr>
            <w:tcW w:w="992" w:type="dxa"/>
          </w:tcPr>
          <w:p w14:paraId="72A0A0B1" w14:textId="77777777" w:rsidR="00C5735F" w:rsidRDefault="00C5735F" w:rsidP="00E1741F">
            <w:pPr>
              <w:spacing w:before="0"/>
              <w:jc w:val="right"/>
            </w:pPr>
            <w:r>
              <w:t>10</w:t>
            </w:r>
          </w:p>
        </w:tc>
        <w:tc>
          <w:tcPr>
            <w:tcW w:w="1134" w:type="dxa"/>
          </w:tcPr>
          <w:p w14:paraId="1741A502" w14:textId="1A7A33E2" w:rsidR="00C5735F" w:rsidRDefault="00C5735F" w:rsidP="00E1741F">
            <w:pPr>
              <w:spacing w:before="0"/>
              <w:jc w:val="right"/>
            </w:pPr>
            <w:r>
              <w:t>82</w:t>
            </w:r>
          </w:p>
        </w:tc>
        <w:tc>
          <w:tcPr>
            <w:tcW w:w="1134" w:type="dxa"/>
          </w:tcPr>
          <w:p w14:paraId="4C63F732" w14:textId="77777777" w:rsidR="00C5735F" w:rsidRDefault="00C5735F" w:rsidP="00E1741F">
            <w:pPr>
              <w:spacing w:before="0"/>
              <w:jc w:val="right"/>
            </w:pPr>
            <w:r>
              <w:t>438</w:t>
            </w:r>
          </w:p>
        </w:tc>
        <w:tc>
          <w:tcPr>
            <w:tcW w:w="993" w:type="dxa"/>
          </w:tcPr>
          <w:p w14:paraId="320F1F38" w14:textId="77777777" w:rsidR="00C5735F" w:rsidRDefault="00C5735F" w:rsidP="00E1741F">
            <w:pPr>
              <w:spacing w:before="0"/>
              <w:jc w:val="right"/>
            </w:pPr>
            <w:r>
              <w:t>460</w:t>
            </w:r>
          </w:p>
        </w:tc>
        <w:tc>
          <w:tcPr>
            <w:tcW w:w="1134" w:type="dxa"/>
          </w:tcPr>
          <w:p w14:paraId="092D69F5" w14:textId="2BC36BB9" w:rsidR="00C5735F" w:rsidRDefault="00C5735F" w:rsidP="00E1741F">
            <w:pPr>
              <w:spacing w:before="0"/>
              <w:jc w:val="right"/>
            </w:pPr>
            <w:r>
              <w:t>80</w:t>
            </w:r>
          </w:p>
        </w:tc>
      </w:tr>
      <w:tr w:rsidR="00C5735F" w14:paraId="2925B540" w14:textId="77777777" w:rsidTr="00E1741F">
        <w:tc>
          <w:tcPr>
            <w:tcW w:w="2316" w:type="dxa"/>
          </w:tcPr>
          <w:p w14:paraId="66BB73AB" w14:textId="77777777" w:rsidR="00C5735F" w:rsidRDefault="00C5735F" w:rsidP="00DE2399">
            <w:pPr>
              <w:spacing w:before="0"/>
            </w:pPr>
            <w:r>
              <w:t>Lumbar spine</w:t>
            </w:r>
          </w:p>
        </w:tc>
        <w:tc>
          <w:tcPr>
            <w:tcW w:w="1223" w:type="dxa"/>
          </w:tcPr>
          <w:p w14:paraId="40515AA9" w14:textId="77777777" w:rsidR="00C5735F" w:rsidRDefault="00C5735F" w:rsidP="00E1741F">
            <w:pPr>
              <w:spacing w:before="0"/>
              <w:jc w:val="right"/>
            </w:pPr>
            <w:r>
              <w:t>21.9</w:t>
            </w:r>
          </w:p>
        </w:tc>
        <w:tc>
          <w:tcPr>
            <w:tcW w:w="992" w:type="dxa"/>
          </w:tcPr>
          <w:p w14:paraId="0C0FE2AF" w14:textId="77777777" w:rsidR="00C5735F" w:rsidRDefault="00C5735F" w:rsidP="00E1741F">
            <w:pPr>
              <w:spacing w:before="0"/>
              <w:jc w:val="right"/>
            </w:pPr>
            <w:r>
              <w:t>26</w:t>
            </w:r>
          </w:p>
        </w:tc>
        <w:tc>
          <w:tcPr>
            <w:tcW w:w="1134" w:type="dxa"/>
          </w:tcPr>
          <w:p w14:paraId="58780C85" w14:textId="5D2518F3" w:rsidR="00C5735F" w:rsidRDefault="00C5735F" w:rsidP="00E1741F">
            <w:pPr>
              <w:spacing w:before="0"/>
              <w:jc w:val="right"/>
            </w:pPr>
            <w:r>
              <w:t>88</w:t>
            </w:r>
          </w:p>
        </w:tc>
        <w:tc>
          <w:tcPr>
            <w:tcW w:w="1134" w:type="dxa"/>
          </w:tcPr>
          <w:p w14:paraId="108525F5" w14:textId="77777777" w:rsidR="00C5735F" w:rsidRDefault="00C5735F" w:rsidP="00E1741F">
            <w:pPr>
              <w:spacing w:before="0"/>
              <w:jc w:val="right"/>
            </w:pPr>
            <w:r>
              <w:t>607</w:t>
            </w:r>
          </w:p>
        </w:tc>
        <w:tc>
          <w:tcPr>
            <w:tcW w:w="993" w:type="dxa"/>
          </w:tcPr>
          <w:p w14:paraId="5F0DE119" w14:textId="77777777" w:rsidR="00C5735F" w:rsidRDefault="00C5735F" w:rsidP="00E1741F">
            <w:pPr>
              <w:spacing w:before="0"/>
              <w:jc w:val="right"/>
            </w:pPr>
            <w:r>
              <w:t>670</w:t>
            </w:r>
          </w:p>
        </w:tc>
        <w:tc>
          <w:tcPr>
            <w:tcW w:w="1134" w:type="dxa"/>
          </w:tcPr>
          <w:p w14:paraId="328165A8" w14:textId="03085BF2" w:rsidR="00C5735F" w:rsidRDefault="00C5735F" w:rsidP="00E1741F">
            <w:pPr>
              <w:spacing w:before="0"/>
              <w:jc w:val="right"/>
            </w:pPr>
            <w:r>
              <w:t>85</w:t>
            </w:r>
          </w:p>
        </w:tc>
      </w:tr>
    </w:tbl>
    <w:p w14:paraId="73F213CA" w14:textId="77777777" w:rsidR="00C5735F" w:rsidRDefault="00C5735F" w:rsidP="00C5735F">
      <w:r>
        <w:t>For several scan categories the third quartile for 2020 is more than 10% below the national DRL. In many cases more than 85% of surveys have median values under the DRL. These data suggest that a general review of the CT DRLs is warranted.</w:t>
      </w:r>
    </w:p>
    <w:p w14:paraId="15198064" w14:textId="292EA5CA" w:rsidR="0037745C" w:rsidRDefault="00C5735F" w:rsidP="00C5735F">
      <w:r>
        <w:t xml:space="preserve">Third quartiles of the FRL distributions for </w:t>
      </w:r>
      <w:proofErr w:type="spellStart"/>
      <w:r>
        <w:t>pediatric</w:t>
      </w:r>
      <w:proofErr w:type="spellEnd"/>
      <w:r>
        <w:t xml:space="preserve"> patients in 2020 are shown in Table 5 and compared with the national DRLs. The percentage of surveys with median values under the relevant DRL is also shown. Nearly all surveys have median values under the DRL. These data suggest that a review of the </w:t>
      </w:r>
      <w:proofErr w:type="spellStart"/>
      <w:r>
        <w:t>pediatric</w:t>
      </w:r>
      <w:proofErr w:type="spellEnd"/>
      <w:r>
        <w:t xml:space="preserve"> CT DRLs is warranted.</w:t>
      </w:r>
    </w:p>
    <w:p w14:paraId="507CB2EA" w14:textId="77777777" w:rsidR="00C5735F" w:rsidRDefault="00C5735F" w:rsidP="00E1741F">
      <w:pPr>
        <w:pStyle w:val="Caption"/>
        <w:spacing w:before="360"/>
      </w:pPr>
      <w:r>
        <w:t>Table 5 – Third quartiles (75</w:t>
      </w:r>
      <w:r w:rsidRPr="00577FA0">
        <w:rPr>
          <w:vertAlign w:val="superscript"/>
        </w:rPr>
        <w:t>th</w:t>
      </w:r>
      <w:r>
        <w:t xml:space="preserve"> percentiles) of the 2020 CT FRL distributions for </w:t>
      </w:r>
      <w:proofErr w:type="spellStart"/>
      <w:r>
        <w:t>pediatric</w:t>
      </w:r>
      <w:proofErr w:type="spellEnd"/>
      <w:r>
        <w:t xml:space="preserve"> patients and comparison with the national DRLs, by scan category.</w:t>
      </w:r>
    </w:p>
    <w:tbl>
      <w:tblPr>
        <w:tblStyle w:val="GenericARPANSA"/>
        <w:tblW w:w="5000" w:type="pct"/>
        <w:tblInd w:w="0" w:type="dxa"/>
        <w:tblLayout w:type="fixed"/>
        <w:tblLook w:val="04A0" w:firstRow="1" w:lastRow="0" w:firstColumn="1" w:lastColumn="0" w:noHBand="0" w:noVBand="1"/>
      </w:tblPr>
      <w:tblGrid>
        <w:gridCol w:w="1271"/>
        <w:gridCol w:w="1701"/>
        <w:gridCol w:w="1349"/>
        <w:gridCol w:w="978"/>
        <w:gridCol w:w="933"/>
        <w:gridCol w:w="1301"/>
        <w:gridCol w:w="978"/>
        <w:gridCol w:w="1117"/>
      </w:tblGrid>
      <w:tr w:rsidR="00C5735F" w14:paraId="00E3D2D5" w14:textId="77777777" w:rsidTr="00E1741F">
        <w:trPr>
          <w:cnfStyle w:val="100000000000" w:firstRow="1" w:lastRow="0" w:firstColumn="0" w:lastColumn="0" w:oddVBand="0" w:evenVBand="0" w:oddHBand="0" w:evenHBand="0" w:firstRowFirstColumn="0" w:firstRowLastColumn="0" w:lastRowFirstColumn="0" w:lastRowLastColumn="0"/>
        </w:trPr>
        <w:tc>
          <w:tcPr>
            <w:tcW w:w="1271" w:type="dxa"/>
            <w:vMerge w:val="restart"/>
          </w:tcPr>
          <w:p w14:paraId="5AE8AC99" w14:textId="77777777" w:rsidR="00C5735F" w:rsidRDefault="00C5735F" w:rsidP="002242C6">
            <w:pPr>
              <w:spacing w:before="20" w:after="20"/>
            </w:pPr>
            <w:r>
              <w:t>Age group</w:t>
            </w:r>
          </w:p>
        </w:tc>
        <w:tc>
          <w:tcPr>
            <w:tcW w:w="1701" w:type="dxa"/>
            <w:vMerge w:val="restart"/>
          </w:tcPr>
          <w:p w14:paraId="2B325182" w14:textId="77777777" w:rsidR="00C5735F" w:rsidRDefault="00C5735F" w:rsidP="002242C6">
            <w:pPr>
              <w:spacing w:before="20" w:after="20"/>
            </w:pPr>
            <w:r>
              <w:t>Scan Category</w:t>
            </w:r>
          </w:p>
        </w:tc>
        <w:tc>
          <w:tcPr>
            <w:tcW w:w="3260" w:type="dxa"/>
            <w:gridSpan w:val="3"/>
            <w:tcBorders>
              <w:bottom w:val="single" w:sz="4" w:space="0" w:color="FFFFFF" w:themeColor="background1"/>
            </w:tcBorders>
          </w:tcPr>
          <w:p w14:paraId="446DBF98" w14:textId="77777777" w:rsidR="00C5735F" w:rsidRDefault="00C5735F" w:rsidP="002242C6">
            <w:pPr>
              <w:spacing w:before="20" w:after="20"/>
            </w:pPr>
            <w:proofErr w:type="spellStart"/>
            <w:r>
              <w:t>CTDI</w:t>
            </w:r>
            <w:r w:rsidRPr="00FB3037">
              <w:rPr>
                <w:vertAlign w:val="subscript"/>
              </w:rPr>
              <w:t>vol</w:t>
            </w:r>
            <w:proofErr w:type="spellEnd"/>
            <w:r>
              <w:t xml:space="preserve"> (</w:t>
            </w:r>
            <w:proofErr w:type="spellStart"/>
            <w:r>
              <w:t>mGy</w:t>
            </w:r>
            <w:proofErr w:type="spellEnd"/>
            <w:r>
              <w:t>)</w:t>
            </w:r>
          </w:p>
        </w:tc>
        <w:tc>
          <w:tcPr>
            <w:tcW w:w="3396" w:type="dxa"/>
            <w:gridSpan w:val="3"/>
            <w:tcBorders>
              <w:bottom w:val="single" w:sz="4" w:space="0" w:color="FFFFFF" w:themeColor="background1"/>
            </w:tcBorders>
          </w:tcPr>
          <w:p w14:paraId="415BFC1E" w14:textId="77777777" w:rsidR="00C5735F" w:rsidRDefault="00C5735F" w:rsidP="002242C6">
            <w:pPr>
              <w:spacing w:before="20" w:after="20"/>
            </w:pPr>
            <w:r>
              <w:t>DLP (mGy.cm)</w:t>
            </w:r>
          </w:p>
        </w:tc>
      </w:tr>
      <w:tr w:rsidR="00587164" w14:paraId="08C66664" w14:textId="77777777" w:rsidTr="00E1741F">
        <w:tc>
          <w:tcPr>
            <w:tcW w:w="1271" w:type="dxa"/>
            <w:vMerge/>
            <w:tcBorders>
              <w:right w:val="single" w:sz="4" w:space="0" w:color="FFFFFF" w:themeColor="background1"/>
            </w:tcBorders>
          </w:tcPr>
          <w:p w14:paraId="3F1BF73E" w14:textId="77777777" w:rsidR="00C5735F" w:rsidRDefault="00C5735F" w:rsidP="002242C6">
            <w:pPr>
              <w:spacing w:before="20" w:after="20"/>
            </w:pPr>
          </w:p>
        </w:tc>
        <w:tc>
          <w:tcPr>
            <w:tcW w:w="1701" w:type="dxa"/>
            <w:vMerge/>
            <w:tcBorders>
              <w:left w:val="single" w:sz="4" w:space="0" w:color="FFFFFF" w:themeColor="background1"/>
              <w:right w:val="single" w:sz="4" w:space="0" w:color="FFFFFF" w:themeColor="background1"/>
            </w:tcBorders>
          </w:tcPr>
          <w:p w14:paraId="2EE8D267" w14:textId="77777777" w:rsidR="00C5735F" w:rsidRDefault="00C5735F" w:rsidP="002242C6">
            <w:pPr>
              <w:spacing w:before="20" w:after="20"/>
            </w:pPr>
          </w:p>
        </w:tc>
        <w:tc>
          <w:tcPr>
            <w:tcW w:w="1349" w:type="dxa"/>
            <w:tcBorders>
              <w:top w:val="single" w:sz="4" w:space="0" w:color="FFFFFF" w:themeColor="background1"/>
              <w:left w:val="single" w:sz="4" w:space="0" w:color="FFFFFF" w:themeColor="background1"/>
              <w:right w:val="single" w:sz="4" w:space="0" w:color="FFFFFF" w:themeColor="background1"/>
            </w:tcBorders>
            <w:shd w:val="clear" w:color="auto" w:fill="4E1A74" w:themeFill="text2"/>
          </w:tcPr>
          <w:p w14:paraId="34DC864C" w14:textId="7D257AE0" w:rsidR="00C5735F" w:rsidRPr="00587164" w:rsidRDefault="00C5735F" w:rsidP="002242C6">
            <w:pPr>
              <w:spacing w:before="20" w:after="20"/>
              <w:rPr>
                <w:color w:val="FFFFFF" w:themeColor="background1"/>
              </w:rPr>
            </w:pPr>
            <w:r w:rsidRPr="00587164">
              <w:rPr>
                <w:color w:val="FFFFFF" w:themeColor="background1"/>
              </w:rPr>
              <w:t>75</w:t>
            </w:r>
            <w:r w:rsidRPr="00587164">
              <w:rPr>
                <w:color w:val="FFFFFF" w:themeColor="background1"/>
                <w:vertAlign w:val="superscript"/>
              </w:rPr>
              <w:t>th</w:t>
            </w:r>
            <w:r w:rsidR="00E1741F">
              <w:rPr>
                <w:color w:val="FFFFFF" w:themeColor="background1"/>
              </w:rPr>
              <w:t xml:space="preserve"> </w:t>
            </w:r>
            <w:r w:rsidRPr="00587164">
              <w:rPr>
                <w:color w:val="FFFFFF" w:themeColor="background1"/>
              </w:rPr>
              <w:t>percentile</w:t>
            </w:r>
          </w:p>
        </w:tc>
        <w:tc>
          <w:tcPr>
            <w:tcW w:w="978" w:type="dxa"/>
            <w:tcBorders>
              <w:top w:val="single" w:sz="4" w:space="0" w:color="FFFFFF" w:themeColor="background1"/>
              <w:left w:val="single" w:sz="4" w:space="0" w:color="FFFFFF" w:themeColor="background1"/>
              <w:right w:val="single" w:sz="4" w:space="0" w:color="FFFFFF" w:themeColor="background1"/>
            </w:tcBorders>
            <w:shd w:val="clear" w:color="auto" w:fill="4E1A74" w:themeFill="text2"/>
          </w:tcPr>
          <w:p w14:paraId="0B18D306" w14:textId="77777777" w:rsidR="00C5735F" w:rsidRPr="00587164" w:rsidRDefault="00C5735F" w:rsidP="002242C6">
            <w:pPr>
              <w:spacing w:before="20" w:after="20"/>
              <w:rPr>
                <w:color w:val="FFFFFF" w:themeColor="background1"/>
              </w:rPr>
            </w:pPr>
            <w:r w:rsidRPr="00587164">
              <w:rPr>
                <w:color w:val="FFFFFF" w:themeColor="background1"/>
              </w:rPr>
              <w:t>National DRL</w:t>
            </w:r>
          </w:p>
        </w:tc>
        <w:tc>
          <w:tcPr>
            <w:tcW w:w="933" w:type="dxa"/>
            <w:tcBorders>
              <w:top w:val="single" w:sz="4" w:space="0" w:color="FFFFFF" w:themeColor="background1"/>
              <w:left w:val="single" w:sz="4" w:space="0" w:color="FFFFFF" w:themeColor="background1"/>
              <w:right w:val="single" w:sz="4" w:space="0" w:color="FFFFFF" w:themeColor="background1"/>
            </w:tcBorders>
            <w:shd w:val="clear" w:color="auto" w:fill="4E1A74" w:themeFill="text2"/>
          </w:tcPr>
          <w:p w14:paraId="5264569C" w14:textId="144F2BD0" w:rsidR="00C5735F" w:rsidRPr="00587164" w:rsidRDefault="00C5735F" w:rsidP="002242C6">
            <w:pPr>
              <w:spacing w:before="20" w:after="20"/>
              <w:rPr>
                <w:color w:val="FFFFFF" w:themeColor="background1"/>
              </w:rPr>
            </w:pPr>
            <w:r w:rsidRPr="00587164">
              <w:rPr>
                <w:color w:val="FFFFFF" w:themeColor="background1"/>
              </w:rPr>
              <w:t>Surveys</w:t>
            </w:r>
          </w:p>
          <w:p w14:paraId="6E5B78CF" w14:textId="09046656" w:rsidR="00C5735F" w:rsidRPr="00587164" w:rsidRDefault="00C5735F" w:rsidP="002242C6">
            <w:pPr>
              <w:spacing w:before="20" w:after="20"/>
              <w:rPr>
                <w:color w:val="FFFFFF" w:themeColor="background1"/>
              </w:rPr>
            </w:pPr>
            <w:r w:rsidRPr="00587164">
              <w:rPr>
                <w:color w:val="FFFFFF" w:themeColor="background1"/>
              </w:rPr>
              <w:t>&lt; DRL</w:t>
            </w:r>
            <w:r w:rsidR="00E1741F">
              <w:rPr>
                <w:color w:val="FFFFFF" w:themeColor="background1"/>
              </w:rPr>
              <w:br/>
              <w:t>(%)</w:t>
            </w:r>
          </w:p>
        </w:tc>
        <w:tc>
          <w:tcPr>
            <w:tcW w:w="1301" w:type="dxa"/>
            <w:tcBorders>
              <w:top w:val="single" w:sz="4" w:space="0" w:color="FFFFFF" w:themeColor="background1"/>
              <w:left w:val="single" w:sz="4" w:space="0" w:color="FFFFFF" w:themeColor="background1"/>
              <w:right w:val="single" w:sz="4" w:space="0" w:color="FFFFFF" w:themeColor="background1"/>
            </w:tcBorders>
            <w:shd w:val="clear" w:color="auto" w:fill="4E1A74" w:themeFill="text2"/>
          </w:tcPr>
          <w:p w14:paraId="46368ABF" w14:textId="77777777" w:rsidR="00C5735F" w:rsidRPr="00587164" w:rsidRDefault="00C5735F" w:rsidP="002242C6">
            <w:pPr>
              <w:spacing w:before="20" w:after="20"/>
              <w:rPr>
                <w:color w:val="FFFFFF" w:themeColor="background1"/>
              </w:rPr>
            </w:pPr>
            <w:r w:rsidRPr="00587164">
              <w:rPr>
                <w:color w:val="FFFFFF" w:themeColor="background1"/>
              </w:rPr>
              <w:t>75</w:t>
            </w:r>
            <w:r w:rsidRPr="00587164">
              <w:rPr>
                <w:color w:val="FFFFFF" w:themeColor="background1"/>
                <w:vertAlign w:val="superscript"/>
              </w:rPr>
              <w:t>th</w:t>
            </w:r>
            <w:r w:rsidRPr="00587164">
              <w:rPr>
                <w:color w:val="FFFFFF" w:themeColor="background1"/>
              </w:rPr>
              <w:t xml:space="preserve"> percentile</w:t>
            </w:r>
          </w:p>
        </w:tc>
        <w:tc>
          <w:tcPr>
            <w:tcW w:w="978" w:type="dxa"/>
            <w:tcBorders>
              <w:top w:val="single" w:sz="4" w:space="0" w:color="FFFFFF" w:themeColor="background1"/>
              <w:left w:val="single" w:sz="4" w:space="0" w:color="FFFFFF" w:themeColor="background1"/>
              <w:right w:val="single" w:sz="4" w:space="0" w:color="FFFFFF" w:themeColor="background1"/>
            </w:tcBorders>
            <w:shd w:val="clear" w:color="auto" w:fill="4E1A74" w:themeFill="text2"/>
          </w:tcPr>
          <w:p w14:paraId="35758A71" w14:textId="77777777" w:rsidR="00C5735F" w:rsidRPr="00587164" w:rsidRDefault="00C5735F" w:rsidP="002242C6">
            <w:pPr>
              <w:spacing w:before="20" w:after="20"/>
              <w:rPr>
                <w:color w:val="FFFFFF" w:themeColor="background1"/>
              </w:rPr>
            </w:pPr>
            <w:r w:rsidRPr="00587164">
              <w:rPr>
                <w:color w:val="FFFFFF" w:themeColor="background1"/>
              </w:rPr>
              <w:t>National DRL</w:t>
            </w:r>
          </w:p>
        </w:tc>
        <w:tc>
          <w:tcPr>
            <w:tcW w:w="1117" w:type="dxa"/>
            <w:tcBorders>
              <w:top w:val="single" w:sz="4" w:space="0" w:color="FFFFFF" w:themeColor="background1"/>
              <w:left w:val="single" w:sz="4" w:space="0" w:color="FFFFFF" w:themeColor="background1"/>
            </w:tcBorders>
            <w:shd w:val="clear" w:color="auto" w:fill="4E1A74" w:themeFill="text2"/>
          </w:tcPr>
          <w:p w14:paraId="176E97E8" w14:textId="5C9441B6" w:rsidR="00C5735F" w:rsidRPr="00587164" w:rsidRDefault="00C5735F" w:rsidP="002242C6">
            <w:pPr>
              <w:spacing w:before="20" w:after="20"/>
              <w:rPr>
                <w:color w:val="FFFFFF" w:themeColor="background1"/>
              </w:rPr>
            </w:pPr>
            <w:r w:rsidRPr="00587164">
              <w:rPr>
                <w:color w:val="FFFFFF" w:themeColor="background1"/>
              </w:rPr>
              <w:t>Surveys</w:t>
            </w:r>
            <w:r w:rsidR="00E1741F">
              <w:rPr>
                <w:color w:val="FFFFFF" w:themeColor="background1"/>
              </w:rPr>
              <w:t xml:space="preserve"> </w:t>
            </w:r>
            <w:r w:rsidR="00E1741F">
              <w:rPr>
                <w:color w:val="FFFFFF" w:themeColor="background1"/>
              </w:rPr>
              <w:br/>
            </w:r>
            <w:r w:rsidRPr="00587164">
              <w:rPr>
                <w:color w:val="FFFFFF" w:themeColor="background1"/>
              </w:rPr>
              <w:t>&lt; DRL</w:t>
            </w:r>
            <w:r w:rsidR="00E1741F">
              <w:rPr>
                <w:color w:val="FFFFFF" w:themeColor="background1"/>
              </w:rPr>
              <w:br/>
              <w:t>(%)</w:t>
            </w:r>
          </w:p>
        </w:tc>
      </w:tr>
      <w:tr w:rsidR="00C5735F" w14:paraId="26467A05" w14:textId="77777777" w:rsidTr="00E1741F">
        <w:trPr>
          <w:cnfStyle w:val="000000010000" w:firstRow="0" w:lastRow="0" w:firstColumn="0" w:lastColumn="0" w:oddVBand="0" w:evenVBand="0" w:oddHBand="0" w:evenHBand="1" w:firstRowFirstColumn="0" w:firstRowLastColumn="0" w:lastRowFirstColumn="0" w:lastRowLastColumn="0"/>
        </w:trPr>
        <w:tc>
          <w:tcPr>
            <w:tcW w:w="1271" w:type="dxa"/>
            <w:vMerge w:val="restart"/>
          </w:tcPr>
          <w:p w14:paraId="3E52CC44" w14:textId="77777777" w:rsidR="00C5735F" w:rsidRDefault="00C5735F" w:rsidP="002242C6">
            <w:pPr>
              <w:spacing w:before="20" w:after="20"/>
            </w:pPr>
            <w:r>
              <w:t>Child</w:t>
            </w:r>
          </w:p>
          <w:p w14:paraId="0973208D" w14:textId="77777777" w:rsidR="00C5735F" w:rsidRDefault="00C5735F" w:rsidP="002242C6">
            <w:pPr>
              <w:spacing w:before="20" w:after="20"/>
            </w:pPr>
            <w:r>
              <w:t>(5-14 years)</w:t>
            </w:r>
          </w:p>
        </w:tc>
        <w:tc>
          <w:tcPr>
            <w:tcW w:w="1701" w:type="dxa"/>
          </w:tcPr>
          <w:p w14:paraId="20B47E84" w14:textId="77777777" w:rsidR="00C5735F" w:rsidRDefault="00C5735F" w:rsidP="002242C6">
            <w:pPr>
              <w:spacing w:before="20" w:after="20"/>
            </w:pPr>
            <w:r>
              <w:t>Head</w:t>
            </w:r>
          </w:p>
        </w:tc>
        <w:tc>
          <w:tcPr>
            <w:tcW w:w="1349" w:type="dxa"/>
          </w:tcPr>
          <w:p w14:paraId="476657C2" w14:textId="77777777" w:rsidR="00C5735F" w:rsidRDefault="00C5735F" w:rsidP="002242C6">
            <w:pPr>
              <w:tabs>
                <w:tab w:val="decimal" w:pos="1026"/>
              </w:tabs>
              <w:spacing w:before="20" w:after="20"/>
              <w:ind w:left="34"/>
              <w:jc w:val="both"/>
            </w:pPr>
            <w:r>
              <w:t>31</w:t>
            </w:r>
          </w:p>
        </w:tc>
        <w:tc>
          <w:tcPr>
            <w:tcW w:w="978" w:type="dxa"/>
          </w:tcPr>
          <w:p w14:paraId="3C418418" w14:textId="77777777" w:rsidR="00C5735F" w:rsidRDefault="00C5735F" w:rsidP="002242C6">
            <w:pPr>
              <w:spacing w:before="20" w:after="20"/>
              <w:jc w:val="right"/>
            </w:pPr>
            <w:r>
              <w:t>35</w:t>
            </w:r>
          </w:p>
        </w:tc>
        <w:tc>
          <w:tcPr>
            <w:tcW w:w="933" w:type="dxa"/>
            <w:tcBorders>
              <w:right w:val="single" w:sz="4" w:space="0" w:color="4E1A74" w:themeColor="text2"/>
            </w:tcBorders>
          </w:tcPr>
          <w:p w14:paraId="387565A9" w14:textId="2B9C6228" w:rsidR="00C5735F" w:rsidRDefault="00C5735F" w:rsidP="002242C6">
            <w:pPr>
              <w:spacing w:before="20" w:after="20"/>
              <w:jc w:val="right"/>
            </w:pPr>
            <w:r>
              <w:t>90</w:t>
            </w:r>
          </w:p>
        </w:tc>
        <w:tc>
          <w:tcPr>
            <w:tcW w:w="1301" w:type="dxa"/>
            <w:tcBorders>
              <w:left w:val="single" w:sz="4" w:space="0" w:color="4E1A74" w:themeColor="text2"/>
            </w:tcBorders>
          </w:tcPr>
          <w:p w14:paraId="0AC9CF2D" w14:textId="77777777" w:rsidR="00C5735F" w:rsidRDefault="00C5735F" w:rsidP="002242C6">
            <w:pPr>
              <w:tabs>
                <w:tab w:val="decimal" w:pos="890"/>
              </w:tabs>
              <w:spacing w:before="20" w:after="20"/>
              <w:jc w:val="left"/>
            </w:pPr>
            <w:r>
              <w:t>560</w:t>
            </w:r>
          </w:p>
        </w:tc>
        <w:tc>
          <w:tcPr>
            <w:tcW w:w="978" w:type="dxa"/>
          </w:tcPr>
          <w:p w14:paraId="7B1DAF76" w14:textId="77777777" w:rsidR="00C5735F" w:rsidRDefault="00C5735F" w:rsidP="002242C6">
            <w:pPr>
              <w:spacing w:before="20" w:after="20"/>
              <w:jc w:val="right"/>
            </w:pPr>
            <w:r>
              <w:t>600</w:t>
            </w:r>
          </w:p>
        </w:tc>
        <w:tc>
          <w:tcPr>
            <w:tcW w:w="1117" w:type="dxa"/>
          </w:tcPr>
          <w:p w14:paraId="3CE131F6" w14:textId="2E2DBC45" w:rsidR="00C5735F" w:rsidRDefault="00C5735F" w:rsidP="002242C6">
            <w:pPr>
              <w:spacing w:before="20" w:after="20"/>
              <w:jc w:val="right"/>
            </w:pPr>
            <w:r>
              <w:t>80</w:t>
            </w:r>
          </w:p>
        </w:tc>
      </w:tr>
      <w:tr w:rsidR="00C5735F" w14:paraId="4E637A0E" w14:textId="77777777" w:rsidTr="00E1741F">
        <w:tc>
          <w:tcPr>
            <w:tcW w:w="1271" w:type="dxa"/>
            <w:vMerge/>
          </w:tcPr>
          <w:p w14:paraId="78C3C883" w14:textId="77777777" w:rsidR="00C5735F" w:rsidRDefault="00C5735F" w:rsidP="002242C6">
            <w:pPr>
              <w:spacing w:before="20" w:after="20"/>
            </w:pPr>
          </w:p>
        </w:tc>
        <w:tc>
          <w:tcPr>
            <w:tcW w:w="1701" w:type="dxa"/>
          </w:tcPr>
          <w:p w14:paraId="09F03A5C" w14:textId="77777777" w:rsidR="00C5735F" w:rsidRDefault="00C5735F" w:rsidP="002242C6">
            <w:pPr>
              <w:spacing w:before="20" w:after="20"/>
            </w:pPr>
            <w:r>
              <w:t>Chest</w:t>
            </w:r>
          </w:p>
        </w:tc>
        <w:tc>
          <w:tcPr>
            <w:tcW w:w="1349" w:type="dxa"/>
          </w:tcPr>
          <w:p w14:paraId="5FFB9D22" w14:textId="77777777" w:rsidR="00C5735F" w:rsidRDefault="00C5735F" w:rsidP="002242C6">
            <w:pPr>
              <w:tabs>
                <w:tab w:val="decimal" w:pos="1026"/>
              </w:tabs>
              <w:spacing w:before="20" w:after="20"/>
              <w:ind w:left="34"/>
              <w:jc w:val="both"/>
            </w:pPr>
            <w:r>
              <w:t>1.6</w:t>
            </w:r>
          </w:p>
        </w:tc>
        <w:tc>
          <w:tcPr>
            <w:tcW w:w="978" w:type="dxa"/>
          </w:tcPr>
          <w:p w14:paraId="52C806A7" w14:textId="77777777" w:rsidR="00C5735F" w:rsidRDefault="00C5735F" w:rsidP="002242C6">
            <w:pPr>
              <w:spacing w:before="20" w:after="20"/>
              <w:jc w:val="right"/>
            </w:pPr>
            <w:r>
              <w:t>5</w:t>
            </w:r>
          </w:p>
        </w:tc>
        <w:tc>
          <w:tcPr>
            <w:tcW w:w="933" w:type="dxa"/>
          </w:tcPr>
          <w:p w14:paraId="5EB424AF" w14:textId="000AAA31" w:rsidR="00C5735F" w:rsidRDefault="00C5735F" w:rsidP="002242C6">
            <w:pPr>
              <w:spacing w:before="20" w:after="20"/>
              <w:jc w:val="right"/>
            </w:pPr>
            <w:r>
              <w:t>100</w:t>
            </w:r>
          </w:p>
        </w:tc>
        <w:tc>
          <w:tcPr>
            <w:tcW w:w="1301" w:type="dxa"/>
          </w:tcPr>
          <w:p w14:paraId="3FF03C9E" w14:textId="77777777" w:rsidR="00C5735F" w:rsidRDefault="00C5735F" w:rsidP="002242C6">
            <w:pPr>
              <w:tabs>
                <w:tab w:val="decimal" w:pos="890"/>
              </w:tabs>
              <w:spacing w:before="20" w:after="20"/>
              <w:jc w:val="left"/>
            </w:pPr>
            <w:r>
              <w:t>56</w:t>
            </w:r>
          </w:p>
        </w:tc>
        <w:tc>
          <w:tcPr>
            <w:tcW w:w="978" w:type="dxa"/>
          </w:tcPr>
          <w:p w14:paraId="7E525A94" w14:textId="77777777" w:rsidR="00C5735F" w:rsidRDefault="00C5735F" w:rsidP="002242C6">
            <w:pPr>
              <w:spacing w:before="20" w:after="20"/>
              <w:jc w:val="right"/>
            </w:pPr>
            <w:r>
              <w:t>110</w:t>
            </w:r>
          </w:p>
        </w:tc>
        <w:tc>
          <w:tcPr>
            <w:tcW w:w="1117" w:type="dxa"/>
          </w:tcPr>
          <w:p w14:paraId="3869D029" w14:textId="4DFE41C3" w:rsidR="00C5735F" w:rsidRDefault="00C5735F" w:rsidP="002242C6">
            <w:pPr>
              <w:spacing w:before="20" w:after="20"/>
              <w:jc w:val="right"/>
            </w:pPr>
            <w:r>
              <w:t>100</w:t>
            </w:r>
          </w:p>
        </w:tc>
      </w:tr>
      <w:tr w:rsidR="00C5735F" w14:paraId="73963342" w14:textId="77777777" w:rsidTr="00E1741F">
        <w:trPr>
          <w:cnfStyle w:val="000000010000" w:firstRow="0" w:lastRow="0" w:firstColumn="0" w:lastColumn="0" w:oddVBand="0" w:evenVBand="0" w:oddHBand="0" w:evenHBand="1" w:firstRowFirstColumn="0" w:firstRowLastColumn="0" w:lastRowFirstColumn="0" w:lastRowLastColumn="0"/>
        </w:trPr>
        <w:tc>
          <w:tcPr>
            <w:tcW w:w="1271" w:type="dxa"/>
            <w:vMerge/>
          </w:tcPr>
          <w:p w14:paraId="594E37A9" w14:textId="77777777" w:rsidR="00C5735F" w:rsidRDefault="00C5735F" w:rsidP="002242C6">
            <w:pPr>
              <w:spacing w:before="20" w:after="20"/>
            </w:pPr>
          </w:p>
        </w:tc>
        <w:tc>
          <w:tcPr>
            <w:tcW w:w="1701" w:type="dxa"/>
          </w:tcPr>
          <w:p w14:paraId="28BA40A9" w14:textId="77777777" w:rsidR="00C5735F" w:rsidRDefault="00C5735F" w:rsidP="002242C6">
            <w:pPr>
              <w:spacing w:before="20" w:after="20"/>
            </w:pPr>
            <w:r>
              <w:t>Abdomen-pelvis</w:t>
            </w:r>
          </w:p>
        </w:tc>
        <w:tc>
          <w:tcPr>
            <w:tcW w:w="1349" w:type="dxa"/>
          </w:tcPr>
          <w:p w14:paraId="0C4F6D50" w14:textId="77777777" w:rsidR="00C5735F" w:rsidRDefault="00C5735F" w:rsidP="002242C6">
            <w:pPr>
              <w:tabs>
                <w:tab w:val="decimal" w:pos="1026"/>
              </w:tabs>
              <w:spacing w:before="20" w:after="20"/>
              <w:ind w:left="34"/>
              <w:jc w:val="both"/>
            </w:pPr>
            <w:r>
              <w:t>3.3</w:t>
            </w:r>
          </w:p>
        </w:tc>
        <w:tc>
          <w:tcPr>
            <w:tcW w:w="978" w:type="dxa"/>
          </w:tcPr>
          <w:p w14:paraId="5E214856" w14:textId="77777777" w:rsidR="00C5735F" w:rsidRDefault="00C5735F" w:rsidP="002242C6">
            <w:pPr>
              <w:spacing w:before="20" w:after="20"/>
              <w:jc w:val="right"/>
            </w:pPr>
            <w:r>
              <w:t>10</w:t>
            </w:r>
          </w:p>
        </w:tc>
        <w:tc>
          <w:tcPr>
            <w:tcW w:w="933" w:type="dxa"/>
          </w:tcPr>
          <w:p w14:paraId="3DE106E0" w14:textId="342FC3C3" w:rsidR="00C5735F" w:rsidRDefault="00C5735F" w:rsidP="002242C6">
            <w:pPr>
              <w:spacing w:before="20" w:after="20"/>
              <w:jc w:val="right"/>
            </w:pPr>
            <w:r>
              <w:t>100</w:t>
            </w:r>
          </w:p>
        </w:tc>
        <w:tc>
          <w:tcPr>
            <w:tcW w:w="1301" w:type="dxa"/>
          </w:tcPr>
          <w:p w14:paraId="7CD18DF9" w14:textId="77777777" w:rsidR="00C5735F" w:rsidRDefault="00C5735F" w:rsidP="002242C6">
            <w:pPr>
              <w:tabs>
                <w:tab w:val="decimal" w:pos="890"/>
              </w:tabs>
              <w:spacing w:before="20" w:after="20"/>
              <w:jc w:val="left"/>
            </w:pPr>
            <w:r>
              <w:t>130</w:t>
            </w:r>
          </w:p>
        </w:tc>
        <w:tc>
          <w:tcPr>
            <w:tcW w:w="978" w:type="dxa"/>
          </w:tcPr>
          <w:p w14:paraId="0E40780E" w14:textId="77777777" w:rsidR="00C5735F" w:rsidRDefault="00C5735F" w:rsidP="002242C6">
            <w:pPr>
              <w:spacing w:before="20" w:after="20"/>
              <w:jc w:val="right"/>
            </w:pPr>
            <w:r>
              <w:t>390</w:t>
            </w:r>
          </w:p>
        </w:tc>
        <w:tc>
          <w:tcPr>
            <w:tcW w:w="1117" w:type="dxa"/>
          </w:tcPr>
          <w:p w14:paraId="5A4A6875" w14:textId="0E8CE372" w:rsidR="00C5735F" w:rsidRDefault="00C5735F" w:rsidP="002242C6">
            <w:pPr>
              <w:spacing w:before="20" w:after="20"/>
              <w:jc w:val="right"/>
            </w:pPr>
            <w:r>
              <w:t>100</w:t>
            </w:r>
          </w:p>
        </w:tc>
      </w:tr>
      <w:tr w:rsidR="00C5735F" w14:paraId="7BE659C5" w14:textId="77777777" w:rsidTr="00E1741F">
        <w:tc>
          <w:tcPr>
            <w:tcW w:w="1271" w:type="dxa"/>
            <w:vMerge w:val="restart"/>
          </w:tcPr>
          <w:p w14:paraId="64395440" w14:textId="77777777" w:rsidR="00C5735F" w:rsidRDefault="00C5735F" w:rsidP="002242C6">
            <w:pPr>
              <w:spacing w:before="20" w:after="20"/>
            </w:pPr>
            <w:r>
              <w:t>Infant</w:t>
            </w:r>
          </w:p>
          <w:p w14:paraId="0661FD09" w14:textId="77777777" w:rsidR="00C5735F" w:rsidRDefault="00C5735F" w:rsidP="002242C6">
            <w:pPr>
              <w:spacing w:before="20" w:after="20"/>
            </w:pPr>
            <w:r>
              <w:t>(0-4 years)</w:t>
            </w:r>
          </w:p>
        </w:tc>
        <w:tc>
          <w:tcPr>
            <w:tcW w:w="1701" w:type="dxa"/>
          </w:tcPr>
          <w:p w14:paraId="7834F751" w14:textId="77777777" w:rsidR="00C5735F" w:rsidRDefault="00C5735F" w:rsidP="002242C6">
            <w:pPr>
              <w:spacing w:before="20" w:after="20"/>
            </w:pPr>
            <w:r>
              <w:t>Head</w:t>
            </w:r>
          </w:p>
        </w:tc>
        <w:tc>
          <w:tcPr>
            <w:tcW w:w="1349" w:type="dxa"/>
          </w:tcPr>
          <w:p w14:paraId="2300CF58" w14:textId="77777777" w:rsidR="00C5735F" w:rsidRDefault="00C5735F" w:rsidP="002242C6">
            <w:pPr>
              <w:tabs>
                <w:tab w:val="decimal" w:pos="1026"/>
              </w:tabs>
              <w:spacing w:before="20" w:after="20"/>
              <w:ind w:left="34"/>
              <w:jc w:val="both"/>
            </w:pPr>
            <w:r>
              <w:t>23</w:t>
            </w:r>
          </w:p>
        </w:tc>
        <w:tc>
          <w:tcPr>
            <w:tcW w:w="978" w:type="dxa"/>
          </w:tcPr>
          <w:p w14:paraId="711F329D" w14:textId="77777777" w:rsidR="00C5735F" w:rsidRDefault="00C5735F" w:rsidP="002242C6">
            <w:pPr>
              <w:spacing w:before="20" w:after="20"/>
              <w:jc w:val="right"/>
            </w:pPr>
            <w:r>
              <w:t>30</w:t>
            </w:r>
          </w:p>
        </w:tc>
        <w:tc>
          <w:tcPr>
            <w:tcW w:w="933" w:type="dxa"/>
          </w:tcPr>
          <w:p w14:paraId="54E5B475" w14:textId="2775DEE4" w:rsidR="00C5735F" w:rsidRDefault="00C5735F" w:rsidP="002242C6">
            <w:pPr>
              <w:spacing w:before="20" w:after="20"/>
              <w:jc w:val="right"/>
            </w:pPr>
            <w:r>
              <w:t>100</w:t>
            </w:r>
          </w:p>
        </w:tc>
        <w:tc>
          <w:tcPr>
            <w:tcW w:w="1301" w:type="dxa"/>
          </w:tcPr>
          <w:p w14:paraId="0B48DD6D" w14:textId="77777777" w:rsidR="00C5735F" w:rsidRDefault="00C5735F" w:rsidP="002242C6">
            <w:pPr>
              <w:tabs>
                <w:tab w:val="decimal" w:pos="890"/>
              </w:tabs>
              <w:spacing w:before="20" w:after="20"/>
              <w:jc w:val="left"/>
            </w:pPr>
            <w:r>
              <w:t>390</w:t>
            </w:r>
          </w:p>
        </w:tc>
        <w:tc>
          <w:tcPr>
            <w:tcW w:w="978" w:type="dxa"/>
          </w:tcPr>
          <w:p w14:paraId="056347D0" w14:textId="77777777" w:rsidR="00C5735F" w:rsidRDefault="00C5735F" w:rsidP="002242C6">
            <w:pPr>
              <w:spacing w:before="20" w:after="20"/>
              <w:jc w:val="right"/>
            </w:pPr>
            <w:r>
              <w:t>470</w:t>
            </w:r>
          </w:p>
        </w:tc>
        <w:tc>
          <w:tcPr>
            <w:tcW w:w="1117" w:type="dxa"/>
          </w:tcPr>
          <w:p w14:paraId="4CC6A64B" w14:textId="58213F79" w:rsidR="00C5735F" w:rsidRDefault="00C5735F" w:rsidP="002242C6">
            <w:pPr>
              <w:spacing w:before="20" w:after="20"/>
              <w:jc w:val="right"/>
            </w:pPr>
            <w:r>
              <w:t>100</w:t>
            </w:r>
          </w:p>
        </w:tc>
      </w:tr>
      <w:tr w:rsidR="00C5735F" w14:paraId="2C84914C" w14:textId="77777777" w:rsidTr="00E1741F">
        <w:trPr>
          <w:cnfStyle w:val="000000010000" w:firstRow="0" w:lastRow="0" w:firstColumn="0" w:lastColumn="0" w:oddVBand="0" w:evenVBand="0" w:oddHBand="0" w:evenHBand="1" w:firstRowFirstColumn="0" w:firstRowLastColumn="0" w:lastRowFirstColumn="0" w:lastRowLastColumn="0"/>
        </w:trPr>
        <w:tc>
          <w:tcPr>
            <w:tcW w:w="1271" w:type="dxa"/>
            <w:vMerge/>
          </w:tcPr>
          <w:p w14:paraId="4F0EC231" w14:textId="77777777" w:rsidR="00C5735F" w:rsidRDefault="00C5735F" w:rsidP="002242C6">
            <w:pPr>
              <w:spacing w:before="20" w:after="20"/>
            </w:pPr>
          </w:p>
        </w:tc>
        <w:tc>
          <w:tcPr>
            <w:tcW w:w="1701" w:type="dxa"/>
          </w:tcPr>
          <w:p w14:paraId="043CB3BC" w14:textId="77777777" w:rsidR="00C5735F" w:rsidRDefault="00C5735F" w:rsidP="002242C6">
            <w:pPr>
              <w:spacing w:before="20" w:after="20"/>
            </w:pPr>
            <w:r>
              <w:t>Chest</w:t>
            </w:r>
          </w:p>
        </w:tc>
        <w:tc>
          <w:tcPr>
            <w:tcW w:w="1349" w:type="dxa"/>
          </w:tcPr>
          <w:p w14:paraId="27C7F649" w14:textId="77777777" w:rsidR="00C5735F" w:rsidRDefault="00C5735F" w:rsidP="002242C6">
            <w:pPr>
              <w:tabs>
                <w:tab w:val="decimal" w:pos="1026"/>
              </w:tabs>
              <w:spacing w:before="20" w:after="20"/>
              <w:ind w:left="34"/>
              <w:jc w:val="both"/>
            </w:pPr>
            <w:r>
              <w:t>1*</w:t>
            </w:r>
          </w:p>
        </w:tc>
        <w:tc>
          <w:tcPr>
            <w:tcW w:w="978" w:type="dxa"/>
          </w:tcPr>
          <w:p w14:paraId="3D4010D5" w14:textId="77777777" w:rsidR="00C5735F" w:rsidRDefault="00C5735F" w:rsidP="002242C6">
            <w:pPr>
              <w:spacing w:before="20" w:after="20"/>
              <w:jc w:val="right"/>
            </w:pPr>
            <w:r>
              <w:t>2</w:t>
            </w:r>
          </w:p>
        </w:tc>
        <w:tc>
          <w:tcPr>
            <w:tcW w:w="933" w:type="dxa"/>
          </w:tcPr>
          <w:p w14:paraId="5DD28BB3" w14:textId="6FF4AA24" w:rsidR="00C5735F" w:rsidRDefault="00C5735F" w:rsidP="002242C6">
            <w:pPr>
              <w:spacing w:before="20" w:after="20"/>
              <w:jc w:val="right"/>
            </w:pPr>
            <w:r>
              <w:t>100</w:t>
            </w:r>
          </w:p>
        </w:tc>
        <w:tc>
          <w:tcPr>
            <w:tcW w:w="1301" w:type="dxa"/>
          </w:tcPr>
          <w:p w14:paraId="71464770" w14:textId="77777777" w:rsidR="00C5735F" w:rsidRDefault="00C5735F" w:rsidP="002242C6">
            <w:pPr>
              <w:tabs>
                <w:tab w:val="decimal" w:pos="890"/>
              </w:tabs>
              <w:spacing w:before="20" w:after="20"/>
              <w:jc w:val="left"/>
            </w:pPr>
            <w:r>
              <w:t>25*</w:t>
            </w:r>
          </w:p>
        </w:tc>
        <w:tc>
          <w:tcPr>
            <w:tcW w:w="978" w:type="dxa"/>
          </w:tcPr>
          <w:p w14:paraId="302F85BB" w14:textId="77777777" w:rsidR="00C5735F" w:rsidRDefault="00C5735F" w:rsidP="002242C6">
            <w:pPr>
              <w:spacing w:before="20" w:after="20"/>
              <w:jc w:val="right"/>
            </w:pPr>
            <w:r>
              <w:t>60</w:t>
            </w:r>
          </w:p>
        </w:tc>
        <w:tc>
          <w:tcPr>
            <w:tcW w:w="1117" w:type="dxa"/>
          </w:tcPr>
          <w:p w14:paraId="2A2A1C18" w14:textId="66A80DAB" w:rsidR="00C5735F" w:rsidRDefault="00C5735F" w:rsidP="002242C6">
            <w:pPr>
              <w:spacing w:before="20" w:after="20"/>
              <w:jc w:val="right"/>
            </w:pPr>
            <w:r>
              <w:t>100</w:t>
            </w:r>
          </w:p>
        </w:tc>
      </w:tr>
      <w:tr w:rsidR="00C5735F" w14:paraId="5A3FD65F" w14:textId="77777777" w:rsidTr="00E1741F">
        <w:tc>
          <w:tcPr>
            <w:tcW w:w="1271" w:type="dxa"/>
            <w:vMerge/>
          </w:tcPr>
          <w:p w14:paraId="74C6DC82" w14:textId="77777777" w:rsidR="00C5735F" w:rsidRDefault="00C5735F" w:rsidP="002242C6">
            <w:pPr>
              <w:spacing w:before="20" w:after="20"/>
            </w:pPr>
          </w:p>
        </w:tc>
        <w:tc>
          <w:tcPr>
            <w:tcW w:w="1701" w:type="dxa"/>
          </w:tcPr>
          <w:p w14:paraId="0C066782" w14:textId="77777777" w:rsidR="00C5735F" w:rsidRDefault="00C5735F" w:rsidP="002242C6">
            <w:pPr>
              <w:spacing w:before="20" w:after="20"/>
            </w:pPr>
            <w:r>
              <w:t>Abdomen-pelvis</w:t>
            </w:r>
          </w:p>
        </w:tc>
        <w:tc>
          <w:tcPr>
            <w:tcW w:w="1349" w:type="dxa"/>
          </w:tcPr>
          <w:p w14:paraId="6CBD9880" w14:textId="77777777" w:rsidR="00C5735F" w:rsidRDefault="00C5735F" w:rsidP="002242C6">
            <w:pPr>
              <w:tabs>
                <w:tab w:val="decimal" w:pos="1026"/>
              </w:tabs>
              <w:spacing w:before="20" w:after="20"/>
              <w:ind w:left="34"/>
              <w:jc w:val="both"/>
            </w:pPr>
            <w:r>
              <w:t>1*</w:t>
            </w:r>
          </w:p>
        </w:tc>
        <w:tc>
          <w:tcPr>
            <w:tcW w:w="978" w:type="dxa"/>
          </w:tcPr>
          <w:p w14:paraId="40906222" w14:textId="77777777" w:rsidR="00C5735F" w:rsidRDefault="00C5735F" w:rsidP="002242C6">
            <w:pPr>
              <w:spacing w:before="20" w:after="20"/>
              <w:jc w:val="right"/>
            </w:pPr>
            <w:r>
              <w:t>7</w:t>
            </w:r>
          </w:p>
        </w:tc>
        <w:tc>
          <w:tcPr>
            <w:tcW w:w="933" w:type="dxa"/>
          </w:tcPr>
          <w:p w14:paraId="7E118119" w14:textId="23EE052C" w:rsidR="00C5735F" w:rsidRDefault="00C5735F" w:rsidP="002242C6">
            <w:pPr>
              <w:spacing w:before="20" w:after="20"/>
              <w:jc w:val="right"/>
            </w:pPr>
            <w:r>
              <w:t>100</w:t>
            </w:r>
          </w:p>
        </w:tc>
        <w:tc>
          <w:tcPr>
            <w:tcW w:w="1301" w:type="dxa"/>
          </w:tcPr>
          <w:p w14:paraId="0092989E" w14:textId="77777777" w:rsidR="00C5735F" w:rsidRDefault="00C5735F" w:rsidP="002242C6">
            <w:pPr>
              <w:tabs>
                <w:tab w:val="decimal" w:pos="890"/>
              </w:tabs>
              <w:spacing w:before="20" w:after="20"/>
              <w:jc w:val="left"/>
            </w:pPr>
            <w:r>
              <w:t>35*</w:t>
            </w:r>
          </w:p>
        </w:tc>
        <w:tc>
          <w:tcPr>
            <w:tcW w:w="978" w:type="dxa"/>
          </w:tcPr>
          <w:p w14:paraId="12F594AE" w14:textId="77777777" w:rsidR="00C5735F" w:rsidRDefault="00C5735F" w:rsidP="002242C6">
            <w:pPr>
              <w:spacing w:before="20" w:after="20"/>
              <w:jc w:val="right"/>
            </w:pPr>
            <w:r>
              <w:t>170</w:t>
            </w:r>
          </w:p>
        </w:tc>
        <w:tc>
          <w:tcPr>
            <w:tcW w:w="1117" w:type="dxa"/>
          </w:tcPr>
          <w:p w14:paraId="7255A24A" w14:textId="09D25F8B" w:rsidR="00C5735F" w:rsidRDefault="00C5735F" w:rsidP="002242C6">
            <w:pPr>
              <w:spacing w:before="20" w:after="20"/>
              <w:jc w:val="right"/>
            </w:pPr>
            <w:r>
              <w:t>100</w:t>
            </w:r>
          </w:p>
        </w:tc>
      </w:tr>
    </w:tbl>
    <w:p w14:paraId="2BAC15E9" w14:textId="264F2C33" w:rsidR="00C5735F" w:rsidRPr="002242C6" w:rsidRDefault="00C5735F" w:rsidP="002242C6">
      <w:pPr>
        <w:spacing w:before="120"/>
        <w:rPr>
          <w:sz w:val="18"/>
          <w:szCs w:val="18"/>
        </w:rPr>
      </w:pPr>
      <w:r w:rsidRPr="002242C6">
        <w:rPr>
          <w:sz w:val="18"/>
          <w:szCs w:val="18"/>
        </w:rPr>
        <w:t>*There were insufficient surveys to calculate third quartiles for the Chest and Abdomen-pelvis scan categories for infants; the maximum value is shown instead.</w:t>
      </w:r>
    </w:p>
    <w:p w14:paraId="17F6EEEA" w14:textId="78668A5E" w:rsidR="00DE2399" w:rsidRDefault="00DE2399" w:rsidP="00DE2399">
      <w:pPr>
        <w:pStyle w:val="Heading2"/>
      </w:pPr>
      <w:bookmarkStart w:id="8" w:name="_Toc100137174"/>
      <w:r>
        <w:lastRenderedPageBreak/>
        <w:t>Image-Guided and Interventional Procedures</w:t>
      </w:r>
      <w:bookmarkEnd w:id="8"/>
    </w:p>
    <w:p w14:paraId="379A7542" w14:textId="6C5F8940" w:rsidR="00DE2399" w:rsidRDefault="00DE2399" w:rsidP="00DE2399">
      <w:r>
        <w:t xml:space="preserve">Forty-six (46) surveys were submitted for </w:t>
      </w:r>
      <w:r w:rsidR="006767B7">
        <w:t>IGIP</w:t>
      </w:r>
      <w:r>
        <w:t xml:space="preserve"> in 2020, 45 for adult patients and one for </w:t>
      </w:r>
      <w:proofErr w:type="spellStart"/>
      <w:r>
        <w:t>pediatric</w:t>
      </w:r>
      <w:proofErr w:type="spellEnd"/>
      <w:r>
        <w:t xml:space="preserve"> patients. The surveys were submitted by 20 facilities (34 rooms) out of 58 registered facilities (34% of registered facilities). Comparative totals for 2019 were 47 surveys from 21 facilities (41 rooms) out of 49 registered facilities (43%).</w:t>
      </w:r>
    </w:p>
    <w:p w14:paraId="41422BBC" w14:textId="751E5EFA" w:rsidR="00542828" w:rsidRDefault="00DE2399">
      <w:r>
        <w:t>Of the adult surveys, 22 were for coronary angiography and the third quartiles of the FRL distributions were consistent with the national DRLs. Data for other procedures were quite sparse and more submissions are needed to establish national DRLs.</w:t>
      </w:r>
    </w:p>
    <w:p w14:paraId="4D8B5074" w14:textId="3173C465" w:rsidR="00DE2399" w:rsidRDefault="00DE2399" w:rsidP="00DE2399">
      <w:r>
        <w:t>Table 6 shows the number of adult IGIP surveys submitted in 2020 for each procedure category.</w:t>
      </w:r>
    </w:p>
    <w:p w14:paraId="749A3FC3" w14:textId="77777777" w:rsidR="00DE2399" w:rsidRDefault="00DE2399" w:rsidP="002242C6">
      <w:pPr>
        <w:pStyle w:val="Caption"/>
        <w:spacing w:before="360"/>
        <w:jc w:val="center"/>
      </w:pPr>
      <w:r>
        <w:t>Table 6 – Adult IGIP surveys submitted in 2020 by procedure category</w:t>
      </w:r>
    </w:p>
    <w:tbl>
      <w:tblPr>
        <w:tblStyle w:val="GenericARPANSA"/>
        <w:tblW w:w="5000" w:type="pct"/>
        <w:jc w:val="center"/>
        <w:tblInd w:w="0" w:type="dxa"/>
        <w:tblLook w:val="04A0" w:firstRow="1" w:lastRow="0" w:firstColumn="1" w:lastColumn="0" w:noHBand="0" w:noVBand="1"/>
      </w:tblPr>
      <w:tblGrid>
        <w:gridCol w:w="8034"/>
        <w:gridCol w:w="1594"/>
      </w:tblGrid>
      <w:tr w:rsidR="00DE2399" w:rsidRPr="005E5557" w14:paraId="72D99E52" w14:textId="77777777" w:rsidTr="002242C6">
        <w:trPr>
          <w:cnfStyle w:val="100000000000" w:firstRow="1" w:lastRow="0" w:firstColumn="0" w:lastColumn="0" w:oddVBand="0" w:evenVBand="0" w:oddHBand="0" w:evenHBand="0" w:firstRowFirstColumn="0" w:firstRowLastColumn="0" w:lastRowFirstColumn="0" w:lastRowLastColumn="0"/>
          <w:trHeight w:val="290"/>
          <w:jc w:val="center"/>
        </w:trPr>
        <w:tc>
          <w:tcPr>
            <w:tcW w:w="4837" w:type="dxa"/>
            <w:noWrap/>
            <w:hideMark/>
          </w:tcPr>
          <w:p w14:paraId="5C8D22EF" w14:textId="77777777" w:rsidR="00DE2399" w:rsidRPr="00587164" w:rsidRDefault="00DE2399" w:rsidP="002242C6">
            <w:pPr>
              <w:spacing w:before="60" w:after="60"/>
              <w:rPr>
                <w:rFonts w:eastAsia="Times New Roman" w:cs="Calibri"/>
                <w:lang w:eastAsia="en-AU"/>
              </w:rPr>
            </w:pPr>
            <w:r w:rsidRPr="00587164">
              <w:rPr>
                <w:rFonts w:eastAsia="Times New Roman" w:cs="Calibri"/>
                <w:lang w:eastAsia="en-AU"/>
              </w:rPr>
              <w:t>Procedure category</w:t>
            </w:r>
          </w:p>
        </w:tc>
        <w:tc>
          <w:tcPr>
            <w:tcW w:w="960" w:type="dxa"/>
            <w:noWrap/>
            <w:hideMark/>
          </w:tcPr>
          <w:p w14:paraId="2D8217D9" w14:textId="77777777" w:rsidR="00DE2399" w:rsidRPr="00587164" w:rsidRDefault="00DE2399" w:rsidP="002242C6">
            <w:pPr>
              <w:spacing w:before="60" w:after="60"/>
              <w:jc w:val="right"/>
              <w:rPr>
                <w:rFonts w:eastAsia="Times New Roman" w:cs="Calibri"/>
                <w:lang w:eastAsia="en-AU"/>
              </w:rPr>
            </w:pPr>
            <w:r w:rsidRPr="00587164">
              <w:rPr>
                <w:rFonts w:eastAsia="Times New Roman" w:cs="Calibri"/>
                <w:lang w:eastAsia="en-AU"/>
              </w:rPr>
              <w:t>Surveys</w:t>
            </w:r>
          </w:p>
        </w:tc>
      </w:tr>
      <w:tr w:rsidR="00DE2399" w:rsidRPr="005E5557" w14:paraId="1274C1D3" w14:textId="77777777" w:rsidTr="002242C6">
        <w:trPr>
          <w:trHeight w:val="290"/>
          <w:jc w:val="center"/>
        </w:trPr>
        <w:tc>
          <w:tcPr>
            <w:tcW w:w="4837" w:type="dxa"/>
            <w:noWrap/>
            <w:hideMark/>
          </w:tcPr>
          <w:p w14:paraId="219B9C5D" w14:textId="77777777" w:rsidR="00DE2399" w:rsidRPr="002242C6" w:rsidRDefault="00DE2399" w:rsidP="002242C6">
            <w:pPr>
              <w:rPr>
                <w:rFonts w:ascii="Calibri" w:eastAsia="Times New Roman" w:hAnsi="Calibri" w:cs="Calibri"/>
                <w:lang w:eastAsia="en-AU"/>
              </w:rPr>
            </w:pPr>
            <w:r w:rsidRPr="002242C6">
              <w:rPr>
                <w:rFonts w:ascii="Calibri" w:eastAsia="Times New Roman" w:hAnsi="Calibri" w:cs="Calibri"/>
                <w:lang w:eastAsia="en-AU"/>
              </w:rPr>
              <w:t>Diagnostic coronary angiography</w:t>
            </w:r>
          </w:p>
        </w:tc>
        <w:tc>
          <w:tcPr>
            <w:tcW w:w="960" w:type="dxa"/>
            <w:noWrap/>
            <w:hideMark/>
          </w:tcPr>
          <w:p w14:paraId="69CA56E7" w14:textId="77777777" w:rsidR="00DE2399" w:rsidRPr="002242C6" w:rsidRDefault="00DE2399" w:rsidP="002242C6">
            <w:pPr>
              <w:jc w:val="right"/>
              <w:rPr>
                <w:rFonts w:ascii="Calibri" w:eastAsia="Times New Roman" w:hAnsi="Calibri" w:cs="Calibri"/>
                <w:lang w:eastAsia="en-AU"/>
              </w:rPr>
            </w:pPr>
            <w:r w:rsidRPr="002242C6">
              <w:rPr>
                <w:rFonts w:ascii="Calibri" w:eastAsia="Times New Roman" w:hAnsi="Calibri" w:cs="Calibri"/>
                <w:lang w:eastAsia="en-AU"/>
              </w:rPr>
              <w:t>22</w:t>
            </w:r>
          </w:p>
        </w:tc>
      </w:tr>
      <w:tr w:rsidR="00DE2399" w:rsidRPr="005E5557" w14:paraId="5A58C909" w14:textId="77777777" w:rsidTr="002242C6">
        <w:trPr>
          <w:cnfStyle w:val="000000010000" w:firstRow="0" w:lastRow="0" w:firstColumn="0" w:lastColumn="0" w:oddVBand="0" w:evenVBand="0" w:oddHBand="0" w:evenHBand="1" w:firstRowFirstColumn="0" w:firstRowLastColumn="0" w:lastRowFirstColumn="0" w:lastRowLastColumn="0"/>
          <w:trHeight w:val="290"/>
          <w:jc w:val="center"/>
        </w:trPr>
        <w:tc>
          <w:tcPr>
            <w:tcW w:w="4837" w:type="dxa"/>
            <w:noWrap/>
          </w:tcPr>
          <w:p w14:paraId="243C7054" w14:textId="77777777" w:rsidR="00DE2399" w:rsidRPr="002242C6" w:rsidRDefault="00DE2399" w:rsidP="002242C6">
            <w:pPr>
              <w:rPr>
                <w:rFonts w:ascii="Calibri" w:eastAsia="Times New Roman" w:hAnsi="Calibri" w:cs="Calibri"/>
                <w:lang w:eastAsia="en-AU"/>
              </w:rPr>
            </w:pPr>
            <w:r w:rsidRPr="002242C6">
              <w:rPr>
                <w:rFonts w:ascii="Calibri" w:eastAsia="Times New Roman" w:hAnsi="Calibri" w:cs="Calibri"/>
                <w:lang w:eastAsia="en-AU"/>
              </w:rPr>
              <w:t>Percutaneous coronary intervention (single lesion)</w:t>
            </w:r>
          </w:p>
        </w:tc>
        <w:tc>
          <w:tcPr>
            <w:tcW w:w="960" w:type="dxa"/>
            <w:noWrap/>
          </w:tcPr>
          <w:p w14:paraId="3DAE1497" w14:textId="77777777" w:rsidR="00DE2399" w:rsidRPr="002242C6" w:rsidRDefault="00DE2399" w:rsidP="002242C6">
            <w:pPr>
              <w:jc w:val="right"/>
              <w:rPr>
                <w:rFonts w:ascii="Calibri" w:eastAsia="Times New Roman" w:hAnsi="Calibri" w:cs="Calibri"/>
                <w:lang w:eastAsia="en-AU"/>
              </w:rPr>
            </w:pPr>
            <w:r w:rsidRPr="002242C6">
              <w:rPr>
                <w:rFonts w:ascii="Calibri" w:eastAsia="Times New Roman" w:hAnsi="Calibri" w:cs="Calibri"/>
                <w:lang w:eastAsia="en-AU"/>
              </w:rPr>
              <w:t>7</w:t>
            </w:r>
          </w:p>
        </w:tc>
      </w:tr>
      <w:tr w:rsidR="00DE2399" w:rsidRPr="005E5557" w14:paraId="3ABD410F" w14:textId="77777777" w:rsidTr="002242C6">
        <w:trPr>
          <w:trHeight w:val="290"/>
          <w:jc w:val="center"/>
        </w:trPr>
        <w:tc>
          <w:tcPr>
            <w:tcW w:w="4837" w:type="dxa"/>
            <w:noWrap/>
            <w:hideMark/>
          </w:tcPr>
          <w:p w14:paraId="1B25327E" w14:textId="77777777" w:rsidR="00DE2399" w:rsidRPr="002242C6" w:rsidRDefault="00DE2399" w:rsidP="002242C6">
            <w:pPr>
              <w:rPr>
                <w:rFonts w:ascii="Calibri" w:eastAsia="Times New Roman" w:hAnsi="Calibri" w:cs="Calibri"/>
                <w:lang w:eastAsia="en-AU"/>
              </w:rPr>
            </w:pPr>
            <w:r w:rsidRPr="002242C6">
              <w:rPr>
                <w:rFonts w:ascii="Calibri" w:eastAsia="Times New Roman" w:hAnsi="Calibri" w:cs="Calibri"/>
                <w:lang w:eastAsia="en-AU"/>
              </w:rPr>
              <w:t>Diagnostic cerebral angiography</w:t>
            </w:r>
          </w:p>
        </w:tc>
        <w:tc>
          <w:tcPr>
            <w:tcW w:w="960" w:type="dxa"/>
            <w:noWrap/>
            <w:hideMark/>
          </w:tcPr>
          <w:p w14:paraId="7D0EC58A" w14:textId="77777777" w:rsidR="00DE2399" w:rsidRPr="002242C6" w:rsidRDefault="00DE2399" w:rsidP="002242C6">
            <w:pPr>
              <w:jc w:val="right"/>
              <w:rPr>
                <w:rFonts w:ascii="Calibri" w:eastAsia="Times New Roman" w:hAnsi="Calibri" w:cs="Calibri"/>
                <w:lang w:eastAsia="en-AU"/>
              </w:rPr>
            </w:pPr>
            <w:r w:rsidRPr="002242C6">
              <w:rPr>
                <w:rFonts w:ascii="Calibri" w:eastAsia="Times New Roman" w:hAnsi="Calibri" w:cs="Calibri"/>
                <w:lang w:eastAsia="en-AU"/>
              </w:rPr>
              <w:t>4</w:t>
            </w:r>
          </w:p>
        </w:tc>
      </w:tr>
      <w:tr w:rsidR="00DE2399" w:rsidRPr="005E5557" w14:paraId="39A4B0BA" w14:textId="77777777" w:rsidTr="002242C6">
        <w:trPr>
          <w:cnfStyle w:val="000000010000" w:firstRow="0" w:lastRow="0" w:firstColumn="0" w:lastColumn="0" w:oddVBand="0" w:evenVBand="0" w:oddHBand="0" w:evenHBand="1" w:firstRowFirstColumn="0" w:firstRowLastColumn="0" w:lastRowFirstColumn="0" w:lastRowLastColumn="0"/>
          <w:trHeight w:val="290"/>
          <w:jc w:val="center"/>
        </w:trPr>
        <w:tc>
          <w:tcPr>
            <w:tcW w:w="4837" w:type="dxa"/>
            <w:noWrap/>
            <w:hideMark/>
          </w:tcPr>
          <w:p w14:paraId="0975B518" w14:textId="77777777" w:rsidR="00DE2399" w:rsidRPr="002242C6" w:rsidRDefault="00DE2399" w:rsidP="002242C6">
            <w:pPr>
              <w:rPr>
                <w:rFonts w:ascii="Calibri" w:eastAsia="Times New Roman" w:hAnsi="Calibri" w:cs="Calibri"/>
                <w:lang w:eastAsia="en-AU"/>
              </w:rPr>
            </w:pPr>
            <w:r w:rsidRPr="002242C6">
              <w:rPr>
                <w:rFonts w:ascii="Calibri" w:eastAsia="Times New Roman" w:hAnsi="Calibri" w:cs="Calibri"/>
                <w:lang w:eastAsia="en-AU"/>
              </w:rPr>
              <w:t xml:space="preserve">Pelvic </w:t>
            </w:r>
            <w:proofErr w:type="spellStart"/>
            <w:r w:rsidRPr="002242C6">
              <w:rPr>
                <w:rFonts w:ascii="Calibri" w:eastAsia="Times New Roman" w:hAnsi="Calibri" w:cs="Calibri"/>
                <w:lang w:eastAsia="en-AU"/>
              </w:rPr>
              <w:t>embolisation</w:t>
            </w:r>
            <w:proofErr w:type="spellEnd"/>
          </w:p>
        </w:tc>
        <w:tc>
          <w:tcPr>
            <w:tcW w:w="960" w:type="dxa"/>
            <w:noWrap/>
            <w:hideMark/>
          </w:tcPr>
          <w:p w14:paraId="03B108A1" w14:textId="77777777" w:rsidR="00DE2399" w:rsidRPr="002242C6" w:rsidRDefault="00DE2399" w:rsidP="002242C6">
            <w:pPr>
              <w:jc w:val="right"/>
              <w:rPr>
                <w:rFonts w:ascii="Calibri" w:eastAsia="Times New Roman" w:hAnsi="Calibri" w:cs="Calibri"/>
                <w:lang w:eastAsia="en-AU"/>
              </w:rPr>
            </w:pPr>
            <w:r w:rsidRPr="002242C6">
              <w:rPr>
                <w:rFonts w:ascii="Calibri" w:eastAsia="Times New Roman" w:hAnsi="Calibri" w:cs="Calibri"/>
                <w:lang w:eastAsia="en-AU"/>
              </w:rPr>
              <w:t>1</w:t>
            </w:r>
          </w:p>
        </w:tc>
      </w:tr>
      <w:tr w:rsidR="00DE2399" w:rsidRPr="005E5557" w14:paraId="3B1BE116" w14:textId="77777777" w:rsidTr="002242C6">
        <w:trPr>
          <w:trHeight w:val="290"/>
          <w:jc w:val="center"/>
        </w:trPr>
        <w:tc>
          <w:tcPr>
            <w:tcW w:w="4837" w:type="dxa"/>
            <w:noWrap/>
            <w:hideMark/>
          </w:tcPr>
          <w:p w14:paraId="7E1C97CC" w14:textId="77777777" w:rsidR="00DE2399" w:rsidRPr="002242C6" w:rsidRDefault="00DE2399" w:rsidP="002242C6">
            <w:pPr>
              <w:rPr>
                <w:rFonts w:ascii="Calibri" w:eastAsia="Times New Roman" w:hAnsi="Calibri" w:cs="Calibri"/>
                <w:lang w:eastAsia="en-AU"/>
              </w:rPr>
            </w:pPr>
            <w:r w:rsidRPr="002242C6">
              <w:rPr>
                <w:rFonts w:ascii="Calibri" w:eastAsia="Times New Roman" w:hAnsi="Calibri" w:cs="Calibri"/>
                <w:lang w:eastAsia="en-AU"/>
              </w:rPr>
              <w:t>Endovascular aortic repair</w:t>
            </w:r>
          </w:p>
        </w:tc>
        <w:tc>
          <w:tcPr>
            <w:tcW w:w="960" w:type="dxa"/>
            <w:noWrap/>
            <w:hideMark/>
          </w:tcPr>
          <w:p w14:paraId="29F87136" w14:textId="77777777" w:rsidR="00DE2399" w:rsidRPr="002242C6" w:rsidRDefault="00DE2399" w:rsidP="002242C6">
            <w:pPr>
              <w:jc w:val="right"/>
              <w:rPr>
                <w:rFonts w:ascii="Calibri" w:eastAsia="Times New Roman" w:hAnsi="Calibri" w:cs="Calibri"/>
                <w:lang w:eastAsia="en-AU"/>
              </w:rPr>
            </w:pPr>
            <w:r w:rsidRPr="002242C6">
              <w:rPr>
                <w:rFonts w:ascii="Calibri" w:eastAsia="Times New Roman" w:hAnsi="Calibri" w:cs="Calibri"/>
                <w:lang w:eastAsia="en-AU"/>
              </w:rPr>
              <w:t>3</w:t>
            </w:r>
          </w:p>
        </w:tc>
      </w:tr>
      <w:tr w:rsidR="00DE2399" w:rsidRPr="005E5557" w14:paraId="0618CC68" w14:textId="77777777" w:rsidTr="002242C6">
        <w:trPr>
          <w:cnfStyle w:val="000000010000" w:firstRow="0" w:lastRow="0" w:firstColumn="0" w:lastColumn="0" w:oddVBand="0" w:evenVBand="0" w:oddHBand="0" w:evenHBand="1" w:firstRowFirstColumn="0" w:firstRowLastColumn="0" w:lastRowFirstColumn="0" w:lastRowLastColumn="0"/>
          <w:trHeight w:val="290"/>
          <w:jc w:val="center"/>
        </w:trPr>
        <w:tc>
          <w:tcPr>
            <w:tcW w:w="4837" w:type="dxa"/>
            <w:noWrap/>
            <w:hideMark/>
          </w:tcPr>
          <w:p w14:paraId="3796D2DF" w14:textId="77777777" w:rsidR="00DE2399" w:rsidRPr="002242C6" w:rsidRDefault="00DE2399" w:rsidP="002242C6">
            <w:pPr>
              <w:rPr>
                <w:rFonts w:ascii="Calibri" w:eastAsia="Times New Roman" w:hAnsi="Calibri" w:cs="Calibri"/>
                <w:lang w:eastAsia="en-AU"/>
              </w:rPr>
            </w:pPr>
            <w:r w:rsidRPr="002242C6">
              <w:rPr>
                <w:rFonts w:ascii="Calibri" w:eastAsia="Times New Roman" w:hAnsi="Calibri" w:cs="Calibri"/>
                <w:lang w:eastAsia="en-AU"/>
              </w:rPr>
              <w:t>Barium swallow</w:t>
            </w:r>
          </w:p>
        </w:tc>
        <w:tc>
          <w:tcPr>
            <w:tcW w:w="960" w:type="dxa"/>
            <w:noWrap/>
            <w:hideMark/>
          </w:tcPr>
          <w:p w14:paraId="30249299" w14:textId="77777777" w:rsidR="00DE2399" w:rsidRPr="002242C6" w:rsidRDefault="00DE2399" w:rsidP="002242C6">
            <w:pPr>
              <w:jc w:val="right"/>
              <w:rPr>
                <w:rFonts w:ascii="Calibri" w:eastAsia="Times New Roman" w:hAnsi="Calibri" w:cs="Calibri"/>
                <w:lang w:eastAsia="en-AU"/>
              </w:rPr>
            </w:pPr>
            <w:r w:rsidRPr="002242C6">
              <w:rPr>
                <w:rFonts w:ascii="Calibri" w:eastAsia="Times New Roman" w:hAnsi="Calibri" w:cs="Calibri"/>
                <w:lang w:eastAsia="en-AU"/>
              </w:rPr>
              <w:t>3</w:t>
            </w:r>
          </w:p>
        </w:tc>
      </w:tr>
      <w:tr w:rsidR="00DE2399" w:rsidRPr="005E5557" w14:paraId="2750B521" w14:textId="77777777" w:rsidTr="002242C6">
        <w:trPr>
          <w:trHeight w:val="290"/>
          <w:jc w:val="center"/>
        </w:trPr>
        <w:tc>
          <w:tcPr>
            <w:tcW w:w="4837" w:type="dxa"/>
            <w:noWrap/>
            <w:hideMark/>
          </w:tcPr>
          <w:p w14:paraId="00665693" w14:textId="77777777" w:rsidR="00DE2399" w:rsidRPr="002242C6" w:rsidRDefault="00DE2399" w:rsidP="002242C6">
            <w:pPr>
              <w:rPr>
                <w:rFonts w:ascii="Calibri" w:eastAsia="Times New Roman" w:hAnsi="Calibri" w:cs="Calibri"/>
                <w:lang w:eastAsia="en-AU"/>
              </w:rPr>
            </w:pPr>
            <w:r w:rsidRPr="002242C6">
              <w:rPr>
                <w:rFonts w:ascii="Calibri" w:eastAsia="Times New Roman" w:hAnsi="Calibri" w:cs="Calibri"/>
                <w:lang w:eastAsia="en-AU"/>
              </w:rPr>
              <w:t>Water-soluble swallow</w:t>
            </w:r>
          </w:p>
        </w:tc>
        <w:tc>
          <w:tcPr>
            <w:tcW w:w="960" w:type="dxa"/>
            <w:noWrap/>
            <w:hideMark/>
          </w:tcPr>
          <w:p w14:paraId="7113FFFE" w14:textId="77777777" w:rsidR="00DE2399" w:rsidRPr="002242C6" w:rsidRDefault="00DE2399" w:rsidP="002242C6">
            <w:pPr>
              <w:jc w:val="right"/>
              <w:rPr>
                <w:rFonts w:ascii="Calibri" w:eastAsia="Times New Roman" w:hAnsi="Calibri" w:cs="Calibri"/>
                <w:lang w:eastAsia="en-AU"/>
              </w:rPr>
            </w:pPr>
            <w:r w:rsidRPr="002242C6">
              <w:rPr>
                <w:rFonts w:ascii="Calibri" w:eastAsia="Times New Roman" w:hAnsi="Calibri" w:cs="Calibri"/>
                <w:lang w:eastAsia="en-AU"/>
              </w:rPr>
              <w:t>2</w:t>
            </w:r>
          </w:p>
        </w:tc>
      </w:tr>
      <w:tr w:rsidR="00DE2399" w:rsidRPr="005E5557" w14:paraId="382AC658" w14:textId="77777777" w:rsidTr="002242C6">
        <w:trPr>
          <w:cnfStyle w:val="000000010000" w:firstRow="0" w:lastRow="0" w:firstColumn="0" w:lastColumn="0" w:oddVBand="0" w:evenVBand="0" w:oddHBand="0" w:evenHBand="1" w:firstRowFirstColumn="0" w:firstRowLastColumn="0" w:lastRowFirstColumn="0" w:lastRowLastColumn="0"/>
          <w:trHeight w:val="290"/>
          <w:jc w:val="center"/>
        </w:trPr>
        <w:tc>
          <w:tcPr>
            <w:tcW w:w="4837" w:type="dxa"/>
            <w:noWrap/>
            <w:hideMark/>
          </w:tcPr>
          <w:p w14:paraId="5E416C9B" w14:textId="77777777" w:rsidR="00DE2399" w:rsidRPr="002242C6" w:rsidRDefault="00DE2399" w:rsidP="002242C6">
            <w:pPr>
              <w:rPr>
                <w:rFonts w:ascii="Calibri" w:eastAsia="Times New Roman" w:hAnsi="Calibri" w:cs="Calibri"/>
                <w:lang w:eastAsia="en-AU"/>
              </w:rPr>
            </w:pPr>
            <w:r w:rsidRPr="002242C6">
              <w:rPr>
                <w:rFonts w:ascii="Calibri" w:eastAsia="Times New Roman" w:hAnsi="Calibri" w:cs="Calibri"/>
                <w:lang w:eastAsia="en-AU"/>
              </w:rPr>
              <w:t>Tunnelled line insertion</w:t>
            </w:r>
          </w:p>
        </w:tc>
        <w:tc>
          <w:tcPr>
            <w:tcW w:w="960" w:type="dxa"/>
            <w:noWrap/>
            <w:hideMark/>
          </w:tcPr>
          <w:p w14:paraId="0EF06A4D" w14:textId="77777777" w:rsidR="00DE2399" w:rsidRPr="002242C6" w:rsidRDefault="00DE2399" w:rsidP="002242C6">
            <w:pPr>
              <w:jc w:val="right"/>
              <w:rPr>
                <w:rFonts w:ascii="Calibri" w:eastAsia="Times New Roman" w:hAnsi="Calibri" w:cs="Calibri"/>
                <w:lang w:eastAsia="en-AU"/>
              </w:rPr>
            </w:pPr>
            <w:r w:rsidRPr="002242C6">
              <w:rPr>
                <w:rFonts w:ascii="Calibri" w:eastAsia="Times New Roman" w:hAnsi="Calibri" w:cs="Calibri"/>
                <w:lang w:eastAsia="en-AU"/>
              </w:rPr>
              <w:t>3</w:t>
            </w:r>
          </w:p>
        </w:tc>
      </w:tr>
      <w:tr w:rsidR="00DE2399" w:rsidRPr="005E5557" w14:paraId="33CAA380" w14:textId="77777777" w:rsidTr="002242C6">
        <w:trPr>
          <w:trHeight w:val="290"/>
          <w:jc w:val="center"/>
        </w:trPr>
        <w:tc>
          <w:tcPr>
            <w:tcW w:w="4837" w:type="dxa"/>
            <w:noWrap/>
          </w:tcPr>
          <w:p w14:paraId="5C07E48D" w14:textId="77777777" w:rsidR="00DE2399" w:rsidRPr="002242C6" w:rsidRDefault="00DE2399" w:rsidP="002242C6">
            <w:pPr>
              <w:rPr>
                <w:rFonts w:ascii="Calibri" w:eastAsia="Times New Roman" w:hAnsi="Calibri" w:cs="Calibri"/>
                <w:lang w:eastAsia="en-AU"/>
              </w:rPr>
            </w:pPr>
            <w:r w:rsidRPr="002242C6">
              <w:rPr>
                <w:rFonts w:ascii="Calibri" w:eastAsia="Times New Roman" w:hAnsi="Calibri" w:cs="Calibri"/>
                <w:lang w:eastAsia="en-AU"/>
              </w:rPr>
              <w:t>Total</w:t>
            </w:r>
          </w:p>
        </w:tc>
        <w:tc>
          <w:tcPr>
            <w:tcW w:w="960" w:type="dxa"/>
            <w:noWrap/>
          </w:tcPr>
          <w:p w14:paraId="35D7D31C" w14:textId="77777777" w:rsidR="00DE2399" w:rsidRPr="002242C6" w:rsidRDefault="00DE2399" w:rsidP="002242C6">
            <w:pPr>
              <w:jc w:val="right"/>
              <w:rPr>
                <w:rFonts w:ascii="Calibri" w:eastAsia="Times New Roman" w:hAnsi="Calibri" w:cs="Calibri"/>
                <w:lang w:eastAsia="en-AU"/>
              </w:rPr>
            </w:pPr>
            <w:r w:rsidRPr="002242C6">
              <w:rPr>
                <w:rFonts w:ascii="Calibri" w:eastAsia="Times New Roman" w:hAnsi="Calibri" w:cs="Calibri"/>
                <w:lang w:eastAsia="en-AU"/>
              </w:rPr>
              <w:t>45</w:t>
            </w:r>
          </w:p>
        </w:tc>
      </w:tr>
    </w:tbl>
    <w:p w14:paraId="4103A9CB" w14:textId="128B555C" w:rsidR="0037745C" w:rsidRDefault="00DE2399" w:rsidP="00DE2399">
      <w:r>
        <w:t>Third quartiles of the FRL distributions for adult patients are shown in Table 7 for the three procedure categories with at least 4 submitted surveys. At present, a national DRL has only been published for diagnostic coronary angiography</w:t>
      </w:r>
      <w:r w:rsidR="000C4F09">
        <w:t xml:space="preserve"> (ARPANSA, 2021)</w:t>
      </w:r>
      <w:r>
        <w:t xml:space="preserve"> so no comparison can be shown for the other procedure categories. The third quartiles of the FRL distributions for diagnostic coronary angiography in 2020 are consistent with the current national DRLs.</w:t>
      </w:r>
    </w:p>
    <w:p w14:paraId="39C138D6" w14:textId="77777777" w:rsidR="00DE2399" w:rsidRDefault="00DE2399" w:rsidP="002242C6">
      <w:pPr>
        <w:pStyle w:val="Caption"/>
        <w:spacing w:before="360"/>
      </w:pPr>
      <w:r>
        <w:t>Table 7 – Third quartiles (75</w:t>
      </w:r>
      <w:r w:rsidRPr="00577FA0">
        <w:rPr>
          <w:vertAlign w:val="superscript"/>
        </w:rPr>
        <w:t>th</w:t>
      </w:r>
      <w:r>
        <w:t xml:space="preserve"> percentiles) of the 2020 IGIP FRL distributions for adult patients and comparison with the national DRLs by procedure category.</w:t>
      </w:r>
    </w:p>
    <w:tbl>
      <w:tblPr>
        <w:tblStyle w:val="GenericARPANSA"/>
        <w:tblW w:w="5000" w:type="pct"/>
        <w:tblInd w:w="0" w:type="dxa"/>
        <w:tblLayout w:type="fixed"/>
        <w:tblLook w:val="04A0" w:firstRow="1" w:lastRow="0" w:firstColumn="1" w:lastColumn="0" w:noHBand="0" w:noVBand="1"/>
      </w:tblPr>
      <w:tblGrid>
        <w:gridCol w:w="2665"/>
        <w:gridCol w:w="1159"/>
        <w:gridCol w:w="1161"/>
        <w:gridCol w:w="1161"/>
        <w:gridCol w:w="1160"/>
        <w:gridCol w:w="1161"/>
        <w:gridCol w:w="1161"/>
      </w:tblGrid>
      <w:tr w:rsidR="00DE2399" w14:paraId="7EE3A54E" w14:textId="77777777" w:rsidTr="002242C6">
        <w:trPr>
          <w:cnfStyle w:val="100000000000" w:firstRow="1" w:lastRow="0" w:firstColumn="0" w:lastColumn="0" w:oddVBand="0" w:evenVBand="0" w:oddHBand="0" w:evenHBand="0" w:firstRowFirstColumn="0" w:firstRowLastColumn="0" w:lastRowFirstColumn="0" w:lastRowLastColumn="0"/>
        </w:trPr>
        <w:tc>
          <w:tcPr>
            <w:tcW w:w="2660" w:type="dxa"/>
            <w:vMerge w:val="restart"/>
          </w:tcPr>
          <w:p w14:paraId="44AE4382" w14:textId="77777777" w:rsidR="00DE2399" w:rsidRDefault="00DE2399" w:rsidP="00DE2399">
            <w:pPr>
              <w:spacing w:before="0"/>
            </w:pPr>
            <w:r>
              <w:t>Procedure</w:t>
            </w:r>
          </w:p>
        </w:tc>
        <w:tc>
          <w:tcPr>
            <w:tcW w:w="3473" w:type="dxa"/>
            <w:gridSpan w:val="3"/>
            <w:tcBorders>
              <w:bottom w:val="single" w:sz="4" w:space="0" w:color="FFFFFF" w:themeColor="background1"/>
            </w:tcBorders>
          </w:tcPr>
          <w:p w14:paraId="6C609CED" w14:textId="7D82A162" w:rsidR="00DE2399" w:rsidRDefault="00DE2399" w:rsidP="00DE2399">
            <w:pPr>
              <w:spacing w:before="0"/>
            </w:pPr>
            <w:r>
              <w:t>DAP (Gy.cm²)</w:t>
            </w:r>
          </w:p>
        </w:tc>
        <w:tc>
          <w:tcPr>
            <w:tcW w:w="3473" w:type="dxa"/>
            <w:gridSpan w:val="3"/>
            <w:tcBorders>
              <w:bottom w:val="single" w:sz="4" w:space="0" w:color="FFFFFF" w:themeColor="background1"/>
            </w:tcBorders>
          </w:tcPr>
          <w:p w14:paraId="517133F9" w14:textId="77777777" w:rsidR="00DE2399" w:rsidRDefault="00DE2399" w:rsidP="00DE2399">
            <w:pPr>
              <w:spacing w:before="0"/>
            </w:pPr>
            <w:r>
              <w:t>Reference Dose (</w:t>
            </w:r>
            <w:proofErr w:type="spellStart"/>
            <w:r>
              <w:t>Gy</w:t>
            </w:r>
            <w:proofErr w:type="spellEnd"/>
            <w:r>
              <w:t>)</w:t>
            </w:r>
          </w:p>
        </w:tc>
      </w:tr>
      <w:tr w:rsidR="00587164" w14:paraId="24C4D5EA" w14:textId="77777777" w:rsidTr="002242C6">
        <w:tc>
          <w:tcPr>
            <w:tcW w:w="2660" w:type="dxa"/>
            <w:vMerge/>
            <w:tcBorders>
              <w:right w:val="single" w:sz="4" w:space="0" w:color="FFFFFF" w:themeColor="background1"/>
            </w:tcBorders>
          </w:tcPr>
          <w:p w14:paraId="7E4996F8" w14:textId="77777777" w:rsidR="00DE2399" w:rsidRDefault="00DE2399" w:rsidP="00DE2399">
            <w:pPr>
              <w:spacing w:before="0"/>
            </w:pPr>
          </w:p>
        </w:tc>
        <w:tc>
          <w:tcPr>
            <w:tcW w:w="1157" w:type="dxa"/>
            <w:tcBorders>
              <w:top w:val="single" w:sz="4" w:space="0" w:color="FFFFFF" w:themeColor="background1"/>
              <w:left w:val="single" w:sz="4" w:space="0" w:color="FFFFFF" w:themeColor="background1"/>
              <w:right w:val="single" w:sz="4" w:space="0" w:color="FFFFFF" w:themeColor="background1"/>
            </w:tcBorders>
            <w:shd w:val="clear" w:color="auto" w:fill="4E1A74" w:themeFill="text2"/>
          </w:tcPr>
          <w:p w14:paraId="6831AF30" w14:textId="77777777" w:rsidR="00DE2399" w:rsidRPr="00587164" w:rsidRDefault="00DE2399" w:rsidP="00DE2399">
            <w:pPr>
              <w:spacing w:before="0"/>
              <w:rPr>
                <w:color w:val="FFFFFF" w:themeColor="background1"/>
              </w:rPr>
            </w:pPr>
            <w:r w:rsidRPr="00587164">
              <w:rPr>
                <w:color w:val="FFFFFF" w:themeColor="background1"/>
              </w:rPr>
              <w:t>75</w:t>
            </w:r>
            <w:r w:rsidRPr="00587164">
              <w:rPr>
                <w:color w:val="FFFFFF" w:themeColor="background1"/>
                <w:vertAlign w:val="superscript"/>
              </w:rPr>
              <w:t>th</w:t>
            </w:r>
            <w:r w:rsidRPr="00587164">
              <w:rPr>
                <w:color w:val="FFFFFF" w:themeColor="background1"/>
              </w:rPr>
              <w:t xml:space="preserve"> percentile</w:t>
            </w:r>
          </w:p>
        </w:tc>
        <w:tc>
          <w:tcPr>
            <w:tcW w:w="1158" w:type="dxa"/>
            <w:tcBorders>
              <w:top w:val="single" w:sz="4" w:space="0" w:color="FFFFFF" w:themeColor="background1"/>
              <w:left w:val="single" w:sz="4" w:space="0" w:color="FFFFFF" w:themeColor="background1"/>
              <w:right w:val="single" w:sz="4" w:space="0" w:color="FFFFFF" w:themeColor="background1"/>
            </w:tcBorders>
            <w:shd w:val="clear" w:color="auto" w:fill="4E1A74" w:themeFill="text2"/>
          </w:tcPr>
          <w:p w14:paraId="551AB175" w14:textId="77777777" w:rsidR="00DE2399" w:rsidRPr="00587164" w:rsidRDefault="00DE2399" w:rsidP="00DE2399">
            <w:pPr>
              <w:spacing w:before="0"/>
              <w:rPr>
                <w:color w:val="FFFFFF" w:themeColor="background1"/>
              </w:rPr>
            </w:pPr>
            <w:r w:rsidRPr="00587164">
              <w:rPr>
                <w:color w:val="FFFFFF" w:themeColor="background1"/>
              </w:rPr>
              <w:t>National DRL</w:t>
            </w:r>
          </w:p>
        </w:tc>
        <w:tc>
          <w:tcPr>
            <w:tcW w:w="1158" w:type="dxa"/>
            <w:tcBorders>
              <w:top w:val="single" w:sz="4" w:space="0" w:color="FFFFFF" w:themeColor="background1"/>
              <w:left w:val="single" w:sz="4" w:space="0" w:color="FFFFFF" w:themeColor="background1"/>
              <w:right w:val="single" w:sz="4" w:space="0" w:color="FFFFFF" w:themeColor="background1"/>
            </w:tcBorders>
            <w:shd w:val="clear" w:color="auto" w:fill="4E1A74" w:themeFill="text2"/>
          </w:tcPr>
          <w:p w14:paraId="0EF821A2" w14:textId="2FEC2FA5" w:rsidR="00DE2399" w:rsidRPr="00587164" w:rsidRDefault="00DE2399" w:rsidP="002242C6">
            <w:pPr>
              <w:spacing w:before="0"/>
              <w:rPr>
                <w:color w:val="FFFFFF" w:themeColor="background1"/>
              </w:rPr>
            </w:pPr>
            <w:r w:rsidRPr="00587164">
              <w:rPr>
                <w:color w:val="FFFFFF" w:themeColor="background1"/>
              </w:rPr>
              <w:t>Surveys</w:t>
            </w:r>
            <w:r w:rsidR="002242C6">
              <w:rPr>
                <w:color w:val="FFFFFF" w:themeColor="background1"/>
              </w:rPr>
              <w:br/>
            </w:r>
            <w:r w:rsidRPr="00587164">
              <w:rPr>
                <w:color w:val="FFFFFF" w:themeColor="background1"/>
              </w:rPr>
              <w:t>&lt; DRL</w:t>
            </w:r>
            <w:r w:rsidR="002242C6">
              <w:rPr>
                <w:color w:val="FFFFFF" w:themeColor="background1"/>
              </w:rPr>
              <w:br/>
              <w:t>(%)</w:t>
            </w:r>
          </w:p>
        </w:tc>
        <w:tc>
          <w:tcPr>
            <w:tcW w:w="1157" w:type="dxa"/>
            <w:tcBorders>
              <w:top w:val="single" w:sz="4" w:space="0" w:color="FFFFFF" w:themeColor="background1"/>
              <w:left w:val="single" w:sz="4" w:space="0" w:color="FFFFFF" w:themeColor="background1"/>
              <w:right w:val="single" w:sz="4" w:space="0" w:color="FFFFFF" w:themeColor="background1"/>
            </w:tcBorders>
            <w:shd w:val="clear" w:color="auto" w:fill="4E1A74" w:themeFill="text2"/>
          </w:tcPr>
          <w:p w14:paraId="602EFEF8" w14:textId="77777777" w:rsidR="00DE2399" w:rsidRPr="00587164" w:rsidRDefault="00DE2399" w:rsidP="00DE2399">
            <w:pPr>
              <w:spacing w:before="0"/>
              <w:rPr>
                <w:color w:val="FFFFFF" w:themeColor="background1"/>
              </w:rPr>
            </w:pPr>
            <w:r w:rsidRPr="00587164">
              <w:rPr>
                <w:color w:val="FFFFFF" w:themeColor="background1"/>
              </w:rPr>
              <w:t>75</w:t>
            </w:r>
            <w:r w:rsidRPr="00587164">
              <w:rPr>
                <w:color w:val="FFFFFF" w:themeColor="background1"/>
                <w:vertAlign w:val="superscript"/>
              </w:rPr>
              <w:t>th</w:t>
            </w:r>
            <w:r w:rsidRPr="00587164">
              <w:rPr>
                <w:color w:val="FFFFFF" w:themeColor="background1"/>
              </w:rPr>
              <w:t xml:space="preserve"> percentile</w:t>
            </w:r>
          </w:p>
        </w:tc>
        <w:tc>
          <w:tcPr>
            <w:tcW w:w="1158" w:type="dxa"/>
            <w:tcBorders>
              <w:top w:val="single" w:sz="4" w:space="0" w:color="FFFFFF" w:themeColor="background1"/>
              <w:left w:val="single" w:sz="4" w:space="0" w:color="FFFFFF" w:themeColor="background1"/>
              <w:right w:val="single" w:sz="4" w:space="0" w:color="FFFFFF" w:themeColor="background1"/>
            </w:tcBorders>
            <w:shd w:val="clear" w:color="auto" w:fill="4E1A74" w:themeFill="text2"/>
          </w:tcPr>
          <w:p w14:paraId="05F85600" w14:textId="77777777" w:rsidR="00DE2399" w:rsidRPr="00587164" w:rsidRDefault="00DE2399" w:rsidP="00DE2399">
            <w:pPr>
              <w:spacing w:before="0"/>
              <w:rPr>
                <w:color w:val="FFFFFF" w:themeColor="background1"/>
              </w:rPr>
            </w:pPr>
            <w:r w:rsidRPr="00587164">
              <w:rPr>
                <w:color w:val="FFFFFF" w:themeColor="background1"/>
              </w:rPr>
              <w:t>National DRL</w:t>
            </w:r>
          </w:p>
        </w:tc>
        <w:tc>
          <w:tcPr>
            <w:tcW w:w="1158" w:type="dxa"/>
            <w:tcBorders>
              <w:top w:val="single" w:sz="4" w:space="0" w:color="FFFFFF" w:themeColor="background1"/>
              <w:left w:val="single" w:sz="4" w:space="0" w:color="FFFFFF" w:themeColor="background1"/>
            </w:tcBorders>
            <w:shd w:val="clear" w:color="auto" w:fill="4E1A74" w:themeFill="text2"/>
          </w:tcPr>
          <w:p w14:paraId="02F5A4ED" w14:textId="524D252C" w:rsidR="00DE2399" w:rsidRPr="00587164" w:rsidRDefault="00DE2399" w:rsidP="002242C6">
            <w:pPr>
              <w:spacing w:before="0"/>
              <w:rPr>
                <w:color w:val="FFFFFF" w:themeColor="background1"/>
              </w:rPr>
            </w:pPr>
            <w:r w:rsidRPr="00587164">
              <w:rPr>
                <w:color w:val="FFFFFF" w:themeColor="background1"/>
              </w:rPr>
              <w:t>Surveys</w:t>
            </w:r>
            <w:r w:rsidR="002242C6">
              <w:rPr>
                <w:color w:val="FFFFFF" w:themeColor="background1"/>
              </w:rPr>
              <w:br/>
            </w:r>
            <w:r w:rsidRPr="00587164">
              <w:rPr>
                <w:color w:val="FFFFFF" w:themeColor="background1"/>
              </w:rPr>
              <w:t>&lt; DRL</w:t>
            </w:r>
            <w:r w:rsidR="002242C6">
              <w:rPr>
                <w:color w:val="FFFFFF" w:themeColor="background1"/>
              </w:rPr>
              <w:br/>
              <w:t>(%)</w:t>
            </w:r>
          </w:p>
        </w:tc>
      </w:tr>
      <w:tr w:rsidR="00DE2399" w14:paraId="68A42364" w14:textId="77777777" w:rsidTr="002242C6">
        <w:trPr>
          <w:cnfStyle w:val="000000010000" w:firstRow="0" w:lastRow="0" w:firstColumn="0" w:lastColumn="0" w:oddVBand="0" w:evenVBand="0" w:oddHBand="0" w:evenHBand="1" w:firstRowFirstColumn="0" w:firstRowLastColumn="0" w:lastRowFirstColumn="0" w:lastRowLastColumn="0"/>
        </w:trPr>
        <w:tc>
          <w:tcPr>
            <w:tcW w:w="2660" w:type="dxa"/>
          </w:tcPr>
          <w:p w14:paraId="2E4F463B" w14:textId="77777777" w:rsidR="00DE2399" w:rsidRDefault="00DE2399" w:rsidP="00DE2399">
            <w:pPr>
              <w:spacing w:before="0"/>
            </w:pPr>
            <w:r>
              <w:t>Diagnostic coronary angiography</w:t>
            </w:r>
          </w:p>
        </w:tc>
        <w:tc>
          <w:tcPr>
            <w:tcW w:w="1157" w:type="dxa"/>
          </w:tcPr>
          <w:p w14:paraId="32461635" w14:textId="77777777" w:rsidR="00DE2399" w:rsidRDefault="00DE2399" w:rsidP="002242C6">
            <w:pPr>
              <w:spacing w:before="0"/>
              <w:jc w:val="right"/>
            </w:pPr>
            <w:r>
              <w:t>30.5</w:t>
            </w:r>
          </w:p>
        </w:tc>
        <w:tc>
          <w:tcPr>
            <w:tcW w:w="1158" w:type="dxa"/>
          </w:tcPr>
          <w:p w14:paraId="45CEC1C0" w14:textId="77777777" w:rsidR="00DE2399" w:rsidRDefault="00DE2399" w:rsidP="002242C6">
            <w:pPr>
              <w:spacing w:before="0"/>
              <w:jc w:val="right"/>
            </w:pPr>
            <w:r>
              <w:t>30</w:t>
            </w:r>
          </w:p>
        </w:tc>
        <w:tc>
          <w:tcPr>
            <w:tcW w:w="1158" w:type="dxa"/>
          </w:tcPr>
          <w:p w14:paraId="27EBBC11" w14:textId="12EC91E1" w:rsidR="00DE2399" w:rsidRDefault="00DE2399" w:rsidP="002242C6">
            <w:pPr>
              <w:spacing w:before="0"/>
              <w:jc w:val="right"/>
            </w:pPr>
            <w:r>
              <w:t>73</w:t>
            </w:r>
          </w:p>
        </w:tc>
        <w:tc>
          <w:tcPr>
            <w:tcW w:w="1157" w:type="dxa"/>
          </w:tcPr>
          <w:p w14:paraId="199A9F6F" w14:textId="77777777" w:rsidR="00DE2399" w:rsidRDefault="00DE2399" w:rsidP="002242C6">
            <w:pPr>
              <w:tabs>
                <w:tab w:val="decimal" w:pos="540"/>
              </w:tabs>
              <w:spacing w:before="0"/>
              <w:jc w:val="left"/>
            </w:pPr>
            <w:r>
              <w:t>0.38</w:t>
            </w:r>
          </w:p>
        </w:tc>
        <w:tc>
          <w:tcPr>
            <w:tcW w:w="1158" w:type="dxa"/>
          </w:tcPr>
          <w:p w14:paraId="5BE33532" w14:textId="77777777" w:rsidR="00DE2399" w:rsidRDefault="00DE2399" w:rsidP="002242C6">
            <w:pPr>
              <w:spacing w:before="0"/>
              <w:jc w:val="right"/>
            </w:pPr>
            <w:r>
              <w:t>0.5</w:t>
            </w:r>
          </w:p>
        </w:tc>
        <w:tc>
          <w:tcPr>
            <w:tcW w:w="1158" w:type="dxa"/>
          </w:tcPr>
          <w:p w14:paraId="367CB122" w14:textId="18A51C6A" w:rsidR="00DE2399" w:rsidRDefault="00DE2399" w:rsidP="002242C6">
            <w:pPr>
              <w:spacing w:before="0"/>
              <w:jc w:val="right"/>
            </w:pPr>
            <w:r>
              <w:t>95</w:t>
            </w:r>
          </w:p>
        </w:tc>
      </w:tr>
      <w:tr w:rsidR="00DE2399" w14:paraId="7BDC590E" w14:textId="77777777" w:rsidTr="002242C6">
        <w:tc>
          <w:tcPr>
            <w:tcW w:w="2660" w:type="dxa"/>
          </w:tcPr>
          <w:p w14:paraId="7BEE9C73" w14:textId="77777777" w:rsidR="00DE2399" w:rsidRDefault="00DE2399" w:rsidP="00DE2399">
            <w:pPr>
              <w:spacing w:before="0"/>
            </w:pPr>
            <w:r>
              <w:t>Percutaneous coronary intervention (single lesion)</w:t>
            </w:r>
          </w:p>
        </w:tc>
        <w:tc>
          <w:tcPr>
            <w:tcW w:w="1157" w:type="dxa"/>
          </w:tcPr>
          <w:p w14:paraId="0BF4E1EA" w14:textId="77777777" w:rsidR="00DE2399" w:rsidRDefault="00DE2399" w:rsidP="002242C6">
            <w:pPr>
              <w:spacing w:before="0"/>
              <w:jc w:val="right"/>
            </w:pPr>
            <w:r>
              <w:t>62.4</w:t>
            </w:r>
          </w:p>
        </w:tc>
        <w:tc>
          <w:tcPr>
            <w:tcW w:w="1158" w:type="dxa"/>
          </w:tcPr>
          <w:p w14:paraId="4C8B847B" w14:textId="77777777" w:rsidR="00DE2399" w:rsidRDefault="00DE2399" w:rsidP="002242C6">
            <w:pPr>
              <w:spacing w:before="0"/>
              <w:jc w:val="right"/>
            </w:pPr>
          </w:p>
        </w:tc>
        <w:tc>
          <w:tcPr>
            <w:tcW w:w="1158" w:type="dxa"/>
          </w:tcPr>
          <w:p w14:paraId="1F663E8C" w14:textId="77777777" w:rsidR="00DE2399" w:rsidRDefault="00DE2399" w:rsidP="002242C6">
            <w:pPr>
              <w:spacing w:before="0"/>
              <w:jc w:val="right"/>
            </w:pPr>
          </w:p>
        </w:tc>
        <w:tc>
          <w:tcPr>
            <w:tcW w:w="1157" w:type="dxa"/>
          </w:tcPr>
          <w:p w14:paraId="307A4EDC" w14:textId="77777777" w:rsidR="00DE2399" w:rsidRDefault="00DE2399" w:rsidP="002242C6">
            <w:pPr>
              <w:tabs>
                <w:tab w:val="decimal" w:pos="540"/>
              </w:tabs>
              <w:spacing w:before="0"/>
              <w:jc w:val="left"/>
            </w:pPr>
            <w:r>
              <w:t>1.2</w:t>
            </w:r>
          </w:p>
        </w:tc>
        <w:tc>
          <w:tcPr>
            <w:tcW w:w="1158" w:type="dxa"/>
          </w:tcPr>
          <w:p w14:paraId="5F302B22" w14:textId="77777777" w:rsidR="00DE2399" w:rsidRDefault="00DE2399" w:rsidP="002242C6">
            <w:pPr>
              <w:spacing w:before="0"/>
              <w:jc w:val="right"/>
            </w:pPr>
          </w:p>
        </w:tc>
        <w:tc>
          <w:tcPr>
            <w:tcW w:w="1158" w:type="dxa"/>
          </w:tcPr>
          <w:p w14:paraId="55F38FB1" w14:textId="77777777" w:rsidR="00DE2399" w:rsidRDefault="00DE2399" w:rsidP="002242C6">
            <w:pPr>
              <w:spacing w:before="0"/>
              <w:jc w:val="right"/>
            </w:pPr>
          </w:p>
        </w:tc>
      </w:tr>
      <w:tr w:rsidR="00DE2399" w14:paraId="7189467F" w14:textId="77777777" w:rsidTr="002242C6">
        <w:trPr>
          <w:cnfStyle w:val="000000010000" w:firstRow="0" w:lastRow="0" w:firstColumn="0" w:lastColumn="0" w:oddVBand="0" w:evenVBand="0" w:oddHBand="0" w:evenHBand="1" w:firstRowFirstColumn="0" w:firstRowLastColumn="0" w:lastRowFirstColumn="0" w:lastRowLastColumn="0"/>
        </w:trPr>
        <w:tc>
          <w:tcPr>
            <w:tcW w:w="2660" w:type="dxa"/>
          </w:tcPr>
          <w:p w14:paraId="4F517388" w14:textId="77777777" w:rsidR="00DE2399" w:rsidRDefault="00DE2399" w:rsidP="00DE2399">
            <w:pPr>
              <w:spacing w:before="0"/>
            </w:pPr>
            <w:r>
              <w:t>Diagnostic cerebral angiography</w:t>
            </w:r>
          </w:p>
        </w:tc>
        <w:tc>
          <w:tcPr>
            <w:tcW w:w="1157" w:type="dxa"/>
          </w:tcPr>
          <w:p w14:paraId="02CA1595" w14:textId="77777777" w:rsidR="00DE2399" w:rsidRDefault="00DE2399" w:rsidP="002242C6">
            <w:pPr>
              <w:spacing w:before="0"/>
              <w:jc w:val="right"/>
            </w:pPr>
            <w:r>
              <w:t>57.4</w:t>
            </w:r>
          </w:p>
        </w:tc>
        <w:tc>
          <w:tcPr>
            <w:tcW w:w="1158" w:type="dxa"/>
          </w:tcPr>
          <w:p w14:paraId="1DAA9B32" w14:textId="77777777" w:rsidR="00DE2399" w:rsidRDefault="00DE2399" w:rsidP="002242C6">
            <w:pPr>
              <w:spacing w:before="0"/>
              <w:jc w:val="right"/>
            </w:pPr>
          </w:p>
        </w:tc>
        <w:tc>
          <w:tcPr>
            <w:tcW w:w="1158" w:type="dxa"/>
          </w:tcPr>
          <w:p w14:paraId="35108B22" w14:textId="77777777" w:rsidR="00DE2399" w:rsidRDefault="00DE2399" w:rsidP="002242C6">
            <w:pPr>
              <w:spacing w:before="0"/>
              <w:jc w:val="right"/>
            </w:pPr>
          </w:p>
        </w:tc>
        <w:tc>
          <w:tcPr>
            <w:tcW w:w="1157" w:type="dxa"/>
          </w:tcPr>
          <w:p w14:paraId="56B66A25" w14:textId="77777777" w:rsidR="00DE2399" w:rsidRDefault="00DE2399" w:rsidP="002242C6">
            <w:pPr>
              <w:tabs>
                <w:tab w:val="decimal" w:pos="540"/>
              </w:tabs>
              <w:spacing w:before="0"/>
              <w:jc w:val="left"/>
            </w:pPr>
            <w:r>
              <w:t>0.47</w:t>
            </w:r>
          </w:p>
        </w:tc>
        <w:tc>
          <w:tcPr>
            <w:tcW w:w="1158" w:type="dxa"/>
          </w:tcPr>
          <w:p w14:paraId="2F1302A1" w14:textId="77777777" w:rsidR="00DE2399" w:rsidRDefault="00DE2399" w:rsidP="002242C6">
            <w:pPr>
              <w:spacing w:before="0"/>
              <w:jc w:val="right"/>
            </w:pPr>
          </w:p>
        </w:tc>
        <w:tc>
          <w:tcPr>
            <w:tcW w:w="1158" w:type="dxa"/>
          </w:tcPr>
          <w:p w14:paraId="0758B7A1" w14:textId="77777777" w:rsidR="00DE2399" w:rsidRDefault="00DE2399" w:rsidP="002242C6">
            <w:pPr>
              <w:spacing w:before="0"/>
              <w:jc w:val="right"/>
            </w:pPr>
          </w:p>
        </w:tc>
      </w:tr>
    </w:tbl>
    <w:p w14:paraId="15387C93" w14:textId="778CED28" w:rsidR="00DE2399" w:rsidRDefault="00DE2399" w:rsidP="00DE2399">
      <w:pPr>
        <w:pStyle w:val="Heading2"/>
      </w:pPr>
      <w:bookmarkStart w:id="9" w:name="_Toc100137175"/>
      <w:r>
        <w:lastRenderedPageBreak/>
        <w:t>Nuclear Medicine</w:t>
      </w:r>
      <w:bookmarkEnd w:id="9"/>
    </w:p>
    <w:p w14:paraId="10D722ED" w14:textId="22DB501A" w:rsidR="00DE2399" w:rsidRPr="00DE2399" w:rsidRDefault="00894322" w:rsidP="00DE2399">
      <w:r>
        <w:t xml:space="preserve">A survey of radiation doses in nuclear medicine and positron emission tomography (PET) procedures was conducted in 2014/15 and DRLs for these procedures were established in 2017 (Beveridge </w:t>
      </w:r>
      <w:r w:rsidRPr="000F367E">
        <w:rPr>
          <w:i/>
          <w:iCs/>
        </w:rPr>
        <w:t>et al</w:t>
      </w:r>
      <w:r>
        <w:t xml:space="preserve">., 2019). </w:t>
      </w:r>
      <w:r w:rsidR="002707D6">
        <w:t>In 2020,</w:t>
      </w:r>
      <w:r w:rsidR="006B4E63">
        <w:t xml:space="preserve"> </w:t>
      </w:r>
      <w:r w:rsidR="002707D6">
        <w:t>a</w:t>
      </w:r>
      <w:r w:rsidR="00DE2399">
        <w:t xml:space="preserve"> new survey </w:t>
      </w:r>
      <w:r w:rsidR="002707D6">
        <w:t>was developed</w:t>
      </w:r>
      <w:r w:rsidR="00DE2399">
        <w:t xml:space="preserve"> to collect data for nuclear medicine </w:t>
      </w:r>
      <w:r w:rsidR="002707D6">
        <w:t xml:space="preserve">and PET </w:t>
      </w:r>
      <w:r w:rsidR="00DE2399">
        <w:t xml:space="preserve">procedures, covering both administered activities of radiopharmaceuticals and metrics for associated CT scans. A liaison panel </w:t>
      </w:r>
      <w:r w:rsidR="002707D6">
        <w:t>comprising representatives of relevant professional bodies was formed to</w:t>
      </w:r>
      <w:r w:rsidR="00DE2399">
        <w:t xml:space="preserve"> advise </w:t>
      </w:r>
      <w:r w:rsidR="002707D6">
        <w:t>A</w:t>
      </w:r>
      <w:r w:rsidR="00D92573">
        <w:t>R</w:t>
      </w:r>
      <w:r w:rsidR="002707D6">
        <w:t>PANSA on the development of the survey</w:t>
      </w:r>
      <w:r w:rsidR="00DE2399">
        <w:t xml:space="preserve">. The survey </w:t>
      </w:r>
      <w:r w:rsidR="002707D6">
        <w:t>was planned to</w:t>
      </w:r>
      <w:r w:rsidR="00DE2399">
        <w:t xml:space="preserve"> be conducted towards the end of 2021. Updated DRLs for nuclear medicine and positron emission tomography are expected </w:t>
      </w:r>
      <w:r w:rsidR="00580E11">
        <w:t>following the completion of the survey and analysis of the data</w:t>
      </w:r>
      <w:r w:rsidR="00DE2399">
        <w:t>.</w:t>
      </w:r>
    </w:p>
    <w:p w14:paraId="4E7AD5F9" w14:textId="77777777" w:rsidR="00C5735F" w:rsidRDefault="00C5735F" w:rsidP="00C5735F"/>
    <w:p w14:paraId="672E68D3" w14:textId="4E8E6949" w:rsidR="00D509CD" w:rsidRDefault="00D509CD" w:rsidP="00D509CD">
      <w:pPr>
        <w:pStyle w:val="Heading1"/>
      </w:pPr>
      <w:bookmarkStart w:id="10" w:name="_Toc100137176"/>
      <w:r>
        <w:t>Conclusions</w:t>
      </w:r>
      <w:bookmarkEnd w:id="10"/>
    </w:p>
    <w:p w14:paraId="777B80B1" w14:textId="4FDDD81E" w:rsidR="0079171E" w:rsidRDefault="007C4F83">
      <w:r>
        <w:t>The data collected for MDCT in 2020</w:t>
      </w:r>
      <w:r w:rsidRPr="007C4F83">
        <w:t xml:space="preserve"> comes from around half or more of all diagnostic CT scanners and is relatively evenly distributed across </w:t>
      </w:r>
      <w:r w:rsidR="0079171E">
        <w:t>Australia</w:t>
      </w:r>
      <w:r>
        <w:t xml:space="preserve"> and </w:t>
      </w:r>
      <w:r w:rsidR="00E61C95">
        <w:t>across facility types</w:t>
      </w:r>
      <w:r>
        <w:t xml:space="preserve">. </w:t>
      </w:r>
      <w:r w:rsidRPr="007C4F83">
        <w:t>For several scan categories the third quartile of the distribution of scanner median dose metrics for 2020 is more than 10% below the relevant national DRL</w:t>
      </w:r>
      <w:r>
        <w:t xml:space="preserve">, </w:t>
      </w:r>
      <w:r w:rsidRPr="007C4F83">
        <w:t>suggest</w:t>
      </w:r>
      <w:r>
        <w:t>ing</w:t>
      </w:r>
      <w:r w:rsidRPr="007C4F83">
        <w:t xml:space="preserve"> that a general review of the MDCT DRLs is warranted, especially for </w:t>
      </w:r>
      <w:proofErr w:type="spellStart"/>
      <w:r w:rsidRPr="007C4F83">
        <w:t>pediatric</w:t>
      </w:r>
      <w:proofErr w:type="spellEnd"/>
      <w:r w:rsidRPr="007C4F83">
        <w:t xml:space="preserve"> patients</w:t>
      </w:r>
      <w:r>
        <w:t>.</w:t>
      </w:r>
      <w:r w:rsidR="00E61C95">
        <w:t xml:space="preserve"> </w:t>
      </w:r>
      <w:r w:rsidR="00D509CD" w:rsidRPr="00C72C2E">
        <w:t>The data collected</w:t>
      </w:r>
      <w:r w:rsidR="00D509CD">
        <w:t xml:space="preserve"> for MDCT</w:t>
      </w:r>
      <w:r w:rsidR="00D509CD" w:rsidRPr="00C72C2E">
        <w:t xml:space="preserve"> over the last decade demonstrate a reduction in dose per procedure for all </w:t>
      </w:r>
      <w:r w:rsidR="00E61C95">
        <w:t>scan categories</w:t>
      </w:r>
      <w:r w:rsidR="00D509CD" w:rsidRPr="00C72C2E">
        <w:t xml:space="preserve"> </w:t>
      </w:r>
      <w:r w:rsidR="00E61C95">
        <w:t>that</w:t>
      </w:r>
      <w:r w:rsidR="00D509CD" w:rsidRPr="00C72C2E">
        <w:t xml:space="preserve"> have </w:t>
      </w:r>
      <w:r w:rsidR="00D509CD">
        <w:t>an established national D</w:t>
      </w:r>
      <w:r w:rsidR="00D509CD" w:rsidRPr="00C72C2E">
        <w:t>RL.</w:t>
      </w:r>
      <w:r w:rsidR="00D509CD">
        <w:t xml:space="preserve"> These changes reflect advances in technology and optimisation of practice.</w:t>
      </w:r>
    </w:p>
    <w:p w14:paraId="007062BF" w14:textId="429C0BBF" w:rsidR="00D509CD" w:rsidRDefault="00D509CD">
      <w:r>
        <w:t>DRL programs in other modalities are less mature and greater engagement is needed to increase the volume of data submission and foster optimisation.</w:t>
      </w:r>
    </w:p>
    <w:p w14:paraId="7C542CEA" w14:textId="19DAF832" w:rsidR="0094308A" w:rsidRDefault="0094308A">
      <w:pPr>
        <w:rPr>
          <w:rFonts w:ascii="Calibri" w:eastAsiaTheme="majorEastAsia" w:hAnsi="Calibri" w:cstheme="majorBidi"/>
          <w:b/>
          <w:bCs/>
          <w:color w:val="4E1A74"/>
          <w:sz w:val="32"/>
          <w:szCs w:val="28"/>
        </w:rPr>
      </w:pPr>
      <w:r>
        <w:br w:type="page"/>
      </w:r>
    </w:p>
    <w:p w14:paraId="3EBB88BC" w14:textId="7B6211DC" w:rsidR="0094308A" w:rsidRDefault="0094308A" w:rsidP="0094308A">
      <w:pPr>
        <w:pStyle w:val="Heading1Nonumber"/>
      </w:pPr>
      <w:bookmarkStart w:id="11" w:name="_Toc100137177"/>
      <w:r>
        <w:lastRenderedPageBreak/>
        <w:t>References</w:t>
      </w:r>
      <w:bookmarkEnd w:id="11"/>
    </w:p>
    <w:p w14:paraId="50EA026A" w14:textId="515862FF" w:rsidR="0094308A" w:rsidRDefault="000214C8" w:rsidP="002B2432">
      <w:pPr>
        <w:spacing w:line="259" w:lineRule="auto"/>
        <w:ind w:left="357" w:hanging="357"/>
      </w:pPr>
      <w:r>
        <w:t>Australian Commission on Safety and Quality in Health Care (</w:t>
      </w:r>
      <w:r w:rsidR="0094308A">
        <w:t>ACSQHC</w:t>
      </w:r>
      <w:r>
        <w:t>)</w:t>
      </w:r>
      <w:r w:rsidR="0094308A">
        <w:t>, 2016</w:t>
      </w:r>
      <w:r w:rsidR="007F610A">
        <w:t>.</w:t>
      </w:r>
      <w:r w:rsidR="0094308A">
        <w:t xml:space="preserve"> </w:t>
      </w:r>
      <w:r w:rsidR="0094308A" w:rsidRPr="007F610A">
        <w:t>Diagnostic Imaging Accreditation Scheme Standards</w:t>
      </w:r>
      <w:r w:rsidR="007F610A">
        <w:t>, online</w:t>
      </w:r>
      <w:r w:rsidR="0094308A">
        <w:t>:</w:t>
      </w:r>
      <w:r w:rsidR="007F610A">
        <w:t xml:space="preserve"> accessed 17/03/2022,</w:t>
      </w:r>
      <w:r w:rsidR="0094308A">
        <w:t xml:space="preserve"> </w:t>
      </w:r>
      <w:hyperlink r:id="rId22" w:history="1">
        <w:r w:rsidR="0094308A" w:rsidRPr="00F928E3">
          <w:rPr>
            <w:rStyle w:val="Hyperlink"/>
          </w:rPr>
          <w:t>https://www.safetyandquality.gov.au/standards/diagnostic-imaging/diagnostic-imaging-accreditation-scheme-standards</w:t>
        </w:r>
      </w:hyperlink>
      <w:r w:rsidR="0094308A">
        <w:t>.</w:t>
      </w:r>
    </w:p>
    <w:p w14:paraId="2951C2FF" w14:textId="6C01ACED" w:rsidR="000C4F09" w:rsidRDefault="000C4F09" w:rsidP="000C4F09">
      <w:pPr>
        <w:spacing w:line="259" w:lineRule="auto"/>
        <w:ind w:left="357" w:hanging="357"/>
      </w:pPr>
      <w:r>
        <w:t xml:space="preserve">Australian Radiation Protection and Nuclear Safety Agency (ARPANSA), 2008. </w:t>
      </w:r>
      <w:r w:rsidRPr="0094308A">
        <w:rPr>
          <w:i/>
          <w:iCs/>
        </w:rPr>
        <w:t xml:space="preserve">Code for Radiation Protection in </w:t>
      </w:r>
      <w:r>
        <w:rPr>
          <w:i/>
          <w:iCs/>
        </w:rPr>
        <w:t xml:space="preserve">the </w:t>
      </w:r>
      <w:r w:rsidRPr="0094308A">
        <w:rPr>
          <w:i/>
          <w:iCs/>
        </w:rPr>
        <w:t xml:space="preserve">Medical </w:t>
      </w:r>
      <w:r>
        <w:rPr>
          <w:i/>
          <w:iCs/>
        </w:rPr>
        <w:t>Applications of Ionizing Radiation</w:t>
      </w:r>
      <w:r>
        <w:t xml:space="preserve">. Radiation Protection Series 14. </w:t>
      </w:r>
    </w:p>
    <w:p w14:paraId="62F35531" w14:textId="41747A8C" w:rsidR="002B2432" w:rsidRDefault="000214C8" w:rsidP="002B2432">
      <w:pPr>
        <w:spacing w:line="259" w:lineRule="auto"/>
        <w:ind w:left="357" w:hanging="357"/>
      </w:pPr>
      <w:r>
        <w:t>Australian Radiation Protection and Nuclear Safety Agency (</w:t>
      </w:r>
      <w:r w:rsidR="002B2432">
        <w:t>ARPANSA</w:t>
      </w:r>
      <w:r>
        <w:t>)</w:t>
      </w:r>
      <w:r w:rsidR="002B2432">
        <w:t>, 2019</w:t>
      </w:r>
      <w:r w:rsidR="007F610A">
        <w:t>.</w:t>
      </w:r>
      <w:r w:rsidR="002B2432">
        <w:t xml:space="preserve"> </w:t>
      </w:r>
      <w:r w:rsidR="002B2432" w:rsidRPr="0094308A">
        <w:rPr>
          <w:i/>
          <w:iCs/>
        </w:rPr>
        <w:t>Code for Radiation Protection in Medical Exposure</w:t>
      </w:r>
      <w:r w:rsidR="002B2432">
        <w:t>. R</w:t>
      </w:r>
      <w:r w:rsidR="000F367E">
        <w:t xml:space="preserve">adiation </w:t>
      </w:r>
      <w:r w:rsidR="002B2432">
        <w:t>P</w:t>
      </w:r>
      <w:r w:rsidR="000F367E">
        <w:t xml:space="preserve">rotection </w:t>
      </w:r>
      <w:r w:rsidR="002B2432">
        <w:t>S</w:t>
      </w:r>
      <w:r w:rsidR="000F367E">
        <w:t>eries</w:t>
      </w:r>
      <w:r w:rsidR="002B2432">
        <w:t xml:space="preserve"> C-5.</w:t>
      </w:r>
      <w:r w:rsidR="000F367E">
        <w:t xml:space="preserve"> </w:t>
      </w:r>
    </w:p>
    <w:p w14:paraId="3E80C297" w14:textId="46DAA17C" w:rsidR="002B2432" w:rsidRDefault="000214C8" w:rsidP="002B2432">
      <w:pPr>
        <w:spacing w:line="259" w:lineRule="auto"/>
        <w:ind w:left="357" w:hanging="357"/>
      </w:pPr>
      <w:r>
        <w:t>Australian Radiation Protection and Nuclear Safety Agency (</w:t>
      </w:r>
      <w:r w:rsidR="002B2432">
        <w:t>ARPANSA</w:t>
      </w:r>
      <w:r>
        <w:t>)</w:t>
      </w:r>
      <w:r w:rsidR="002B2432">
        <w:t>, 2021</w:t>
      </w:r>
      <w:r w:rsidR="007F610A">
        <w:t>.</w:t>
      </w:r>
      <w:r w:rsidR="002B2432">
        <w:t xml:space="preserve"> </w:t>
      </w:r>
      <w:r w:rsidR="002B2432" w:rsidRPr="007F610A">
        <w:t>Current Australian diagnostic reference levels</w:t>
      </w:r>
      <w:r w:rsidR="007F610A">
        <w:t>, online: accessed 17/03/2022,</w:t>
      </w:r>
      <w:r w:rsidR="002B2432">
        <w:t xml:space="preserve"> </w:t>
      </w:r>
      <w:hyperlink r:id="rId23" w:history="1">
        <w:r w:rsidR="002B2432" w:rsidRPr="00F928E3">
          <w:rPr>
            <w:rStyle w:val="Hyperlink"/>
          </w:rPr>
          <w:t>https://www.arpansa.gov.au/research-and-expertise/surveys/national-diagnostic-reference-level-service/current-australian-drls</w:t>
        </w:r>
      </w:hyperlink>
      <w:r w:rsidR="007F610A">
        <w:t>.</w:t>
      </w:r>
    </w:p>
    <w:p w14:paraId="7D8857B3" w14:textId="3C715B52" w:rsidR="000F367E" w:rsidRDefault="000F367E" w:rsidP="000F367E">
      <w:pPr>
        <w:spacing w:line="259" w:lineRule="auto"/>
        <w:ind w:left="357" w:hanging="357"/>
      </w:pPr>
      <w:r>
        <w:t>Beveridge, T., Marks, P., Thomas, P., 2019</w:t>
      </w:r>
      <w:r w:rsidR="007F610A">
        <w:t>.</w:t>
      </w:r>
      <w:r>
        <w:t xml:space="preserve"> </w:t>
      </w:r>
      <w:r w:rsidRPr="002B2432">
        <w:rPr>
          <w:i/>
          <w:iCs/>
        </w:rPr>
        <w:t>Australian Diagnostic Reference Levels (DRLs) for Nuclear Medicine</w:t>
      </w:r>
      <w:r>
        <w:t xml:space="preserve">, ARPANSA Technical Report 180. </w:t>
      </w:r>
    </w:p>
    <w:p w14:paraId="006A98F3" w14:textId="53E41354" w:rsidR="000F367E" w:rsidRDefault="000F367E" w:rsidP="000F367E">
      <w:pPr>
        <w:spacing w:line="259" w:lineRule="auto"/>
        <w:ind w:left="357" w:hanging="357"/>
      </w:pPr>
      <w:r>
        <w:t>Hayton, A., Wallace, A., Marks, P., Edmonds, K., Tingey, D., Johnston, P., 2013a</w:t>
      </w:r>
      <w:r w:rsidR="007F610A">
        <w:t>.</w:t>
      </w:r>
      <w:r>
        <w:t xml:space="preserve"> </w:t>
      </w:r>
      <w:r w:rsidRPr="007F610A">
        <w:t>Australian diagnostic reference levels for multi detector computed tomography</w:t>
      </w:r>
      <w:r w:rsidR="007F610A">
        <w:t>,</w:t>
      </w:r>
      <w:r>
        <w:t xml:space="preserve"> </w:t>
      </w:r>
      <w:proofErr w:type="spellStart"/>
      <w:r w:rsidRPr="007F610A">
        <w:rPr>
          <w:i/>
          <w:iCs/>
        </w:rPr>
        <w:t>Australas</w:t>
      </w:r>
      <w:proofErr w:type="spellEnd"/>
      <w:r w:rsidRPr="007F610A">
        <w:rPr>
          <w:i/>
          <w:iCs/>
        </w:rPr>
        <w:t xml:space="preserve"> Phys Eng Sci Med</w:t>
      </w:r>
      <w:r>
        <w:t>, 36(1), 19-26.</w:t>
      </w:r>
    </w:p>
    <w:p w14:paraId="785D7BDF" w14:textId="19C0BF17" w:rsidR="000F367E" w:rsidRDefault="000F367E" w:rsidP="000F367E">
      <w:pPr>
        <w:spacing w:line="259" w:lineRule="auto"/>
        <w:ind w:left="357" w:hanging="357"/>
      </w:pPr>
      <w:r w:rsidRPr="000E0C71">
        <w:t>Hayton</w:t>
      </w:r>
      <w:r>
        <w:t>, A.</w:t>
      </w:r>
      <w:r w:rsidRPr="000E0C71">
        <w:t>, Wallace</w:t>
      </w:r>
      <w:r>
        <w:t>, A.</w:t>
      </w:r>
      <w:r w:rsidRPr="000E0C71">
        <w:t>, Marks</w:t>
      </w:r>
      <w:r>
        <w:t>, P.</w:t>
      </w:r>
      <w:r w:rsidRPr="000E0C71">
        <w:t>, Edmonds</w:t>
      </w:r>
      <w:r>
        <w:t>, K.</w:t>
      </w:r>
      <w:r w:rsidRPr="000E0C71">
        <w:t>, Tingey</w:t>
      </w:r>
      <w:r>
        <w:t>, D.</w:t>
      </w:r>
      <w:r w:rsidRPr="000E0C71">
        <w:t>, Johnston</w:t>
      </w:r>
      <w:r>
        <w:t>, P., 2013b</w:t>
      </w:r>
      <w:r w:rsidR="007F610A">
        <w:t>.</w:t>
      </w:r>
      <w:r w:rsidRPr="000E0C71">
        <w:t xml:space="preserve"> </w:t>
      </w:r>
      <w:r w:rsidRPr="007F610A">
        <w:t>Australian per caput dose from diagnostic imaging and nuclear medicine</w:t>
      </w:r>
      <w:r w:rsidRPr="000E0C71">
        <w:t xml:space="preserve">, </w:t>
      </w:r>
      <w:r w:rsidRPr="007F610A">
        <w:rPr>
          <w:i/>
          <w:iCs/>
        </w:rPr>
        <w:t xml:space="preserve">Rad </w:t>
      </w:r>
      <w:proofErr w:type="spellStart"/>
      <w:r w:rsidRPr="007F610A">
        <w:rPr>
          <w:i/>
          <w:iCs/>
        </w:rPr>
        <w:t>Prot</w:t>
      </w:r>
      <w:proofErr w:type="spellEnd"/>
      <w:r w:rsidRPr="007F610A">
        <w:rPr>
          <w:i/>
          <w:iCs/>
        </w:rPr>
        <w:t xml:space="preserve"> </w:t>
      </w:r>
      <w:proofErr w:type="spellStart"/>
      <w:r w:rsidRPr="007F610A">
        <w:rPr>
          <w:i/>
          <w:iCs/>
        </w:rPr>
        <w:t>Dosim</w:t>
      </w:r>
      <w:proofErr w:type="spellEnd"/>
      <w:r w:rsidR="007F610A">
        <w:t>,</w:t>
      </w:r>
      <w:r w:rsidRPr="000E0C71">
        <w:t xml:space="preserve"> 156</w:t>
      </w:r>
      <w:r>
        <w:t>(</w:t>
      </w:r>
      <w:r w:rsidRPr="000E0C71">
        <w:t>4</w:t>
      </w:r>
      <w:r>
        <w:t>),</w:t>
      </w:r>
      <w:r w:rsidRPr="000E0C71">
        <w:t xml:space="preserve"> 445</w:t>
      </w:r>
      <w:r>
        <w:t>-</w:t>
      </w:r>
      <w:r w:rsidRPr="000E0C71">
        <w:t>450</w:t>
      </w:r>
      <w:r>
        <w:t>.</w:t>
      </w:r>
    </w:p>
    <w:p w14:paraId="3C6B6B2F" w14:textId="025A5641" w:rsidR="0094308A" w:rsidRDefault="0094308A" w:rsidP="002B2432">
      <w:pPr>
        <w:spacing w:line="259" w:lineRule="auto"/>
        <w:ind w:left="357" w:hanging="357"/>
      </w:pPr>
      <w:r>
        <w:t>ICRP, 2017</w:t>
      </w:r>
      <w:r w:rsidR="007F610A">
        <w:t>.</w:t>
      </w:r>
      <w:r>
        <w:t xml:space="preserve"> </w:t>
      </w:r>
      <w:r w:rsidRPr="002B2432">
        <w:rPr>
          <w:i/>
          <w:iCs/>
        </w:rPr>
        <w:t>Diagnostic Reference Levels in Medical Imaging</w:t>
      </w:r>
      <w:r w:rsidR="007F610A">
        <w:t>,</w:t>
      </w:r>
      <w:r>
        <w:t xml:space="preserve"> ICRP Publication 135, ICRP 46(1)</w:t>
      </w:r>
      <w:r w:rsidR="000F367E">
        <w:t>, 1-143.</w:t>
      </w:r>
    </w:p>
    <w:p w14:paraId="44AC6520" w14:textId="265EA204" w:rsidR="0094308A" w:rsidRDefault="0094308A" w:rsidP="002B2432">
      <w:pPr>
        <w:spacing w:line="259" w:lineRule="auto"/>
        <w:ind w:left="357" w:hanging="357"/>
      </w:pPr>
      <w:r w:rsidRPr="00BC719D">
        <w:t>Lee</w:t>
      </w:r>
      <w:r>
        <w:t>, K. L.</w:t>
      </w:r>
      <w:r w:rsidRPr="00BC719D">
        <w:t>, Beveridge</w:t>
      </w:r>
      <w:r>
        <w:t>, T.</w:t>
      </w:r>
      <w:r w:rsidRPr="00BC719D">
        <w:t xml:space="preserve">, </w:t>
      </w:r>
      <w:proofErr w:type="spellStart"/>
      <w:r>
        <w:t>Sa</w:t>
      </w:r>
      <w:r w:rsidRPr="00BC719D">
        <w:t>nagou</w:t>
      </w:r>
      <w:proofErr w:type="spellEnd"/>
      <w:r>
        <w:t>, M.</w:t>
      </w:r>
      <w:r w:rsidRPr="00BC719D">
        <w:t>, Thomas</w:t>
      </w:r>
      <w:r>
        <w:t>, P., 2020</w:t>
      </w:r>
      <w:r w:rsidR="007F610A">
        <w:t>.</w:t>
      </w:r>
      <w:r w:rsidRPr="00BC719D">
        <w:t xml:space="preserve"> </w:t>
      </w:r>
      <w:r w:rsidRPr="007F610A">
        <w:t>Updated Australian diagnostic reference levels for adult CT</w:t>
      </w:r>
      <w:r w:rsidR="007F610A">
        <w:t xml:space="preserve">, </w:t>
      </w:r>
      <w:r w:rsidR="007F610A" w:rsidRPr="007F610A">
        <w:rPr>
          <w:i/>
          <w:iCs/>
        </w:rPr>
        <w:t xml:space="preserve">J </w:t>
      </w:r>
      <w:r w:rsidRPr="007F610A">
        <w:rPr>
          <w:i/>
          <w:iCs/>
        </w:rPr>
        <w:t>Med Rad Sci</w:t>
      </w:r>
      <w:r w:rsidR="007F610A">
        <w:t>,</w:t>
      </w:r>
      <w:r w:rsidRPr="00BC719D">
        <w:t xml:space="preserve"> 6</w:t>
      </w:r>
      <w:r>
        <w:t>7(1),</w:t>
      </w:r>
      <w:r w:rsidRPr="00BC719D">
        <w:t xml:space="preserve"> 5-15.</w:t>
      </w:r>
    </w:p>
    <w:p w14:paraId="726F2C2E" w14:textId="2D0C7104" w:rsidR="000F367E" w:rsidRDefault="000214C8" w:rsidP="000F367E">
      <w:pPr>
        <w:spacing w:line="259" w:lineRule="auto"/>
        <w:ind w:left="357" w:hanging="357"/>
      </w:pPr>
      <w:r>
        <w:t>Organisation for Economic Co-operation and Development (</w:t>
      </w:r>
      <w:r w:rsidR="000F367E">
        <w:t>OECD</w:t>
      </w:r>
      <w:r>
        <w:t>)</w:t>
      </w:r>
      <w:r w:rsidR="000F367E">
        <w:t>, 2022</w:t>
      </w:r>
      <w:r w:rsidR="007F610A">
        <w:t>.</w:t>
      </w:r>
      <w:r w:rsidR="000F367E">
        <w:t xml:space="preserve"> </w:t>
      </w:r>
      <w:proofErr w:type="spellStart"/>
      <w:r w:rsidR="000F367E" w:rsidRPr="007F610A">
        <w:t>OECD.Stat</w:t>
      </w:r>
      <w:proofErr w:type="spellEnd"/>
      <w:r w:rsidR="000F367E" w:rsidRPr="007F610A">
        <w:t>, Health, Health Care Resources, Medical technology</w:t>
      </w:r>
      <w:r w:rsidR="007F610A">
        <w:t xml:space="preserve">, online: accessed 17/03/2022, </w:t>
      </w:r>
      <w:hyperlink r:id="rId24" w:history="1">
        <w:r w:rsidR="000F367E" w:rsidRPr="00F928E3">
          <w:rPr>
            <w:rStyle w:val="Hyperlink"/>
          </w:rPr>
          <w:t>https://stats.oecd.org/</w:t>
        </w:r>
      </w:hyperlink>
      <w:r w:rsidR="007F610A">
        <w:t>.</w:t>
      </w:r>
    </w:p>
    <w:p w14:paraId="15E979D1" w14:textId="4964D5C8" w:rsidR="0094308A" w:rsidRDefault="0094308A" w:rsidP="002B2432">
      <w:pPr>
        <w:spacing w:line="259" w:lineRule="auto"/>
        <w:ind w:left="357" w:hanging="357"/>
      </w:pPr>
      <w:r>
        <w:t>Wallace, A., Hayton, A., Thomas, P., Beveridge, T., 2015</w:t>
      </w:r>
      <w:r w:rsidR="007F610A">
        <w:t>.</w:t>
      </w:r>
      <w:r w:rsidRPr="002B2432">
        <w:rPr>
          <w:i/>
          <w:iCs/>
        </w:rPr>
        <w:t xml:space="preserve"> The 2011-2013 National Diagnostic Reference Level Service Report</w:t>
      </w:r>
      <w:r w:rsidR="002B2432">
        <w:t>, ARPANSA Technical Report 171.</w:t>
      </w:r>
    </w:p>
    <w:p w14:paraId="5DFB61E3" w14:textId="77777777" w:rsidR="0094308A" w:rsidRDefault="0094308A" w:rsidP="0094308A">
      <w:pPr>
        <w:ind w:left="426" w:hanging="426"/>
      </w:pPr>
    </w:p>
    <w:p w14:paraId="75333EB5" w14:textId="74002068" w:rsidR="00937076" w:rsidRDefault="00937076" w:rsidP="00937076">
      <w:pPr>
        <w:rPr>
          <w:color w:val="4E1A74"/>
          <w:sz w:val="20"/>
          <w:szCs w:val="18"/>
        </w:rPr>
      </w:pPr>
      <w:r>
        <w:br w:type="page"/>
      </w:r>
    </w:p>
    <w:p w14:paraId="49F9A0C9" w14:textId="29160966" w:rsidR="00DC23A8" w:rsidRDefault="00DE2399" w:rsidP="00AD297B">
      <w:pPr>
        <w:pStyle w:val="Heading4"/>
      </w:pPr>
      <w:bookmarkStart w:id="12" w:name="_Toc100137178"/>
      <w:r>
        <w:lastRenderedPageBreak/>
        <w:t>Cumulative FRL distributions for MDCT surveys in 2020</w:t>
      </w:r>
      <w:bookmarkEnd w:id="12"/>
    </w:p>
    <w:p w14:paraId="5845679A" w14:textId="77777777" w:rsidR="00DE2399" w:rsidRDefault="00DE2399" w:rsidP="00DE2399">
      <w:r>
        <w:t xml:space="preserve">This appendix presents the cumulative distributions for </w:t>
      </w:r>
      <w:proofErr w:type="spellStart"/>
      <w:r>
        <w:t>CTDI</w:t>
      </w:r>
      <w:r w:rsidRPr="005E14BC">
        <w:rPr>
          <w:vertAlign w:val="subscript"/>
        </w:rPr>
        <w:t>vol</w:t>
      </w:r>
      <w:proofErr w:type="spellEnd"/>
      <w:r>
        <w:t xml:space="preserve"> and DLP from adult MDCT DRL surveys submitted to ARPANSA in 2020. The plots display the percentage of surveys that achieved a facility reference level (FRL) below the dose specified on the x-axis.</w:t>
      </w:r>
    </w:p>
    <w:p w14:paraId="79A453E9" w14:textId="77777777" w:rsidR="00DE2399" w:rsidRDefault="00DE2399" w:rsidP="00DE2399">
      <w:r>
        <w:t xml:space="preserve">The blue curve represents all the submitted data, the orange curve represents the surveys where iterative reconstruction (IR) was used, and the green curve represents the surveys where IR was not </w:t>
      </w:r>
      <w:proofErr w:type="gramStart"/>
      <w:r>
        <w:t>used</w:t>
      </w:r>
      <w:proofErr w:type="gramEnd"/>
      <w:r>
        <w:t xml:space="preserve"> and image reconstruction was performed using standard filtered back-projection (FBP).</w:t>
      </w:r>
    </w:p>
    <w:p w14:paraId="4D7359A8" w14:textId="2EA9165F" w:rsidR="00DE2399" w:rsidRDefault="00DE2399" w:rsidP="00DE2399">
      <w:r>
        <w:t>In general, the 75</w:t>
      </w:r>
      <w:r w:rsidRPr="00F7365E">
        <w:rPr>
          <w:vertAlign w:val="superscript"/>
        </w:rPr>
        <w:t>th</w:t>
      </w:r>
      <w:r>
        <w:t xml:space="preserve"> percentiles of the distributions for all surveys, and for surveys where IR was used, are lower than the present national DRL. The 75</w:t>
      </w:r>
      <w:r w:rsidRPr="00F7365E">
        <w:rPr>
          <w:vertAlign w:val="superscript"/>
        </w:rPr>
        <w:t>th</w:t>
      </w:r>
      <w:r>
        <w:t xml:space="preserve"> percentiles of the distributions for surveys where IR was not used are higher than the national DRL in some cases, but lower than the national DRL in other cases.</w:t>
      </w:r>
    </w:p>
    <w:p w14:paraId="27CC1135" w14:textId="7EF44E65" w:rsidR="00DE2399" w:rsidRPr="00DE2399" w:rsidRDefault="003570FE" w:rsidP="003570FE">
      <w:pPr>
        <w:jc w:val="center"/>
      </w:pPr>
      <w:r>
        <w:rPr>
          <w:noProof/>
        </w:rPr>
        <w:lastRenderedPageBreak/>
        <w:drawing>
          <wp:inline distT="0" distB="0" distL="0" distR="0" wp14:anchorId="259DAB7A" wp14:editId="29EB7E6D">
            <wp:extent cx="4417200" cy="4417200"/>
            <wp:effectExtent l="0" t="0" r="254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7200" cy="4417200"/>
                    </a:xfrm>
                    <a:prstGeom prst="rect">
                      <a:avLst/>
                    </a:prstGeom>
                    <a:noFill/>
                    <a:ln>
                      <a:noFill/>
                    </a:ln>
                  </pic:spPr>
                </pic:pic>
              </a:graphicData>
            </a:graphic>
          </wp:inline>
        </w:drawing>
      </w:r>
      <w:r>
        <w:rPr>
          <w:noProof/>
        </w:rPr>
        <w:drawing>
          <wp:inline distT="0" distB="0" distL="0" distR="0" wp14:anchorId="30910FB7" wp14:editId="4A5DF67C">
            <wp:extent cx="4417200" cy="4417200"/>
            <wp:effectExtent l="0" t="0" r="254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7200" cy="4417200"/>
                    </a:xfrm>
                    <a:prstGeom prst="rect">
                      <a:avLst/>
                    </a:prstGeom>
                    <a:noFill/>
                    <a:ln>
                      <a:noFill/>
                    </a:ln>
                  </pic:spPr>
                </pic:pic>
              </a:graphicData>
            </a:graphic>
          </wp:inline>
        </w:drawing>
      </w:r>
      <w:r>
        <w:rPr>
          <w:noProof/>
        </w:rPr>
        <w:lastRenderedPageBreak/>
        <w:drawing>
          <wp:inline distT="0" distB="0" distL="0" distR="0" wp14:anchorId="488C67CE" wp14:editId="4C7F73CA">
            <wp:extent cx="4417200" cy="4417200"/>
            <wp:effectExtent l="0" t="0" r="254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7200" cy="4417200"/>
                    </a:xfrm>
                    <a:prstGeom prst="rect">
                      <a:avLst/>
                    </a:prstGeom>
                    <a:noFill/>
                    <a:ln>
                      <a:noFill/>
                    </a:ln>
                  </pic:spPr>
                </pic:pic>
              </a:graphicData>
            </a:graphic>
          </wp:inline>
        </w:drawing>
      </w:r>
      <w:r>
        <w:rPr>
          <w:noProof/>
        </w:rPr>
        <w:drawing>
          <wp:inline distT="0" distB="0" distL="0" distR="0" wp14:anchorId="5D9BDB41" wp14:editId="5089F462">
            <wp:extent cx="4417200" cy="4417200"/>
            <wp:effectExtent l="0" t="0" r="254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7200" cy="4417200"/>
                    </a:xfrm>
                    <a:prstGeom prst="rect">
                      <a:avLst/>
                    </a:prstGeom>
                    <a:noFill/>
                    <a:ln>
                      <a:noFill/>
                    </a:ln>
                  </pic:spPr>
                </pic:pic>
              </a:graphicData>
            </a:graphic>
          </wp:inline>
        </w:drawing>
      </w:r>
      <w:r>
        <w:rPr>
          <w:noProof/>
        </w:rPr>
        <w:lastRenderedPageBreak/>
        <w:drawing>
          <wp:inline distT="0" distB="0" distL="0" distR="0" wp14:anchorId="7A47BC9D" wp14:editId="4447741E">
            <wp:extent cx="4417200" cy="4417200"/>
            <wp:effectExtent l="0" t="0" r="254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7200" cy="4417200"/>
                    </a:xfrm>
                    <a:prstGeom prst="rect">
                      <a:avLst/>
                    </a:prstGeom>
                    <a:noFill/>
                    <a:ln>
                      <a:noFill/>
                    </a:ln>
                  </pic:spPr>
                </pic:pic>
              </a:graphicData>
            </a:graphic>
          </wp:inline>
        </w:drawing>
      </w:r>
      <w:r>
        <w:rPr>
          <w:noProof/>
        </w:rPr>
        <w:drawing>
          <wp:inline distT="0" distB="0" distL="0" distR="0" wp14:anchorId="54CA9537" wp14:editId="043E8283">
            <wp:extent cx="4417200" cy="4417200"/>
            <wp:effectExtent l="0" t="0" r="254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7200" cy="4417200"/>
                    </a:xfrm>
                    <a:prstGeom prst="rect">
                      <a:avLst/>
                    </a:prstGeom>
                    <a:noFill/>
                    <a:ln>
                      <a:noFill/>
                    </a:ln>
                  </pic:spPr>
                </pic:pic>
              </a:graphicData>
            </a:graphic>
          </wp:inline>
        </w:drawing>
      </w:r>
      <w:r>
        <w:rPr>
          <w:noProof/>
        </w:rPr>
        <w:lastRenderedPageBreak/>
        <w:drawing>
          <wp:inline distT="0" distB="0" distL="0" distR="0" wp14:anchorId="680EB727" wp14:editId="7473C1EF">
            <wp:extent cx="4417200" cy="4417200"/>
            <wp:effectExtent l="0" t="0" r="254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7200" cy="4417200"/>
                    </a:xfrm>
                    <a:prstGeom prst="rect">
                      <a:avLst/>
                    </a:prstGeom>
                    <a:noFill/>
                    <a:ln>
                      <a:noFill/>
                    </a:ln>
                  </pic:spPr>
                </pic:pic>
              </a:graphicData>
            </a:graphic>
          </wp:inline>
        </w:drawing>
      </w:r>
      <w:r>
        <w:rPr>
          <w:noProof/>
        </w:rPr>
        <w:drawing>
          <wp:inline distT="0" distB="0" distL="0" distR="0" wp14:anchorId="04BC4BA1" wp14:editId="17E3D78D">
            <wp:extent cx="4417200" cy="4417200"/>
            <wp:effectExtent l="0" t="0" r="254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7200" cy="4417200"/>
                    </a:xfrm>
                    <a:prstGeom prst="rect">
                      <a:avLst/>
                    </a:prstGeom>
                    <a:noFill/>
                    <a:ln>
                      <a:noFill/>
                    </a:ln>
                  </pic:spPr>
                </pic:pic>
              </a:graphicData>
            </a:graphic>
          </wp:inline>
        </w:drawing>
      </w:r>
      <w:r w:rsidR="004C1E93">
        <w:rPr>
          <w:noProof/>
        </w:rPr>
        <w:lastRenderedPageBreak/>
        <w:drawing>
          <wp:inline distT="0" distB="0" distL="0" distR="0" wp14:anchorId="65C33AC9" wp14:editId="77749F88">
            <wp:extent cx="4417200" cy="4417200"/>
            <wp:effectExtent l="0" t="0" r="254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7200" cy="4417200"/>
                    </a:xfrm>
                    <a:prstGeom prst="rect">
                      <a:avLst/>
                    </a:prstGeom>
                    <a:noFill/>
                    <a:ln>
                      <a:noFill/>
                    </a:ln>
                  </pic:spPr>
                </pic:pic>
              </a:graphicData>
            </a:graphic>
          </wp:inline>
        </w:drawing>
      </w:r>
      <w:r w:rsidR="004C1E93">
        <w:rPr>
          <w:noProof/>
        </w:rPr>
        <w:drawing>
          <wp:inline distT="0" distB="0" distL="0" distR="0" wp14:anchorId="2EEC26AD" wp14:editId="50190D4E">
            <wp:extent cx="4417200" cy="4417200"/>
            <wp:effectExtent l="0" t="0" r="254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17200" cy="4417200"/>
                    </a:xfrm>
                    <a:prstGeom prst="rect">
                      <a:avLst/>
                    </a:prstGeom>
                    <a:noFill/>
                    <a:ln>
                      <a:noFill/>
                    </a:ln>
                  </pic:spPr>
                </pic:pic>
              </a:graphicData>
            </a:graphic>
          </wp:inline>
        </w:drawing>
      </w:r>
      <w:r w:rsidR="004C1E93">
        <w:rPr>
          <w:noProof/>
        </w:rPr>
        <w:lastRenderedPageBreak/>
        <w:drawing>
          <wp:inline distT="0" distB="0" distL="0" distR="0" wp14:anchorId="16B6120B" wp14:editId="0F865E25">
            <wp:extent cx="4417200" cy="4417200"/>
            <wp:effectExtent l="0" t="0" r="254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17200" cy="4417200"/>
                    </a:xfrm>
                    <a:prstGeom prst="rect">
                      <a:avLst/>
                    </a:prstGeom>
                    <a:noFill/>
                    <a:ln>
                      <a:noFill/>
                    </a:ln>
                  </pic:spPr>
                </pic:pic>
              </a:graphicData>
            </a:graphic>
          </wp:inline>
        </w:drawing>
      </w:r>
      <w:r w:rsidR="004C1E93">
        <w:rPr>
          <w:noProof/>
        </w:rPr>
        <w:drawing>
          <wp:inline distT="0" distB="0" distL="0" distR="0" wp14:anchorId="7B8AA0C1" wp14:editId="30D6733B">
            <wp:extent cx="4417200" cy="4417200"/>
            <wp:effectExtent l="0" t="0" r="254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17200" cy="4417200"/>
                    </a:xfrm>
                    <a:prstGeom prst="rect">
                      <a:avLst/>
                    </a:prstGeom>
                    <a:noFill/>
                    <a:ln>
                      <a:noFill/>
                    </a:ln>
                  </pic:spPr>
                </pic:pic>
              </a:graphicData>
            </a:graphic>
          </wp:inline>
        </w:drawing>
      </w:r>
      <w:r w:rsidR="004C1E93">
        <w:rPr>
          <w:noProof/>
        </w:rPr>
        <w:lastRenderedPageBreak/>
        <w:drawing>
          <wp:inline distT="0" distB="0" distL="0" distR="0" wp14:anchorId="4ED7EF08" wp14:editId="23BB9BC7">
            <wp:extent cx="4417200" cy="4417200"/>
            <wp:effectExtent l="0" t="0" r="254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17200" cy="4417200"/>
                    </a:xfrm>
                    <a:prstGeom prst="rect">
                      <a:avLst/>
                    </a:prstGeom>
                    <a:noFill/>
                    <a:ln>
                      <a:noFill/>
                    </a:ln>
                  </pic:spPr>
                </pic:pic>
              </a:graphicData>
            </a:graphic>
          </wp:inline>
        </w:drawing>
      </w:r>
      <w:r w:rsidR="004C1E93">
        <w:rPr>
          <w:noProof/>
        </w:rPr>
        <w:drawing>
          <wp:inline distT="0" distB="0" distL="0" distR="0" wp14:anchorId="25C75A3D" wp14:editId="6F53F3F0">
            <wp:extent cx="4417200" cy="4417200"/>
            <wp:effectExtent l="0" t="0" r="254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17200" cy="4417200"/>
                    </a:xfrm>
                    <a:prstGeom prst="rect">
                      <a:avLst/>
                    </a:prstGeom>
                    <a:noFill/>
                    <a:ln>
                      <a:noFill/>
                    </a:ln>
                  </pic:spPr>
                </pic:pic>
              </a:graphicData>
            </a:graphic>
          </wp:inline>
        </w:drawing>
      </w:r>
      <w:r w:rsidR="004C1E93">
        <w:rPr>
          <w:noProof/>
        </w:rPr>
        <w:lastRenderedPageBreak/>
        <w:drawing>
          <wp:inline distT="0" distB="0" distL="0" distR="0" wp14:anchorId="536B2AE4" wp14:editId="7D708195">
            <wp:extent cx="4417200" cy="4417200"/>
            <wp:effectExtent l="0" t="0" r="254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7200" cy="4417200"/>
                    </a:xfrm>
                    <a:prstGeom prst="rect">
                      <a:avLst/>
                    </a:prstGeom>
                    <a:noFill/>
                    <a:ln>
                      <a:noFill/>
                    </a:ln>
                  </pic:spPr>
                </pic:pic>
              </a:graphicData>
            </a:graphic>
          </wp:inline>
        </w:drawing>
      </w:r>
      <w:r w:rsidR="004C1E93">
        <w:rPr>
          <w:noProof/>
        </w:rPr>
        <w:drawing>
          <wp:inline distT="0" distB="0" distL="0" distR="0" wp14:anchorId="5864D673" wp14:editId="60282BEF">
            <wp:extent cx="4417200" cy="441720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17200" cy="4417200"/>
                    </a:xfrm>
                    <a:prstGeom prst="rect">
                      <a:avLst/>
                    </a:prstGeom>
                    <a:noFill/>
                    <a:ln>
                      <a:noFill/>
                    </a:ln>
                  </pic:spPr>
                </pic:pic>
              </a:graphicData>
            </a:graphic>
          </wp:inline>
        </w:drawing>
      </w:r>
    </w:p>
    <w:p w14:paraId="089A22C1" w14:textId="0D5BAEA5" w:rsidR="00DC23A8" w:rsidRDefault="001C2877" w:rsidP="00AD297B">
      <w:pPr>
        <w:pStyle w:val="Heading4"/>
      </w:pPr>
      <w:bookmarkStart w:id="13" w:name="_Toc100137179"/>
      <w:r>
        <w:lastRenderedPageBreak/>
        <w:t>Historical trends</w:t>
      </w:r>
      <w:bookmarkEnd w:id="13"/>
    </w:p>
    <w:p w14:paraId="4F87452B" w14:textId="44450F09" w:rsidR="001C2877" w:rsidRDefault="001C2877" w:rsidP="001C2877">
      <w:r>
        <w:t>This appendix presents t</w:t>
      </w:r>
      <w:r w:rsidRPr="001631ED">
        <w:t>he change</w:t>
      </w:r>
      <w:r>
        <w:t>s</w:t>
      </w:r>
      <w:r w:rsidRPr="001631ED">
        <w:t xml:space="preserve"> in the FRL distribution</w:t>
      </w:r>
      <w:r>
        <w:t>s</w:t>
      </w:r>
      <w:r w:rsidRPr="001631ED">
        <w:t xml:space="preserve"> since the beginning of 2012 for </w:t>
      </w:r>
      <w:r>
        <w:t>the MDCT</w:t>
      </w:r>
      <w:r w:rsidRPr="001631ED">
        <w:t xml:space="preserve"> protocols. The</w:t>
      </w:r>
      <w:r>
        <w:t>y</w:t>
      </w:r>
      <w:r w:rsidRPr="001631ED">
        <w:t xml:space="preserve"> have been generated by examining the surveys submitted during a moving 12-month period, where the start and end points of the window have been shifted by daily intervals. The x-axis is the end date of the 12-month interval, the blue line is the median</w:t>
      </w:r>
      <w:r>
        <w:t xml:space="preserve"> (50</w:t>
      </w:r>
      <w:r w:rsidRPr="00925DD2">
        <w:rPr>
          <w:vertAlign w:val="superscript"/>
        </w:rPr>
        <w:t>th</w:t>
      </w:r>
      <w:r>
        <w:t xml:space="preserve"> percentile, P</w:t>
      </w:r>
      <w:r w:rsidRPr="00925DD2">
        <w:rPr>
          <w:vertAlign w:val="subscript"/>
        </w:rPr>
        <w:t>50</w:t>
      </w:r>
      <w:r>
        <w:t>)</w:t>
      </w:r>
      <w:r w:rsidRPr="001631ED">
        <w:t xml:space="preserve"> of the corresponding FRL distribution, the red line denotes the current </w:t>
      </w:r>
      <w:r w:rsidR="00396BF4">
        <w:t xml:space="preserve">national </w:t>
      </w:r>
      <w:proofErr w:type="gramStart"/>
      <w:r w:rsidRPr="001631ED">
        <w:t>DRL</w:t>
      </w:r>
      <w:proofErr w:type="gramEnd"/>
      <w:r w:rsidRPr="001631ED">
        <w:t xml:space="preserve"> and the light blue </w:t>
      </w:r>
      <w:r>
        <w:t xml:space="preserve">shaded </w:t>
      </w:r>
      <w:r w:rsidRPr="001631ED">
        <w:t>region indicates the 25</w:t>
      </w:r>
      <w:r w:rsidRPr="00925DD2">
        <w:rPr>
          <w:vertAlign w:val="superscript"/>
        </w:rPr>
        <w:t>th</w:t>
      </w:r>
      <w:r>
        <w:t>-</w:t>
      </w:r>
      <w:r w:rsidRPr="001631ED">
        <w:t>75</w:t>
      </w:r>
      <w:r w:rsidRPr="00925DD2">
        <w:rPr>
          <w:vertAlign w:val="superscript"/>
        </w:rPr>
        <w:t>th</w:t>
      </w:r>
      <w:r>
        <w:t xml:space="preserve"> </w:t>
      </w:r>
      <w:r w:rsidRPr="001631ED">
        <w:t>percentile</w:t>
      </w:r>
      <w:r>
        <w:t xml:space="preserve"> (P</w:t>
      </w:r>
      <w:r w:rsidRPr="00925DD2">
        <w:rPr>
          <w:vertAlign w:val="subscript"/>
        </w:rPr>
        <w:t>25</w:t>
      </w:r>
      <w:r>
        <w:t xml:space="preserve"> to P</w:t>
      </w:r>
      <w:r w:rsidRPr="00925DD2">
        <w:rPr>
          <w:vertAlign w:val="subscript"/>
        </w:rPr>
        <w:t>75</w:t>
      </w:r>
      <w:r>
        <w:t>)</w:t>
      </w:r>
      <w:r w:rsidRPr="001631ED">
        <w:t xml:space="preserve"> range.</w:t>
      </w:r>
    </w:p>
    <w:p w14:paraId="1147B960" w14:textId="784A2B51" w:rsidR="001C2877" w:rsidRDefault="001C2877" w:rsidP="001C2877">
      <w:r>
        <w:t xml:space="preserve">Surveys for soft-tissue neck, cervical spine and kidney-ureter-bladder scans commenced in </w:t>
      </w:r>
      <w:r w:rsidR="00396BF4">
        <w:t xml:space="preserve">July </w:t>
      </w:r>
      <w:r>
        <w:t>2018.</w:t>
      </w:r>
    </w:p>
    <w:p w14:paraId="34508419" w14:textId="751EEE2C" w:rsidR="00937076" w:rsidRDefault="002932AF" w:rsidP="00D60C31">
      <w:pPr>
        <w:jc w:val="center"/>
      </w:pPr>
      <w:r>
        <w:rPr>
          <w:noProof/>
        </w:rPr>
        <w:lastRenderedPageBreak/>
        <w:drawing>
          <wp:inline distT="0" distB="0" distL="0" distR="0" wp14:anchorId="61BC5563" wp14:editId="7C8E5AD0">
            <wp:extent cx="6044400" cy="439560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44400" cy="4395600"/>
                    </a:xfrm>
                    <a:prstGeom prst="rect">
                      <a:avLst/>
                    </a:prstGeom>
                    <a:noFill/>
                    <a:ln>
                      <a:noFill/>
                    </a:ln>
                  </pic:spPr>
                </pic:pic>
              </a:graphicData>
            </a:graphic>
          </wp:inline>
        </w:drawing>
      </w:r>
      <w:r>
        <w:rPr>
          <w:noProof/>
        </w:rPr>
        <w:drawing>
          <wp:inline distT="0" distB="0" distL="0" distR="0" wp14:anchorId="7AA5B252" wp14:editId="7C3EDF8F">
            <wp:extent cx="6044400" cy="4395600"/>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44400" cy="4395600"/>
                    </a:xfrm>
                    <a:prstGeom prst="rect">
                      <a:avLst/>
                    </a:prstGeom>
                    <a:noFill/>
                    <a:ln>
                      <a:noFill/>
                    </a:ln>
                  </pic:spPr>
                </pic:pic>
              </a:graphicData>
            </a:graphic>
          </wp:inline>
        </w:drawing>
      </w:r>
      <w:r w:rsidR="00130DF1">
        <w:rPr>
          <w:noProof/>
        </w:rPr>
        <w:lastRenderedPageBreak/>
        <w:drawing>
          <wp:inline distT="0" distB="0" distL="0" distR="0" wp14:anchorId="1C72CB93" wp14:editId="33105A4D">
            <wp:extent cx="6044400" cy="4395600"/>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44400" cy="4395600"/>
                    </a:xfrm>
                    <a:prstGeom prst="rect">
                      <a:avLst/>
                    </a:prstGeom>
                    <a:noFill/>
                    <a:ln>
                      <a:noFill/>
                    </a:ln>
                  </pic:spPr>
                </pic:pic>
              </a:graphicData>
            </a:graphic>
          </wp:inline>
        </w:drawing>
      </w:r>
      <w:r w:rsidR="00130DF1">
        <w:rPr>
          <w:noProof/>
        </w:rPr>
        <w:drawing>
          <wp:inline distT="0" distB="0" distL="0" distR="0" wp14:anchorId="0CA29AB4" wp14:editId="15651D28">
            <wp:extent cx="6044400" cy="4395600"/>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44400" cy="4395600"/>
                    </a:xfrm>
                    <a:prstGeom prst="rect">
                      <a:avLst/>
                    </a:prstGeom>
                    <a:noFill/>
                    <a:ln>
                      <a:noFill/>
                    </a:ln>
                  </pic:spPr>
                </pic:pic>
              </a:graphicData>
            </a:graphic>
          </wp:inline>
        </w:drawing>
      </w:r>
      <w:r w:rsidR="00F545E4">
        <w:rPr>
          <w:noProof/>
        </w:rPr>
        <w:lastRenderedPageBreak/>
        <w:drawing>
          <wp:inline distT="0" distB="0" distL="0" distR="0" wp14:anchorId="2B2B1D03" wp14:editId="57933605">
            <wp:extent cx="6044400" cy="4395600"/>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44400" cy="4395600"/>
                    </a:xfrm>
                    <a:prstGeom prst="rect">
                      <a:avLst/>
                    </a:prstGeom>
                    <a:noFill/>
                    <a:ln>
                      <a:noFill/>
                    </a:ln>
                  </pic:spPr>
                </pic:pic>
              </a:graphicData>
            </a:graphic>
          </wp:inline>
        </w:drawing>
      </w:r>
      <w:r w:rsidR="00F545E4">
        <w:rPr>
          <w:noProof/>
        </w:rPr>
        <w:drawing>
          <wp:inline distT="0" distB="0" distL="0" distR="0" wp14:anchorId="70CD9AB6" wp14:editId="458C503B">
            <wp:extent cx="6044400" cy="4395600"/>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44400" cy="4395600"/>
                    </a:xfrm>
                    <a:prstGeom prst="rect">
                      <a:avLst/>
                    </a:prstGeom>
                    <a:noFill/>
                    <a:ln>
                      <a:noFill/>
                    </a:ln>
                  </pic:spPr>
                </pic:pic>
              </a:graphicData>
            </a:graphic>
          </wp:inline>
        </w:drawing>
      </w:r>
      <w:r w:rsidR="00B262A0">
        <w:rPr>
          <w:noProof/>
        </w:rPr>
        <w:lastRenderedPageBreak/>
        <w:drawing>
          <wp:inline distT="0" distB="0" distL="0" distR="0" wp14:anchorId="0D2BFDB5" wp14:editId="12EC531B">
            <wp:extent cx="6044400" cy="4395600"/>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44400" cy="4395600"/>
                    </a:xfrm>
                    <a:prstGeom prst="rect">
                      <a:avLst/>
                    </a:prstGeom>
                    <a:noFill/>
                    <a:ln>
                      <a:noFill/>
                    </a:ln>
                  </pic:spPr>
                </pic:pic>
              </a:graphicData>
            </a:graphic>
          </wp:inline>
        </w:drawing>
      </w:r>
      <w:r w:rsidR="00B262A0">
        <w:rPr>
          <w:noProof/>
        </w:rPr>
        <w:drawing>
          <wp:inline distT="0" distB="0" distL="0" distR="0" wp14:anchorId="2BF4CBF6" wp14:editId="0F3CFEB7">
            <wp:extent cx="6044400" cy="4395600"/>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44400" cy="4395600"/>
                    </a:xfrm>
                    <a:prstGeom prst="rect">
                      <a:avLst/>
                    </a:prstGeom>
                    <a:noFill/>
                    <a:ln>
                      <a:noFill/>
                    </a:ln>
                  </pic:spPr>
                </pic:pic>
              </a:graphicData>
            </a:graphic>
          </wp:inline>
        </w:drawing>
      </w:r>
      <w:r w:rsidR="00B262A0">
        <w:rPr>
          <w:noProof/>
        </w:rPr>
        <w:lastRenderedPageBreak/>
        <w:drawing>
          <wp:inline distT="0" distB="0" distL="0" distR="0" wp14:anchorId="4825F1BD" wp14:editId="3DAB3309">
            <wp:extent cx="6044400" cy="4395600"/>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44400" cy="4395600"/>
                    </a:xfrm>
                    <a:prstGeom prst="rect">
                      <a:avLst/>
                    </a:prstGeom>
                    <a:noFill/>
                    <a:ln>
                      <a:noFill/>
                    </a:ln>
                  </pic:spPr>
                </pic:pic>
              </a:graphicData>
            </a:graphic>
          </wp:inline>
        </w:drawing>
      </w:r>
      <w:r w:rsidR="00B262A0">
        <w:rPr>
          <w:noProof/>
        </w:rPr>
        <w:drawing>
          <wp:inline distT="0" distB="0" distL="0" distR="0" wp14:anchorId="18F653EB" wp14:editId="6BD1B3AA">
            <wp:extent cx="6044400" cy="4395600"/>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44400" cy="4395600"/>
                    </a:xfrm>
                    <a:prstGeom prst="rect">
                      <a:avLst/>
                    </a:prstGeom>
                    <a:noFill/>
                    <a:ln>
                      <a:noFill/>
                    </a:ln>
                  </pic:spPr>
                </pic:pic>
              </a:graphicData>
            </a:graphic>
          </wp:inline>
        </w:drawing>
      </w:r>
      <w:r w:rsidR="00B262A0">
        <w:rPr>
          <w:noProof/>
        </w:rPr>
        <w:lastRenderedPageBreak/>
        <w:drawing>
          <wp:inline distT="0" distB="0" distL="0" distR="0" wp14:anchorId="3FE629D3" wp14:editId="51DFC9C0">
            <wp:extent cx="6044400" cy="4395600"/>
            <wp:effectExtent l="0" t="0" r="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44400" cy="4395600"/>
                    </a:xfrm>
                    <a:prstGeom prst="rect">
                      <a:avLst/>
                    </a:prstGeom>
                    <a:noFill/>
                    <a:ln>
                      <a:noFill/>
                    </a:ln>
                  </pic:spPr>
                </pic:pic>
              </a:graphicData>
            </a:graphic>
          </wp:inline>
        </w:drawing>
      </w:r>
      <w:r w:rsidR="00B262A0">
        <w:rPr>
          <w:noProof/>
        </w:rPr>
        <w:drawing>
          <wp:inline distT="0" distB="0" distL="0" distR="0" wp14:anchorId="79A86AC8" wp14:editId="114BA052">
            <wp:extent cx="6044400" cy="4395600"/>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44400" cy="4395600"/>
                    </a:xfrm>
                    <a:prstGeom prst="rect">
                      <a:avLst/>
                    </a:prstGeom>
                    <a:noFill/>
                    <a:ln>
                      <a:noFill/>
                    </a:ln>
                  </pic:spPr>
                </pic:pic>
              </a:graphicData>
            </a:graphic>
          </wp:inline>
        </w:drawing>
      </w:r>
      <w:r w:rsidR="00B262A0">
        <w:rPr>
          <w:noProof/>
        </w:rPr>
        <w:lastRenderedPageBreak/>
        <w:drawing>
          <wp:inline distT="0" distB="0" distL="0" distR="0" wp14:anchorId="3ADE7B05" wp14:editId="1A429E24">
            <wp:extent cx="6044400" cy="4395600"/>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44400" cy="4395600"/>
                    </a:xfrm>
                    <a:prstGeom prst="rect">
                      <a:avLst/>
                    </a:prstGeom>
                    <a:noFill/>
                    <a:ln>
                      <a:noFill/>
                    </a:ln>
                  </pic:spPr>
                </pic:pic>
              </a:graphicData>
            </a:graphic>
          </wp:inline>
        </w:drawing>
      </w:r>
      <w:r w:rsidR="00B262A0">
        <w:rPr>
          <w:noProof/>
        </w:rPr>
        <w:drawing>
          <wp:inline distT="0" distB="0" distL="0" distR="0" wp14:anchorId="31E98DF6" wp14:editId="08B98E71">
            <wp:extent cx="6044400" cy="4395600"/>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44400" cy="4395600"/>
                    </a:xfrm>
                    <a:prstGeom prst="rect">
                      <a:avLst/>
                    </a:prstGeom>
                    <a:noFill/>
                    <a:ln>
                      <a:noFill/>
                    </a:ln>
                  </pic:spPr>
                </pic:pic>
              </a:graphicData>
            </a:graphic>
          </wp:inline>
        </w:drawing>
      </w:r>
      <w:r w:rsidR="002F4BC6">
        <w:rPr>
          <w:noProof/>
        </w:rPr>
        <w:lastRenderedPageBreak/>
        <w:drawing>
          <wp:inline distT="0" distB="0" distL="0" distR="0" wp14:anchorId="7B499AF8" wp14:editId="39636EFC">
            <wp:extent cx="6044400" cy="4395600"/>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44400" cy="4395600"/>
                    </a:xfrm>
                    <a:prstGeom prst="rect">
                      <a:avLst/>
                    </a:prstGeom>
                    <a:noFill/>
                    <a:ln>
                      <a:noFill/>
                    </a:ln>
                  </pic:spPr>
                </pic:pic>
              </a:graphicData>
            </a:graphic>
          </wp:inline>
        </w:drawing>
      </w:r>
      <w:r w:rsidR="002F4BC6">
        <w:rPr>
          <w:noProof/>
        </w:rPr>
        <w:drawing>
          <wp:inline distT="0" distB="0" distL="0" distR="0" wp14:anchorId="3867C36C" wp14:editId="36A58D51">
            <wp:extent cx="6044400" cy="4395600"/>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44400" cy="4395600"/>
                    </a:xfrm>
                    <a:prstGeom prst="rect">
                      <a:avLst/>
                    </a:prstGeom>
                    <a:noFill/>
                    <a:ln>
                      <a:noFill/>
                    </a:ln>
                  </pic:spPr>
                </pic:pic>
              </a:graphicData>
            </a:graphic>
          </wp:inline>
        </w:drawing>
      </w:r>
    </w:p>
    <w:sectPr w:rsidR="00937076" w:rsidSect="001E2F4E">
      <w:footerReference w:type="default" r:id="rId57"/>
      <w:pgSz w:w="11906" w:h="16838" w:code="9"/>
      <w:pgMar w:top="1134"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A6E6B" w14:textId="77777777" w:rsidR="00E33D08" w:rsidRDefault="00E33D08" w:rsidP="00037687">
      <w:r>
        <w:separator/>
      </w:r>
    </w:p>
  </w:endnote>
  <w:endnote w:type="continuationSeparator" w:id="0">
    <w:p w14:paraId="45CB2F58" w14:textId="77777777" w:rsidR="00E33D08" w:rsidRDefault="00E33D08" w:rsidP="00037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5FB51" w14:textId="0F8477F8" w:rsidR="00D93332" w:rsidRPr="00D93332" w:rsidRDefault="00D93332" w:rsidP="00DC6AEC">
    <w:pPr>
      <w:pStyle w:val="Footer"/>
      <w:tabs>
        <w:tab w:val="clear" w:pos="4513"/>
        <w:tab w:val="clear" w:pos="9026"/>
        <w:tab w:val="center" w:pos="4820"/>
        <w:tab w:val="right" w:pos="9639"/>
      </w:tabs>
      <w:spacing w:before="120" w:line="264" w:lineRule="auto"/>
      <w:rPr>
        <w:sz w:val="18"/>
      </w:rPr>
    </w:pPr>
    <w:r w:rsidRPr="00FF6AB9">
      <w:rPr>
        <w:noProof/>
        <w:sz w:val="18"/>
        <w:lang w:eastAsia="en-AU"/>
      </w:rPr>
      <w:drawing>
        <wp:anchor distT="0" distB="0" distL="114300" distR="114300" simplePos="0" relativeHeight="251665408" behindDoc="0" locked="0" layoutInCell="1" allowOverlap="1" wp14:anchorId="0B8440D9" wp14:editId="6BB88E1D">
          <wp:simplePos x="0" y="0"/>
          <wp:positionH relativeFrom="column">
            <wp:posOffset>0</wp:posOffset>
          </wp:positionH>
          <wp:positionV relativeFrom="paragraph">
            <wp:posOffset>175895</wp:posOffset>
          </wp:positionV>
          <wp:extent cx="6120000" cy="54000"/>
          <wp:effectExtent l="0" t="0" r="0" b="3175"/>
          <wp:wrapTopAndBottom/>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00DC6AEC" w:rsidRPr="00DC6AEC">
      <w:rPr>
        <w:noProof/>
        <w:sz w:val="18"/>
        <w:lang w:eastAsia="en-AU"/>
      </w:rPr>
      <w:t>National Diagnostic Reference Level Service Year in Review 2020</w:t>
    </w:r>
    <w:r w:rsidRPr="00FF6AB9">
      <w:rPr>
        <w:sz w:val="18"/>
      </w:rPr>
      <w:tab/>
    </w:r>
    <w:r>
      <w:rPr>
        <w:sz w:val="18"/>
      </w:rPr>
      <w:tab/>
    </w:r>
    <w:r w:rsidR="005A5E5B" w:rsidRPr="005A5E5B">
      <w:rPr>
        <w:sz w:val="18"/>
      </w:rPr>
      <w:fldChar w:fldCharType="begin"/>
    </w:r>
    <w:r w:rsidR="005A5E5B" w:rsidRPr="005A5E5B">
      <w:rPr>
        <w:sz w:val="18"/>
      </w:rPr>
      <w:instrText xml:space="preserve"> PAGE   \* MERGEFORMAT </w:instrText>
    </w:r>
    <w:r w:rsidR="005A5E5B" w:rsidRPr="005A5E5B">
      <w:rPr>
        <w:sz w:val="18"/>
      </w:rPr>
      <w:fldChar w:fldCharType="separate"/>
    </w:r>
    <w:r w:rsidR="00F8269C">
      <w:rPr>
        <w:noProof/>
        <w:sz w:val="18"/>
      </w:rPr>
      <w:t>ii</w:t>
    </w:r>
    <w:r w:rsidR="005A5E5B" w:rsidRPr="005A5E5B">
      <w:rPr>
        <w:noProof/>
        <w:sz w:val="18"/>
      </w:rPr>
      <w:fldChar w:fldCharType="end"/>
    </w:r>
    <w:r>
      <w:rPr>
        <w:sz w:val="18"/>
      </w:rPr>
      <w:br/>
      <w:t xml:space="preserve">Technical Report </w:t>
    </w:r>
    <w:r w:rsidR="00DC6AEC">
      <w:rPr>
        <w:sz w:val="18"/>
      </w:rPr>
      <w:t>187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18C2B" w14:textId="20024835" w:rsidR="00362AB9" w:rsidRPr="00DC6AEC" w:rsidRDefault="00DC6AEC" w:rsidP="00DC6AEC">
    <w:pPr>
      <w:pStyle w:val="Footer"/>
      <w:tabs>
        <w:tab w:val="clear" w:pos="4513"/>
        <w:tab w:val="clear" w:pos="9026"/>
        <w:tab w:val="center" w:pos="4820"/>
        <w:tab w:val="right" w:pos="9639"/>
      </w:tabs>
      <w:spacing w:before="120" w:line="264" w:lineRule="auto"/>
      <w:rPr>
        <w:sz w:val="18"/>
      </w:rPr>
    </w:pPr>
    <w:r w:rsidRPr="00FF6AB9">
      <w:rPr>
        <w:noProof/>
        <w:sz w:val="18"/>
        <w:lang w:eastAsia="en-AU"/>
      </w:rPr>
      <w:drawing>
        <wp:anchor distT="0" distB="0" distL="114300" distR="114300" simplePos="0" relativeHeight="251724800" behindDoc="0" locked="0" layoutInCell="1" allowOverlap="1" wp14:anchorId="2A2803DD" wp14:editId="5C28F798">
          <wp:simplePos x="0" y="0"/>
          <wp:positionH relativeFrom="column">
            <wp:posOffset>0</wp:posOffset>
          </wp:positionH>
          <wp:positionV relativeFrom="paragraph">
            <wp:posOffset>175895</wp:posOffset>
          </wp:positionV>
          <wp:extent cx="6120000" cy="54000"/>
          <wp:effectExtent l="0" t="0" r="0" b="3175"/>
          <wp:wrapTopAndBottom/>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DC6AEC">
      <w:rPr>
        <w:noProof/>
        <w:sz w:val="18"/>
        <w:lang w:eastAsia="en-AU"/>
      </w:rPr>
      <w:t>National Diagnostic Reference Level Service Year in Review 2020</w:t>
    </w:r>
    <w:r w:rsidRPr="00FF6AB9">
      <w:rPr>
        <w:sz w:val="18"/>
      </w:rPr>
      <w:tab/>
    </w:r>
    <w:r>
      <w:rPr>
        <w:sz w:val="18"/>
      </w:rPr>
      <w:tab/>
    </w:r>
    <w:r w:rsidRPr="005A5E5B">
      <w:rPr>
        <w:sz w:val="18"/>
      </w:rPr>
      <w:fldChar w:fldCharType="begin"/>
    </w:r>
    <w:r w:rsidRPr="005A5E5B">
      <w:rPr>
        <w:sz w:val="18"/>
      </w:rPr>
      <w:instrText xml:space="preserve"> PAGE   \* MERGEFORMAT </w:instrText>
    </w:r>
    <w:r w:rsidRPr="005A5E5B">
      <w:rPr>
        <w:sz w:val="18"/>
      </w:rPr>
      <w:fldChar w:fldCharType="separate"/>
    </w:r>
    <w:r>
      <w:rPr>
        <w:sz w:val="18"/>
      </w:rPr>
      <w:t>ii</w:t>
    </w:r>
    <w:r w:rsidRPr="005A5E5B">
      <w:rPr>
        <w:noProof/>
        <w:sz w:val="18"/>
      </w:rPr>
      <w:fldChar w:fldCharType="end"/>
    </w:r>
    <w:r>
      <w:rPr>
        <w:sz w:val="18"/>
      </w:rPr>
      <w:br/>
      <w:t>Technical Report 187</w:t>
    </w:r>
    <w:r w:rsidR="00362AB9" w:rsidRPr="00FF6AB9">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C9662" w14:textId="77777777" w:rsidR="00777F4A" w:rsidRPr="00D93332" w:rsidRDefault="00777F4A" w:rsidP="00DC6AEC">
    <w:pPr>
      <w:pStyle w:val="Footer"/>
      <w:tabs>
        <w:tab w:val="clear" w:pos="4513"/>
        <w:tab w:val="clear" w:pos="9026"/>
        <w:tab w:val="center" w:pos="4820"/>
        <w:tab w:val="right" w:pos="9639"/>
      </w:tabs>
      <w:spacing w:before="120" w:line="264" w:lineRule="auto"/>
      <w:rPr>
        <w:sz w:val="18"/>
      </w:rPr>
    </w:pPr>
    <w:r w:rsidRPr="00FF6AB9">
      <w:rPr>
        <w:noProof/>
        <w:sz w:val="18"/>
        <w:lang w:eastAsia="en-AU"/>
      </w:rPr>
      <w:drawing>
        <wp:anchor distT="0" distB="0" distL="114300" distR="114300" simplePos="0" relativeHeight="251728896" behindDoc="0" locked="0" layoutInCell="1" allowOverlap="1" wp14:anchorId="3DB1F310" wp14:editId="6EC66EE6">
          <wp:simplePos x="0" y="0"/>
          <wp:positionH relativeFrom="column">
            <wp:posOffset>0</wp:posOffset>
          </wp:positionH>
          <wp:positionV relativeFrom="paragraph">
            <wp:posOffset>175895</wp:posOffset>
          </wp:positionV>
          <wp:extent cx="6120000" cy="54000"/>
          <wp:effectExtent l="0" t="0" r="0" b="3175"/>
          <wp:wrapTopAndBottom/>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DC6AEC">
      <w:rPr>
        <w:noProof/>
        <w:sz w:val="18"/>
        <w:lang w:eastAsia="en-AU"/>
      </w:rPr>
      <w:t>National Diagnostic Reference Level Service Year in Review 2020</w:t>
    </w:r>
    <w:r w:rsidRPr="00FF6AB9">
      <w:rPr>
        <w:sz w:val="18"/>
      </w:rPr>
      <w:tab/>
    </w:r>
    <w:r>
      <w:rPr>
        <w:sz w:val="18"/>
      </w:rPr>
      <w:tab/>
    </w:r>
    <w:r w:rsidRPr="005A5E5B">
      <w:rPr>
        <w:sz w:val="18"/>
      </w:rPr>
      <w:fldChar w:fldCharType="begin"/>
    </w:r>
    <w:r w:rsidRPr="005A5E5B">
      <w:rPr>
        <w:sz w:val="18"/>
      </w:rPr>
      <w:instrText xml:space="preserve"> PAGE   \* MERGEFORMAT </w:instrText>
    </w:r>
    <w:r w:rsidRPr="005A5E5B">
      <w:rPr>
        <w:sz w:val="18"/>
      </w:rPr>
      <w:fldChar w:fldCharType="separate"/>
    </w:r>
    <w:r>
      <w:rPr>
        <w:noProof/>
        <w:sz w:val="18"/>
      </w:rPr>
      <w:t>ii</w:t>
    </w:r>
    <w:r w:rsidRPr="005A5E5B">
      <w:rPr>
        <w:noProof/>
        <w:sz w:val="18"/>
      </w:rPr>
      <w:fldChar w:fldCharType="end"/>
    </w:r>
    <w:r>
      <w:rPr>
        <w:sz w:val="18"/>
      </w:rPr>
      <w:br/>
      <w:t>Technical Report 187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86AB9" w14:textId="77777777" w:rsidR="00777F4A" w:rsidRPr="00DC6AEC" w:rsidRDefault="00777F4A" w:rsidP="00DC6AEC">
    <w:pPr>
      <w:pStyle w:val="Footer"/>
      <w:tabs>
        <w:tab w:val="clear" w:pos="4513"/>
        <w:tab w:val="clear" w:pos="9026"/>
        <w:tab w:val="center" w:pos="4820"/>
        <w:tab w:val="right" w:pos="9639"/>
      </w:tabs>
      <w:spacing w:before="120" w:line="264" w:lineRule="auto"/>
      <w:rPr>
        <w:sz w:val="18"/>
      </w:rPr>
    </w:pPr>
    <w:r w:rsidRPr="00FF6AB9">
      <w:rPr>
        <w:noProof/>
        <w:sz w:val="18"/>
        <w:lang w:eastAsia="en-AU"/>
      </w:rPr>
      <w:drawing>
        <wp:anchor distT="0" distB="0" distL="114300" distR="114300" simplePos="0" relativeHeight="251726848" behindDoc="0" locked="0" layoutInCell="1" allowOverlap="1" wp14:anchorId="22B2EE33" wp14:editId="4568D216">
          <wp:simplePos x="0" y="0"/>
          <wp:positionH relativeFrom="column">
            <wp:posOffset>0</wp:posOffset>
          </wp:positionH>
          <wp:positionV relativeFrom="paragraph">
            <wp:posOffset>175895</wp:posOffset>
          </wp:positionV>
          <wp:extent cx="6120000" cy="54000"/>
          <wp:effectExtent l="0" t="0" r="0" b="3175"/>
          <wp:wrapTopAndBottom/>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DC6AEC">
      <w:rPr>
        <w:noProof/>
        <w:sz w:val="18"/>
        <w:lang w:eastAsia="en-AU"/>
      </w:rPr>
      <w:t>National Diagnostic Reference Level Service Year in Review 2020</w:t>
    </w:r>
    <w:r w:rsidRPr="00FF6AB9">
      <w:rPr>
        <w:sz w:val="18"/>
      </w:rPr>
      <w:tab/>
    </w:r>
    <w:r>
      <w:rPr>
        <w:sz w:val="18"/>
      </w:rPr>
      <w:tab/>
    </w:r>
    <w:r w:rsidRPr="005A5E5B">
      <w:rPr>
        <w:sz w:val="18"/>
      </w:rPr>
      <w:fldChar w:fldCharType="begin"/>
    </w:r>
    <w:r w:rsidRPr="005A5E5B">
      <w:rPr>
        <w:sz w:val="18"/>
      </w:rPr>
      <w:instrText xml:space="preserve"> PAGE   \* MERGEFORMAT </w:instrText>
    </w:r>
    <w:r w:rsidRPr="005A5E5B">
      <w:rPr>
        <w:sz w:val="18"/>
      </w:rPr>
      <w:fldChar w:fldCharType="separate"/>
    </w:r>
    <w:r>
      <w:rPr>
        <w:sz w:val="18"/>
      </w:rPr>
      <w:t>ii</w:t>
    </w:r>
    <w:r w:rsidRPr="005A5E5B">
      <w:rPr>
        <w:noProof/>
        <w:sz w:val="18"/>
      </w:rPr>
      <w:fldChar w:fldCharType="end"/>
    </w:r>
    <w:r>
      <w:rPr>
        <w:sz w:val="18"/>
      </w:rPr>
      <w:br/>
      <w:t>Technical Report 187</w:t>
    </w:r>
    <w:r w:rsidRPr="00FF6AB9">
      <w:rPr>
        <w:sz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03244" w14:textId="3A1666F5" w:rsidR="001E2F4E" w:rsidRPr="00D93332" w:rsidRDefault="001E2F4E" w:rsidP="002242C6">
    <w:pPr>
      <w:pStyle w:val="Footer"/>
      <w:tabs>
        <w:tab w:val="clear" w:pos="4513"/>
        <w:tab w:val="clear" w:pos="9026"/>
        <w:tab w:val="center" w:pos="4820"/>
        <w:tab w:val="right" w:pos="9639"/>
      </w:tabs>
      <w:spacing w:before="120" w:line="264" w:lineRule="auto"/>
      <w:rPr>
        <w:sz w:val="18"/>
      </w:rPr>
    </w:pPr>
    <w:r w:rsidRPr="00FF6AB9">
      <w:rPr>
        <w:noProof/>
        <w:sz w:val="18"/>
        <w:lang w:eastAsia="en-AU"/>
      </w:rPr>
      <w:drawing>
        <wp:anchor distT="0" distB="0" distL="114300" distR="114300" simplePos="0" relativeHeight="251722752" behindDoc="0" locked="0" layoutInCell="1" allowOverlap="1" wp14:anchorId="57D7959B" wp14:editId="049336CD">
          <wp:simplePos x="0" y="0"/>
          <wp:positionH relativeFrom="column">
            <wp:posOffset>0</wp:posOffset>
          </wp:positionH>
          <wp:positionV relativeFrom="paragraph">
            <wp:posOffset>175895</wp:posOffset>
          </wp:positionV>
          <wp:extent cx="6120000" cy="54000"/>
          <wp:effectExtent l="0" t="0" r="0" b="3175"/>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00BE0F70">
      <w:rPr>
        <w:sz w:val="18"/>
      </w:rPr>
      <w:t>National Diagnostic Reference Level Service Year in Review 2020</w:t>
    </w:r>
    <w:r w:rsidRPr="00FF6AB9">
      <w:rPr>
        <w:sz w:val="18"/>
      </w:rPr>
      <w:tab/>
    </w:r>
    <w:r>
      <w:rPr>
        <w:sz w:val="18"/>
      </w:rPr>
      <w:tab/>
    </w:r>
    <w:r w:rsidR="005A5E5B">
      <w:rPr>
        <w:sz w:val="18"/>
      </w:rPr>
      <w:fldChar w:fldCharType="begin"/>
    </w:r>
    <w:r w:rsidR="005A5E5B">
      <w:rPr>
        <w:sz w:val="18"/>
      </w:rPr>
      <w:instrText xml:space="preserve"> PAGE   \* MERGEFORMAT </w:instrText>
    </w:r>
    <w:r w:rsidR="005A5E5B">
      <w:rPr>
        <w:sz w:val="18"/>
      </w:rPr>
      <w:fldChar w:fldCharType="separate"/>
    </w:r>
    <w:r w:rsidR="00F8269C">
      <w:rPr>
        <w:noProof/>
        <w:sz w:val="18"/>
      </w:rPr>
      <w:t>2</w:t>
    </w:r>
    <w:r w:rsidR="005A5E5B">
      <w:rPr>
        <w:sz w:val="18"/>
      </w:rPr>
      <w:fldChar w:fldCharType="end"/>
    </w:r>
    <w:r>
      <w:rPr>
        <w:sz w:val="18"/>
      </w:rPr>
      <w:br/>
      <w:t xml:space="preserve">Technical Report </w:t>
    </w:r>
    <w:r w:rsidR="002242C6">
      <w:rPr>
        <w:sz w:val="18"/>
      </w:rPr>
      <w:t>187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F685E" w14:textId="77777777" w:rsidR="00E33D08" w:rsidRDefault="00E33D08" w:rsidP="00037687">
      <w:r>
        <w:separator/>
      </w:r>
    </w:p>
  </w:footnote>
  <w:footnote w:type="continuationSeparator" w:id="0">
    <w:p w14:paraId="33D59098" w14:textId="77777777" w:rsidR="00E33D08" w:rsidRDefault="00E33D08" w:rsidP="00037687">
      <w:r>
        <w:continuationSeparator/>
      </w:r>
    </w:p>
  </w:footnote>
  <w:footnote w:id="1">
    <w:p w14:paraId="076DB530" w14:textId="5AEF83C6" w:rsidR="00C5735F" w:rsidRDefault="00C5735F">
      <w:pPr>
        <w:pStyle w:val="FootnoteText"/>
      </w:pPr>
      <w:r>
        <w:rPr>
          <w:rStyle w:val="FootnoteReference"/>
        </w:rPr>
        <w:footnoteRef/>
      </w:r>
      <w:r>
        <w:t xml:space="preserve"> Australian Radiation Protection and Nuclear Safety Act </w:t>
      </w:r>
      <w:hyperlink r:id="rId1" w:history="1">
        <w:r w:rsidRPr="00615814">
          <w:rPr>
            <w:rStyle w:val="Hyperlink"/>
          </w:rPr>
          <w:t>https://www.legislation.gov.au/Details/C2016C00977</w:t>
        </w:r>
      </w:hyperlink>
    </w:p>
  </w:footnote>
  <w:footnote w:id="2">
    <w:p w14:paraId="6D1CEB5E" w14:textId="02CB846D" w:rsidR="00C5735F" w:rsidRDefault="00C5735F">
      <w:pPr>
        <w:pStyle w:val="FootnoteText"/>
      </w:pPr>
      <w:r>
        <w:rPr>
          <w:rStyle w:val="FootnoteReference"/>
        </w:rPr>
        <w:footnoteRef/>
      </w:r>
      <w:r>
        <w:t xml:space="preserve"> IGIP data is collected on an annual basis whereas nuclear medicine has been collected sporadically. For information on the nuclear medicine DRL program please see ARPANSA technical report TR 180 (</w:t>
      </w:r>
      <w:hyperlink r:id="rId2" w:history="1">
        <w:r w:rsidRPr="00BA3403">
          <w:rPr>
            <w:rStyle w:val="Hyperlink"/>
          </w:rPr>
          <w:t>https://www.arpansa.gov.au/sites/default/files/tr180.pdf</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F5B88" w14:textId="77777777" w:rsidR="00777F4A" w:rsidRDefault="00777F4A">
    <w:pPr>
      <w:pStyle w:val="Header"/>
    </w:pPr>
  </w:p>
  <w:p w14:paraId="030A66D2" w14:textId="1A6E9463" w:rsidR="00777F4A" w:rsidRDefault="00777F4A">
    <w:pPr>
      <w:pStyle w:val="Header"/>
    </w:pPr>
    <w:r>
      <w:rPr>
        <w:noProof/>
        <w:lang w:eastAsia="en-AU"/>
      </w:rPr>
      <w:drawing>
        <wp:inline distT="0" distB="0" distL="0" distR="0" wp14:anchorId="1EA52204" wp14:editId="3E76F5FB">
          <wp:extent cx="6120130" cy="7315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mbined NEW-MAR17.jpg"/>
                  <pic:cNvPicPr/>
                </pic:nvPicPr>
                <pic:blipFill>
                  <a:blip r:embed="rId1">
                    <a:extLst>
                      <a:ext uri="{28A0092B-C50C-407E-A947-70E740481C1C}">
                        <a14:useLocalDpi xmlns:a14="http://schemas.microsoft.com/office/drawing/2010/main" val="0"/>
                      </a:ext>
                    </a:extLst>
                  </a:blip>
                  <a:stretch>
                    <a:fillRect/>
                  </a:stretch>
                </pic:blipFill>
                <pic:spPr>
                  <a:xfrm>
                    <a:off x="0" y="0"/>
                    <a:ext cx="6120130" cy="731520"/>
                  </a:xfrm>
                  <a:prstGeom prst="rect">
                    <a:avLst/>
                  </a:prstGeom>
                </pic:spPr>
              </pic:pic>
            </a:graphicData>
          </a:graphic>
        </wp:inline>
      </w:drawing>
    </w:r>
  </w:p>
  <w:p w14:paraId="354A0BD9" w14:textId="164BE467" w:rsidR="00777F4A" w:rsidRDefault="00777F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60064" w14:textId="47946C41" w:rsidR="00D93332" w:rsidRPr="00D93332" w:rsidRDefault="00D93332" w:rsidP="00D93332">
    <w:pPr>
      <w:pStyle w:val="Header"/>
    </w:pPr>
    <w:r>
      <w:rPr>
        <w:noProof/>
        <w:lang w:eastAsia="en-AU"/>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127F4" w14:textId="77777777" w:rsidR="00777F4A" w:rsidRDefault="00777F4A">
    <w:pPr>
      <w:pStyle w:val="Header"/>
    </w:pPr>
  </w:p>
  <w:p w14:paraId="7F36B878" w14:textId="77777777" w:rsidR="00777F4A" w:rsidRDefault="00777F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D416C" w14:textId="77777777" w:rsidR="00777F4A" w:rsidRPr="00D93332" w:rsidRDefault="00777F4A" w:rsidP="00D93332">
    <w:pPr>
      <w:pStyle w:val="Header"/>
    </w:pPr>
    <w:r>
      <w:rPr>
        <w:noProof/>
        <w:lang w:eastAsia="en-AU"/>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E6CF3"/>
    <w:multiLevelType w:val="hybridMultilevel"/>
    <w:tmpl w:val="D372373E"/>
    <w:lvl w:ilvl="0" w:tplc="D16808AE">
      <w:start w:val="1"/>
      <w:numFmt w:val="bullet"/>
      <w:lvlText w:val="–"/>
      <w:lvlJc w:val="left"/>
      <w:pPr>
        <w:ind w:left="851" w:hanging="284"/>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7D7ABD"/>
    <w:multiLevelType w:val="multilevel"/>
    <w:tmpl w:val="06F646AE"/>
    <w:lvl w:ilvl="0">
      <w:numFmt w:val="bullet"/>
      <w:lvlText w:val="•"/>
      <w:lvlJc w:val="left"/>
      <w:pPr>
        <w:ind w:left="454" w:hanging="454"/>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BC10AA7"/>
    <w:multiLevelType w:val="hybridMultilevel"/>
    <w:tmpl w:val="D4FE9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BB6CA4"/>
    <w:multiLevelType w:val="hybridMultilevel"/>
    <w:tmpl w:val="43D22C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2AE291F"/>
    <w:multiLevelType w:val="hybridMultilevel"/>
    <w:tmpl w:val="A6C44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EA6E5A"/>
    <w:multiLevelType w:val="multilevel"/>
    <w:tmpl w:val="5B8A12AC"/>
    <w:lvl w:ilvl="0">
      <w:start w:val="1"/>
      <w:numFmt w:val="bullet"/>
      <w:lvlText w:val=""/>
      <w:lvlJc w:val="left"/>
      <w:pPr>
        <w:ind w:left="397" w:hanging="397"/>
      </w:pPr>
      <w:rPr>
        <w:rFonts w:ascii="Symbol" w:hAnsi="Symbol" w:hint="default"/>
      </w:rPr>
    </w:lvl>
    <w:lvl w:ilvl="1">
      <w:start w:val="1"/>
      <w:numFmt w:val="bullet"/>
      <w:lvlText w:val="–"/>
      <w:lvlJc w:val="left"/>
      <w:pPr>
        <w:ind w:left="397" w:firstLine="0"/>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6" w15:restartNumberingAfterBreak="0">
    <w:nsid w:val="38763989"/>
    <w:multiLevelType w:val="hybridMultilevel"/>
    <w:tmpl w:val="016CE1F4"/>
    <w:lvl w:ilvl="0" w:tplc="DFB81DB4">
      <w:start w:val="1"/>
      <w:numFmt w:val="bullet"/>
      <w:pStyle w:val="ListParagraph"/>
      <w:lvlText w:val=""/>
      <w:lvlJc w:val="left"/>
      <w:pPr>
        <w:ind w:left="360" w:hanging="360"/>
      </w:pPr>
      <w:rPr>
        <w:rFonts w:ascii="Symbol" w:hAnsi="Symbol" w:hint="default"/>
      </w:rPr>
    </w:lvl>
    <w:lvl w:ilvl="1" w:tplc="D16808AE">
      <w:start w:val="1"/>
      <w:numFmt w:val="bullet"/>
      <w:lvlText w:val="–"/>
      <w:lvlJc w:val="left"/>
      <w:pPr>
        <w:ind w:left="851" w:hanging="284"/>
      </w:pPr>
      <w:rPr>
        <w:rFonts w:ascii="Times New Roman" w:hAnsi="Times New Roman"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8F55488"/>
    <w:multiLevelType w:val="hybridMultilevel"/>
    <w:tmpl w:val="8C425E06"/>
    <w:lvl w:ilvl="0" w:tplc="E9282266">
      <w:start w:val="1"/>
      <w:numFmt w:val="bullet"/>
      <w:lvlText w:val=""/>
      <w:lvlJc w:val="left"/>
      <w:pPr>
        <w:ind w:left="360" w:hanging="360"/>
      </w:pPr>
      <w:rPr>
        <w:rFonts w:ascii="Symbol" w:hAnsi="Symbol" w:hint="default"/>
      </w:rPr>
    </w:lvl>
    <w:lvl w:ilvl="1" w:tplc="DB783390">
      <w:start w:val="1"/>
      <w:numFmt w:val="bullet"/>
      <w:lvlText w:val="o"/>
      <w:lvlJc w:val="left"/>
      <w:pPr>
        <w:ind w:left="851" w:hanging="284"/>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A713109"/>
    <w:multiLevelType w:val="hybridMultilevel"/>
    <w:tmpl w:val="1BFE4A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8C56B5A"/>
    <w:multiLevelType w:val="hybridMultilevel"/>
    <w:tmpl w:val="6E706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191928"/>
    <w:multiLevelType w:val="multilevel"/>
    <w:tmpl w:val="7E1096F8"/>
    <w:lvl w:ilvl="0">
      <w:start w:val="1"/>
      <w:numFmt w:val="decimal"/>
      <w:pStyle w:val="Heading1"/>
      <w:lvlText w:val="%1."/>
      <w:lvlJc w:val="left"/>
      <w:pPr>
        <w:ind w:left="680" w:hanging="680"/>
      </w:pPr>
      <w:rPr>
        <w:rFonts w:hint="default"/>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680" w:hanging="680"/>
      </w:pPr>
      <w:rPr>
        <w:rFonts w:hint="default"/>
      </w:rPr>
    </w:lvl>
    <w:lvl w:ilvl="3">
      <w:start w:val="1"/>
      <w:numFmt w:val="decimal"/>
      <w:pStyle w:val="Heading4"/>
      <w:lvlText w:val="Appendix %4:"/>
      <w:lvlJc w:val="left"/>
      <w:pPr>
        <w:tabs>
          <w:tab w:val="num" w:pos="1701"/>
        </w:tabs>
        <w:ind w:left="1701" w:hanging="170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C2F7925"/>
    <w:multiLevelType w:val="multilevel"/>
    <w:tmpl w:val="50FE947C"/>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12" w15:restartNumberingAfterBreak="0">
    <w:nsid w:val="4D53370F"/>
    <w:multiLevelType w:val="multilevel"/>
    <w:tmpl w:val="50FE947C"/>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13" w15:restartNumberingAfterBreak="0">
    <w:nsid w:val="559D40BD"/>
    <w:multiLevelType w:val="multilevel"/>
    <w:tmpl w:val="E8B4BE72"/>
    <w:styleLink w:val="List0"/>
    <w:lvl w:ilvl="0">
      <w:start w:val="1"/>
      <w:numFmt w:val="decimal"/>
      <w:lvlText w:val="%1."/>
      <w:lvlJc w:val="left"/>
      <w:pPr>
        <w:tabs>
          <w:tab w:val="num" w:pos="692"/>
        </w:tabs>
        <w:ind w:left="692" w:hanging="332"/>
      </w:pPr>
      <w:rPr>
        <w:rFonts w:ascii="Cambria" w:eastAsia="Times New Roman" w:hAnsi="Cambria" w:cs="Cambria"/>
        <w:position w:val="0"/>
        <w:sz w:val="28"/>
        <w:szCs w:val="28"/>
      </w:rPr>
    </w:lvl>
    <w:lvl w:ilvl="1">
      <w:start w:val="1"/>
      <w:numFmt w:val="lowerLetter"/>
      <w:lvlText w:val="%2."/>
      <w:lvlJc w:val="left"/>
      <w:pPr>
        <w:tabs>
          <w:tab w:val="num" w:pos="1440"/>
        </w:tabs>
        <w:ind w:left="1440" w:hanging="360"/>
      </w:pPr>
      <w:rPr>
        <w:rFonts w:ascii="Cambria" w:eastAsia="Times New Roman" w:hAnsi="Cambria" w:cs="Cambria"/>
        <w:position w:val="0"/>
        <w:sz w:val="24"/>
        <w:szCs w:val="24"/>
      </w:rPr>
    </w:lvl>
    <w:lvl w:ilvl="2">
      <w:start w:val="1"/>
      <w:numFmt w:val="lowerRoman"/>
      <w:lvlText w:val="%3."/>
      <w:lvlJc w:val="left"/>
      <w:pPr>
        <w:tabs>
          <w:tab w:val="num" w:pos="2160"/>
        </w:tabs>
        <w:ind w:left="2160" w:hanging="296"/>
      </w:pPr>
      <w:rPr>
        <w:rFonts w:ascii="Cambria" w:eastAsia="Times New Roman" w:hAnsi="Cambria" w:cs="Cambria"/>
        <w:position w:val="0"/>
        <w:sz w:val="24"/>
        <w:szCs w:val="24"/>
      </w:rPr>
    </w:lvl>
    <w:lvl w:ilvl="3">
      <w:start w:val="1"/>
      <w:numFmt w:val="decimal"/>
      <w:lvlText w:val="%4."/>
      <w:lvlJc w:val="left"/>
      <w:pPr>
        <w:tabs>
          <w:tab w:val="num" w:pos="2880"/>
        </w:tabs>
        <w:ind w:left="2880" w:hanging="360"/>
      </w:pPr>
      <w:rPr>
        <w:rFonts w:ascii="Cambria" w:eastAsia="Times New Roman" w:hAnsi="Cambria" w:cs="Cambria"/>
        <w:position w:val="0"/>
        <w:sz w:val="24"/>
        <w:szCs w:val="24"/>
      </w:rPr>
    </w:lvl>
    <w:lvl w:ilvl="4">
      <w:start w:val="1"/>
      <w:numFmt w:val="lowerLetter"/>
      <w:lvlText w:val="%5."/>
      <w:lvlJc w:val="left"/>
      <w:pPr>
        <w:tabs>
          <w:tab w:val="num" w:pos="3600"/>
        </w:tabs>
        <w:ind w:left="3600" w:hanging="360"/>
      </w:pPr>
      <w:rPr>
        <w:rFonts w:ascii="Cambria" w:eastAsia="Times New Roman" w:hAnsi="Cambria" w:cs="Cambria"/>
        <w:position w:val="0"/>
        <w:sz w:val="24"/>
        <w:szCs w:val="24"/>
      </w:rPr>
    </w:lvl>
    <w:lvl w:ilvl="5">
      <w:start w:val="1"/>
      <w:numFmt w:val="lowerRoman"/>
      <w:lvlText w:val="%6."/>
      <w:lvlJc w:val="left"/>
      <w:pPr>
        <w:tabs>
          <w:tab w:val="num" w:pos="4320"/>
        </w:tabs>
        <w:ind w:left="4320" w:hanging="296"/>
      </w:pPr>
      <w:rPr>
        <w:rFonts w:ascii="Cambria" w:eastAsia="Times New Roman" w:hAnsi="Cambria" w:cs="Cambria"/>
        <w:position w:val="0"/>
        <w:sz w:val="24"/>
        <w:szCs w:val="24"/>
      </w:rPr>
    </w:lvl>
    <w:lvl w:ilvl="6">
      <w:start w:val="1"/>
      <w:numFmt w:val="decimal"/>
      <w:lvlText w:val="%7."/>
      <w:lvlJc w:val="left"/>
      <w:pPr>
        <w:tabs>
          <w:tab w:val="num" w:pos="5040"/>
        </w:tabs>
        <w:ind w:left="5040" w:hanging="360"/>
      </w:pPr>
      <w:rPr>
        <w:rFonts w:ascii="Cambria" w:eastAsia="Times New Roman" w:hAnsi="Cambria" w:cs="Cambria"/>
        <w:position w:val="0"/>
        <w:sz w:val="24"/>
        <w:szCs w:val="24"/>
      </w:rPr>
    </w:lvl>
    <w:lvl w:ilvl="7">
      <w:start w:val="1"/>
      <w:numFmt w:val="lowerLetter"/>
      <w:lvlText w:val="%8."/>
      <w:lvlJc w:val="left"/>
      <w:pPr>
        <w:tabs>
          <w:tab w:val="num" w:pos="5760"/>
        </w:tabs>
        <w:ind w:left="5760" w:hanging="360"/>
      </w:pPr>
      <w:rPr>
        <w:rFonts w:ascii="Cambria" w:eastAsia="Times New Roman" w:hAnsi="Cambria" w:cs="Cambria"/>
        <w:position w:val="0"/>
        <w:sz w:val="24"/>
        <w:szCs w:val="24"/>
      </w:rPr>
    </w:lvl>
    <w:lvl w:ilvl="8">
      <w:start w:val="1"/>
      <w:numFmt w:val="lowerRoman"/>
      <w:lvlText w:val="%9."/>
      <w:lvlJc w:val="left"/>
      <w:pPr>
        <w:tabs>
          <w:tab w:val="num" w:pos="6480"/>
        </w:tabs>
        <w:ind w:left="6480" w:hanging="296"/>
      </w:pPr>
      <w:rPr>
        <w:rFonts w:ascii="Cambria" w:eastAsia="Times New Roman" w:hAnsi="Cambria" w:cs="Cambria"/>
        <w:position w:val="0"/>
        <w:sz w:val="24"/>
        <w:szCs w:val="24"/>
      </w:rPr>
    </w:lvl>
  </w:abstractNum>
  <w:abstractNum w:abstractNumId="14" w15:restartNumberingAfterBreak="0">
    <w:nsid w:val="70511DA4"/>
    <w:multiLevelType w:val="multilevel"/>
    <w:tmpl w:val="50FE947C"/>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15" w15:restartNumberingAfterBreak="0">
    <w:nsid w:val="747C1BC3"/>
    <w:multiLevelType w:val="hybridMultilevel"/>
    <w:tmpl w:val="645A3CB4"/>
    <w:lvl w:ilvl="0" w:tplc="23025DF8">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6D6374B"/>
    <w:multiLevelType w:val="hybridMultilevel"/>
    <w:tmpl w:val="5F443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9"/>
  </w:num>
  <w:num w:numId="4">
    <w:abstractNumId w:val="6"/>
  </w:num>
  <w:num w:numId="5">
    <w:abstractNumId w:val="8"/>
  </w:num>
  <w:num w:numId="6">
    <w:abstractNumId w:val="13"/>
    <w:lvlOverride w:ilvl="0">
      <w:lvl w:ilvl="0">
        <w:start w:val="1"/>
        <w:numFmt w:val="decimal"/>
        <w:lvlText w:val="%1."/>
        <w:lvlJc w:val="left"/>
        <w:pPr>
          <w:tabs>
            <w:tab w:val="num" w:pos="692"/>
          </w:tabs>
          <w:ind w:left="692" w:hanging="332"/>
        </w:pPr>
        <w:rPr>
          <w:rFonts w:ascii="Cambria" w:eastAsia="Times New Roman" w:hAnsi="Cambria" w:cs="Cambria"/>
          <w:position w:val="0"/>
          <w:sz w:val="26"/>
          <w:szCs w:val="26"/>
        </w:rPr>
      </w:lvl>
    </w:lvlOverride>
    <w:lvlOverride w:ilvl="1">
      <w:lvl w:ilvl="1">
        <w:start w:val="1"/>
        <w:numFmt w:val="lowerLetter"/>
        <w:lvlText w:val="%2."/>
        <w:lvlJc w:val="left"/>
        <w:pPr>
          <w:tabs>
            <w:tab w:val="num" w:pos="1440"/>
          </w:tabs>
          <w:ind w:left="1440" w:hanging="360"/>
        </w:pPr>
        <w:rPr>
          <w:rFonts w:ascii="Cambria" w:eastAsia="Times New Roman" w:hAnsi="Cambria" w:cs="Cambria"/>
          <w:position w:val="0"/>
          <w:sz w:val="24"/>
          <w:szCs w:val="24"/>
        </w:rPr>
      </w:lvl>
    </w:lvlOverride>
    <w:lvlOverride w:ilvl="2">
      <w:lvl w:ilvl="2">
        <w:start w:val="1"/>
        <w:numFmt w:val="lowerRoman"/>
        <w:lvlText w:val="%3."/>
        <w:lvlJc w:val="left"/>
        <w:pPr>
          <w:tabs>
            <w:tab w:val="num" w:pos="2160"/>
          </w:tabs>
          <w:ind w:left="2160" w:hanging="296"/>
        </w:pPr>
        <w:rPr>
          <w:rFonts w:ascii="Cambria" w:eastAsia="Times New Roman" w:hAnsi="Cambria" w:cs="Cambria"/>
          <w:position w:val="0"/>
          <w:sz w:val="24"/>
          <w:szCs w:val="24"/>
        </w:rPr>
      </w:lvl>
    </w:lvlOverride>
    <w:lvlOverride w:ilvl="3">
      <w:lvl w:ilvl="3">
        <w:start w:val="1"/>
        <w:numFmt w:val="decimal"/>
        <w:lvlText w:val="%4."/>
        <w:lvlJc w:val="left"/>
        <w:pPr>
          <w:tabs>
            <w:tab w:val="num" w:pos="2880"/>
          </w:tabs>
          <w:ind w:left="2880" w:hanging="360"/>
        </w:pPr>
        <w:rPr>
          <w:rFonts w:ascii="Cambria" w:eastAsia="Times New Roman" w:hAnsi="Cambria" w:cs="Cambria"/>
          <w:position w:val="0"/>
          <w:sz w:val="24"/>
          <w:szCs w:val="24"/>
        </w:rPr>
      </w:lvl>
    </w:lvlOverride>
    <w:lvlOverride w:ilvl="4">
      <w:lvl w:ilvl="4">
        <w:start w:val="1"/>
        <w:numFmt w:val="lowerLetter"/>
        <w:lvlText w:val="%5."/>
        <w:lvlJc w:val="left"/>
        <w:pPr>
          <w:tabs>
            <w:tab w:val="num" w:pos="3600"/>
          </w:tabs>
          <w:ind w:left="3600" w:hanging="360"/>
        </w:pPr>
        <w:rPr>
          <w:rFonts w:ascii="Cambria" w:eastAsia="Times New Roman" w:hAnsi="Cambria" w:cs="Cambria"/>
          <w:position w:val="0"/>
          <w:sz w:val="24"/>
          <w:szCs w:val="24"/>
        </w:rPr>
      </w:lvl>
    </w:lvlOverride>
    <w:lvlOverride w:ilvl="5">
      <w:lvl w:ilvl="5">
        <w:start w:val="1"/>
        <w:numFmt w:val="lowerRoman"/>
        <w:lvlText w:val="%6."/>
        <w:lvlJc w:val="left"/>
        <w:pPr>
          <w:tabs>
            <w:tab w:val="num" w:pos="4320"/>
          </w:tabs>
          <w:ind w:left="4320" w:hanging="296"/>
        </w:pPr>
        <w:rPr>
          <w:rFonts w:ascii="Cambria" w:eastAsia="Times New Roman" w:hAnsi="Cambria" w:cs="Cambria"/>
          <w:position w:val="0"/>
          <w:sz w:val="24"/>
          <w:szCs w:val="24"/>
        </w:rPr>
      </w:lvl>
    </w:lvlOverride>
    <w:lvlOverride w:ilvl="6">
      <w:lvl w:ilvl="6">
        <w:start w:val="1"/>
        <w:numFmt w:val="decimal"/>
        <w:lvlText w:val="%7."/>
        <w:lvlJc w:val="left"/>
        <w:pPr>
          <w:tabs>
            <w:tab w:val="num" w:pos="5040"/>
          </w:tabs>
          <w:ind w:left="5040" w:hanging="360"/>
        </w:pPr>
        <w:rPr>
          <w:rFonts w:ascii="Cambria" w:eastAsia="Times New Roman" w:hAnsi="Cambria" w:cs="Cambria"/>
          <w:position w:val="0"/>
          <w:sz w:val="24"/>
          <w:szCs w:val="24"/>
        </w:rPr>
      </w:lvl>
    </w:lvlOverride>
    <w:lvlOverride w:ilvl="7">
      <w:lvl w:ilvl="7">
        <w:start w:val="1"/>
        <w:numFmt w:val="lowerLetter"/>
        <w:lvlText w:val="%8."/>
        <w:lvlJc w:val="left"/>
        <w:pPr>
          <w:tabs>
            <w:tab w:val="num" w:pos="5760"/>
          </w:tabs>
          <w:ind w:left="5760" w:hanging="360"/>
        </w:pPr>
        <w:rPr>
          <w:rFonts w:ascii="Cambria" w:eastAsia="Times New Roman" w:hAnsi="Cambria" w:cs="Cambria"/>
          <w:position w:val="0"/>
          <w:sz w:val="24"/>
          <w:szCs w:val="24"/>
        </w:rPr>
      </w:lvl>
    </w:lvlOverride>
    <w:lvlOverride w:ilvl="8">
      <w:lvl w:ilvl="8">
        <w:start w:val="1"/>
        <w:numFmt w:val="lowerRoman"/>
        <w:lvlText w:val="%9."/>
        <w:lvlJc w:val="left"/>
        <w:pPr>
          <w:tabs>
            <w:tab w:val="num" w:pos="6480"/>
          </w:tabs>
          <w:ind w:left="6480" w:hanging="296"/>
        </w:pPr>
        <w:rPr>
          <w:rFonts w:ascii="Cambria" w:eastAsia="Times New Roman" w:hAnsi="Cambria" w:cs="Cambria"/>
          <w:position w:val="0"/>
          <w:sz w:val="24"/>
          <w:szCs w:val="24"/>
        </w:rPr>
      </w:lvl>
    </w:lvlOverride>
  </w:num>
  <w:num w:numId="7">
    <w:abstractNumId w:val="13"/>
  </w:num>
  <w:num w:numId="8">
    <w:abstractNumId w:val="0"/>
  </w:num>
  <w:num w:numId="9">
    <w:abstractNumId w:val="14"/>
  </w:num>
  <w:num w:numId="10">
    <w:abstractNumId w:val="5"/>
  </w:num>
  <w:num w:numId="11">
    <w:abstractNumId w:val="11"/>
  </w:num>
  <w:num w:numId="12">
    <w:abstractNumId w:val="12"/>
  </w:num>
  <w:num w:numId="13">
    <w:abstractNumId w:val="2"/>
  </w:num>
  <w:num w:numId="14">
    <w:abstractNumId w:val="15"/>
  </w:num>
  <w:num w:numId="15">
    <w:abstractNumId w:val="1"/>
  </w:num>
  <w:num w:numId="16">
    <w:abstractNumId w:val="16"/>
  </w:num>
  <w:num w:numId="17">
    <w:abstractNumId w:val="10"/>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C8C"/>
    <w:rsid w:val="00012D6C"/>
    <w:rsid w:val="000214C8"/>
    <w:rsid w:val="00023A89"/>
    <w:rsid w:val="00037687"/>
    <w:rsid w:val="00043F41"/>
    <w:rsid w:val="00051729"/>
    <w:rsid w:val="00066B27"/>
    <w:rsid w:val="00067C8C"/>
    <w:rsid w:val="00082E26"/>
    <w:rsid w:val="00084039"/>
    <w:rsid w:val="000917AA"/>
    <w:rsid w:val="000C4F09"/>
    <w:rsid w:val="000C509B"/>
    <w:rsid w:val="000D27C8"/>
    <w:rsid w:val="000F367E"/>
    <w:rsid w:val="000F3AB1"/>
    <w:rsid w:val="000F73FB"/>
    <w:rsid w:val="0010348D"/>
    <w:rsid w:val="00130DF1"/>
    <w:rsid w:val="001311D5"/>
    <w:rsid w:val="0016551D"/>
    <w:rsid w:val="001660B9"/>
    <w:rsid w:val="001765AC"/>
    <w:rsid w:val="00192A8D"/>
    <w:rsid w:val="001A11CB"/>
    <w:rsid w:val="001A4C9B"/>
    <w:rsid w:val="001C2877"/>
    <w:rsid w:val="001D180B"/>
    <w:rsid w:val="001E2F4E"/>
    <w:rsid w:val="001E4B07"/>
    <w:rsid w:val="001F5B95"/>
    <w:rsid w:val="00200987"/>
    <w:rsid w:val="00211B48"/>
    <w:rsid w:val="00213A52"/>
    <w:rsid w:val="0021511D"/>
    <w:rsid w:val="002165DD"/>
    <w:rsid w:val="002242C6"/>
    <w:rsid w:val="002356D6"/>
    <w:rsid w:val="00244A6C"/>
    <w:rsid w:val="00244EFF"/>
    <w:rsid w:val="002707D6"/>
    <w:rsid w:val="002932AF"/>
    <w:rsid w:val="002B2432"/>
    <w:rsid w:val="002D7CC7"/>
    <w:rsid w:val="002E450D"/>
    <w:rsid w:val="002F4BC6"/>
    <w:rsid w:val="003014F6"/>
    <w:rsid w:val="00310092"/>
    <w:rsid w:val="0031653E"/>
    <w:rsid w:val="00327077"/>
    <w:rsid w:val="00341853"/>
    <w:rsid w:val="003564D8"/>
    <w:rsid w:val="003570FE"/>
    <w:rsid w:val="00362AB9"/>
    <w:rsid w:val="00370113"/>
    <w:rsid w:val="0037745C"/>
    <w:rsid w:val="003939E0"/>
    <w:rsid w:val="00396BF4"/>
    <w:rsid w:val="003A2A44"/>
    <w:rsid w:val="003B0414"/>
    <w:rsid w:val="003D2646"/>
    <w:rsid w:val="003D265D"/>
    <w:rsid w:val="0041095A"/>
    <w:rsid w:val="00412CF8"/>
    <w:rsid w:val="004219C4"/>
    <w:rsid w:val="00425F03"/>
    <w:rsid w:val="00434381"/>
    <w:rsid w:val="0044202B"/>
    <w:rsid w:val="004577AE"/>
    <w:rsid w:val="004909EF"/>
    <w:rsid w:val="004C1E93"/>
    <w:rsid w:val="004E4746"/>
    <w:rsid w:val="004F4E8D"/>
    <w:rsid w:val="00526CCB"/>
    <w:rsid w:val="0053073E"/>
    <w:rsid w:val="00542828"/>
    <w:rsid w:val="0054455D"/>
    <w:rsid w:val="005507E9"/>
    <w:rsid w:val="00561136"/>
    <w:rsid w:val="00570B3E"/>
    <w:rsid w:val="00580E11"/>
    <w:rsid w:val="00586DAE"/>
    <w:rsid w:val="00587164"/>
    <w:rsid w:val="005A5E5B"/>
    <w:rsid w:val="005B28E2"/>
    <w:rsid w:val="005C4349"/>
    <w:rsid w:val="005C6BE7"/>
    <w:rsid w:val="005D258E"/>
    <w:rsid w:val="0060042E"/>
    <w:rsid w:val="006020E7"/>
    <w:rsid w:val="00621F3A"/>
    <w:rsid w:val="006575AD"/>
    <w:rsid w:val="006752AF"/>
    <w:rsid w:val="00675E49"/>
    <w:rsid w:val="006767B7"/>
    <w:rsid w:val="00681C90"/>
    <w:rsid w:val="006B4E63"/>
    <w:rsid w:val="006E59E8"/>
    <w:rsid w:val="00703759"/>
    <w:rsid w:val="00722793"/>
    <w:rsid w:val="00751131"/>
    <w:rsid w:val="007667D4"/>
    <w:rsid w:val="00773742"/>
    <w:rsid w:val="00777F4A"/>
    <w:rsid w:val="00787C08"/>
    <w:rsid w:val="0079171E"/>
    <w:rsid w:val="00796EDC"/>
    <w:rsid w:val="007A0993"/>
    <w:rsid w:val="007A275C"/>
    <w:rsid w:val="007C4F83"/>
    <w:rsid w:val="007E12A6"/>
    <w:rsid w:val="007F610A"/>
    <w:rsid w:val="00841065"/>
    <w:rsid w:val="00860817"/>
    <w:rsid w:val="00894322"/>
    <w:rsid w:val="00937076"/>
    <w:rsid w:val="0094308A"/>
    <w:rsid w:val="009446B3"/>
    <w:rsid w:val="009546E1"/>
    <w:rsid w:val="0096579E"/>
    <w:rsid w:val="00991953"/>
    <w:rsid w:val="00995CDC"/>
    <w:rsid w:val="009D3507"/>
    <w:rsid w:val="00A2096C"/>
    <w:rsid w:val="00A26A74"/>
    <w:rsid w:val="00A31504"/>
    <w:rsid w:val="00A549BE"/>
    <w:rsid w:val="00A847BC"/>
    <w:rsid w:val="00A8520D"/>
    <w:rsid w:val="00A91A4D"/>
    <w:rsid w:val="00A923DF"/>
    <w:rsid w:val="00A951E0"/>
    <w:rsid w:val="00AB6DA9"/>
    <w:rsid w:val="00AC07C6"/>
    <w:rsid w:val="00AC5189"/>
    <w:rsid w:val="00AD297B"/>
    <w:rsid w:val="00AD2D61"/>
    <w:rsid w:val="00AE1CAB"/>
    <w:rsid w:val="00B262A0"/>
    <w:rsid w:val="00B54750"/>
    <w:rsid w:val="00B60FD9"/>
    <w:rsid w:val="00B67DA3"/>
    <w:rsid w:val="00BB54FF"/>
    <w:rsid w:val="00BC698C"/>
    <w:rsid w:val="00BE0F70"/>
    <w:rsid w:val="00BE6683"/>
    <w:rsid w:val="00C07E84"/>
    <w:rsid w:val="00C145D3"/>
    <w:rsid w:val="00C20461"/>
    <w:rsid w:val="00C46939"/>
    <w:rsid w:val="00C5735F"/>
    <w:rsid w:val="00C70958"/>
    <w:rsid w:val="00C72C2E"/>
    <w:rsid w:val="00C8411F"/>
    <w:rsid w:val="00C86EB9"/>
    <w:rsid w:val="00C90747"/>
    <w:rsid w:val="00CC1541"/>
    <w:rsid w:val="00D1048D"/>
    <w:rsid w:val="00D11C37"/>
    <w:rsid w:val="00D20B57"/>
    <w:rsid w:val="00D22F8B"/>
    <w:rsid w:val="00D24A37"/>
    <w:rsid w:val="00D509CD"/>
    <w:rsid w:val="00D6081F"/>
    <w:rsid w:val="00D60C31"/>
    <w:rsid w:val="00D70D97"/>
    <w:rsid w:val="00D770E7"/>
    <w:rsid w:val="00D87798"/>
    <w:rsid w:val="00D92573"/>
    <w:rsid w:val="00D93332"/>
    <w:rsid w:val="00DA7178"/>
    <w:rsid w:val="00DC23A8"/>
    <w:rsid w:val="00DC6AEC"/>
    <w:rsid w:val="00DE2399"/>
    <w:rsid w:val="00E1074B"/>
    <w:rsid w:val="00E1741F"/>
    <w:rsid w:val="00E25BD4"/>
    <w:rsid w:val="00E32A56"/>
    <w:rsid w:val="00E33D08"/>
    <w:rsid w:val="00E54D3A"/>
    <w:rsid w:val="00E61C95"/>
    <w:rsid w:val="00E84E35"/>
    <w:rsid w:val="00EB4526"/>
    <w:rsid w:val="00EE020D"/>
    <w:rsid w:val="00F26FBC"/>
    <w:rsid w:val="00F30B42"/>
    <w:rsid w:val="00F545E4"/>
    <w:rsid w:val="00F8269C"/>
    <w:rsid w:val="00F87EA5"/>
    <w:rsid w:val="00FE4B31"/>
    <w:rsid w:val="00FF6A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0D6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44444"/>
        <w:sz w:val="22"/>
        <w:szCs w:val="22"/>
        <w:lang w:val="en-AU" w:eastAsia="en-US" w:bidi="ar-SA"/>
      </w:rPr>
    </w:rPrDefault>
    <w:pPrDefault>
      <w:pPr>
        <w:spacing w:before="24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9CD"/>
  </w:style>
  <w:style w:type="paragraph" w:styleId="Heading1">
    <w:name w:val="heading 1"/>
    <w:basedOn w:val="Normal"/>
    <w:next w:val="Normal"/>
    <w:link w:val="Heading1Char"/>
    <w:uiPriority w:val="9"/>
    <w:qFormat/>
    <w:rsid w:val="00082E26"/>
    <w:pPr>
      <w:keepNext/>
      <w:keepLines/>
      <w:numPr>
        <w:numId w:val="17"/>
      </w:numPr>
      <w:spacing w:before="480"/>
      <w:outlineLvl w:val="0"/>
    </w:pPr>
    <w:rPr>
      <w:rFonts w:ascii="Calibri" w:eastAsiaTheme="majorEastAsia" w:hAnsi="Calibri" w:cstheme="majorBidi"/>
      <w:b/>
      <w:bCs/>
      <w:color w:val="4E1A74"/>
      <w:sz w:val="32"/>
      <w:szCs w:val="28"/>
    </w:rPr>
  </w:style>
  <w:style w:type="paragraph" w:styleId="Heading2">
    <w:name w:val="heading 2"/>
    <w:basedOn w:val="Normal"/>
    <w:next w:val="Normal"/>
    <w:link w:val="Heading2Char"/>
    <w:uiPriority w:val="9"/>
    <w:unhideWhenUsed/>
    <w:qFormat/>
    <w:rsid w:val="00082E26"/>
    <w:pPr>
      <w:keepNext/>
      <w:keepLines/>
      <w:numPr>
        <w:ilvl w:val="1"/>
        <w:numId w:val="17"/>
      </w:numPr>
      <w:outlineLvl w:val="1"/>
    </w:pPr>
    <w:rPr>
      <w:rFonts w:ascii="Calibri" w:eastAsiaTheme="majorEastAsia" w:hAnsi="Calibri" w:cstheme="majorBidi"/>
      <w:b/>
      <w:bCs/>
      <w:color w:val="4E1A74"/>
      <w:sz w:val="26"/>
      <w:szCs w:val="26"/>
    </w:rPr>
  </w:style>
  <w:style w:type="paragraph" w:styleId="Heading3">
    <w:name w:val="heading 3"/>
    <w:basedOn w:val="Normal"/>
    <w:next w:val="Normal"/>
    <w:link w:val="Heading3Char"/>
    <w:uiPriority w:val="9"/>
    <w:unhideWhenUsed/>
    <w:qFormat/>
    <w:rsid w:val="00082E26"/>
    <w:pPr>
      <w:keepNext/>
      <w:keepLines/>
      <w:numPr>
        <w:ilvl w:val="2"/>
        <w:numId w:val="17"/>
      </w:numPr>
      <w:outlineLvl w:val="2"/>
    </w:pPr>
    <w:rPr>
      <w:rFonts w:eastAsiaTheme="majorEastAsia" w:cstheme="majorBidi"/>
      <w:b/>
      <w:bCs/>
      <w:i/>
      <w:color w:val="4E1A74"/>
      <w:sz w:val="24"/>
    </w:rPr>
  </w:style>
  <w:style w:type="paragraph" w:styleId="Heading4">
    <w:name w:val="heading 4"/>
    <w:aliases w:val="Appendix"/>
    <w:basedOn w:val="Normal"/>
    <w:next w:val="Normal"/>
    <w:link w:val="Heading4Char"/>
    <w:uiPriority w:val="9"/>
    <w:unhideWhenUsed/>
    <w:qFormat/>
    <w:rsid w:val="0041095A"/>
    <w:pPr>
      <w:keepNext/>
      <w:keepLines/>
      <w:numPr>
        <w:ilvl w:val="3"/>
        <w:numId w:val="17"/>
      </w:numPr>
      <w:outlineLvl w:val="3"/>
    </w:pPr>
    <w:rPr>
      <w:rFonts w:ascii="Calibri" w:eastAsiaTheme="majorEastAsia" w:hAnsi="Calibri" w:cstheme="majorBidi"/>
      <w:b/>
      <w:bCs/>
      <w:iCs/>
      <w:color w:val="4E1A74" w:themeColor="text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20D"/>
    <w:pPr>
      <w:numPr>
        <w:numId w:val="4"/>
      </w:numPr>
      <w:spacing w:before="120"/>
    </w:pPr>
  </w:style>
  <w:style w:type="character" w:customStyle="1" w:styleId="Heading1Char">
    <w:name w:val="Heading 1 Char"/>
    <w:basedOn w:val="DefaultParagraphFont"/>
    <w:link w:val="Heading1"/>
    <w:uiPriority w:val="9"/>
    <w:rsid w:val="00082E26"/>
    <w:rPr>
      <w:rFonts w:ascii="Calibri" w:eastAsiaTheme="majorEastAsia" w:hAnsi="Calibri" w:cstheme="majorBidi"/>
      <w:b/>
      <w:bCs/>
      <w:color w:val="4E1A74"/>
      <w:sz w:val="32"/>
      <w:szCs w:val="28"/>
    </w:rPr>
  </w:style>
  <w:style w:type="character" w:customStyle="1" w:styleId="Heading2Char">
    <w:name w:val="Heading 2 Char"/>
    <w:basedOn w:val="DefaultParagraphFont"/>
    <w:link w:val="Heading2"/>
    <w:uiPriority w:val="9"/>
    <w:rsid w:val="00082E26"/>
    <w:rPr>
      <w:rFonts w:ascii="Calibri" w:eastAsiaTheme="majorEastAsia" w:hAnsi="Calibri" w:cstheme="majorBidi"/>
      <w:b/>
      <w:bCs/>
      <w:color w:val="4E1A74"/>
      <w:sz w:val="26"/>
      <w:szCs w:val="26"/>
    </w:rPr>
  </w:style>
  <w:style w:type="paragraph" w:styleId="Title">
    <w:name w:val="Title"/>
    <w:basedOn w:val="Normal"/>
    <w:next w:val="Normal"/>
    <w:link w:val="TitleChar"/>
    <w:uiPriority w:val="10"/>
    <w:qFormat/>
    <w:rsid w:val="00082E26"/>
    <w:pPr>
      <w:spacing w:before="360" w:line="240" w:lineRule="auto"/>
      <w:contextualSpacing/>
      <w:jc w:val="center"/>
    </w:pPr>
    <w:rPr>
      <w:rFonts w:ascii="Calibri" w:eastAsiaTheme="majorEastAsia" w:hAnsi="Calibri" w:cstheme="majorBidi"/>
      <w:b/>
      <w:color w:val="4E1A74"/>
      <w:spacing w:val="5"/>
      <w:kern w:val="28"/>
      <w:sz w:val="52"/>
      <w:szCs w:val="52"/>
    </w:rPr>
  </w:style>
  <w:style w:type="character" w:customStyle="1" w:styleId="TitleChar">
    <w:name w:val="Title Char"/>
    <w:basedOn w:val="DefaultParagraphFont"/>
    <w:link w:val="Title"/>
    <w:uiPriority w:val="10"/>
    <w:rsid w:val="00082E26"/>
    <w:rPr>
      <w:rFonts w:ascii="Calibri" w:eastAsiaTheme="majorEastAsia" w:hAnsi="Calibri" w:cstheme="majorBidi"/>
      <w:b/>
      <w:color w:val="4E1A74"/>
      <w:spacing w:val="5"/>
      <w:kern w:val="28"/>
      <w:sz w:val="52"/>
      <w:szCs w:val="52"/>
    </w:rPr>
  </w:style>
  <w:style w:type="paragraph" w:styleId="Subtitle">
    <w:name w:val="Subtitle"/>
    <w:basedOn w:val="Normal"/>
    <w:next w:val="Normal"/>
    <w:link w:val="SubtitleChar"/>
    <w:uiPriority w:val="11"/>
    <w:qFormat/>
    <w:rsid w:val="00D70D97"/>
    <w:pPr>
      <w:numPr>
        <w:ilvl w:val="1"/>
      </w:numPr>
    </w:pPr>
    <w:rPr>
      <w:rFonts w:ascii="Calibri" w:eastAsiaTheme="majorEastAsia" w:hAnsi="Calibri" w:cstheme="majorBidi"/>
      <w:i/>
      <w:iCs/>
      <w:color w:val="4E1A74"/>
      <w:spacing w:val="15"/>
      <w:sz w:val="24"/>
      <w:szCs w:val="24"/>
    </w:rPr>
  </w:style>
  <w:style w:type="character" w:customStyle="1" w:styleId="SubtitleChar">
    <w:name w:val="Subtitle Char"/>
    <w:basedOn w:val="DefaultParagraphFont"/>
    <w:link w:val="Subtitle"/>
    <w:uiPriority w:val="11"/>
    <w:rsid w:val="00D70D97"/>
    <w:rPr>
      <w:rFonts w:ascii="Calibri" w:eastAsiaTheme="majorEastAsia" w:hAnsi="Calibri" w:cstheme="majorBidi"/>
      <w:i/>
      <w:iCs/>
      <w:color w:val="4E1A74"/>
      <w:spacing w:val="15"/>
      <w:sz w:val="24"/>
      <w:szCs w:val="24"/>
    </w:rPr>
  </w:style>
  <w:style w:type="paragraph" w:styleId="FootnoteText">
    <w:name w:val="footnote text"/>
    <w:basedOn w:val="Normal"/>
    <w:link w:val="FootnoteTextChar"/>
    <w:uiPriority w:val="99"/>
    <w:qFormat/>
    <w:rsid w:val="00BB54FF"/>
    <w:pPr>
      <w:spacing w:before="60" w:line="240" w:lineRule="auto"/>
      <w:ind w:left="284" w:hanging="284"/>
    </w:pPr>
    <w:rPr>
      <w:sz w:val="18"/>
      <w:szCs w:val="20"/>
    </w:rPr>
  </w:style>
  <w:style w:type="character" w:customStyle="1" w:styleId="FootnoteTextChar">
    <w:name w:val="Footnote Text Char"/>
    <w:basedOn w:val="DefaultParagraphFont"/>
    <w:link w:val="FootnoteText"/>
    <w:uiPriority w:val="99"/>
    <w:rsid w:val="00BB54FF"/>
    <w:rPr>
      <w:sz w:val="18"/>
      <w:szCs w:val="20"/>
    </w:rPr>
  </w:style>
  <w:style w:type="character" w:styleId="FootnoteReference">
    <w:name w:val="footnote reference"/>
    <w:basedOn w:val="DefaultParagraphFont"/>
    <w:uiPriority w:val="99"/>
    <w:semiHidden/>
    <w:unhideWhenUsed/>
    <w:rsid w:val="00AB6DA9"/>
    <w:rPr>
      <w:vertAlign w:val="superscript"/>
    </w:rPr>
  </w:style>
  <w:style w:type="character" w:styleId="Hyperlink">
    <w:name w:val="Hyperlink"/>
    <w:basedOn w:val="DefaultParagraphFont"/>
    <w:uiPriority w:val="99"/>
    <w:unhideWhenUsed/>
    <w:rsid w:val="00D70D97"/>
    <w:rPr>
      <w:color w:val="4E1A74" w:themeColor="hyperlink"/>
      <w:u w:val="single"/>
    </w:rPr>
  </w:style>
  <w:style w:type="character" w:styleId="FollowedHyperlink">
    <w:name w:val="FollowedHyperlink"/>
    <w:basedOn w:val="DefaultParagraphFont"/>
    <w:uiPriority w:val="99"/>
    <w:semiHidden/>
    <w:unhideWhenUsed/>
    <w:rsid w:val="00D70D97"/>
    <w:rPr>
      <w:color w:val="800080" w:themeColor="followedHyperlink"/>
      <w:u w:val="single"/>
    </w:rPr>
  </w:style>
  <w:style w:type="paragraph" w:styleId="Header">
    <w:name w:val="header"/>
    <w:basedOn w:val="Normal"/>
    <w:link w:val="HeaderChar"/>
    <w:uiPriority w:val="99"/>
    <w:unhideWhenUsed/>
    <w:rsid w:val="00037687"/>
    <w:pPr>
      <w:tabs>
        <w:tab w:val="center" w:pos="4513"/>
        <w:tab w:val="right" w:pos="9026"/>
      </w:tabs>
      <w:spacing w:before="0" w:line="240" w:lineRule="auto"/>
    </w:pPr>
  </w:style>
  <w:style w:type="character" w:customStyle="1" w:styleId="HeaderChar">
    <w:name w:val="Header Char"/>
    <w:basedOn w:val="DefaultParagraphFont"/>
    <w:link w:val="Header"/>
    <w:uiPriority w:val="99"/>
    <w:rsid w:val="00037687"/>
    <w:rPr>
      <w:color w:val="22508C" w:themeColor="text1" w:themeTint="D9"/>
    </w:rPr>
  </w:style>
  <w:style w:type="paragraph" w:styleId="Footer">
    <w:name w:val="footer"/>
    <w:basedOn w:val="Normal"/>
    <w:link w:val="FooterChar"/>
    <w:uiPriority w:val="99"/>
    <w:unhideWhenUsed/>
    <w:rsid w:val="00037687"/>
    <w:pPr>
      <w:tabs>
        <w:tab w:val="center" w:pos="4513"/>
        <w:tab w:val="right" w:pos="9026"/>
      </w:tabs>
      <w:spacing w:before="0" w:line="240" w:lineRule="auto"/>
    </w:pPr>
  </w:style>
  <w:style w:type="character" w:customStyle="1" w:styleId="FooterChar">
    <w:name w:val="Footer Char"/>
    <w:basedOn w:val="DefaultParagraphFont"/>
    <w:link w:val="Footer"/>
    <w:uiPriority w:val="99"/>
    <w:rsid w:val="00037687"/>
    <w:rPr>
      <w:color w:val="22508C" w:themeColor="text1" w:themeTint="D9"/>
    </w:rPr>
  </w:style>
  <w:style w:type="character" w:styleId="SubtleEmphasis">
    <w:name w:val="Subtle Emphasis"/>
    <w:basedOn w:val="DefaultParagraphFont"/>
    <w:uiPriority w:val="19"/>
    <w:qFormat/>
    <w:rsid w:val="00FF6AB9"/>
    <w:rPr>
      <w:color w:val="DBBEF0"/>
    </w:rPr>
  </w:style>
  <w:style w:type="character" w:customStyle="1" w:styleId="Heading3Char">
    <w:name w:val="Heading 3 Char"/>
    <w:basedOn w:val="DefaultParagraphFont"/>
    <w:link w:val="Heading3"/>
    <w:uiPriority w:val="9"/>
    <w:rsid w:val="00082E26"/>
    <w:rPr>
      <w:rFonts w:eastAsiaTheme="majorEastAsia" w:cstheme="majorBidi"/>
      <w:b/>
      <w:bCs/>
      <w:i/>
      <w:color w:val="4E1A74"/>
      <w:sz w:val="24"/>
    </w:rPr>
  </w:style>
  <w:style w:type="paragraph" w:styleId="BalloonText">
    <w:name w:val="Balloon Text"/>
    <w:basedOn w:val="Normal"/>
    <w:link w:val="BalloonTextChar"/>
    <w:uiPriority w:val="99"/>
    <w:semiHidden/>
    <w:unhideWhenUsed/>
    <w:rsid w:val="002356D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6D6"/>
    <w:rPr>
      <w:rFonts w:ascii="Tahoma" w:hAnsi="Tahoma" w:cs="Tahoma"/>
      <w:color w:val="444448"/>
      <w:sz w:val="16"/>
      <w:szCs w:val="16"/>
    </w:rPr>
  </w:style>
  <w:style w:type="paragraph" w:styleId="Caption">
    <w:name w:val="caption"/>
    <w:basedOn w:val="Normal"/>
    <w:next w:val="Normal"/>
    <w:uiPriority w:val="35"/>
    <w:qFormat/>
    <w:rsid w:val="0054455D"/>
    <w:pPr>
      <w:spacing w:before="120" w:line="240" w:lineRule="auto"/>
    </w:pPr>
    <w:rPr>
      <w:b/>
      <w:bCs/>
      <w:color w:val="4E1A74"/>
      <w:sz w:val="20"/>
      <w:szCs w:val="18"/>
    </w:rPr>
  </w:style>
  <w:style w:type="character" w:customStyle="1" w:styleId="Heading4Char">
    <w:name w:val="Heading 4 Char"/>
    <w:aliases w:val="Appendix Char"/>
    <w:basedOn w:val="DefaultParagraphFont"/>
    <w:link w:val="Heading4"/>
    <w:uiPriority w:val="9"/>
    <w:rsid w:val="0041095A"/>
    <w:rPr>
      <w:rFonts w:ascii="Calibri" w:eastAsiaTheme="majorEastAsia" w:hAnsi="Calibri" w:cstheme="majorBidi"/>
      <w:b/>
      <w:bCs/>
      <w:iCs/>
      <w:color w:val="4E1A74" w:themeColor="text2"/>
      <w:sz w:val="32"/>
    </w:rPr>
  </w:style>
  <w:style w:type="paragraph" w:styleId="TOCHeading">
    <w:name w:val="TOC Heading"/>
    <w:basedOn w:val="Heading1"/>
    <w:next w:val="Normal"/>
    <w:uiPriority w:val="39"/>
    <w:qFormat/>
    <w:rsid w:val="00675E49"/>
    <w:pPr>
      <w:spacing w:line="276" w:lineRule="auto"/>
      <w:outlineLvl w:val="9"/>
    </w:pPr>
    <w:rPr>
      <w:b w:val="0"/>
      <w:sz w:val="28"/>
      <w:lang w:val="en-US" w:eastAsia="ja-JP"/>
    </w:rPr>
  </w:style>
  <w:style w:type="paragraph" w:styleId="TOC1">
    <w:name w:val="toc 1"/>
    <w:basedOn w:val="Normal"/>
    <w:next w:val="Normal"/>
    <w:autoRedefine/>
    <w:uiPriority w:val="39"/>
    <w:unhideWhenUsed/>
    <w:rsid w:val="0031653E"/>
    <w:pPr>
      <w:tabs>
        <w:tab w:val="right" w:leader="dot" w:pos="9628"/>
      </w:tabs>
    </w:pPr>
    <w:rPr>
      <w:b/>
      <w:color w:val="4E1A74"/>
    </w:rPr>
  </w:style>
  <w:style w:type="paragraph" w:styleId="TOC2">
    <w:name w:val="toc 2"/>
    <w:basedOn w:val="Normal"/>
    <w:next w:val="Normal"/>
    <w:autoRedefine/>
    <w:uiPriority w:val="39"/>
    <w:unhideWhenUsed/>
    <w:rsid w:val="0031653E"/>
    <w:pPr>
      <w:tabs>
        <w:tab w:val="right" w:leader="dot" w:pos="9628"/>
      </w:tabs>
      <w:spacing w:before="120"/>
      <w:ind w:left="567"/>
    </w:pPr>
    <w:rPr>
      <w:noProof/>
    </w:rPr>
  </w:style>
  <w:style w:type="paragraph" w:styleId="TOC3">
    <w:name w:val="toc 3"/>
    <w:basedOn w:val="Normal"/>
    <w:next w:val="Normal"/>
    <w:autoRedefine/>
    <w:uiPriority w:val="39"/>
    <w:unhideWhenUsed/>
    <w:rsid w:val="0031653E"/>
    <w:pPr>
      <w:tabs>
        <w:tab w:val="left" w:pos="1134"/>
        <w:tab w:val="right" w:leader="dot" w:pos="9628"/>
      </w:tabs>
      <w:ind w:left="567" w:hanging="567"/>
    </w:pPr>
    <w:rPr>
      <w:b/>
      <w:noProof/>
      <w:color w:val="4E1A74" w:themeColor="text2"/>
    </w:rPr>
  </w:style>
  <w:style w:type="character" w:customStyle="1" w:styleId="Normalbold">
    <w:name w:val="Normal (bold)"/>
    <w:basedOn w:val="DefaultParagraphFont"/>
    <w:uiPriority w:val="1"/>
    <w:qFormat/>
    <w:rsid w:val="00F87EA5"/>
    <w:rPr>
      <w:b/>
    </w:rPr>
  </w:style>
  <w:style w:type="table" w:styleId="TableGrid">
    <w:name w:val="Table Grid"/>
    <w:basedOn w:val="TableNormal"/>
    <w:uiPriority w:val="39"/>
    <w:rsid w:val="00F87EA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nericARPANSA">
    <w:name w:val="Generic ARPANSA"/>
    <w:basedOn w:val="TableNormal"/>
    <w:uiPriority w:val="99"/>
    <w:rsid w:val="00586DAE"/>
    <w:pPr>
      <w:spacing w:before="60" w:after="60" w:line="240" w:lineRule="auto"/>
      <w:jc w:val="center"/>
    </w:pPr>
    <w:tblPr>
      <w:tblStyleRowBandSize w:val="1"/>
      <w:tblInd w:w="108" w:type="dxa"/>
      <w:tblBorders>
        <w:top w:val="single" w:sz="4" w:space="0" w:color="4E1A74"/>
        <w:left w:val="single" w:sz="4" w:space="0" w:color="4E1A74"/>
        <w:bottom w:val="single" w:sz="4" w:space="0" w:color="4E1A74"/>
        <w:right w:val="single" w:sz="4" w:space="0" w:color="4E1A74"/>
        <w:insideH w:val="single" w:sz="4" w:space="0" w:color="4E1A74"/>
        <w:insideV w:val="single" w:sz="4" w:space="0" w:color="4E1A74"/>
      </w:tblBorders>
    </w:tblPr>
    <w:tcPr>
      <w:vAlign w:val="center"/>
    </w:tc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customStyle="1" w:styleId="GenericARPANSA2">
    <w:name w:val="Generic ARPANSA 2"/>
    <w:basedOn w:val="GenericARPANSA"/>
    <w:uiPriority w:val="99"/>
    <w:rsid w:val="004577AE"/>
    <w:pPr>
      <w:spacing w:before="0"/>
    </w:pPr>
    <w:tblPr/>
    <w:tblStylePr w:type="firstRow">
      <w:pPr>
        <w:wordWrap/>
        <w:spacing w:beforeLines="0" w:before="120" w:beforeAutospacing="0" w:afterLines="0" w:after="120" w:afterAutospacing="0" w:line="240" w:lineRule="auto"/>
      </w:pPr>
      <w:rPr>
        <w:rFonts w:ascii="Calibri" w:hAnsi="Calibri"/>
        <w:b/>
        <w:color w:val="4E1A74"/>
        <w:sz w:val="22"/>
      </w:rPr>
      <w:tblPr/>
      <w:tcPr>
        <w:tcBorders>
          <w:top w:val="single" w:sz="4" w:space="0" w:color="4E1A74"/>
          <w:left w:val="single" w:sz="4" w:space="0" w:color="4E1A74"/>
          <w:bottom w:val="single" w:sz="4" w:space="0" w:color="4E1A74"/>
          <w:right w:val="single" w:sz="4" w:space="0" w:color="4E1A74"/>
          <w:insideH w:val="single" w:sz="4" w:space="0" w:color="4E1A74"/>
          <w:insideV w:val="single" w:sz="4" w:space="0" w:color="4E1A74"/>
          <w:tl2br w:val="nil"/>
          <w:tr2bl w:val="nil"/>
        </w:tcBorders>
        <w:shd w:val="clear" w:color="auto" w:fill="FFFFFF" w:themeFill="background1"/>
      </w:tcPr>
    </w:tblStylePr>
    <w:tblStylePr w:type="lastRow">
      <w:pPr>
        <w:wordWrap/>
        <w:spacing w:beforeLines="0" w:before="60" w:beforeAutospacing="0" w:afterLines="0" w:after="60" w:afterAutospacing="0" w:line="264" w:lineRule="auto"/>
        <w:jc w:val="center"/>
      </w:pPr>
      <w:rPr>
        <w:rFonts w:ascii="Calibri" w:hAnsi="Calibri"/>
        <w:b/>
        <w:sz w:val="22"/>
      </w:rPr>
    </w:tblStylePr>
    <w:tblStylePr w:type="band2Horz">
      <w:tblPr/>
      <w:tcPr>
        <w:shd w:val="clear" w:color="auto" w:fill="F6EFFB"/>
      </w:tcPr>
    </w:tblStylePr>
  </w:style>
  <w:style w:type="numbering" w:customStyle="1" w:styleId="List0">
    <w:name w:val="List 0"/>
    <w:rsid w:val="00E54D3A"/>
    <w:pPr>
      <w:numPr>
        <w:numId w:val="7"/>
      </w:numPr>
    </w:pPr>
  </w:style>
  <w:style w:type="table" w:styleId="TableSimple1">
    <w:name w:val="Table Simple 1"/>
    <w:basedOn w:val="TableNormal"/>
    <w:uiPriority w:val="99"/>
    <w:semiHidden/>
    <w:unhideWhenUsed/>
    <w:rsid w:val="00F87E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ghtShading">
    <w:name w:val="Light Shading"/>
    <w:basedOn w:val="TableNormal"/>
    <w:uiPriority w:val="60"/>
    <w:rsid w:val="00F30B42"/>
    <w:pPr>
      <w:spacing w:line="240" w:lineRule="auto"/>
    </w:pPr>
    <w:rPr>
      <w:color w:val="112845" w:themeColor="text1" w:themeShade="BF"/>
    </w:rPr>
    <w:tblPr>
      <w:tblStyleRowBandSize w:val="1"/>
      <w:tblStyleColBandSize w:val="1"/>
      <w:tblBorders>
        <w:top w:val="single" w:sz="8" w:space="0" w:color="17365D" w:themeColor="text1"/>
        <w:bottom w:val="single" w:sz="8" w:space="0" w:color="17365D" w:themeColor="text1"/>
      </w:tblBorders>
    </w:tblPr>
    <w:tblStylePr w:type="fir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la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CAEB" w:themeFill="text1" w:themeFillTint="3F"/>
      </w:tcPr>
    </w:tblStylePr>
    <w:tblStylePr w:type="band1Horz">
      <w:tblPr/>
      <w:tcPr>
        <w:tcBorders>
          <w:left w:val="nil"/>
          <w:right w:val="nil"/>
          <w:insideH w:val="nil"/>
          <w:insideV w:val="nil"/>
        </w:tcBorders>
        <w:shd w:val="clear" w:color="auto" w:fill="B0CAEB" w:themeFill="text1" w:themeFillTint="3F"/>
      </w:tcPr>
    </w:tblStylePr>
  </w:style>
  <w:style w:type="table" w:styleId="LightShading-Accent1">
    <w:name w:val="Light Shading Accent 1"/>
    <w:basedOn w:val="TableNormal"/>
    <w:uiPriority w:val="60"/>
    <w:rsid w:val="00F30B42"/>
    <w:pPr>
      <w:spacing w:line="240" w:lineRule="auto"/>
    </w:pPr>
    <w:rPr>
      <w:color w:val="AF6FE0" w:themeColor="accent1" w:themeShade="BF"/>
    </w:rPr>
    <w:tblPr>
      <w:tblStyleRowBandSize w:val="1"/>
      <w:tblStyleColBandSize w:val="1"/>
      <w:tblBorders>
        <w:top w:val="single" w:sz="8" w:space="0" w:color="E3CCF4" w:themeColor="accent1"/>
        <w:bottom w:val="single" w:sz="8" w:space="0" w:color="E3CCF4" w:themeColor="accent1"/>
      </w:tblBorders>
    </w:tblPr>
    <w:tblStylePr w:type="fir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la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2FC" w:themeFill="accent1" w:themeFillTint="3F"/>
      </w:tcPr>
    </w:tblStylePr>
    <w:tblStylePr w:type="band1Horz">
      <w:tblPr/>
      <w:tcPr>
        <w:tcBorders>
          <w:left w:val="nil"/>
          <w:right w:val="nil"/>
          <w:insideH w:val="nil"/>
          <w:insideV w:val="nil"/>
        </w:tcBorders>
        <w:shd w:val="clear" w:color="auto" w:fill="F8F2FC" w:themeFill="accent1" w:themeFillTint="3F"/>
      </w:tcPr>
    </w:tblStylePr>
  </w:style>
  <w:style w:type="table" w:styleId="LightShading-Accent2">
    <w:name w:val="Light Shading Accent 2"/>
    <w:basedOn w:val="TableNormal"/>
    <w:uiPriority w:val="60"/>
    <w:rsid w:val="00F30B42"/>
    <w:pPr>
      <w:spacing w:line="240" w:lineRule="auto"/>
    </w:pPr>
    <w:rPr>
      <w:color w:val="207220" w:themeColor="accent2" w:themeShade="BF"/>
    </w:rPr>
    <w:tblPr>
      <w:tblStyleRowBandSize w:val="1"/>
      <w:tblStyleColBandSize w:val="1"/>
      <w:tblBorders>
        <w:top w:val="single" w:sz="8" w:space="0" w:color="2B992B" w:themeColor="accent2"/>
        <w:bottom w:val="single" w:sz="8" w:space="0" w:color="2B992B" w:themeColor="accent2"/>
      </w:tblBorders>
    </w:tblPr>
    <w:tblStylePr w:type="fir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la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EEC2" w:themeFill="accent2" w:themeFillTint="3F"/>
      </w:tcPr>
    </w:tblStylePr>
    <w:tblStylePr w:type="band1Horz">
      <w:tblPr/>
      <w:tcPr>
        <w:tcBorders>
          <w:left w:val="nil"/>
          <w:right w:val="nil"/>
          <w:insideH w:val="nil"/>
          <w:insideV w:val="nil"/>
        </w:tcBorders>
        <w:shd w:val="clear" w:color="auto" w:fill="C2EEC2" w:themeFill="accent2" w:themeFillTint="3F"/>
      </w:tcPr>
    </w:tblStylePr>
  </w:style>
  <w:style w:type="table" w:styleId="LightList">
    <w:name w:val="Light List"/>
    <w:basedOn w:val="TableNormal"/>
    <w:uiPriority w:val="61"/>
    <w:rsid w:val="00F30B42"/>
    <w:pPr>
      <w:spacing w:line="240" w:lineRule="auto"/>
    </w:pPr>
    <w:tblPr>
      <w:tblStyleRowBandSize w:val="1"/>
      <w:tblStyleColBandSize w:val="1"/>
      <w:tblBorders>
        <w:top w:val="single" w:sz="8" w:space="0" w:color="17365D" w:themeColor="text1"/>
        <w:left w:val="single" w:sz="8" w:space="0" w:color="17365D" w:themeColor="text1"/>
        <w:bottom w:val="single" w:sz="8" w:space="0" w:color="17365D" w:themeColor="text1"/>
        <w:right w:val="single" w:sz="8" w:space="0" w:color="17365D" w:themeColor="text1"/>
      </w:tblBorders>
    </w:tblPr>
    <w:tblStylePr w:type="firstRow">
      <w:pPr>
        <w:spacing w:before="0" w:after="0" w:line="240" w:lineRule="auto"/>
      </w:pPr>
      <w:rPr>
        <w:b/>
        <w:bCs/>
        <w:color w:val="FFFFFF" w:themeColor="background1"/>
      </w:rPr>
      <w:tblPr/>
      <w:tcPr>
        <w:shd w:val="clear" w:color="auto" w:fill="17365D" w:themeFill="text1"/>
      </w:tcPr>
    </w:tblStylePr>
    <w:tblStylePr w:type="lastRow">
      <w:pPr>
        <w:spacing w:before="0" w:after="0" w:line="240" w:lineRule="auto"/>
      </w:pPr>
      <w:rPr>
        <w:b/>
        <w:bCs/>
      </w:rPr>
      <w:tblPr/>
      <w:tcPr>
        <w:tcBorders>
          <w:top w:val="double" w:sz="6" w:space="0" w:color="17365D" w:themeColor="text1"/>
          <w:left w:val="single" w:sz="8" w:space="0" w:color="17365D" w:themeColor="text1"/>
          <w:bottom w:val="single" w:sz="8" w:space="0" w:color="17365D" w:themeColor="text1"/>
          <w:right w:val="single" w:sz="8" w:space="0" w:color="17365D" w:themeColor="text1"/>
        </w:tcBorders>
      </w:tcPr>
    </w:tblStylePr>
    <w:tblStylePr w:type="firstCol">
      <w:rPr>
        <w:b/>
        <w:bCs/>
      </w:rPr>
    </w:tblStylePr>
    <w:tblStylePr w:type="lastCol">
      <w:rPr>
        <w:b/>
        <w:bCs/>
      </w:rPr>
    </w:tblStylePr>
    <w:tblStylePr w:type="band1Vert">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tblStylePr w:type="band1Horz">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style>
  <w:style w:type="paragraph" w:customStyle="1" w:styleId="Tabletext">
    <w:name w:val="Table text"/>
    <w:basedOn w:val="Normal"/>
    <w:qFormat/>
    <w:rsid w:val="00CC1541"/>
    <w:pPr>
      <w:spacing w:before="60" w:after="60" w:line="240" w:lineRule="auto"/>
      <w:jc w:val="center"/>
    </w:pPr>
  </w:style>
  <w:style w:type="table" w:styleId="LightShading-Accent3">
    <w:name w:val="Light Shading Accent 3"/>
    <w:basedOn w:val="TableNormal"/>
    <w:uiPriority w:val="60"/>
    <w:rsid w:val="00211B48"/>
    <w:pPr>
      <w:spacing w:before="0" w:line="240" w:lineRule="auto"/>
    </w:pPr>
    <w:rPr>
      <w:color w:val="1B611B" w:themeColor="accent3" w:themeShade="BF"/>
    </w:rPr>
    <w:tblPr>
      <w:tblStyleRowBandSize w:val="1"/>
      <w:tblStyleColBandSize w:val="1"/>
      <w:tblBorders>
        <w:top w:val="single" w:sz="8" w:space="0" w:color="258325" w:themeColor="accent3"/>
        <w:bottom w:val="single" w:sz="8" w:space="0" w:color="258325" w:themeColor="accent3"/>
      </w:tblBorders>
    </w:tblPr>
    <w:tblStylePr w:type="fir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la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BC" w:themeFill="accent3" w:themeFillTint="3F"/>
      </w:tcPr>
    </w:tblStylePr>
    <w:tblStylePr w:type="band1Horz">
      <w:tblPr/>
      <w:tcPr>
        <w:tcBorders>
          <w:left w:val="nil"/>
          <w:right w:val="nil"/>
          <w:insideH w:val="nil"/>
          <w:insideV w:val="nil"/>
        </w:tcBorders>
        <w:shd w:val="clear" w:color="auto" w:fill="BCECBC" w:themeFill="accent3" w:themeFillTint="3F"/>
      </w:tcPr>
    </w:tblStylePr>
  </w:style>
  <w:style w:type="table" w:styleId="LightShading-Accent4">
    <w:name w:val="Light Shading Accent 4"/>
    <w:basedOn w:val="TableNormal"/>
    <w:uiPriority w:val="60"/>
    <w:rsid w:val="00211B48"/>
    <w:pPr>
      <w:spacing w:before="0" w:line="240" w:lineRule="auto"/>
    </w:pPr>
    <w:rPr>
      <w:color w:val="333335" w:themeColor="accent4" w:themeShade="BF"/>
    </w:rPr>
    <w:tblPr>
      <w:tblStyleRowBandSize w:val="1"/>
      <w:tblStyleColBandSize w:val="1"/>
      <w:tblBorders>
        <w:top w:val="single" w:sz="8" w:space="0" w:color="444448" w:themeColor="accent4"/>
        <w:bottom w:val="single" w:sz="8" w:space="0" w:color="444448" w:themeColor="accent4"/>
      </w:tblBorders>
    </w:tblPr>
    <w:tblStylePr w:type="fir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la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D2" w:themeFill="accent4" w:themeFillTint="3F"/>
      </w:tcPr>
    </w:tblStylePr>
    <w:tblStylePr w:type="band1Horz">
      <w:tblPr/>
      <w:tcPr>
        <w:tcBorders>
          <w:left w:val="nil"/>
          <w:right w:val="nil"/>
          <w:insideH w:val="nil"/>
          <w:insideV w:val="nil"/>
        </w:tcBorders>
        <w:shd w:val="clear" w:color="auto" w:fill="CFCFD2" w:themeFill="accent4" w:themeFillTint="3F"/>
      </w:tcPr>
    </w:tblStylePr>
  </w:style>
  <w:style w:type="table" w:styleId="LightShading-Accent5">
    <w:name w:val="Light Shading Accent 5"/>
    <w:basedOn w:val="TableNormal"/>
    <w:uiPriority w:val="60"/>
    <w:rsid w:val="00211B48"/>
    <w:pPr>
      <w:spacing w:before="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211B48"/>
    <w:pPr>
      <w:spacing w:before="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1">
    <w:name w:val="Light List Accent 1"/>
    <w:basedOn w:val="TableNormal"/>
    <w:uiPriority w:val="61"/>
    <w:rsid w:val="00211B48"/>
    <w:pPr>
      <w:spacing w:before="0" w:line="240" w:lineRule="auto"/>
    </w:pPr>
    <w:tblPr>
      <w:tblStyleRowBandSize w:val="1"/>
      <w:tblStyleColBandSize w:val="1"/>
      <w:tblBorders>
        <w:top w:val="single" w:sz="8" w:space="0" w:color="E3CCF4" w:themeColor="accent1"/>
        <w:left w:val="single" w:sz="8" w:space="0" w:color="E3CCF4" w:themeColor="accent1"/>
        <w:bottom w:val="single" w:sz="8" w:space="0" w:color="E3CCF4" w:themeColor="accent1"/>
        <w:right w:val="single" w:sz="8" w:space="0" w:color="E3CCF4" w:themeColor="accent1"/>
      </w:tblBorders>
    </w:tblPr>
    <w:tblStylePr w:type="firstRow">
      <w:pPr>
        <w:spacing w:before="0" w:after="0" w:line="240" w:lineRule="auto"/>
      </w:pPr>
      <w:rPr>
        <w:b/>
        <w:bCs/>
        <w:color w:val="FFFFFF" w:themeColor="background1"/>
      </w:rPr>
      <w:tblPr/>
      <w:tcPr>
        <w:shd w:val="clear" w:color="auto" w:fill="E3CCF4" w:themeFill="accent1"/>
      </w:tcPr>
    </w:tblStylePr>
    <w:tblStylePr w:type="lastRow">
      <w:pPr>
        <w:spacing w:before="0" w:after="0" w:line="240" w:lineRule="auto"/>
      </w:pPr>
      <w:rPr>
        <w:b/>
        <w:bCs/>
      </w:rPr>
      <w:tblPr/>
      <w:tcPr>
        <w:tcBorders>
          <w:top w:val="double" w:sz="6" w:space="0" w:color="E3CCF4" w:themeColor="accent1"/>
          <w:left w:val="single" w:sz="8" w:space="0" w:color="E3CCF4" w:themeColor="accent1"/>
          <w:bottom w:val="single" w:sz="8" w:space="0" w:color="E3CCF4" w:themeColor="accent1"/>
          <w:right w:val="single" w:sz="8" w:space="0" w:color="E3CCF4" w:themeColor="accent1"/>
        </w:tcBorders>
      </w:tcPr>
    </w:tblStylePr>
    <w:tblStylePr w:type="firstCol">
      <w:rPr>
        <w:b/>
        <w:bCs/>
      </w:rPr>
    </w:tblStylePr>
    <w:tblStylePr w:type="lastCol">
      <w:rPr>
        <w:b/>
        <w:bCs/>
      </w:rPr>
    </w:tblStylePr>
    <w:tblStylePr w:type="band1Vert">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tblStylePr w:type="band1Horz">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style>
  <w:style w:type="table" w:styleId="LightList-Accent2">
    <w:name w:val="Light List Accent 2"/>
    <w:basedOn w:val="TableNormal"/>
    <w:uiPriority w:val="61"/>
    <w:rsid w:val="00211B48"/>
    <w:pPr>
      <w:spacing w:before="0" w:line="240" w:lineRule="auto"/>
    </w:pPr>
    <w:tblPr>
      <w:tblStyleRowBandSize w:val="1"/>
      <w:tblStyleColBandSize w:val="1"/>
      <w:tblBorders>
        <w:top w:val="single" w:sz="8" w:space="0" w:color="2B992B" w:themeColor="accent2"/>
        <w:left w:val="single" w:sz="8" w:space="0" w:color="2B992B" w:themeColor="accent2"/>
        <w:bottom w:val="single" w:sz="8" w:space="0" w:color="2B992B" w:themeColor="accent2"/>
        <w:right w:val="single" w:sz="8" w:space="0" w:color="2B992B" w:themeColor="accent2"/>
      </w:tblBorders>
    </w:tblPr>
    <w:tblStylePr w:type="firstRow">
      <w:pPr>
        <w:spacing w:before="0" w:after="0" w:line="240" w:lineRule="auto"/>
      </w:pPr>
      <w:rPr>
        <w:b/>
        <w:bCs/>
        <w:color w:val="FFFFFF" w:themeColor="background1"/>
      </w:rPr>
      <w:tblPr/>
      <w:tcPr>
        <w:shd w:val="clear" w:color="auto" w:fill="2B992B" w:themeFill="accent2"/>
      </w:tcPr>
    </w:tblStylePr>
    <w:tblStylePr w:type="lastRow">
      <w:pPr>
        <w:spacing w:before="0" w:after="0" w:line="240" w:lineRule="auto"/>
      </w:pPr>
      <w:rPr>
        <w:b/>
        <w:bCs/>
      </w:rPr>
      <w:tblPr/>
      <w:tcPr>
        <w:tcBorders>
          <w:top w:val="double" w:sz="6" w:space="0" w:color="2B992B" w:themeColor="accent2"/>
          <w:left w:val="single" w:sz="8" w:space="0" w:color="2B992B" w:themeColor="accent2"/>
          <w:bottom w:val="single" w:sz="8" w:space="0" w:color="2B992B" w:themeColor="accent2"/>
          <w:right w:val="single" w:sz="8" w:space="0" w:color="2B992B" w:themeColor="accent2"/>
        </w:tcBorders>
      </w:tcPr>
    </w:tblStylePr>
    <w:tblStylePr w:type="firstCol">
      <w:rPr>
        <w:b/>
        <w:bCs/>
      </w:rPr>
    </w:tblStylePr>
    <w:tblStylePr w:type="lastCol">
      <w:rPr>
        <w:b/>
        <w:bCs/>
      </w:rPr>
    </w:tblStylePr>
    <w:tblStylePr w:type="band1Vert">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tblStylePr w:type="band1Horz">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style>
  <w:style w:type="table" w:styleId="LightList-Accent3">
    <w:name w:val="Light List Accent 3"/>
    <w:basedOn w:val="TableNormal"/>
    <w:uiPriority w:val="61"/>
    <w:rsid w:val="00211B48"/>
    <w:pPr>
      <w:spacing w:before="0" w:line="240" w:lineRule="auto"/>
    </w:pPr>
    <w:tblPr>
      <w:tblStyleRowBandSize w:val="1"/>
      <w:tblStyleColBandSize w:val="1"/>
      <w:tblBorders>
        <w:top w:val="single" w:sz="8" w:space="0" w:color="258325" w:themeColor="accent3"/>
        <w:left w:val="single" w:sz="8" w:space="0" w:color="258325" w:themeColor="accent3"/>
        <w:bottom w:val="single" w:sz="8" w:space="0" w:color="258325" w:themeColor="accent3"/>
        <w:right w:val="single" w:sz="8" w:space="0" w:color="258325" w:themeColor="accent3"/>
      </w:tblBorders>
    </w:tblPr>
    <w:tblStylePr w:type="firstRow">
      <w:pPr>
        <w:spacing w:before="0" w:after="0" w:line="240" w:lineRule="auto"/>
      </w:pPr>
      <w:rPr>
        <w:b/>
        <w:bCs/>
        <w:color w:val="FFFFFF" w:themeColor="background1"/>
      </w:rPr>
      <w:tblPr/>
      <w:tcPr>
        <w:shd w:val="clear" w:color="auto" w:fill="258325" w:themeFill="accent3"/>
      </w:tcPr>
    </w:tblStylePr>
    <w:tblStylePr w:type="lastRow">
      <w:pPr>
        <w:spacing w:before="0" w:after="0" w:line="240" w:lineRule="auto"/>
      </w:pPr>
      <w:rPr>
        <w:b/>
        <w:bCs/>
      </w:rPr>
      <w:tblPr/>
      <w:tcPr>
        <w:tcBorders>
          <w:top w:val="double" w:sz="6" w:space="0" w:color="258325" w:themeColor="accent3"/>
          <w:left w:val="single" w:sz="8" w:space="0" w:color="258325" w:themeColor="accent3"/>
          <w:bottom w:val="single" w:sz="8" w:space="0" w:color="258325" w:themeColor="accent3"/>
          <w:right w:val="single" w:sz="8" w:space="0" w:color="258325" w:themeColor="accent3"/>
        </w:tcBorders>
      </w:tcPr>
    </w:tblStylePr>
    <w:tblStylePr w:type="firstCol">
      <w:rPr>
        <w:b/>
        <w:bCs/>
      </w:rPr>
    </w:tblStylePr>
    <w:tblStylePr w:type="lastCol">
      <w:rPr>
        <w:b/>
        <w:bCs/>
      </w:rPr>
    </w:tblStylePr>
    <w:tblStylePr w:type="band1Vert">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tblStylePr w:type="band1Horz">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style>
  <w:style w:type="table" w:customStyle="1" w:styleId="GenericARPANSA3">
    <w:name w:val="Generic ARPANSA 3"/>
    <w:basedOn w:val="GenericARPANSA"/>
    <w:uiPriority w:val="99"/>
    <w:rsid w:val="00BE6683"/>
    <w:pPr>
      <w:spacing w:before="0"/>
    </w:pPr>
    <w:tblPr>
      <w:tblBorders>
        <w:top w:val="single" w:sz="4" w:space="0" w:color="4E1A74" w:themeColor="text2"/>
        <w:left w:val="single" w:sz="4" w:space="0" w:color="4E1A74" w:themeColor="text2"/>
        <w:bottom w:val="single" w:sz="4" w:space="0" w:color="4E1A74" w:themeColor="text2"/>
        <w:right w:val="single" w:sz="4" w:space="0" w:color="4E1A74" w:themeColor="text2"/>
        <w:insideH w:val="none" w:sz="0" w:space="0" w:color="auto"/>
        <w:insideV w:val="none" w:sz="0" w:space="0" w:color="auto"/>
      </w:tblBorders>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themeColor="text2"/>
          <w:left w:val="single" w:sz="4" w:space="0" w:color="4E1A74" w:themeColor="text2"/>
          <w:bottom w:val="single" w:sz="4" w:space="0" w:color="4E1A74" w:themeColor="text2"/>
          <w:right w:val="single" w:sz="4" w:space="0" w:color="4E1A74" w:themeColor="text2"/>
          <w:insideH w:val="nil"/>
          <w:insideV w:val="nil"/>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styleId="MediumGrid1-Accent4">
    <w:name w:val="Medium Grid 1 Accent 4"/>
    <w:basedOn w:val="TableNormal"/>
    <w:uiPriority w:val="67"/>
    <w:rsid w:val="00C90747"/>
    <w:pPr>
      <w:spacing w:before="0" w:line="240" w:lineRule="auto"/>
    </w:pPr>
    <w:tblPr>
      <w:tblStyleRowBandSize w:val="1"/>
      <w:tblStyleColBandSize w:val="1"/>
      <w:tblBorders>
        <w:top w:val="single" w:sz="8" w:space="0" w:color="717177" w:themeColor="accent4" w:themeTint="BF"/>
        <w:left w:val="single" w:sz="8" w:space="0" w:color="717177" w:themeColor="accent4" w:themeTint="BF"/>
        <w:bottom w:val="single" w:sz="8" w:space="0" w:color="717177" w:themeColor="accent4" w:themeTint="BF"/>
        <w:right w:val="single" w:sz="8" w:space="0" w:color="717177" w:themeColor="accent4" w:themeTint="BF"/>
        <w:insideH w:val="single" w:sz="8" w:space="0" w:color="717177" w:themeColor="accent4" w:themeTint="BF"/>
        <w:insideV w:val="single" w:sz="8" w:space="0" w:color="717177" w:themeColor="accent4" w:themeTint="BF"/>
      </w:tblBorders>
    </w:tblPr>
    <w:tcPr>
      <w:shd w:val="clear" w:color="auto" w:fill="CFCFD2" w:themeFill="accent4" w:themeFillTint="3F"/>
    </w:tcPr>
    <w:tblStylePr w:type="firstRow">
      <w:rPr>
        <w:b/>
        <w:bCs/>
      </w:rPr>
    </w:tblStylePr>
    <w:tblStylePr w:type="lastRow">
      <w:rPr>
        <w:b/>
        <w:bCs/>
      </w:rPr>
      <w:tblPr/>
      <w:tcPr>
        <w:tcBorders>
          <w:top w:val="single" w:sz="18" w:space="0" w:color="717177" w:themeColor="accent4" w:themeTint="BF"/>
        </w:tcBorders>
      </w:tcPr>
    </w:tblStylePr>
    <w:tblStylePr w:type="firstCol">
      <w:rPr>
        <w:b/>
        <w:bCs/>
      </w:rPr>
    </w:tblStylePr>
    <w:tblStylePr w:type="lastCol">
      <w:rPr>
        <w:b/>
        <w:bCs/>
      </w:rPr>
    </w:tblStylePr>
    <w:tblStylePr w:type="band1Vert">
      <w:tblPr/>
      <w:tcPr>
        <w:shd w:val="clear" w:color="auto" w:fill="A0A0A5" w:themeFill="accent4" w:themeFillTint="7F"/>
      </w:tcPr>
    </w:tblStylePr>
    <w:tblStylePr w:type="band1Horz">
      <w:tblPr/>
      <w:tcPr>
        <w:shd w:val="clear" w:color="auto" w:fill="A0A0A5" w:themeFill="accent4" w:themeFillTint="7F"/>
      </w:tcPr>
    </w:tblStylePr>
  </w:style>
  <w:style w:type="table" w:customStyle="1" w:styleId="GenericARPANSA4">
    <w:name w:val="Generic ARPANSA 4"/>
    <w:basedOn w:val="GenericARPANSA"/>
    <w:uiPriority w:val="99"/>
    <w:rsid w:val="00C90747"/>
    <w:pPr>
      <w:spacing w:before="0"/>
    </w:pPr>
    <w:tblPr>
      <w:tblStyleColBandSize w:val="1"/>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firstCol">
      <w:rPr>
        <w:b/>
      </w:rPr>
    </w:tblStylePr>
    <w:tblStylePr w:type="lastCol">
      <w:rPr>
        <w:b/>
      </w:rPr>
    </w:tblStylePr>
    <w:tblStylePr w:type="band2Vert">
      <w:tblPr/>
      <w:tcPr>
        <w:shd w:val="clear" w:color="auto" w:fill="F6EFFB"/>
      </w:tcPr>
    </w:tblStylePr>
    <w:tblStylePr w:type="band2Horz">
      <w:tblPr/>
      <w:tcPr>
        <w:shd w:val="clear" w:color="auto" w:fill="F6EFFB"/>
      </w:tcPr>
    </w:tblStylePr>
  </w:style>
  <w:style w:type="paragraph" w:customStyle="1" w:styleId="Text">
    <w:name w:val="Text"/>
    <w:basedOn w:val="Normal"/>
    <w:uiPriority w:val="99"/>
    <w:rsid w:val="00067C8C"/>
    <w:pPr>
      <w:suppressAutoHyphens/>
      <w:autoSpaceDE w:val="0"/>
      <w:autoSpaceDN w:val="0"/>
      <w:adjustRightInd w:val="0"/>
      <w:spacing w:before="200" w:after="113" w:line="340" w:lineRule="atLeast"/>
    </w:pPr>
    <w:rPr>
      <w:rFonts w:ascii="Calibri" w:eastAsia="Times New Roman" w:hAnsi="Calibri" w:cs="Calibri"/>
      <w:color w:val="000000"/>
      <w:szCs w:val="24"/>
      <w:lang w:val="en-US" w:eastAsia="en-AU"/>
    </w:rPr>
  </w:style>
  <w:style w:type="paragraph" w:customStyle="1" w:styleId="TechRep">
    <w:name w:val="Tech Rep"/>
    <w:basedOn w:val="Normal"/>
    <w:link w:val="TechRepChar"/>
    <w:qFormat/>
    <w:rsid w:val="00067C8C"/>
    <w:pPr>
      <w:spacing w:before="200" w:after="240"/>
      <w:jc w:val="both"/>
    </w:pPr>
    <w:rPr>
      <w:rFonts w:ascii="Calibri" w:eastAsia="Calibri" w:hAnsi="Calibri" w:cs="Times New Roman"/>
      <w:color w:val="22508C" w:themeColor="text1" w:themeTint="D9"/>
      <w:szCs w:val="24"/>
    </w:rPr>
  </w:style>
  <w:style w:type="character" w:customStyle="1" w:styleId="TechRepChar">
    <w:name w:val="Tech Rep Char"/>
    <w:link w:val="TechRep"/>
    <w:rsid w:val="00067C8C"/>
    <w:rPr>
      <w:rFonts w:ascii="Calibri" w:eastAsia="Calibri" w:hAnsi="Calibri" w:cs="Times New Roman"/>
      <w:color w:val="22508C" w:themeColor="text1" w:themeTint="D9"/>
      <w:szCs w:val="24"/>
    </w:rPr>
  </w:style>
  <w:style w:type="paragraph" w:customStyle="1" w:styleId="Recommendation">
    <w:name w:val="Recommendation"/>
    <w:basedOn w:val="Normal"/>
    <w:qFormat/>
    <w:rsid w:val="00FE4B31"/>
    <w:pPr>
      <w:pBdr>
        <w:top w:val="single" w:sz="4" w:space="12" w:color="F3EAFA"/>
        <w:left w:val="single" w:sz="4" w:space="12" w:color="F3EAFA"/>
        <w:bottom w:val="single" w:sz="4" w:space="12" w:color="F3EAFA"/>
        <w:right w:val="single" w:sz="4" w:space="12" w:color="F3EAFA"/>
      </w:pBdr>
      <w:shd w:val="clear" w:color="auto" w:fill="F3EAFA"/>
      <w:spacing w:before="360" w:after="360"/>
      <w:ind w:left="284" w:right="284"/>
    </w:pPr>
    <w:rPr>
      <w:b/>
      <w:color w:val="4E1A74" w:themeColor="text2"/>
      <w:sz w:val="24"/>
    </w:rPr>
  </w:style>
  <w:style w:type="character" w:styleId="IntenseReference">
    <w:name w:val="Intense Reference"/>
    <w:basedOn w:val="DefaultParagraphFont"/>
    <w:uiPriority w:val="32"/>
    <w:qFormat/>
    <w:rsid w:val="00051729"/>
    <w:rPr>
      <w:b/>
      <w:bCs/>
      <w:smallCaps/>
      <w:color w:val="2B992B" w:themeColor="accent2"/>
      <w:spacing w:val="5"/>
      <w:u w:val="single"/>
    </w:rPr>
  </w:style>
  <w:style w:type="character" w:styleId="BookTitle">
    <w:name w:val="Book Title"/>
    <w:basedOn w:val="DefaultParagraphFont"/>
    <w:uiPriority w:val="33"/>
    <w:rsid w:val="00051729"/>
    <w:rPr>
      <w:b/>
      <w:bCs/>
      <w:smallCaps/>
      <w:spacing w:val="5"/>
    </w:rPr>
  </w:style>
  <w:style w:type="paragraph" w:styleId="Quote">
    <w:name w:val="Quote"/>
    <w:basedOn w:val="Normal"/>
    <w:next w:val="Normal"/>
    <w:link w:val="QuoteChar"/>
    <w:uiPriority w:val="29"/>
    <w:qFormat/>
    <w:rsid w:val="00051729"/>
    <w:rPr>
      <w:i/>
      <w:iCs/>
      <w:color w:val="17365D" w:themeColor="text1"/>
    </w:rPr>
  </w:style>
  <w:style w:type="character" w:customStyle="1" w:styleId="QuoteChar">
    <w:name w:val="Quote Char"/>
    <w:basedOn w:val="DefaultParagraphFont"/>
    <w:link w:val="Quote"/>
    <w:uiPriority w:val="29"/>
    <w:rsid w:val="00051729"/>
    <w:rPr>
      <w:i/>
      <w:iCs/>
      <w:color w:val="17365D" w:themeColor="text1"/>
    </w:rPr>
  </w:style>
  <w:style w:type="character" w:styleId="Strong">
    <w:name w:val="Strong"/>
    <w:basedOn w:val="DefaultParagraphFont"/>
    <w:uiPriority w:val="22"/>
    <w:qFormat/>
    <w:rsid w:val="00051729"/>
    <w:rPr>
      <w:b/>
      <w:bCs/>
    </w:rPr>
  </w:style>
  <w:style w:type="paragraph" w:customStyle="1" w:styleId="Heading1Nonumber">
    <w:name w:val="Heading 1 No number"/>
    <w:basedOn w:val="Heading1"/>
    <w:qFormat/>
    <w:rsid w:val="00AD297B"/>
    <w:pPr>
      <w:numPr>
        <w:numId w:val="0"/>
      </w:numPr>
    </w:pPr>
  </w:style>
  <w:style w:type="paragraph" w:styleId="TOC4">
    <w:name w:val="toc 4"/>
    <w:basedOn w:val="Heading1"/>
    <w:next w:val="Normal"/>
    <w:autoRedefine/>
    <w:uiPriority w:val="39"/>
    <w:semiHidden/>
    <w:unhideWhenUsed/>
    <w:rsid w:val="002E450D"/>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256841">
      <w:bodyDiv w:val="1"/>
      <w:marLeft w:val="0"/>
      <w:marRight w:val="0"/>
      <w:marTop w:val="0"/>
      <w:marBottom w:val="0"/>
      <w:divBdr>
        <w:top w:val="none" w:sz="0" w:space="0" w:color="auto"/>
        <w:left w:val="none" w:sz="0" w:space="0" w:color="auto"/>
        <w:bottom w:val="none" w:sz="0" w:space="0" w:color="auto"/>
        <w:right w:val="none" w:sz="0" w:space="0" w:color="auto"/>
      </w:divBdr>
    </w:div>
    <w:div w:id="2103067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footer" Target="footer4.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nfo@arpansa.gov.au" TargetMode="External"/><Relationship Id="rId29" Type="http://schemas.openxmlformats.org/officeDocument/2006/relationships/image" Target="media/image9.png"/><Relationship Id="rId11" Type="http://schemas.openxmlformats.org/officeDocument/2006/relationships/header" Target="header2.xml"/><Relationship Id="rId24" Type="http://schemas.openxmlformats.org/officeDocument/2006/relationships/hyperlink" Target="https://stats.oecd.org/"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creativecommons.org/licenses/by/3.0/au" TargetMode="External"/><Relationship Id="rId22" Type="http://schemas.openxmlformats.org/officeDocument/2006/relationships/hyperlink" Target="https://www.safetyandquality.gov.au/standards/diagnostic-imaging/diagnostic-imaging-accreditation-scheme-standards"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arpansa.gov.au"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image" Target="media/image21.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pmc.gov.au/government/commonwealth-coat-arms" TargetMode="External"/><Relationship Id="rId23" Type="http://schemas.openxmlformats.org/officeDocument/2006/relationships/hyperlink" Target="https://www.arpansa.gov.au/research-and-expertise/surveys/national-diagnostic-reference-level-service/current-australian-drls"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footer" Target="footer5.xml"/><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2" Type="http://schemas.openxmlformats.org/officeDocument/2006/relationships/hyperlink" Target="https://www.arpansa.gov.au/sites/default/files/tr180.pdf" TargetMode="External"/><Relationship Id="rId1" Type="http://schemas.openxmlformats.org/officeDocument/2006/relationships/hyperlink" Target="https://www.legislation.gov.au/Details/C2016C0097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ustom 1">
      <a:dk1>
        <a:srgbClr val="17365D"/>
      </a:dk1>
      <a:lt1>
        <a:sysClr val="window" lastClr="FFFFFF"/>
      </a:lt1>
      <a:dk2>
        <a:srgbClr val="4E1A74"/>
      </a:dk2>
      <a:lt2>
        <a:srgbClr val="EEECE1"/>
      </a:lt2>
      <a:accent1>
        <a:srgbClr val="E3CCF4"/>
      </a:accent1>
      <a:accent2>
        <a:srgbClr val="2B992B"/>
      </a:accent2>
      <a:accent3>
        <a:srgbClr val="258325"/>
      </a:accent3>
      <a:accent4>
        <a:srgbClr val="444448"/>
      </a:accent4>
      <a:accent5>
        <a:srgbClr val="4BACC6"/>
      </a:accent5>
      <a:accent6>
        <a:srgbClr val="F79646"/>
      </a:accent6>
      <a:hlink>
        <a:srgbClr val="4E1A74"/>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D53E6EE8-50B2-4685-8716-28EBCAD8D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3495</Words>
  <Characters>19923</Characters>
  <Application>Microsoft Office Word</Application>
  <DocSecurity>0</DocSecurity>
  <Lines>166</Lines>
  <Paragraphs>46</Paragraphs>
  <ScaleCrop>false</ScaleCrop>
  <Company/>
  <LinksUpToDate>false</LinksUpToDate>
  <CharactersWithSpaces>23372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 Report 187</dc:title>
  <dc:creator/>
  <cp:lastModifiedBy/>
  <cp:revision>1</cp:revision>
  <dcterms:created xsi:type="dcterms:W3CDTF">2022-04-20T00:08:00Z</dcterms:created>
  <dcterms:modified xsi:type="dcterms:W3CDTF">2022-04-20T00:08:00Z</dcterms:modified>
</cp:coreProperties>
</file>