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146E96" w14:textId="4CD828F0" w:rsidR="00067C8C" w:rsidRDefault="009D7451" w:rsidP="00067C8C">
      <w:pPr>
        <w:pStyle w:val="Title"/>
      </w:pPr>
      <w:r>
        <w:rPr>
          <w:noProof/>
          <w:lang w:eastAsia="en-AU"/>
        </w:rPr>
        <w:drawing>
          <wp:anchor distT="0" distB="0" distL="114300" distR="114300" simplePos="0" relativeHeight="251706368" behindDoc="1" locked="0" layoutInCell="1" allowOverlap="1" wp14:anchorId="588B60F4" wp14:editId="45EFE50F">
            <wp:simplePos x="0" y="0"/>
            <wp:positionH relativeFrom="column">
              <wp:posOffset>-699209</wp:posOffset>
            </wp:positionH>
            <wp:positionV relativeFrom="paragraph">
              <wp:posOffset>-720237</wp:posOffset>
            </wp:positionV>
            <wp:extent cx="7558828" cy="10692000"/>
            <wp:effectExtent l="0" t="0" r="444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NS cover 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58828" cy="10692000"/>
                    </a:xfrm>
                    <a:prstGeom prst="rect">
                      <a:avLst/>
                    </a:prstGeom>
                  </pic:spPr>
                </pic:pic>
              </a:graphicData>
            </a:graphic>
            <wp14:sizeRelH relativeFrom="page">
              <wp14:pctWidth>0</wp14:pctWidth>
            </wp14:sizeRelH>
            <wp14:sizeRelV relativeFrom="page">
              <wp14:pctHeight>0</wp14:pctHeight>
            </wp14:sizeRelV>
          </wp:anchor>
        </w:drawing>
      </w:r>
    </w:p>
    <w:p w14:paraId="7EE36F1F" w14:textId="65A804DC" w:rsidR="00067C8C" w:rsidRDefault="00067C8C" w:rsidP="00067C8C">
      <w:pPr>
        <w:pStyle w:val="Title"/>
      </w:pPr>
    </w:p>
    <w:p w14:paraId="762AE80D" w14:textId="77777777" w:rsidR="00067C8C" w:rsidRDefault="00067C8C" w:rsidP="00067C8C">
      <w:pPr>
        <w:pStyle w:val="Title"/>
      </w:pPr>
    </w:p>
    <w:p w14:paraId="67153B39" w14:textId="5D796A47" w:rsidR="00067C8C" w:rsidRDefault="00067C8C" w:rsidP="00067C8C">
      <w:pPr>
        <w:pStyle w:val="Title"/>
      </w:pPr>
    </w:p>
    <w:p w14:paraId="15EF1CA2" w14:textId="4272083C" w:rsidR="00340DB7" w:rsidRDefault="00340DB7" w:rsidP="00340DB7"/>
    <w:p w14:paraId="2BB2C3C2" w14:textId="77777777" w:rsidR="00340DB7" w:rsidRPr="00340DB7" w:rsidRDefault="00340DB7" w:rsidP="00340DB7"/>
    <w:p w14:paraId="48803A60" w14:textId="77777777" w:rsidR="00310092" w:rsidRPr="00310092" w:rsidRDefault="00310092" w:rsidP="00310092"/>
    <w:p w14:paraId="7A4C54DB" w14:textId="77777777" w:rsidR="00067C8C" w:rsidRDefault="00067C8C" w:rsidP="00067C8C"/>
    <w:p w14:paraId="5D60498C" w14:textId="77777777" w:rsidR="00067C8C" w:rsidRDefault="00067C8C" w:rsidP="00067C8C"/>
    <w:p w14:paraId="51F26097" w14:textId="77777777" w:rsidR="00067C8C" w:rsidRDefault="00067C8C" w:rsidP="00340DB7">
      <w:pPr>
        <w:jc w:val="right"/>
      </w:pPr>
    </w:p>
    <w:p w14:paraId="5A706DCD" w14:textId="77777777" w:rsidR="00067C8C" w:rsidRDefault="00067C8C">
      <w:r>
        <w:br w:type="page"/>
      </w:r>
    </w:p>
    <w:p w14:paraId="58F03271" w14:textId="77777777" w:rsidR="00537500" w:rsidRDefault="00537500" w:rsidP="00537500">
      <w:pPr>
        <w:pStyle w:val="Heading1Nonumber"/>
      </w:pPr>
      <w:bookmarkStart w:id="0" w:name="_Toc12537939"/>
      <w:r>
        <w:lastRenderedPageBreak/>
        <w:t>Acknowledgement of Country</w:t>
      </w:r>
      <w:bookmarkEnd w:id="0"/>
      <w:r>
        <w:t xml:space="preserve"> </w:t>
      </w:r>
    </w:p>
    <w:p w14:paraId="11CBF9B6" w14:textId="0CC580FE" w:rsidR="00537500" w:rsidRDefault="007344C2" w:rsidP="00537500">
      <w:r>
        <w:t xml:space="preserve">The Australian Government </w:t>
      </w:r>
      <w:r w:rsidR="00537500">
        <w:t>respectfully acknowledges Australia’s Aboriginal and Torres Strait Islander communities and their rich culture and pays respect to their Elders past and present. We acknowledge Aboriginal and Torres Strait Islander people</w:t>
      </w:r>
      <w:r>
        <w:t>s</w:t>
      </w:r>
      <w:r w:rsidR="00537500">
        <w:t xml:space="preserve"> as Australia’s first peoples and as the Traditional Owners and custodians of the land and water on which we rely.</w:t>
      </w:r>
    </w:p>
    <w:p w14:paraId="4B0F1A90" w14:textId="778710DD" w:rsidR="00244A6C" w:rsidRDefault="00537500" w:rsidP="00537500">
      <w:r>
        <w:t>We recognise and value the ongoing contribution of Aboriginal and Torres Strait Islander people</w:t>
      </w:r>
      <w:r w:rsidR="007344C2">
        <w:t>s</w:t>
      </w:r>
      <w:r>
        <w:t xml:space="preserve"> and communities to Australian life and how this enriches us. We embrace the spirit of reconciliation, working towards the equality of outcomes and ensuring an equal voice. </w:t>
      </w:r>
      <w:r w:rsidR="004219C4">
        <w:br w:type="page"/>
      </w:r>
    </w:p>
    <w:p w14:paraId="579EE58B" w14:textId="77777777" w:rsidR="00BD70CE" w:rsidRDefault="00067C8C" w:rsidP="00841ED8">
      <w:pPr>
        <w:rPr>
          <w:noProof/>
        </w:rPr>
      </w:pPr>
      <w:r w:rsidRPr="004219C4">
        <w:rPr>
          <w:b/>
          <w:color w:val="4E1A74" w:themeColor="text2"/>
          <w:sz w:val="32"/>
        </w:rPr>
        <w:lastRenderedPageBreak/>
        <w:t>C</w:t>
      </w:r>
      <w:r w:rsidR="004219C4">
        <w:rPr>
          <w:b/>
          <w:color w:val="4E1A74" w:themeColor="text2"/>
          <w:sz w:val="32"/>
        </w:rPr>
        <w:t>ontents</w:t>
      </w:r>
      <w:r w:rsidR="00841ED8">
        <w:rPr>
          <w:bCs/>
        </w:rPr>
        <w:fldChar w:fldCharType="begin"/>
      </w:r>
      <w:r w:rsidR="00841ED8">
        <w:rPr>
          <w:bCs/>
        </w:rPr>
        <w:instrText xml:space="preserve"> TOC \o "1-1" \h \z \u </w:instrText>
      </w:r>
      <w:r w:rsidR="00841ED8">
        <w:rPr>
          <w:bCs/>
        </w:rPr>
        <w:fldChar w:fldCharType="separate"/>
      </w:r>
    </w:p>
    <w:p w14:paraId="05D8D992" w14:textId="4B37FFDF" w:rsidR="00BD70CE" w:rsidRDefault="00323133">
      <w:pPr>
        <w:pStyle w:val="TOC1"/>
        <w:rPr>
          <w:rFonts w:eastAsiaTheme="minorEastAsia"/>
          <w:b w:val="0"/>
          <w:noProof/>
          <w:color w:val="auto"/>
          <w:lang w:eastAsia="en-AU"/>
        </w:rPr>
      </w:pPr>
      <w:hyperlink w:anchor="_Toc12537939" w:history="1">
        <w:r w:rsidR="00BD70CE" w:rsidRPr="00556B3B">
          <w:rPr>
            <w:rStyle w:val="Hyperlink"/>
            <w:noProof/>
          </w:rPr>
          <w:t>Acknowledgement of Country</w:t>
        </w:r>
        <w:r w:rsidR="00BD70CE">
          <w:rPr>
            <w:noProof/>
            <w:webHidden/>
          </w:rPr>
          <w:tab/>
        </w:r>
        <w:r w:rsidR="00BD70CE">
          <w:rPr>
            <w:noProof/>
            <w:webHidden/>
          </w:rPr>
          <w:fldChar w:fldCharType="begin"/>
        </w:r>
        <w:r w:rsidR="00BD70CE">
          <w:rPr>
            <w:noProof/>
            <w:webHidden/>
          </w:rPr>
          <w:instrText xml:space="preserve"> PAGEREF _Toc12537939 \h </w:instrText>
        </w:r>
        <w:r w:rsidR="00BD70CE">
          <w:rPr>
            <w:noProof/>
            <w:webHidden/>
          </w:rPr>
        </w:r>
        <w:r w:rsidR="00BD70CE">
          <w:rPr>
            <w:noProof/>
            <w:webHidden/>
          </w:rPr>
          <w:fldChar w:fldCharType="separate"/>
        </w:r>
        <w:r>
          <w:rPr>
            <w:noProof/>
            <w:webHidden/>
          </w:rPr>
          <w:t>ii</w:t>
        </w:r>
        <w:r w:rsidR="00BD70CE">
          <w:rPr>
            <w:noProof/>
            <w:webHidden/>
          </w:rPr>
          <w:fldChar w:fldCharType="end"/>
        </w:r>
      </w:hyperlink>
    </w:p>
    <w:p w14:paraId="6B1F61DF" w14:textId="42C5F740" w:rsidR="00BD70CE" w:rsidRDefault="00323133">
      <w:pPr>
        <w:pStyle w:val="TOC1"/>
        <w:rPr>
          <w:rFonts w:eastAsiaTheme="minorEastAsia"/>
          <w:b w:val="0"/>
          <w:noProof/>
          <w:color w:val="auto"/>
          <w:lang w:eastAsia="en-AU"/>
        </w:rPr>
      </w:pPr>
      <w:hyperlink w:anchor="_Toc12537940" w:history="1">
        <w:r w:rsidR="00BD70CE" w:rsidRPr="00556B3B">
          <w:rPr>
            <w:rStyle w:val="Hyperlink"/>
            <w:noProof/>
          </w:rPr>
          <w:t>Introduction</w:t>
        </w:r>
        <w:r w:rsidR="00BD70CE">
          <w:rPr>
            <w:noProof/>
            <w:webHidden/>
          </w:rPr>
          <w:tab/>
        </w:r>
        <w:r w:rsidR="00BD70CE">
          <w:rPr>
            <w:noProof/>
            <w:webHidden/>
          </w:rPr>
          <w:fldChar w:fldCharType="begin"/>
        </w:r>
        <w:r w:rsidR="00BD70CE">
          <w:rPr>
            <w:noProof/>
            <w:webHidden/>
          </w:rPr>
          <w:instrText xml:space="preserve"> PAGEREF _Toc12537940 \h </w:instrText>
        </w:r>
        <w:r w:rsidR="00BD70CE">
          <w:rPr>
            <w:noProof/>
            <w:webHidden/>
          </w:rPr>
        </w:r>
        <w:r w:rsidR="00BD70CE">
          <w:rPr>
            <w:noProof/>
            <w:webHidden/>
          </w:rPr>
          <w:fldChar w:fldCharType="separate"/>
        </w:r>
        <w:r>
          <w:rPr>
            <w:noProof/>
            <w:webHidden/>
          </w:rPr>
          <w:t>4</w:t>
        </w:r>
        <w:r w:rsidR="00BD70CE">
          <w:rPr>
            <w:noProof/>
            <w:webHidden/>
          </w:rPr>
          <w:fldChar w:fldCharType="end"/>
        </w:r>
      </w:hyperlink>
    </w:p>
    <w:p w14:paraId="2DFA8BD1" w14:textId="2343317D" w:rsidR="00BD70CE" w:rsidRDefault="00323133">
      <w:pPr>
        <w:pStyle w:val="TOC1"/>
        <w:rPr>
          <w:rFonts w:eastAsiaTheme="minorEastAsia"/>
          <w:b w:val="0"/>
          <w:noProof/>
          <w:color w:val="auto"/>
          <w:lang w:eastAsia="en-AU"/>
        </w:rPr>
      </w:pPr>
      <w:hyperlink w:anchor="_Toc12537941" w:history="1">
        <w:r w:rsidR="00BD70CE" w:rsidRPr="00556B3B">
          <w:rPr>
            <w:rStyle w:val="Hyperlink"/>
            <w:noProof/>
          </w:rPr>
          <w:t>Summary</w:t>
        </w:r>
        <w:r w:rsidR="00BD70CE">
          <w:rPr>
            <w:noProof/>
            <w:webHidden/>
          </w:rPr>
          <w:tab/>
        </w:r>
        <w:r w:rsidR="00BD70CE">
          <w:rPr>
            <w:noProof/>
            <w:webHidden/>
          </w:rPr>
          <w:fldChar w:fldCharType="begin"/>
        </w:r>
        <w:r w:rsidR="00BD70CE">
          <w:rPr>
            <w:noProof/>
            <w:webHidden/>
          </w:rPr>
          <w:instrText xml:space="preserve"> PAGEREF _Toc12537941 \h </w:instrText>
        </w:r>
        <w:r w:rsidR="00BD70CE">
          <w:rPr>
            <w:noProof/>
            <w:webHidden/>
          </w:rPr>
        </w:r>
        <w:r w:rsidR="00BD70CE">
          <w:rPr>
            <w:noProof/>
            <w:webHidden/>
          </w:rPr>
          <w:fldChar w:fldCharType="separate"/>
        </w:r>
        <w:r>
          <w:rPr>
            <w:noProof/>
            <w:webHidden/>
          </w:rPr>
          <w:t>8</w:t>
        </w:r>
        <w:r w:rsidR="00BD70CE">
          <w:rPr>
            <w:noProof/>
            <w:webHidden/>
          </w:rPr>
          <w:fldChar w:fldCharType="end"/>
        </w:r>
      </w:hyperlink>
    </w:p>
    <w:p w14:paraId="7FD2A8AA" w14:textId="7CADC4AC" w:rsidR="00BD70CE" w:rsidRDefault="00323133">
      <w:pPr>
        <w:pStyle w:val="TOC1"/>
        <w:rPr>
          <w:rFonts w:eastAsiaTheme="minorEastAsia"/>
          <w:b w:val="0"/>
          <w:noProof/>
          <w:color w:val="auto"/>
          <w:lang w:eastAsia="en-AU"/>
        </w:rPr>
      </w:pPr>
      <w:hyperlink w:anchor="_Toc12537942" w:history="1">
        <w:r w:rsidR="00BD70CE" w:rsidRPr="00556B3B">
          <w:rPr>
            <w:rStyle w:val="Hyperlink"/>
            <w:noProof/>
          </w:rPr>
          <w:t>Article 6 – Existing Nuclear Installations</w:t>
        </w:r>
        <w:r w:rsidR="00BD70CE">
          <w:rPr>
            <w:noProof/>
            <w:webHidden/>
          </w:rPr>
          <w:tab/>
        </w:r>
        <w:r w:rsidR="00BD70CE">
          <w:rPr>
            <w:noProof/>
            <w:webHidden/>
          </w:rPr>
          <w:fldChar w:fldCharType="begin"/>
        </w:r>
        <w:r w:rsidR="00BD70CE">
          <w:rPr>
            <w:noProof/>
            <w:webHidden/>
          </w:rPr>
          <w:instrText xml:space="preserve"> PAGEREF _Toc12537942 \h </w:instrText>
        </w:r>
        <w:r w:rsidR="00BD70CE">
          <w:rPr>
            <w:noProof/>
            <w:webHidden/>
          </w:rPr>
        </w:r>
        <w:r w:rsidR="00BD70CE">
          <w:rPr>
            <w:noProof/>
            <w:webHidden/>
          </w:rPr>
          <w:fldChar w:fldCharType="separate"/>
        </w:r>
        <w:r>
          <w:rPr>
            <w:noProof/>
            <w:webHidden/>
          </w:rPr>
          <w:t>14</w:t>
        </w:r>
        <w:r w:rsidR="00BD70CE">
          <w:rPr>
            <w:noProof/>
            <w:webHidden/>
          </w:rPr>
          <w:fldChar w:fldCharType="end"/>
        </w:r>
      </w:hyperlink>
    </w:p>
    <w:p w14:paraId="4F9D767F" w14:textId="23E961EE" w:rsidR="00BD70CE" w:rsidRDefault="00323133">
      <w:pPr>
        <w:pStyle w:val="TOC1"/>
        <w:rPr>
          <w:rFonts w:eastAsiaTheme="minorEastAsia"/>
          <w:b w:val="0"/>
          <w:noProof/>
          <w:color w:val="auto"/>
          <w:lang w:eastAsia="en-AU"/>
        </w:rPr>
      </w:pPr>
      <w:hyperlink w:anchor="_Toc12537943" w:history="1">
        <w:r w:rsidR="00BD70CE" w:rsidRPr="00556B3B">
          <w:rPr>
            <w:rStyle w:val="Hyperlink"/>
            <w:noProof/>
          </w:rPr>
          <w:t>Article 7 – Legislative and Regulatory Framework</w:t>
        </w:r>
        <w:r w:rsidR="00BD70CE">
          <w:rPr>
            <w:noProof/>
            <w:webHidden/>
          </w:rPr>
          <w:tab/>
        </w:r>
        <w:r w:rsidR="00BD70CE">
          <w:rPr>
            <w:noProof/>
            <w:webHidden/>
          </w:rPr>
          <w:fldChar w:fldCharType="begin"/>
        </w:r>
        <w:r w:rsidR="00BD70CE">
          <w:rPr>
            <w:noProof/>
            <w:webHidden/>
          </w:rPr>
          <w:instrText xml:space="preserve"> PAGEREF _Toc12537943 \h </w:instrText>
        </w:r>
        <w:r w:rsidR="00BD70CE">
          <w:rPr>
            <w:noProof/>
            <w:webHidden/>
          </w:rPr>
        </w:r>
        <w:r w:rsidR="00BD70CE">
          <w:rPr>
            <w:noProof/>
            <w:webHidden/>
          </w:rPr>
          <w:fldChar w:fldCharType="separate"/>
        </w:r>
        <w:r>
          <w:rPr>
            <w:noProof/>
            <w:webHidden/>
          </w:rPr>
          <w:t>17</w:t>
        </w:r>
        <w:r w:rsidR="00BD70CE">
          <w:rPr>
            <w:noProof/>
            <w:webHidden/>
          </w:rPr>
          <w:fldChar w:fldCharType="end"/>
        </w:r>
      </w:hyperlink>
    </w:p>
    <w:p w14:paraId="66D7BFF9" w14:textId="0AD1B3AD" w:rsidR="00BD70CE" w:rsidRDefault="00323133">
      <w:pPr>
        <w:pStyle w:val="TOC1"/>
        <w:rPr>
          <w:rFonts w:eastAsiaTheme="minorEastAsia"/>
          <w:b w:val="0"/>
          <w:noProof/>
          <w:color w:val="auto"/>
          <w:lang w:eastAsia="en-AU"/>
        </w:rPr>
      </w:pPr>
      <w:hyperlink w:anchor="_Toc12537944" w:history="1">
        <w:r w:rsidR="00BD70CE" w:rsidRPr="00556B3B">
          <w:rPr>
            <w:rStyle w:val="Hyperlink"/>
            <w:noProof/>
          </w:rPr>
          <w:t>Article 8 – Regulatory Body</w:t>
        </w:r>
        <w:r w:rsidR="00BD70CE">
          <w:rPr>
            <w:noProof/>
            <w:webHidden/>
          </w:rPr>
          <w:tab/>
        </w:r>
        <w:r w:rsidR="00BD70CE">
          <w:rPr>
            <w:noProof/>
            <w:webHidden/>
          </w:rPr>
          <w:fldChar w:fldCharType="begin"/>
        </w:r>
        <w:r w:rsidR="00BD70CE">
          <w:rPr>
            <w:noProof/>
            <w:webHidden/>
          </w:rPr>
          <w:instrText xml:space="preserve"> PAGEREF _Toc12537944 \h </w:instrText>
        </w:r>
        <w:r w:rsidR="00BD70CE">
          <w:rPr>
            <w:noProof/>
            <w:webHidden/>
          </w:rPr>
        </w:r>
        <w:r w:rsidR="00BD70CE">
          <w:rPr>
            <w:noProof/>
            <w:webHidden/>
          </w:rPr>
          <w:fldChar w:fldCharType="separate"/>
        </w:r>
        <w:r>
          <w:rPr>
            <w:noProof/>
            <w:webHidden/>
          </w:rPr>
          <w:t>21</w:t>
        </w:r>
        <w:r w:rsidR="00BD70CE">
          <w:rPr>
            <w:noProof/>
            <w:webHidden/>
          </w:rPr>
          <w:fldChar w:fldCharType="end"/>
        </w:r>
      </w:hyperlink>
    </w:p>
    <w:p w14:paraId="7DECAB7D" w14:textId="1334AFBB" w:rsidR="00BD70CE" w:rsidRDefault="00323133">
      <w:pPr>
        <w:pStyle w:val="TOC1"/>
        <w:rPr>
          <w:rFonts w:eastAsiaTheme="minorEastAsia"/>
          <w:b w:val="0"/>
          <w:noProof/>
          <w:color w:val="auto"/>
          <w:lang w:eastAsia="en-AU"/>
        </w:rPr>
      </w:pPr>
      <w:hyperlink w:anchor="_Toc12537945" w:history="1">
        <w:r w:rsidR="00BD70CE" w:rsidRPr="00556B3B">
          <w:rPr>
            <w:rStyle w:val="Hyperlink"/>
            <w:noProof/>
          </w:rPr>
          <w:t>Article 9 – Responsibility of the Licence Holder</w:t>
        </w:r>
        <w:r w:rsidR="00BD70CE">
          <w:rPr>
            <w:noProof/>
            <w:webHidden/>
          </w:rPr>
          <w:tab/>
        </w:r>
        <w:r w:rsidR="00BD70CE">
          <w:rPr>
            <w:noProof/>
            <w:webHidden/>
          </w:rPr>
          <w:fldChar w:fldCharType="begin"/>
        </w:r>
        <w:r w:rsidR="00BD70CE">
          <w:rPr>
            <w:noProof/>
            <w:webHidden/>
          </w:rPr>
          <w:instrText xml:space="preserve"> PAGEREF _Toc12537945 \h </w:instrText>
        </w:r>
        <w:r w:rsidR="00BD70CE">
          <w:rPr>
            <w:noProof/>
            <w:webHidden/>
          </w:rPr>
        </w:r>
        <w:r w:rsidR="00BD70CE">
          <w:rPr>
            <w:noProof/>
            <w:webHidden/>
          </w:rPr>
          <w:fldChar w:fldCharType="separate"/>
        </w:r>
        <w:r>
          <w:rPr>
            <w:noProof/>
            <w:webHidden/>
          </w:rPr>
          <w:t>27</w:t>
        </w:r>
        <w:r w:rsidR="00BD70CE">
          <w:rPr>
            <w:noProof/>
            <w:webHidden/>
          </w:rPr>
          <w:fldChar w:fldCharType="end"/>
        </w:r>
      </w:hyperlink>
    </w:p>
    <w:p w14:paraId="7B7BDA29" w14:textId="0DE2D5D9" w:rsidR="00BD70CE" w:rsidRDefault="00323133">
      <w:pPr>
        <w:pStyle w:val="TOC1"/>
        <w:rPr>
          <w:rFonts w:eastAsiaTheme="minorEastAsia"/>
          <w:b w:val="0"/>
          <w:noProof/>
          <w:color w:val="auto"/>
          <w:lang w:eastAsia="en-AU"/>
        </w:rPr>
      </w:pPr>
      <w:hyperlink w:anchor="_Toc12537946" w:history="1">
        <w:r w:rsidR="00BD70CE" w:rsidRPr="00556B3B">
          <w:rPr>
            <w:rStyle w:val="Hyperlink"/>
            <w:noProof/>
          </w:rPr>
          <w:t>Article 10 – Priority to Safety</w:t>
        </w:r>
        <w:r w:rsidR="00BD70CE">
          <w:rPr>
            <w:noProof/>
            <w:webHidden/>
          </w:rPr>
          <w:tab/>
        </w:r>
        <w:r w:rsidR="00BD70CE">
          <w:rPr>
            <w:noProof/>
            <w:webHidden/>
          </w:rPr>
          <w:fldChar w:fldCharType="begin"/>
        </w:r>
        <w:r w:rsidR="00BD70CE">
          <w:rPr>
            <w:noProof/>
            <w:webHidden/>
          </w:rPr>
          <w:instrText xml:space="preserve"> PAGEREF _Toc12537946 \h </w:instrText>
        </w:r>
        <w:r w:rsidR="00BD70CE">
          <w:rPr>
            <w:noProof/>
            <w:webHidden/>
          </w:rPr>
        </w:r>
        <w:r w:rsidR="00BD70CE">
          <w:rPr>
            <w:noProof/>
            <w:webHidden/>
          </w:rPr>
          <w:fldChar w:fldCharType="separate"/>
        </w:r>
        <w:r>
          <w:rPr>
            <w:noProof/>
            <w:webHidden/>
          </w:rPr>
          <w:t>28</w:t>
        </w:r>
        <w:r w:rsidR="00BD70CE">
          <w:rPr>
            <w:noProof/>
            <w:webHidden/>
          </w:rPr>
          <w:fldChar w:fldCharType="end"/>
        </w:r>
      </w:hyperlink>
    </w:p>
    <w:p w14:paraId="596D4B8F" w14:textId="7A109ECA" w:rsidR="00BD70CE" w:rsidRDefault="00323133">
      <w:pPr>
        <w:pStyle w:val="TOC1"/>
        <w:rPr>
          <w:rFonts w:eastAsiaTheme="minorEastAsia"/>
          <w:b w:val="0"/>
          <w:noProof/>
          <w:color w:val="auto"/>
          <w:lang w:eastAsia="en-AU"/>
        </w:rPr>
      </w:pPr>
      <w:hyperlink w:anchor="_Toc12537947" w:history="1">
        <w:r w:rsidR="00BD70CE" w:rsidRPr="00556B3B">
          <w:rPr>
            <w:rStyle w:val="Hyperlink"/>
            <w:noProof/>
          </w:rPr>
          <w:t>Article 11 – Financial and Human Resources</w:t>
        </w:r>
        <w:r w:rsidR="00BD70CE">
          <w:rPr>
            <w:noProof/>
            <w:webHidden/>
          </w:rPr>
          <w:tab/>
        </w:r>
        <w:r w:rsidR="00BD70CE">
          <w:rPr>
            <w:noProof/>
            <w:webHidden/>
          </w:rPr>
          <w:fldChar w:fldCharType="begin"/>
        </w:r>
        <w:r w:rsidR="00BD70CE">
          <w:rPr>
            <w:noProof/>
            <w:webHidden/>
          </w:rPr>
          <w:instrText xml:space="preserve"> PAGEREF _Toc12537947 \h </w:instrText>
        </w:r>
        <w:r w:rsidR="00BD70CE">
          <w:rPr>
            <w:noProof/>
            <w:webHidden/>
          </w:rPr>
        </w:r>
        <w:r w:rsidR="00BD70CE">
          <w:rPr>
            <w:noProof/>
            <w:webHidden/>
          </w:rPr>
          <w:fldChar w:fldCharType="separate"/>
        </w:r>
        <w:r>
          <w:rPr>
            <w:noProof/>
            <w:webHidden/>
          </w:rPr>
          <w:t>30</w:t>
        </w:r>
        <w:r w:rsidR="00BD70CE">
          <w:rPr>
            <w:noProof/>
            <w:webHidden/>
          </w:rPr>
          <w:fldChar w:fldCharType="end"/>
        </w:r>
      </w:hyperlink>
    </w:p>
    <w:p w14:paraId="50F87FBF" w14:textId="64C58010" w:rsidR="00BD70CE" w:rsidRDefault="00323133">
      <w:pPr>
        <w:pStyle w:val="TOC1"/>
        <w:rPr>
          <w:rFonts w:eastAsiaTheme="minorEastAsia"/>
          <w:b w:val="0"/>
          <w:noProof/>
          <w:color w:val="auto"/>
          <w:lang w:eastAsia="en-AU"/>
        </w:rPr>
      </w:pPr>
      <w:hyperlink w:anchor="_Toc12537948" w:history="1">
        <w:r w:rsidR="00BD70CE" w:rsidRPr="00556B3B">
          <w:rPr>
            <w:rStyle w:val="Hyperlink"/>
            <w:noProof/>
          </w:rPr>
          <w:t>Article 12 – Human Factors</w:t>
        </w:r>
        <w:r w:rsidR="00BD70CE">
          <w:rPr>
            <w:noProof/>
            <w:webHidden/>
          </w:rPr>
          <w:tab/>
        </w:r>
        <w:r w:rsidR="00BD70CE">
          <w:rPr>
            <w:noProof/>
            <w:webHidden/>
          </w:rPr>
          <w:fldChar w:fldCharType="begin"/>
        </w:r>
        <w:r w:rsidR="00BD70CE">
          <w:rPr>
            <w:noProof/>
            <w:webHidden/>
          </w:rPr>
          <w:instrText xml:space="preserve"> PAGEREF _Toc12537948 \h </w:instrText>
        </w:r>
        <w:r w:rsidR="00BD70CE">
          <w:rPr>
            <w:noProof/>
            <w:webHidden/>
          </w:rPr>
        </w:r>
        <w:r w:rsidR="00BD70CE">
          <w:rPr>
            <w:noProof/>
            <w:webHidden/>
          </w:rPr>
          <w:fldChar w:fldCharType="separate"/>
        </w:r>
        <w:r>
          <w:rPr>
            <w:noProof/>
            <w:webHidden/>
          </w:rPr>
          <w:t>32</w:t>
        </w:r>
        <w:r w:rsidR="00BD70CE">
          <w:rPr>
            <w:noProof/>
            <w:webHidden/>
          </w:rPr>
          <w:fldChar w:fldCharType="end"/>
        </w:r>
      </w:hyperlink>
    </w:p>
    <w:p w14:paraId="68499136" w14:textId="21A3DAF4" w:rsidR="00BD70CE" w:rsidRDefault="00323133">
      <w:pPr>
        <w:pStyle w:val="TOC1"/>
        <w:rPr>
          <w:rFonts w:eastAsiaTheme="minorEastAsia"/>
          <w:b w:val="0"/>
          <w:noProof/>
          <w:color w:val="auto"/>
          <w:lang w:eastAsia="en-AU"/>
        </w:rPr>
      </w:pPr>
      <w:hyperlink w:anchor="_Toc12537949" w:history="1">
        <w:r w:rsidR="00BD70CE" w:rsidRPr="00556B3B">
          <w:rPr>
            <w:rStyle w:val="Hyperlink"/>
            <w:noProof/>
          </w:rPr>
          <w:t>Article 13 – Quality Assurance</w:t>
        </w:r>
        <w:r w:rsidR="00BD70CE">
          <w:rPr>
            <w:noProof/>
            <w:webHidden/>
          </w:rPr>
          <w:tab/>
        </w:r>
        <w:r w:rsidR="00BD70CE">
          <w:rPr>
            <w:noProof/>
            <w:webHidden/>
          </w:rPr>
          <w:fldChar w:fldCharType="begin"/>
        </w:r>
        <w:r w:rsidR="00BD70CE">
          <w:rPr>
            <w:noProof/>
            <w:webHidden/>
          </w:rPr>
          <w:instrText xml:space="preserve"> PAGEREF _Toc12537949 \h </w:instrText>
        </w:r>
        <w:r w:rsidR="00BD70CE">
          <w:rPr>
            <w:noProof/>
            <w:webHidden/>
          </w:rPr>
        </w:r>
        <w:r w:rsidR="00BD70CE">
          <w:rPr>
            <w:noProof/>
            <w:webHidden/>
          </w:rPr>
          <w:fldChar w:fldCharType="separate"/>
        </w:r>
        <w:r>
          <w:rPr>
            <w:noProof/>
            <w:webHidden/>
          </w:rPr>
          <w:t>33</w:t>
        </w:r>
        <w:r w:rsidR="00BD70CE">
          <w:rPr>
            <w:noProof/>
            <w:webHidden/>
          </w:rPr>
          <w:fldChar w:fldCharType="end"/>
        </w:r>
      </w:hyperlink>
    </w:p>
    <w:p w14:paraId="6954A1C0" w14:textId="577B6278" w:rsidR="00BD70CE" w:rsidRDefault="00323133">
      <w:pPr>
        <w:pStyle w:val="TOC1"/>
        <w:rPr>
          <w:rFonts w:eastAsiaTheme="minorEastAsia"/>
          <w:b w:val="0"/>
          <w:noProof/>
          <w:color w:val="auto"/>
          <w:lang w:eastAsia="en-AU"/>
        </w:rPr>
      </w:pPr>
      <w:hyperlink w:anchor="_Toc12537950" w:history="1">
        <w:r w:rsidR="00BD70CE" w:rsidRPr="00556B3B">
          <w:rPr>
            <w:rStyle w:val="Hyperlink"/>
            <w:noProof/>
          </w:rPr>
          <w:t>Article 14 – Assessment and Verification of Safety</w:t>
        </w:r>
        <w:r w:rsidR="00BD70CE">
          <w:rPr>
            <w:noProof/>
            <w:webHidden/>
          </w:rPr>
          <w:tab/>
        </w:r>
        <w:r w:rsidR="00BD70CE">
          <w:rPr>
            <w:noProof/>
            <w:webHidden/>
          </w:rPr>
          <w:fldChar w:fldCharType="begin"/>
        </w:r>
        <w:r w:rsidR="00BD70CE">
          <w:rPr>
            <w:noProof/>
            <w:webHidden/>
          </w:rPr>
          <w:instrText xml:space="preserve"> PAGEREF _Toc12537950 \h </w:instrText>
        </w:r>
        <w:r w:rsidR="00BD70CE">
          <w:rPr>
            <w:noProof/>
            <w:webHidden/>
          </w:rPr>
        </w:r>
        <w:r w:rsidR="00BD70CE">
          <w:rPr>
            <w:noProof/>
            <w:webHidden/>
          </w:rPr>
          <w:fldChar w:fldCharType="separate"/>
        </w:r>
        <w:r>
          <w:rPr>
            <w:noProof/>
            <w:webHidden/>
          </w:rPr>
          <w:t>34</w:t>
        </w:r>
        <w:r w:rsidR="00BD70CE">
          <w:rPr>
            <w:noProof/>
            <w:webHidden/>
          </w:rPr>
          <w:fldChar w:fldCharType="end"/>
        </w:r>
      </w:hyperlink>
    </w:p>
    <w:p w14:paraId="6ECE3A7C" w14:textId="7036CF54" w:rsidR="00BD70CE" w:rsidRDefault="00323133">
      <w:pPr>
        <w:pStyle w:val="TOC1"/>
        <w:rPr>
          <w:rFonts w:eastAsiaTheme="minorEastAsia"/>
          <w:b w:val="0"/>
          <w:noProof/>
          <w:color w:val="auto"/>
          <w:lang w:eastAsia="en-AU"/>
        </w:rPr>
      </w:pPr>
      <w:hyperlink w:anchor="_Toc12537951" w:history="1">
        <w:r w:rsidR="00BD70CE" w:rsidRPr="00556B3B">
          <w:rPr>
            <w:rStyle w:val="Hyperlink"/>
            <w:noProof/>
          </w:rPr>
          <w:t>Article 15 – Radiation Protection</w:t>
        </w:r>
        <w:r w:rsidR="00BD70CE">
          <w:rPr>
            <w:noProof/>
            <w:webHidden/>
          </w:rPr>
          <w:tab/>
        </w:r>
        <w:r w:rsidR="00BD70CE">
          <w:rPr>
            <w:noProof/>
            <w:webHidden/>
          </w:rPr>
          <w:fldChar w:fldCharType="begin"/>
        </w:r>
        <w:r w:rsidR="00BD70CE">
          <w:rPr>
            <w:noProof/>
            <w:webHidden/>
          </w:rPr>
          <w:instrText xml:space="preserve"> PAGEREF _Toc12537951 \h </w:instrText>
        </w:r>
        <w:r w:rsidR="00BD70CE">
          <w:rPr>
            <w:noProof/>
            <w:webHidden/>
          </w:rPr>
        </w:r>
        <w:r w:rsidR="00BD70CE">
          <w:rPr>
            <w:noProof/>
            <w:webHidden/>
          </w:rPr>
          <w:fldChar w:fldCharType="separate"/>
        </w:r>
        <w:r>
          <w:rPr>
            <w:noProof/>
            <w:webHidden/>
          </w:rPr>
          <w:t>38</w:t>
        </w:r>
        <w:r w:rsidR="00BD70CE">
          <w:rPr>
            <w:noProof/>
            <w:webHidden/>
          </w:rPr>
          <w:fldChar w:fldCharType="end"/>
        </w:r>
      </w:hyperlink>
    </w:p>
    <w:p w14:paraId="78A68AEC" w14:textId="3EB975E0" w:rsidR="00BD70CE" w:rsidRDefault="00323133">
      <w:pPr>
        <w:pStyle w:val="TOC1"/>
        <w:rPr>
          <w:rFonts w:eastAsiaTheme="minorEastAsia"/>
          <w:b w:val="0"/>
          <w:noProof/>
          <w:color w:val="auto"/>
          <w:lang w:eastAsia="en-AU"/>
        </w:rPr>
      </w:pPr>
      <w:hyperlink w:anchor="_Toc12537952" w:history="1">
        <w:r w:rsidR="00BD70CE" w:rsidRPr="00556B3B">
          <w:rPr>
            <w:rStyle w:val="Hyperlink"/>
            <w:noProof/>
          </w:rPr>
          <w:t>Article 16 – Emergency Preparedness</w:t>
        </w:r>
        <w:r w:rsidR="00BD70CE">
          <w:rPr>
            <w:noProof/>
            <w:webHidden/>
          </w:rPr>
          <w:tab/>
        </w:r>
        <w:r w:rsidR="00BD70CE">
          <w:rPr>
            <w:noProof/>
            <w:webHidden/>
          </w:rPr>
          <w:fldChar w:fldCharType="begin"/>
        </w:r>
        <w:r w:rsidR="00BD70CE">
          <w:rPr>
            <w:noProof/>
            <w:webHidden/>
          </w:rPr>
          <w:instrText xml:space="preserve"> PAGEREF _Toc12537952 \h </w:instrText>
        </w:r>
        <w:r w:rsidR="00BD70CE">
          <w:rPr>
            <w:noProof/>
            <w:webHidden/>
          </w:rPr>
        </w:r>
        <w:r w:rsidR="00BD70CE">
          <w:rPr>
            <w:noProof/>
            <w:webHidden/>
          </w:rPr>
          <w:fldChar w:fldCharType="separate"/>
        </w:r>
        <w:r>
          <w:rPr>
            <w:noProof/>
            <w:webHidden/>
          </w:rPr>
          <w:t>39</w:t>
        </w:r>
        <w:r w:rsidR="00BD70CE">
          <w:rPr>
            <w:noProof/>
            <w:webHidden/>
          </w:rPr>
          <w:fldChar w:fldCharType="end"/>
        </w:r>
      </w:hyperlink>
    </w:p>
    <w:p w14:paraId="282C84E2" w14:textId="53DD8DA6" w:rsidR="00BD70CE" w:rsidRDefault="00323133">
      <w:pPr>
        <w:pStyle w:val="TOC1"/>
        <w:rPr>
          <w:rFonts w:eastAsiaTheme="minorEastAsia"/>
          <w:b w:val="0"/>
          <w:noProof/>
          <w:color w:val="auto"/>
          <w:lang w:eastAsia="en-AU"/>
        </w:rPr>
      </w:pPr>
      <w:hyperlink w:anchor="_Toc12537953" w:history="1">
        <w:r w:rsidR="00BD70CE" w:rsidRPr="00556B3B">
          <w:rPr>
            <w:rStyle w:val="Hyperlink"/>
            <w:noProof/>
          </w:rPr>
          <w:t>Article 17 – Siting</w:t>
        </w:r>
        <w:r w:rsidR="00BD70CE">
          <w:rPr>
            <w:noProof/>
            <w:webHidden/>
          </w:rPr>
          <w:tab/>
        </w:r>
        <w:r w:rsidR="00BD70CE">
          <w:rPr>
            <w:noProof/>
            <w:webHidden/>
          </w:rPr>
          <w:fldChar w:fldCharType="begin"/>
        </w:r>
        <w:r w:rsidR="00BD70CE">
          <w:rPr>
            <w:noProof/>
            <w:webHidden/>
          </w:rPr>
          <w:instrText xml:space="preserve"> PAGEREF _Toc12537953 \h </w:instrText>
        </w:r>
        <w:r w:rsidR="00BD70CE">
          <w:rPr>
            <w:noProof/>
            <w:webHidden/>
          </w:rPr>
        </w:r>
        <w:r w:rsidR="00BD70CE">
          <w:rPr>
            <w:noProof/>
            <w:webHidden/>
          </w:rPr>
          <w:fldChar w:fldCharType="separate"/>
        </w:r>
        <w:r>
          <w:rPr>
            <w:noProof/>
            <w:webHidden/>
          </w:rPr>
          <w:t>42</w:t>
        </w:r>
        <w:r w:rsidR="00BD70CE">
          <w:rPr>
            <w:noProof/>
            <w:webHidden/>
          </w:rPr>
          <w:fldChar w:fldCharType="end"/>
        </w:r>
      </w:hyperlink>
    </w:p>
    <w:p w14:paraId="4EF2A366" w14:textId="2DC32BE0" w:rsidR="00BD70CE" w:rsidRDefault="00323133">
      <w:pPr>
        <w:pStyle w:val="TOC1"/>
        <w:rPr>
          <w:rFonts w:eastAsiaTheme="minorEastAsia"/>
          <w:b w:val="0"/>
          <w:noProof/>
          <w:color w:val="auto"/>
          <w:lang w:eastAsia="en-AU"/>
        </w:rPr>
      </w:pPr>
      <w:hyperlink w:anchor="_Toc12537954" w:history="1">
        <w:r w:rsidR="00BD70CE" w:rsidRPr="00556B3B">
          <w:rPr>
            <w:rStyle w:val="Hyperlink"/>
            <w:noProof/>
          </w:rPr>
          <w:t>Article 18 – Design and Construction</w:t>
        </w:r>
        <w:r w:rsidR="00BD70CE">
          <w:rPr>
            <w:noProof/>
            <w:webHidden/>
          </w:rPr>
          <w:tab/>
        </w:r>
        <w:r w:rsidR="00BD70CE">
          <w:rPr>
            <w:noProof/>
            <w:webHidden/>
          </w:rPr>
          <w:fldChar w:fldCharType="begin"/>
        </w:r>
        <w:r w:rsidR="00BD70CE">
          <w:rPr>
            <w:noProof/>
            <w:webHidden/>
          </w:rPr>
          <w:instrText xml:space="preserve"> PAGEREF _Toc12537954 \h </w:instrText>
        </w:r>
        <w:r w:rsidR="00BD70CE">
          <w:rPr>
            <w:noProof/>
            <w:webHidden/>
          </w:rPr>
        </w:r>
        <w:r w:rsidR="00BD70CE">
          <w:rPr>
            <w:noProof/>
            <w:webHidden/>
          </w:rPr>
          <w:fldChar w:fldCharType="separate"/>
        </w:r>
        <w:r>
          <w:rPr>
            <w:noProof/>
            <w:webHidden/>
          </w:rPr>
          <w:t>44</w:t>
        </w:r>
        <w:r w:rsidR="00BD70CE">
          <w:rPr>
            <w:noProof/>
            <w:webHidden/>
          </w:rPr>
          <w:fldChar w:fldCharType="end"/>
        </w:r>
      </w:hyperlink>
    </w:p>
    <w:p w14:paraId="4D735CF7" w14:textId="7593D6E5" w:rsidR="00BD70CE" w:rsidRDefault="00323133">
      <w:pPr>
        <w:pStyle w:val="TOC1"/>
        <w:rPr>
          <w:rFonts w:eastAsiaTheme="minorEastAsia"/>
          <w:b w:val="0"/>
          <w:noProof/>
          <w:color w:val="auto"/>
          <w:lang w:eastAsia="en-AU"/>
        </w:rPr>
      </w:pPr>
      <w:hyperlink w:anchor="_Toc12537955" w:history="1">
        <w:r w:rsidR="00BD70CE" w:rsidRPr="00556B3B">
          <w:rPr>
            <w:rStyle w:val="Hyperlink"/>
            <w:noProof/>
          </w:rPr>
          <w:t>Article 19 – Operation</w:t>
        </w:r>
        <w:r w:rsidR="00BD70CE">
          <w:rPr>
            <w:noProof/>
            <w:webHidden/>
          </w:rPr>
          <w:tab/>
        </w:r>
        <w:r w:rsidR="00BD70CE">
          <w:rPr>
            <w:noProof/>
            <w:webHidden/>
          </w:rPr>
          <w:fldChar w:fldCharType="begin"/>
        </w:r>
        <w:r w:rsidR="00BD70CE">
          <w:rPr>
            <w:noProof/>
            <w:webHidden/>
          </w:rPr>
          <w:instrText xml:space="preserve"> PAGEREF _Toc12537955 \h </w:instrText>
        </w:r>
        <w:r w:rsidR="00BD70CE">
          <w:rPr>
            <w:noProof/>
            <w:webHidden/>
          </w:rPr>
        </w:r>
        <w:r w:rsidR="00BD70CE">
          <w:rPr>
            <w:noProof/>
            <w:webHidden/>
          </w:rPr>
          <w:fldChar w:fldCharType="separate"/>
        </w:r>
        <w:r>
          <w:rPr>
            <w:noProof/>
            <w:webHidden/>
          </w:rPr>
          <w:t>46</w:t>
        </w:r>
        <w:r w:rsidR="00BD70CE">
          <w:rPr>
            <w:noProof/>
            <w:webHidden/>
          </w:rPr>
          <w:fldChar w:fldCharType="end"/>
        </w:r>
      </w:hyperlink>
    </w:p>
    <w:p w14:paraId="5DC2528F" w14:textId="20F62C5B" w:rsidR="00BD70CE" w:rsidRDefault="00323133">
      <w:pPr>
        <w:pStyle w:val="TOC1"/>
        <w:rPr>
          <w:rFonts w:eastAsiaTheme="minorEastAsia"/>
          <w:b w:val="0"/>
          <w:noProof/>
          <w:color w:val="auto"/>
          <w:lang w:eastAsia="en-AU"/>
        </w:rPr>
      </w:pPr>
      <w:hyperlink w:anchor="_Toc12537956" w:history="1">
        <w:r w:rsidR="00BD70CE" w:rsidRPr="00556B3B">
          <w:rPr>
            <w:rStyle w:val="Hyperlink"/>
            <w:noProof/>
          </w:rPr>
          <w:t>Glossary and acronyms</w:t>
        </w:r>
        <w:r w:rsidR="00BD70CE">
          <w:rPr>
            <w:noProof/>
            <w:webHidden/>
          </w:rPr>
          <w:tab/>
        </w:r>
        <w:r w:rsidR="00BD70CE">
          <w:rPr>
            <w:noProof/>
            <w:webHidden/>
          </w:rPr>
          <w:fldChar w:fldCharType="begin"/>
        </w:r>
        <w:r w:rsidR="00BD70CE">
          <w:rPr>
            <w:noProof/>
            <w:webHidden/>
          </w:rPr>
          <w:instrText xml:space="preserve"> PAGEREF _Toc12537956 \h </w:instrText>
        </w:r>
        <w:r w:rsidR="00BD70CE">
          <w:rPr>
            <w:noProof/>
            <w:webHidden/>
          </w:rPr>
        </w:r>
        <w:r w:rsidR="00BD70CE">
          <w:rPr>
            <w:noProof/>
            <w:webHidden/>
          </w:rPr>
          <w:fldChar w:fldCharType="separate"/>
        </w:r>
        <w:r>
          <w:rPr>
            <w:noProof/>
            <w:webHidden/>
          </w:rPr>
          <w:t>51</w:t>
        </w:r>
        <w:r w:rsidR="00BD70CE">
          <w:rPr>
            <w:noProof/>
            <w:webHidden/>
          </w:rPr>
          <w:fldChar w:fldCharType="end"/>
        </w:r>
      </w:hyperlink>
    </w:p>
    <w:p w14:paraId="2132C1CE" w14:textId="21751281" w:rsidR="00937076" w:rsidRDefault="00841ED8" w:rsidP="00841ED8">
      <w:r>
        <w:rPr>
          <w:bCs/>
        </w:rPr>
        <w:fldChar w:fldCharType="end"/>
      </w:r>
    </w:p>
    <w:p w14:paraId="3341C1F8" w14:textId="77777777" w:rsidR="00DC23A8" w:rsidRDefault="00937076">
      <w:r>
        <w:br w:type="page"/>
      </w:r>
    </w:p>
    <w:p w14:paraId="1B962ACE" w14:textId="77777777" w:rsidR="001E2F4E" w:rsidRDefault="001E2F4E" w:rsidP="001E2F4E">
      <w:pPr>
        <w:sectPr w:rsidR="001E2F4E" w:rsidSect="00515198">
          <w:footerReference w:type="default" r:id="rId9"/>
          <w:headerReference w:type="first" r:id="rId10"/>
          <w:footerReference w:type="first" r:id="rId11"/>
          <w:pgSz w:w="11906" w:h="16838" w:code="9"/>
          <w:pgMar w:top="1134" w:right="1134" w:bottom="1134" w:left="1134" w:header="567" w:footer="567" w:gutter="0"/>
          <w:pgNumType w:fmt="lowerRoman" w:start="1"/>
          <w:cols w:space="708"/>
          <w:titlePg/>
          <w:docGrid w:linePitch="360"/>
        </w:sectPr>
      </w:pPr>
    </w:p>
    <w:p w14:paraId="6AF4D9A1" w14:textId="77777777" w:rsidR="00067C8C" w:rsidRDefault="000D7F54" w:rsidP="006A78D0">
      <w:pPr>
        <w:pStyle w:val="Heading1"/>
        <w:numPr>
          <w:ilvl w:val="0"/>
          <w:numId w:val="0"/>
        </w:numPr>
        <w:spacing w:before="0"/>
        <w:ind w:left="680" w:hanging="680"/>
      </w:pPr>
      <w:bookmarkStart w:id="1" w:name="_Toc12537940"/>
      <w:r>
        <w:lastRenderedPageBreak/>
        <w:t>Introduction</w:t>
      </w:r>
      <w:bookmarkEnd w:id="1"/>
    </w:p>
    <w:p w14:paraId="4E4DE98D" w14:textId="77777777" w:rsidR="00F202EA" w:rsidRPr="00F202EA" w:rsidRDefault="00770E49" w:rsidP="00770E49">
      <w:pPr>
        <w:pStyle w:val="Heading2"/>
      </w:pPr>
      <w:bookmarkStart w:id="2" w:name="_Toc5807466"/>
      <w:r>
        <w:t>General</w:t>
      </w:r>
      <w:bookmarkEnd w:id="2"/>
      <w:r>
        <w:t xml:space="preserve"> </w:t>
      </w:r>
    </w:p>
    <w:p w14:paraId="1E05AE00" w14:textId="02775FCB" w:rsidR="00F202EA" w:rsidRPr="00F46F9F" w:rsidRDefault="005243B3" w:rsidP="00A22E9E">
      <w:pPr>
        <w:pStyle w:val="ListParagraph"/>
        <w:numPr>
          <w:ilvl w:val="0"/>
          <w:numId w:val="19"/>
        </w:numPr>
      </w:pPr>
      <w:r w:rsidRPr="00F46F9F">
        <w:t>This report is issued according to Article 5 of the Convention on Nuclear Safety (CNS, also referred to as the Convention).</w:t>
      </w:r>
      <w:r w:rsidR="000963B6" w:rsidRPr="00F46F9F">
        <w:t xml:space="preserve"> Australia ratified the CNS in December 1996.</w:t>
      </w:r>
      <w:r w:rsidR="00B36A53">
        <w:t xml:space="preserve"> </w:t>
      </w:r>
      <w:r w:rsidR="000963B6" w:rsidRPr="00F46F9F">
        <w:t>Since then, Australia has submitted National Reports to, and actively participated in, every review meeting</w:t>
      </w:r>
      <w:r w:rsidR="003D5A37">
        <w:t xml:space="preserve"> of the CNS</w:t>
      </w:r>
      <w:r w:rsidR="000963B6" w:rsidRPr="00F46F9F">
        <w:t>.</w:t>
      </w:r>
      <w:bookmarkStart w:id="3" w:name="_Ref176697899"/>
      <w:r w:rsidR="00F202EA" w:rsidRPr="00F46F9F">
        <w:t xml:space="preserve"> The Australian Radiation Protection and Nuclear Safety Agency (ARPANSA) </w:t>
      </w:r>
      <w:r w:rsidR="00D22731" w:rsidRPr="00F46F9F">
        <w:t>coordinate</w:t>
      </w:r>
      <w:r w:rsidR="006A1EF2">
        <w:t>s</w:t>
      </w:r>
      <w:r w:rsidR="00D22731" w:rsidRPr="00F46F9F">
        <w:t xml:space="preserve">, on behalf of the Australian Government, the </w:t>
      </w:r>
      <w:r w:rsidR="00F202EA" w:rsidRPr="00F46F9F">
        <w:t>reporting on how Australia meets its obligations under the Convention.</w:t>
      </w:r>
    </w:p>
    <w:bookmarkEnd w:id="3"/>
    <w:p w14:paraId="413DD946" w14:textId="3F3668C9" w:rsidR="003D5A37" w:rsidRPr="00182DED" w:rsidRDefault="003D5A37" w:rsidP="00A22E9E">
      <w:pPr>
        <w:pStyle w:val="ListParagraph"/>
        <w:numPr>
          <w:ilvl w:val="0"/>
          <w:numId w:val="19"/>
        </w:numPr>
      </w:pPr>
      <w:r w:rsidRPr="00182DED">
        <w:t>Australia does not ha</w:t>
      </w:r>
      <w:r w:rsidR="00BD70CE">
        <w:t>ve any ‘</w:t>
      </w:r>
      <w:r w:rsidRPr="00182DED">
        <w:t>nuclear installation</w:t>
      </w:r>
      <w:r w:rsidR="00BD70CE">
        <w:t>s’</w:t>
      </w:r>
      <w:r w:rsidRPr="00182DED">
        <w:t xml:space="preserve"> as defined in the Convention but has one operating research reactor</w:t>
      </w:r>
      <w:r>
        <w:t>, the Open-Pool</w:t>
      </w:r>
      <w:r w:rsidRPr="00182DED">
        <w:t xml:space="preserve"> </w:t>
      </w:r>
      <w:r>
        <w:t xml:space="preserve">Australian Light Water Reactor </w:t>
      </w:r>
      <w:r w:rsidRPr="00182DED">
        <w:t>(OPAL). Another research reactor</w:t>
      </w:r>
      <w:r>
        <w:t>, the High Flux Australian Reactor</w:t>
      </w:r>
      <w:r w:rsidRPr="00182DED">
        <w:t xml:space="preserve"> (HIFAR)</w:t>
      </w:r>
      <w:r>
        <w:t>,</w:t>
      </w:r>
      <w:r w:rsidRPr="00182DED">
        <w:t xml:space="preserve"> has been permanently shut down and all fuel elements have been removed. The decommissioning program is not fully developed and decommissioning activities have not commenced.</w:t>
      </w:r>
      <w:r>
        <w:t xml:space="preserve"> </w:t>
      </w:r>
      <w:r w:rsidRPr="00182DED">
        <w:t xml:space="preserve">Both </w:t>
      </w:r>
      <w:r>
        <w:t>reactors</w:t>
      </w:r>
      <w:r w:rsidRPr="00182DED">
        <w:t xml:space="preserve"> are managed by the Australian Nuclear Science and Te</w:t>
      </w:r>
      <w:r w:rsidR="003F44C5">
        <w:t xml:space="preserve">chnology Organisation (ANSTO), </w:t>
      </w:r>
      <w:r w:rsidRPr="00182DED">
        <w:t>an</w:t>
      </w:r>
      <w:r w:rsidR="003F44C5">
        <w:t xml:space="preserve"> Australian Government entity, </w:t>
      </w:r>
      <w:r w:rsidRPr="00182DED">
        <w:t>and are regulated by ARPANSA.</w:t>
      </w:r>
      <w:r>
        <w:t xml:space="preserve"> </w:t>
      </w:r>
      <w:r w:rsidRPr="00182DED">
        <w:t>Both reactors are located at the Lucas Heights Science and Technology Centre south of Sydney in the State of New South Wales</w:t>
      </w:r>
      <w:r w:rsidRPr="00182DED">
        <w:rPr>
          <w:vertAlign w:val="superscript"/>
        </w:rPr>
        <w:footnoteReference w:id="1"/>
      </w:r>
      <w:r w:rsidRPr="006A78D0">
        <w:rPr>
          <w:vertAlign w:val="superscript"/>
        </w:rPr>
        <w:t>.</w:t>
      </w:r>
    </w:p>
    <w:p w14:paraId="6A83F919" w14:textId="689E861E" w:rsidR="00FB161E" w:rsidRPr="00F46F9F" w:rsidRDefault="00FB161E" w:rsidP="00A22E9E">
      <w:pPr>
        <w:pStyle w:val="ListParagraph"/>
        <w:numPr>
          <w:ilvl w:val="0"/>
          <w:numId w:val="19"/>
        </w:numPr>
      </w:pPr>
      <w:r w:rsidRPr="00F46F9F">
        <w:t>For this report, Australia finds it useful to refer to its research reactors in describing how its obligations under the Treaty are met.</w:t>
      </w:r>
      <w:r w:rsidR="00B36A53">
        <w:t xml:space="preserve"> </w:t>
      </w:r>
      <w:r w:rsidRPr="00F46F9F">
        <w:t>Other licensed nuclear activities at ANSTO include:</w:t>
      </w:r>
      <w:r w:rsidR="00B36A53">
        <w:t xml:space="preserve"> </w:t>
      </w:r>
      <w:r w:rsidRPr="00F46F9F">
        <w:t xml:space="preserve">the collection, treatment and storage of radioactive wastes; the handling and storage of new and irradiated nuclear fuel and nuclear materials; and the production of commercial quantities of radiopharmaceuticals and radioisotopes for use in medicine and research within Australia and overseas. </w:t>
      </w:r>
    </w:p>
    <w:p w14:paraId="63F821A0" w14:textId="77777777" w:rsidR="005243B3" w:rsidRPr="00F46F9F" w:rsidRDefault="005243B3" w:rsidP="00F202EA">
      <w:pPr>
        <w:pStyle w:val="Heading2"/>
      </w:pPr>
      <w:bookmarkStart w:id="4" w:name="_Toc5807467"/>
      <w:r w:rsidRPr="00F46F9F">
        <w:t>National nuclear activities</w:t>
      </w:r>
      <w:r w:rsidR="00EA163A" w:rsidRPr="00F46F9F">
        <w:t>/policy</w:t>
      </w:r>
      <w:bookmarkEnd w:id="4"/>
    </w:p>
    <w:p w14:paraId="6EB1133F" w14:textId="36A38880" w:rsidR="003D5A37" w:rsidRPr="00182DED" w:rsidRDefault="003D5A37" w:rsidP="00A22E9E">
      <w:pPr>
        <w:pStyle w:val="ListParagraph"/>
        <w:numPr>
          <w:ilvl w:val="0"/>
          <w:numId w:val="19"/>
        </w:numPr>
      </w:pPr>
      <w:r>
        <w:t>Under Australian legislation, specifically</w:t>
      </w:r>
      <w:r w:rsidRPr="00182DED">
        <w:t xml:space="preserve"> the </w:t>
      </w:r>
      <w:r w:rsidRPr="006A78D0">
        <w:rPr>
          <w:i/>
        </w:rPr>
        <w:t>Australian Radiation Protection and Nuclear Safety Act</w:t>
      </w:r>
      <w:r w:rsidRPr="00182DED">
        <w:t xml:space="preserve"> </w:t>
      </w:r>
      <w:r w:rsidRPr="006A78D0">
        <w:rPr>
          <w:i/>
        </w:rPr>
        <w:t>1998</w:t>
      </w:r>
      <w:r w:rsidRPr="00182DED">
        <w:t xml:space="preserve"> (the Act)</w:t>
      </w:r>
      <w:r>
        <w:t>,</w:t>
      </w:r>
      <w:r w:rsidRPr="00182DED">
        <w:t xml:space="preserve"> the CEO of ARPANSA </w:t>
      </w:r>
      <w:r>
        <w:t xml:space="preserve">is prohibited </w:t>
      </w:r>
      <w:r w:rsidRPr="00182DED">
        <w:t>from authorising the construction or operation of nuclear power plants.</w:t>
      </w:r>
      <w:r>
        <w:t xml:space="preserve"> </w:t>
      </w:r>
      <w:r w:rsidR="007344C2">
        <w:t xml:space="preserve">The </w:t>
      </w:r>
      <w:r w:rsidR="007344C2" w:rsidRPr="002F13BD">
        <w:rPr>
          <w:i/>
        </w:rPr>
        <w:t>Environment Protection and Biodiversity Conservation Act 1999</w:t>
      </w:r>
      <w:r w:rsidR="007344C2">
        <w:t xml:space="preserve"> and legislation in m</w:t>
      </w:r>
      <w:r w:rsidRPr="00182DED">
        <w:t xml:space="preserve">any Australian </w:t>
      </w:r>
      <w:r w:rsidR="006A1EF2">
        <w:t>s</w:t>
      </w:r>
      <w:r w:rsidRPr="00182DED">
        <w:t xml:space="preserve">tates and </w:t>
      </w:r>
      <w:r w:rsidR="006A1EF2">
        <w:t>t</w:t>
      </w:r>
      <w:r w:rsidRPr="00182DED">
        <w:t xml:space="preserve">erritories </w:t>
      </w:r>
      <w:r w:rsidR="005F53A4">
        <w:t xml:space="preserve">currently </w:t>
      </w:r>
      <w:bookmarkStart w:id="5" w:name="_GoBack"/>
      <w:bookmarkEnd w:id="5"/>
      <w:r w:rsidRPr="00182DED">
        <w:t xml:space="preserve">have similar prohibitions. </w:t>
      </w:r>
    </w:p>
    <w:p w14:paraId="3F49806A" w14:textId="43781FF5" w:rsidR="00A336F3" w:rsidRPr="00F46F9F" w:rsidRDefault="00A336F3" w:rsidP="00A22E9E">
      <w:pPr>
        <w:pStyle w:val="ListParagraph"/>
        <w:numPr>
          <w:ilvl w:val="0"/>
          <w:numId w:val="19"/>
        </w:numPr>
      </w:pPr>
      <w:r w:rsidRPr="00F46F9F">
        <w:t>As reported in the 7th CNS Review Report, the Nuclear Fuel Cycle Royal Commission (NFCRC) was established by the South Australian (SA) Government in March 2015 to undertake an independent and comprehensive investigation into the potential for increasing South Australia’s participation in the nuclear fuel cycle. It reported to the SA Gover</w:t>
      </w:r>
      <w:r w:rsidR="00A7012F" w:rsidRPr="00F46F9F">
        <w:t>nment</w:t>
      </w:r>
      <w:r w:rsidRPr="00F46F9F">
        <w:t xml:space="preserve"> on </w:t>
      </w:r>
      <w:r w:rsidR="000F4BA8" w:rsidRPr="00F46F9F">
        <w:t>6 May 2016 with recommendations</w:t>
      </w:r>
      <w:r w:rsidR="000F4BA8" w:rsidRPr="00F46F9F">
        <w:rPr>
          <w:vertAlign w:val="superscript"/>
        </w:rPr>
        <w:footnoteReference w:id="2"/>
      </w:r>
      <w:r w:rsidR="007344C2">
        <w:t>,</w:t>
      </w:r>
      <w:r w:rsidR="007344C2">
        <w:rPr>
          <w:vertAlign w:val="superscript"/>
        </w:rPr>
        <w:t xml:space="preserve"> </w:t>
      </w:r>
      <w:r w:rsidR="00B22F4A">
        <w:t>i</w:t>
      </w:r>
      <w:r w:rsidR="00B22F4A" w:rsidRPr="00F46F9F">
        <w:t>ncluding</w:t>
      </w:r>
      <w:r w:rsidRPr="00F46F9F">
        <w:t xml:space="preserve"> that SA Government pursue removal of existing legislative prohibitions on nuclear power generation to allow nuclear power to contribute to a low-carbon electricity system in </w:t>
      </w:r>
      <w:r w:rsidR="00B22F4A">
        <w:t xml:space="preserve">the </w:t>
      </w:r>
      <w:r w:rsidRPr="00F46F9F">
        <w:t>future, if required.</w:t>
      </w:r>
    </w:p>
    <w:p w14:paraId="01D0468B" w14:textId="4931DFF2" w:rsidR="00A336F3" w:rsidRPr="006A78D0" w:rsidRDefault="00A336F3" w:rsidP="00A22E9E">
      <w:pPr>
        <w:pStyle w:val="ListParagraph"/>
        <w:numPr>
          <w:ilvl w:val="0"/>
          <w:numId w:val="19"/>
        </w:numPr>
        <w:rPr>
          <w:i/>
        </w:rPr>
      </w:pPr>
      <w:r w:rsidRPr="00F46F9F">
        <w:t>On 15 November 2016, the SA Government released its Response to the NFCRC Report</w:t>
      </w:r>
      <w:r w:rsidR="000F4BA8" w:rsidRPr="00F46F9F">
        <w:t xml:space="preserve"> recommendations</w:t>
      </w:r>
      <w:r w:rsidR="000F4BA8" w:rsidRPr="00F46F9F">
        <w:rPr>
          <w:vertAlign w:val="superscript"/>
        </w:rPr>
        <w:footnoteReference w:id="3"/>
      </w:r>
      <w:r w:rsidR="003D5A37" w:rsidRPr="006A78D0">
        <w:rPr>
          <w:vertAlign w:val="subscript"/>
        </w:rPr>
        <w:t>.</w:t>
      </w:r>
      <w:r w:rsidR="006A1EF2">
        <w:rPr>
          <w:vertAlign w:val="subscript"/>
        </w:rPr>
        <w:t xml:space="preserve"> </w:t>
      </w:r>
      <w:r w:rsidR="006F544B" w:rsidRPr="00F46F9F">
        <w:t xml:space="preserve">The </w:t>
      </w:r>
      <w:r w:rsidRPr="00F46F9F">
        <w:t xml:space="preserve">recommendation to pursue the removal of existing legislative </w:t>
      </w:r>
      <w:r w:rsidRPr="00961ACA">
        <w:t>prohibitions on nuclear power generation was not supported</w:t>
      </w:r>
      <w:r w:rsidR="00B22F4A">
        <w:t>.</w:t>
      </w:r>
    </w:p>
    <w:p w14:paraId="57B0E4E2" w14:textId="77777777" w:rsidR="00A336F3" w:rsidRPr="003C494B" w:rsidRDefault="00A336F3" w:rsidP="003C494B">
      <w:pPr>
        <w:pStyle w:val="Heading2"/>
      </w:pPr>
      <w:r w:rsidRPr="003C494B">
        <w:lastRenderedPageBreak/>
        <w:t xml:space="preserve">Waste Management Development Update </w:t>
      </w:r>
    </w:p>
    <w:p w14:paraId="3849A3EB" w14:textId="61CAB479" w:rsidR="00A336F3" w:rsidRPr="00F46F9F" w:rsidRDefault="00B81065" w:rsidP="00A22E9E">
      <w:pPr>
        <w:pStyle w:val="ListParagraph"/>
        <w:numPr>
          <w:ilvl w:val="0"/>
          <w:numId w:val="19"/>
        </w:numPr>
      </w:pPr>
      <w:r w:rsidRPr="00F46F9F">
        <w:t xml:space="preserve">In </w:t>
      </w:r>
      <w:r w:rsidR="00A336F3" w:rsidRPr="00F46F9F">
        <w:t xml:space="preserve">December 2015, ANSTO received a </w:t>
      </w:r>
      <w:r w:rsidR="00F4671A" w:rsidRPr="00F46F9F">
        <w:t xml:space="preserve">type B(U) </w:t>
      </w:r>
      <w:r w:rsidR="00A336F3" w:rsidRPr="00F46F9F">
        <w:t xml:space="preserve">TN-81 dual purpose transport/storage container from the AREVA </w:t>
      </w:r>
      <w:r w:rsidR="00B22F4A">
        <w:t xml:space="preserve">(now ORANO) </w:t>
      </w:r>
      <w:r w:rsidR="00A336F3" w:rsidRPr="00F46F9F">
        <w:t>La Hague facility</w:t>
      </w:r>
      <w:r w:rsidR="00F4671A" w:rsidRPr="00F46F9F">
        <w:t xml:space="preserve"> </w:t>
      </w:r>
      <w:r w:rsidR="00B22F4A">
        <w:t xml:space="preserve">in France </w:t>
      </w:r>
      <w:r w:rsidR="00F4671A" w:rsidRPr="00F46F9F">
        <w:t>containing 20 canisters of reprocessed HIFAR spent fuel waste (CSD-U).</w:t>
      </w:r>
      <w:r w:rsidR="00A336F3" w:rsidRPr="00F46F9F">
        <w:t xml:space="preserve">The residues relate to a total of 1288 </w:t>
      </w:r>
      <w:r w:rsidR="00B22F4A">
        <w:t>s</w:t>
      </w:r>
      <w:r w:rsidR="00B22F4A" w:rsidRPr="00F46F9F">
        <w:t xml:space="preserve">pent </w:t>
      </w:r>
      <w:r w:rsidR="00B22F4A">
        <w:t>f</w:t>
      </w:r>
      <w:r w:rsidR="00B22F4A" w:rsidRPr="00F46F9F">
        <w:t xml:space="preserve">uel </w:t>
      </w:r>
      <w:r w:rsidR="00A336F3" w:rsidRPr="00F46F9F">
        <w:t xml:space="preserve">elements, equating to approximately 25 years of HIFAR reactor operation. The TN-81 along with a Type A ISO freight container containing six drums of CBF-C2 waste generated during reprocessing operations, is stored currently in the Interim Waste Store at ANSTO’s Lucas Heights facility. </w:t>
      </w:r>
    </w:p>
    <w:p w14:paraId="7C2244D6" w14:textId="4A5DBF69" w:rsidR="00A336F3" w:rsidRPr="00F46F9F" w:rsidRDefault="00A336F3" w:rsidP="00A22E9E">
      <w:pPr>
        <w:pStyle w:val="ListParagraph"/>
        <w:numPr>
          <w:ilvl w:val="0"/>
          <w:numId w:val="19"/>
        </w:numPr>
      </w:pPr>
      <w:r w:rsidRPr="00F46F9F">
        <w:t>The Australian Government continues to seek an appropriate site for Australia’s National Radioactive Waste Management Facility (NRWMF)</w:t>
      </w:r>
      <w:r w:rsidR="00F4671A" w:rsidRPr="00F46F9F">
        <w:t xml:space="preserve"> in order to provide a single purpose built facility to </w:t>
      </w:r>
      <w:r w:rsidR="00B22F4A">
        <w:t>dispose</w:t>
      </w:r>
      <w:r w:rsidR="00F4671A" w:rsidRPr="00F46F9F">
        <w:t xml:space="preserve"> low level waste and temporarily store intermediate level waste</w:t>
      </w:r>
      <w:r w:rsidRPr="00F46F9F">
        <w:t xml:space="preserve">. The selection process is based on voluntary nomination by landholders and is being run by the Department of Industry, Innovation and Science in accordance with the </w:t>
      </w:r>
      <w:r w:rsidRPr="006A78D0">
        <w:rPr>
          <w:i/>
        </w:rPr>
        <w:t>Australian National Radioactive Waste Management Act</w:t>
      </w:r>
      <w:r w:rsidRPr="00F46F9F">
        <w:t xml:space="preserve"> (2012)</w:t>
      </w:r>
      <w:r w:rsidR="006E2A2A" w:rsidRPr="00F46F9F">
        <w:rPr>
          <w:rStyle w:val="FootnoteReference"/>
          <w:color w:val="000000"/>
        </w:rPr>
        <w:footnoteReference w:id="4"/>
      </w:r>
      <w:r w:rsidRPr="00F46F9F">
        <w:t xml:space="preserve"> (the NRWM Act).</w:t>
      </w:r>
    </w:p>
    <w:p w14:paraId="49B7B71C" w14:textId="1D4A4BCE" w:rsidR="00A336F3" w:rsidRPr="00F46F9F" w:rsidRDefault="00A336F3" w:rsidP="00A22E9E">
      <w:pPr>
        <w:pStyle w:val="ListParagraph"/>
        <w:numPr>
          <w:ilvl w:val="0"/>
          <w:numId w:val="19"/>
        </w:numPr>
      </w:pPr>
      <w:r w:rsidRPr="00F46F9F">
        <w:t>As reported</w:t>
      </w:r>
      <w:r w:rsidR="00F4671A" w:rsidRPr="00F46F9F">
        <w:t xml:space="preserve"> at the 7</w:t>
      </w:r>
      <w:r w:rsidR="00F4671A" w:rsidRPr="006A78D0">
        <w:rPr>
          <w:vertAlign w:val="superscript"/>
        </w:rPr>
        <w:t>th</w:t>
      </w:r>
      <w:r w:rsidR="00F4671A" w:rsidRPr="00F46F9F">
        <w:t xml:space="preserve"> CNS review meeting</w:t>
      </w:r>
      <w:r w:rsidRPr="00F46F9F">
        <w:t xml:space="preserve">, in 2015 the Australian Government called on landholders across Australia to voluntarily nominate their land to be considered as a site for a NRWMF as provided by the NRWM Act. </w:t>
      </w:r>
      <w:r w:rsidR="003D5A37">
        <w:t>Twenty-eight</w:t>
      </w:r>
      <w:r w:rsidRPr="00F46F9F">
        <w:t xml:space="preserve"> applications were received from interested landowners. These were evaluated using a framework to assess initial technical potential against a range of economic, environmental and other criteria.</w:t>
      </w:r>
      <w:r w:rsidR="00B36A53">
        <w:t xml:space="preserve"> </w:t>
      </w:r>
      <w:r w:rsidRPr="00F46F9F">
        <w:t xml:space="preserve">In June 2017, the government announced that </w:t>
      </w:r>
      <w:r w:rsidR="003D5A37">
        <w:t>three</w:t>
      </w:r>
      <w:r w:rsidRPr="00F46F9F">
        <w:t xml:space="preserve"> sites in South Australia have been accepted as potential NRWMF sites. These are the Wallerberdina Station</w:t>
      </w:r>
      <w:r w:rsidR="00EE2BDD" w:rsidRPr="00F46F9F">
        <w:t xml:space="preserve"> close to Hawker</w:t>
      </w:r>
      <w:r w:rsidRPr="00F46F9F">
        <w:t xml:space="preserve">, </w:t>
      </w:r>
      <w:r w:rsidR="00EE2BDD" w:rsidRPr="00F46F9F">
        <w:t xml:space="preserve">and </w:t>
      </w:r>
      <w:r w:rsidR="00B22F4A">
        <w:t xml:space="preserve">the </w:t>
      </w:r>
      <w:r w:rsidRPr="00F46F9F">
        <w:t>Napandee and Lyndhurst</w:t>
      </w:r>
      <w:r w:rsidR="00EE2BDD" w:rsidRPr="00F46F9F">
        <w:t xml:space="preserve"> </w:t>
      </w:r>
      <w:r w:rsidR="00B22F4A">
        <w:t xml:space="preserve">properties </w:t>
      </w:r>
      <w:r w:rsidR="00EE2BDD" w:rsidRPr="00F46F9F">
        <w:t>close to Kimba</w:t>
      </w:r>
      <w:r w:rsidR="00806EF3" w:rsidRPr="00F46F9F">
        <w:t>.</w:t>
      </w:r>
    </w:p>
    <w:p w14:paraId="27F88045" w14:textId="51062780" w:rsidR="00A336F3" w:rsidRPr="00F46F9F" w:rsidRDefault="00A336F3" w:rsidP="00A22E9E">
      <w:pPr>
        <w:pStyle w:val="ListParagraph"/>
        <w:numPr>
          <w:ilvl w:val="0"/>
          <w:numId w:val="19"/>
        </w:numPr>
      </w:pPr>
      <w:r w:rsidRPr="00F46F9F">
        <w:t>At the time of this report, detailed phase studies are being undertaken to assess each site’s environment, cultural heritage and access to infrastructure and enabling services. The Government has commissioned an independent engineering contractor</w:t>
      </w:r>
      <w:r w:rsidR="00EE2BDD" w:rsidRPr="00F46F9F">
        <w:t xml:space="preserve"> </w:t>
      </w:r>
      <w:r w:rsidRPr="00F46F9F">
        <w:t>to undertake detailed site characterisation studies at each of the sites to gain a better understanding of each site’s suitability for the NRWMF</w:t>
      </w:r>
      <w:r w:rsidR="006E2A2A" w:rsidRPr="00F46F9F">
        <w:rPr>
          <w:rStyle w:val="FootnoteReference"/>
          <w:color w:val="000000"/>
        </w:rPr>
        <w:footnoteReference w:id="5"/>
      </w:r>
      <w:r w:rsidRPr="00F46F9F">
        <w:t xml:space="preserve">. </w:t>
      </w:r>
    </w:p>
    <w:p w14:paraId="035D9B68" w14:textId="726EE12D" w:rsidR="00B81065" w:rsidRDefault="008713B7" w:rsidP="00A22E9E">
      <w:pPr>
        <w:pStyle w:val="ListParagraph"/>
        <w:numPr>
          <w:ilvl w:val="0"/>
          <w:numId w:val="19"/>
        </w:numPr>
      </w:pPr>
      <w:r>
        <w:t>ARPANSA</w:t>
      </w:r>
      <w:r w:rsidR="00A336F3" w:rsidRPr="00F46F9F">
        <w:t xml:space="preserve"> continues to undertake a stakeholder engagement</w:t>
      </w:r>
      <w:r w:rsidR="00A336F3" w:rsidRPr="007513E8">
        <w:t xml:space="preserve"> project for the NRWMF to explain the regulatory process under the </w:t>
      </w:r>
      <w:r>
        <w:t>ARPANS Act</w:t>
      </w:r>
      <w:r w:rsidR="00A336F3" w:rsidRPr="007513E8">
        <w:t xml:space="preserve">. </w:t>
      </w:r>
      <w:r>
        <w:t>This includes</w:t>
      </w:r>
      <w:r w:rsidRPr="00F46F9F">
        <w:t xml:space="preserve"> significant outreach activities with the communities that have been identified in the site selection process, to inform the public and local organisations on the regulatory process, ARPANSA’s role, and what the public can expect in terms of interaction with the regulator during review and assessment of an application to prepare a site for a waste facility.</w:t>
      </w:r>
      <w:r>
        <w:t xml:space="preserve"> This work is not required under the ARPANS Act or Regulations but is being undertaken as it is seen to be best regulatory practi</w:t>
      </w:r>
      <w:r w:rsidR="0065412C">
        <w:t>c</w:t>
      </w:r>
      <w:r>
        <w:t xml:space="preserve">e. </w:t>
      </w:r>
    </w:p>
    <w:p w14:paraId="1D98B967" w14:textId="77777777" w:rsidR="008713B7" w:rsidRDefault="008713B7" w:rsidP="008713B7">
      <w:pPr>
        <w:pStyle w:val="ListParagraph"/>
        <w:ind w:left="720"/>
      </w:pPr>
    </w:p>
    <w:p w14:paraId="391F8B12" w14:textId="77777777" w:rsidR="00C31997" w:rsidRDefault="00C31997" w:rsidP="00B81065">
      <w:pPr>
        <w:pStyle w:val="Heading2"/>
      </w:pPr>
      <w:bookmarkStart w:id="6" w:name="_Toc5807468"/>
      <w:r>
        <w:t xml:space="preserve">Statement of Commitment to the CNS </w:t>
      </w:r>
    </w:p>
    <w:p w14:paraId="0A27046A" w14:textId="6E0672E0" w:rsidR="00C31997" w:rsidRPr="00F46F9F" w:rsidRDefault="00C31997" w:rsidP="00A22E9E">
      <w:pPr>
        <w:pStyle w:val="ListParagraph"/>
        <w:numPr>
          <w:ilvl w:val="0"/>
          <w:numId w:val="19"/>
        </w:numPr>
      </w:pPr>
      <w:r w:rsidRPr="00F46F9F">
        <w:t xml:space="preserve">Australia remains committed to the </w:t>
      </w:r>
      <w:r w:rsidR="00EE2BDD" w:rsidRPr="00F46F9F">
        <w:t xml:space="preserve">articles and spirit of the </w:t>
      </w:r>
      <w:r w:rsidRPr="00F46F9F">
        <w:t>Convention on Nuclear Safety, despite not having nuclear installations</w:t>
      </w:r>
      <w:r w:rsidR="003F44C5">
        <w:t>, as defined under Article 2 of the CNS Convention,</w:t>
      </w:r>
      <w:r w:rsidRPr="00F46F9F">
        <w:t xml:space="preserve"> and views participation as an effective review and improvement process for nuclear safety.</w:t>
      </w:r>
    </w:p>
    <w:p w14:paraId="15E105F1" w14:textId="77777777" w:rsidR="00B81065" w:rsidRPr="00F46F9F" w:rsidRDefault="00B81065" w:rsidP="00B81065">
      <w:pPr>
        <w:pStyle w:val="Heading2"/>
      </w:pPr>
      <w:r w:rsidRPr="00F46F9F">
        <w:lastRenderedPageBreak/>
        <w:t>Report Structure and Scope</w:t>
      </w:r>
      <w:bookmarkEnd w:id="6"/>
    </w:p>
    <w:p w14:paraId="74ADA133" w14:textId="5D640B46" w:rsidR="00A71D7C" w:rsidRDefault="00B81065" w:rsidP="00A22E9E">
      <w:pPr>
        <w:pStyle w:val="ListParagraph"/>
        <w:numPr>
          <w:ilvl w:val="0"/>
          <w:numId w:val="19"/>
        </w:numPr>
      </w:pPr>
      <w:r w:rsidRPr="00F46F9F">
        <w:t xml:space="preserve">This report content and structure is as per the INFCIRC/572/Rev.6 and as such is designed to be a stand-alone document. Therefore information from previous CNS Review meeting Australian reports has been </w:t>
      </w:r>
      <w:r w:rsidR="00806EF3" w:rsidRPr="00F46F9F">
        <w:t>reproduc</w:t>
      </w:r>
      <w:r w:rsidRPr="00F46F9F">
        <w:t>ed as appropriate.</w:t>
      </w:r>
      <w:r w:rsidR="00B36A53">
        <w:t xml:space="preserve"> </w:t>
      </w:r>
    </w:p>
    <w:p w14:paraId="7EACD54F" w14:textId="77777777" w:rsidR="00C91067" w:rsidRDefault="00A71D7C">
      <w:pPr>
        <w:sectPr w:rsidR="00C91067" w:rsidSect="00515198">
          <w:headerReference w:type="even" r:id="rId12"/>
          <w:headerReference w:type="default" r:id="rId13"/>
          <w:footerReference w:type="default" r:id="rId14"/>
          <w:headerReference w:type="first" r:id="rId15"/>
          <w:type w:val="continuous"/>
          <w:pgSz w:w="11906" w:h="16838"/>
          <w:pgMar w:top="1134" w:right="1134" w:bottom="1134" w:left="1134" w:header="720" w:footer="720" w:gutter="0"/>
          <w:paperSrc w:first="2" w:other="2"/>
          <w:cols w:space="720"/>
        </w:sectPr>
      </w:pPr>
      <w:r>
        <w:br w:type="page"/>
      </w:r>
    </w:p>
    <w:p w14:paraId="621167A6" w14:textId="23E2572D" w:rsidR="00A71D7C" w:rsidRDefault="00323133">
      <w:r>
        <w:rPr>
          <w:noProof/>
        </w:rPr>
        <w:lastRenderedPageBreak/>
        <w:pict w14:anchorId="2AC007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56.7pt;margin-top:-56.65pt;width:595.35pt;height:841.45pt;z-index:-251603968;mso-position-horizontal-relative:text;mso-position-vertical-relative:text;mso-width-relative:page;mso-height-relative:page">
            <v:imagedata r:id="rId16" o:title="CNS cover new2"/>
          </v:shape>
        </w:pict>
      </w:r>
    </w:p>
    <w:p w14:paraId="098C1090" w14:textId="77777777" w:rsidR="00B81065" w:rsidRPr="00F46F9F" w:rsidRDefault="00B81065" w:rsidP="00A71D7C">
      <w:pPr>
        <w:pStyle w:val="ListParagraph"/>
        <w:ind w:left="720"/>
      </w:pPr>
    </w:p>
    <w:p w14:paraId="440E19A3" w14:textId="0C5B7CC2" w:rsidR="008E46F0" w:rsidRDefault="008E46F0" w:rsidP="00A949A1">
      <w:pPr>
        <w:spacing w:before="0" w:after="120" w:line="240" w:lineRule="auto"/>
        <w:jc w:val="both"/>
      </w:pPr>
      <w:bookmarkStart w:id="7" w:name="_Ref516296483"/>
      <w:bookmarkStart w:id="8" w:name="_Ref516302705"/>
      <w:bookmarkStart w:id="9" w:name="_Ref516547307"/>
      <w:bookmarkStart w:id="10" w:name="_Toc527512558"/>
      <w:bookmarkStart w:id="11" w:name="_Toc81816901"/>
      <w:bookmarkStart w:id="12" w:name="_Toc81816956"/>
      <w:bookmarkStart w:id="13" w:name="_Toc81891560"/>
      <w:bookmarkStart w:id="14" w:name="_Toc81893626"/>
      <w:bookmarkStart w:id="15" w:name="_Toc81896895"/>
      <w:bookmarkStart w:id="16" w:name="_Toc457392305"/>
    </w:p>
    <w:p w14:paraId="1DABF30D" w14:textId="77777777" w:rsidR="00A71D7C" w:rsidRDefault="006F544B">
      <w:pPr>
        <w:sectPr w:rsidR="00A71D7C" w:rsidSect="00C91067">
          <w:footerReference w:type="default" r:id="rId17"/>
          <w:pgSz w:w="11906" w:h="16838"/>
          <w:pgMar w:top="1134" w:right="1134" w:bottom="1134" w:left="1134" w:header="720" w:footer="720" w:gutter="0"/>
          <w:paperSrc w:first="2" w:other="2"/>
          <w:cols w:space="720"/>
        </w:sectPr>
      </w:pPr>
      <w:bookmarkStart w:id="17" w:name="_Toc457392304"/>
      <w:r>
        <w:br w:type="page"/>
      </w:r>
    </w:p>
    <w:p w14:paraId="7FA74B60" w14:textId="77777777" w:rsidR="00E81F12" w:rsidRPr="00E81F12" w:rsidRDefault="00121AD4" w:rsidP="0038355F">
      <w:pPr>
        <w:pStyle w:val="Heading1"/>
        <w:numPr>
          <w:ilvl w:val="0"/>
          <w:numId w:val="0"/>
        </w:numPr>
        <w:spacing w:before="0"/>
        <w:ind w:left="680" w:hanging="680"/>
      </w:pPr>
      <w:bookmarkStart w:id="18" w:name="_Toc12537941"/>
      <w:r>
        <w:lastRenderedPageBreak/>
        <w:t>Summary</w:t>
      </w:r>
      <w:bookmarkEnd w:id="17"/>
      <w:bookmarkEnd w:id="18"/>
    </w:p>
    <w:p w14:paraId="50039065" w14:textId="77777777" w:rsidR="0045232A" w:rsidRPr="00F46F9F" w:rsidRDefault="0045232A" w:rsidP="00A22E9E">
      <w:pPr>
        <w:pStyle w:val="Heading2"/>
        <w:numPr>
          <w:ilvl w:val="0"/>
          <w:numId w:val="20"/>
        </w:numPr>
        <w:ind w:left="426" w:hanging="426"/>
      </w:pPr>
      <w:r w:rsidRPr="00C14068">
        <w:t xml:space="preserve">Vienna </w:t>
      </w:r>
      <w:r w:rsidRPr="00F46F9F">
        <w:t>Declaration Principles</w:t>
      </w:r>
    </w:p>
    <w:p w14:paraId="70482DA9" w14:textId="5589D413" w:rsidR="0049546F" w:rsidRDefault="000516F3" w:rsidP="007D54CA">
      <w:r w:rsidRPr="00F46F9F">
        <w:t>Australia continues to meet</w:t>
      </w:r>
      <w:r w:rsidR="0045232A" w:rsidRPr="00F46F9F">
        <w:t xml:space="preserve"> three Principles in the Vienna Declaration </w:t>
      </w:r>
      <w:r w:rsidR="00D22731" w:rsidRPr="00F46F9F">
        <w:t xml:space="preserve">on Nuclear Safety (VDNS) </w:t>
      </w:r>
      <w:r w:rsidR="0045232A" w:rsidRPr="00F46F9F">
        <w:t xml:space="preserve">in respect </w:t>
      </w:r>
      <w:r w:rsidR="00C14068" w:rsidRPr="00F46F9F">
        <w:t>to the</w:t>
      </w:r>
      <w:r w:rsidR="0045232A" w:rsidRPr="00F46F9F">
        <w:t xml:space="preserve"> OPAL </w:t>
      </w:r>
      <w:r w:rsidR="00C14068" w:rsidRPr="00F46F9F">
        <w:t xml:space="preserve">research </w:t>
      </w:r>
      <w:r w:rsidR="0045232A" w:rsidRPr="00F46F9F">
        <w:t>reactor.</w:t>
      </w:r>
      <w:r w:rsidR="00B36A53">
        <w:t xml:space="preserve"> </w:t>
      </w:r>
      <w:r w:rsidR="0045232A" w:rsidRPr="00F46F9F">
        <w:t xml:space="preserve">Principle 1 on design, siting and construction is addressed in </w:t>
      </w:r>
      <w:r w:rsidR="0045232A" w:rsidRPr="0049546F">
        <w:t>Articles 17</w:t>
      </w:r>
      <w:r w:rsidR="0045232A" w:rsidRPr="00F46F9F">
        <w:t xml:space="preserve"> and </w:t>
      </w:r>
      <w:r w:rsidR="0045232A" w:rsidRPr="0049546F">
        <w:t>18</w:t>
      </w:r>
      <w:r w:rsidR="003B4F39" w:rsidRPr="0049546F">
        <w:t xml:space="preserve"> (but summarised in Article 18)</w:t>
      </w:r>
      <w:r w:rsidR="0045232A" w:rsidRPr="00F46F9F">
        <w:t>.</w:t>
      </w:r>
      <w:r w:rsidR="00B36A53">
        <w:t xml:space="preserve"> </w:t>
      </w:r>
      <w:r w:rsidR="006A7B7E" w:rsidRPr="006A7B7E">
        <w:t xml:space="preserve">Principle 2 </w:t>
      </w:r>
      <w:r w:rsidR="0045232A" w:rsidRPr="00F46F9F">
        <w:t xml:space="preserve">on ongoing safety assessments is covered in </w:t>
      </w:r>
      <w:r w:rsidR="0045232A" w:rsidRPr="0049546F">
        <w:t>Article 14</w:t>
      </w:r>
      <w:r w:rsidR="0049546F">
        <w:t xml:space="preserve">. </w:t>
      </w:r>
      <w:r w:rsidR="0045232A" w:rsidRPr="00F46F9F">
        <w:t xml:space="preserve">Principle 3 on the application of IAEA Safety Standards is covered in </w:t>
      </w:r>
      <w:r w:rsidR="0045232A" w:rsidRPr="0049546F">
        <w:t>Articles 7</w:t>
      </w:r>
      <w:r w:rsidR="00236C20" w:rsidRPr="00F46F9F">
        <w:t>,</w:t>
      </w:r>
      <w:r w:rsidR="0045232A" w:rsidRPr="00F46F9F">
        <w:t xml:space="preserve"> </w:t>
      </w:r>
      <w:r w:rsidR="0045232A" w:rsidRPr="0049546F">
        <w:t>10</w:t>
      </w:r>
      <w:r w:rsidR="00236C20" w:rsidRPr="0049546F">
        <w:t xml:space="preserve"> and 14</w:t>
      </w:r>
      <w:r w:rsidR="003B4F39" w:rsidRPr="0049546F">
        <w:t xml:space="preserve"> (but summarised in Article 14)</w:t>
      </w:r>
      <w:r w:rsidR="0045232A" w:rsidRPr="00F46F9F">
        <w:t>.</w:t>
      </w:r>
      <w:r w:rsidRPr="00F46F9F">
        <w:t xml:space="preserve"> </w:t>
      </w:r>
    </w:p>
    <w:p w14:paraId="33C74989" w14:textId="1AE2223D" w:rsidR="00C14068" w:rsidRPr="00F46F9F" w:rsidRDefault="00C14068" w:rsidP="007D54CA">
      <w:r w:rsidRPr="00F46F9F">
        <w:t xml:space="preserve">Australia does not expect to face difficulties in continuing to apply the VDNS principles and safety objectives to the existing research reactors or </w:t>
      </w:r>
      <w:r w:rsidR="00D22731" w:rsidRPr="00F46F9F">
        <w:t xml:space="preserve">potential </w:t>
      </w:r>
      <w:r w:rsidRPr="00F46F9F">
        <w:t xml:space="preserve">new builds in the future. </w:t>
      </w:r>
    </w:p>
    <w:p w14:paraId="7F5CD43F" w14:textId="77777777" w:rsidR="00447232" w:rsidRPr="00F46F9F" w:rsidRDefault="00447232" w:rsidP="00A22E9E">
      <w:pPr>
        <w:pStyle w:val="Heading2"/>
        <w:numPr>
          <w:ilvl w:val="0"/>
          <w:numId w:val="20"/>
        </w:numPr>
        <w:ind w:left="426" w:hanging="426"/>
      </w:pPr>
      <w:r w:rsidRPr="00F46F9F">
        <w:t xml:space="preserve">Cross Cutting Area Identified in the 7th CNS President Report </w:t>
      </w:r>
    </w:p>
    <w:p w14:paraId="27478008" w14:textId="77777777" w:rsidR="00447232" w:rsidRPr="00F46F9F" w:rsidRDefault="00447232" w:rsidP="007D54CA">
      <w:r w:rsidRPr="00F46F9F">
        <w:t>As per the recommendation in the 7</w:t>
      </w:r>
      <w:r w:rsidRPr="00F46F9F">
        <w:rPr>
          <w:vertAlign w:val="superscript"/>
        </w:rPr>
        <w:t>th</w:t>
      </w:r>
      <w:r w:rsidRPr="00F46F9F">
        <w:t xml:space="preserve"> CNS President Report progress against the major common themes identified across the country groups has been reported as follows: </w:t>
      </w:r>
    </w:p>
    <w:p w14:paraId="7D077238" w14:textId="77777777" w:rsidR="00447232" w:rsidRPr="00F46F9F" w:rsidRDefault="00447232" w:rsidP="00A22E9E">
      <w:pPr>
        <w:pStyle w:val="ListParagraph"/>
        <w:numPr>
          <w:ilvl w:val="0"/>
          <w:numId w:val="21"/>
        </w:numPr>
      </w:pPr>
      <w:r w:rsidRPr="007D54CA">
        <w:rPr>
          <w:rFonts w:ascii="Calibri" w:eastAsia="Calibri" w:hAnsi="Calibri" w:cs="Calibri"/>
        </w:rPr>
        <w:t>S</w:t>
      </w:r>
      <w:r w:rsidRPr="00F46F9F">
        <w:t xml:space="preserve">afety culture – </w:t>
      </w:r>
      <w:r w:rsidRPr="007D54CA">
        <w:rPr>
          <w:b/>
        </w:rPr>
        <w:t>Article 12</w:t>
      </w:r>
    </w:p>
    <w:p w14:paraId="21B5BAD8" w14:textId="77777777" w:rsidR="00447232" w:rsidRPr="00F46F9F" w:rsidRDefault="00447232" w:rsidP="00A22E9E">
      <w:pPr>
        <w:pStyle w:val="ListParagraph"/>
        <w:numPr>
          <w:ilvl w:val="0"/>
          <w:numId w:val="21"/>
        </w:numPr>
      </w:pPr>
      <w:r w:rsidRPr="00F46F9F">
        <w:t>International peer review –</w:t>
      </w:r>
      <w:r w:rsidR="00385203" w:rsidRPr="007D54CA">
        <w:rPr>
          <w:b/>
        </w:rPr>
        <w:t xml:space="preserve">This section and Article </w:t>
      </w:r>
      <w:r w:rsidR="003548FB" w:rsidRPr="007D54CA">
        <w:rPr>
          <w:b/>
        </w:rPr>
        <w:t>6</w:t>
      </w:r>
    </w:p>
    <w:p w14:paraId="53CDA48B" w14:textId="77777777" w:rsidR="00447232" w:rsidRPr="00F46F9F" w:rsidRDefault="00447232" w:rsidP="00A22E9E">
      <w:pPr>
        <w:pStyle w:val="ListParagraph"/>
        <w:numPr>
          <w:ilvl w:val="0"/>
          <w:numId w:val="21"/>
        </w:numPr>
      </w:pPr>
      <w:r w:rsidRPr="00F46F9F">
        <w:t xml:space="preserve">Legal framework and independence of regulatory body – </w:t>
      </w:r>
      <w:r w:rsidRPr="007D54CA">
        <w:rPr>
          <w:b/>
        </w:rPr>
        <w:t>Article 7</w:t>
      </w:r>
      <w:r w:rsidRPr="00F46F9F">
        <w:t xml:space="preserve"> </w:t>
      </w:r>
    </w:p>
    <w:p w14:paraId="132E4B8E" w14:textId="77777777" w:rsidR="00447232" w:rsidRPr="00F46F9F" w:rsidRDefault="00447232" w:rsidP="00A22E9E">
      <w:pPr>
        <w:pStyle w:val="ListParagraph"/>
        <w:numPr>
          <w:ilvl w:val="0"/>
          <w:numId w:val="21"/>
        </w:numPr>
      </w:pPr>
      <w:r w:rsidRPr="00F46F9F">
        <w:t xml:space="preserve">Financial and human resources- </w:t>
      </w:r>
      <w:r w:rsidRPr="007D54CA">
        <w:rPr>
          <w:b/>
        </w:rPr>
        <w:t xml:space="preserve">Article </w:t>
      </w:r>
      <w:r w:rsidR="00236C20" w:rsidRPr="007D54CA">
        <w:rPr>
          <w:b/>
        </w:rPr>
        <w:t>11</w:t>
      </w:r>
    </w:p>
    <w:p w14:paraId="72153F01" w14:textId="77777777" w:rsidR="00447232" w:rsidRPr="00F46F9F" w:rsidRDefault="00447232" w:rsidP="00A22E9E">
      <w:pPr>
        <w:pStyle w:val="ListParagraph"/>
        <w:numPr>
          <w:ilvl w:val="0"/>
          <w:numId w:val="21"/>
        </w:numPr>
      </w:pPr>
      <w:r w:rsidRPr="00F46F9F">
        <w:t>Knowledge management</w:t>
      </w:r>
      <w:r w:rsidR="00236C20" w:rsidRPr="00F46F9F">
        <w:t xml:space="preserve"> – </w:t>
      </w:r>
      <w:r w:rsidR="00236C20" w:rsidRPr="007D54CA">
        <w:rPr>
          <w:b/>
        </w:rPr>
        <w:t>Article 11</w:t>
      </w:r>
    </w:p>
    <w:p w14:paraId="341F00F3" w14:textId="22C1801F" w:rsidR="00447232" w:rsidRPr="007D54CA" w:rsidRDefault="00447232" w:rsidP="00A22E9E">
      <w:pPr>
        <w:pStyle w:val="ListParagraph"/>
        <w:numPr>
          <w:ilvl w:val="0"/>
          <w:numId w:val="21"/>
        </w:numPr>
        <w:rPr>
          <w:b/>
        </w:rPr>
      </w:pPr>
      <w:r w:rsidRPr="00F46F9F">
        <w:t xml:space="preserve">Supply chain – </w:t>
      </w:r>
      <w:r w:rsidRPr="007D54CA">
        <w:rPr>
          <w:b/>
        </w:rPr>
        <w:t>No issues reported for Australia at the 7</w:t>
      </w:r>
      <w:r w:rsidRPr="007D54CA">
        <w:rPr>
          <w:b/>
          <w:vertAlign w:val="superscript"/>
        </w:rPr>
        <w:t>th</w:t>
      </w:r>
      <w:r w:rsidRPr="007D54CA">
        <w:rPr>
          <w:b/>
        </w:rPr>
        <w:t xml:space="preserve"> CNS meeting or at the time of this report </w:t>
      </w:r>
    </w:p>
    <w:p w14:paraId="24744039" w14:textId="745CFA01" w:rsidR="00447232" w:rsidRPr="007D54CA" w:rsidRDefault="00447232" w:rsidP="00A22E9E">
      <w:pPr>
        <w:pStyle w:val="ListParagraph"/>
        <w:numPr>
          <w:ilvl w:val="0"/>
          <w:numId w:val="21"/>
        </w:numPr>
        <w:rPr>
          <w:b/>
        </w:rPr>
      </w:pPr>
      <w:r w:rsidRPr="00F46F9F">
        <w:t xml:space="preserve">Managing the safety of ageing nuclear facilities and plant life extension – </w:t>
      </w:r>
      <w:r w:rsidRPr="007D54CA">
        <w:rPr>
          <w:b/>
        </w:rPr>
        <w:t>No issues reported for Australia at the 7</w:t>
      </w:r>
      <w:r w:rsidRPr="007D54CA">
        <w:rPr>
          <w:b/>
          <w:vertAlign w:val="superscript"/>
        </w:rPr>
        <w:t>th</w:t>
      </w:r>
      <w:r w:rsidRPr="007D54CA">
        <w:rPr>
          <w:b/>
        </w:rPr>
        <w:t xml:space="preserve"> CNS meeting or at the time of this report </w:t>
      </w:r>
    </w:p>
    <w:p w14:paraId="1AD08B4C" w14:textId="77777777" w:rsidR="00447232" w:rsidRPr="00F46F9F" w:rsidRDefault="00447232" w:rsidP="00A22E9E">
      <w:pPr>
        <w:pStyle w:val="ListParagraph"/>
        <w:numPr>
          <w:ilvl w:val="0"/>
          <w:numId w:val="21"/>
        </w:numPr>
      </w:pPr>
      <w:r w:rsidRPr="00F46F9F">
        <w:t>Emergency preparedness</w:t>
      </w:r>
      <w:r w:rsidR="008E46F0" w:rsidRPr="00F46F9F">
        <w:t xml:space="preserve"> – </w:t>
      </w:r>
      <w:r w:rsidR="008E46F0" w:rsidRPr="007D54CA">
        <w:rPr>
          <w:b/>
        </w:rPr>
        <w:t>Article 16</w:t>
      </w:r>
    </w:p>
    <w:p w14:paraId="61BFEBE8" w14:textId="70B2B503" w:rsidR="00E42E99" w:rsidRPr="00E42E99" w:rsidRDefault="00447232" w:rsidP="00A22E9E">
      <w:pPr>
        <w:pStyle w:val="ListParagraph"/>
        <w:numPr>
          <w:ilvl w:val="0"/>
          <w:numId w:val="21"/>
        </w:numPr>
      </w:pPr>
      <w:r w:rsidRPr="00F46F9F">
        <w:t>Stakeholder consultation and communication</w:t>
      </w:r>
      <w:r w:rsidR="008E46F0" w:rsidRPr="00F46F9F">
        <w:t xml:space="preserve"> </w:t>
      </w:r>
      <w:r w:rsidR="00236C20" w:rsidRPr="00F46F9F">
        <w:t xml:space="preserve">– </w:t>
      </w:r>
      <w:r w:rsidR="00236C20" w:rsidRPr="007D54CA">
        <w:rPr>
          <w:b/>
        </w:rPr>
        <w:t>Article 8</w:t>
      </w:r>
    </w:p>
    <w:p w14:paraId="461CC5A0" w14:textId="77777777" w:rsidR="00E42E99" w:rsidRPr="00E42E99" w:rsidRDefault="00E42E99" w:rsidP="00E42E99">
      <w:pPr>
        <w:spacing w:before="0" w:line="240" w:lineRule="auto"/>
        <w:ind w:left="357"/>
        <w:jc w:val="both"/>
        <w:rPr>
          <w:spacing w:val="-2"/>
        </w:rPr>
      </w:pPr>
    </w:p>
    <w:p w14:paraId="42E3B5A4" w14:textId="77777777" w:rsidR="000516F3" w:rsidRPr="00F46F9F" w:rsidRDefault="000516F3" w:rsidP="00A22E9E">
      <w:pPr>
        <w:pStyle w:val="Heading2"/>
        <w:numPr>
          <w:ilvl w:val="0"/>
          <w:numId w:val="20"/>
        </w:numPr>
        <w:ind w:left="426" w:hanging="426"/>
      </w:pPr>
      <w:r w:rsidRPr="00F46F9F">
        <w:t>Action taken from lessons learnt from the Fukushima Daiichi accident</w:t>
      </w:r>
    </w:p>
    <w:p w14:paraId="34BC3E01" w14:textId="2DEFE2EA" w:rsidR="000516F3" w:rsidRPr="00F46F9F" w:rsidRDefault="00836476" w:rsidP="00783BEB">
      <w:pPr>
        <w:rPr>
          <w:spacing w:val="-2"/>
        </w:rPr>
      </w:pPr>
      <w:r w:rsidRPr="00F46F9F">
        <w:t xml:space="preserve">The </w:t>
      </w:r>
      <w:r w:rsidR="000516F3" w:rsidRPr="00F46F9F">
        <w:t xml:space="preserve">safety reassessment of OPAL performed in accordance with the guidance contained in IAEA Safety Report Series No.80 </w:t>
      </w:r>
      <w:r w:rsidR="000516F3" w:rsidRPr="00F46F9F">
        <w:rPr>
          <w:i/>
        </w:rPr>
        <w:t>Safety Reassessment for Research Reactors in the Light of Accident at the Fukushima Daiichi NPP</w:t>
      </w:r>
      <w:r w:rsidR="000516F3" w:rsidRPr="00F46F9F">
        <w:t xml:space="preserve"> </w:t>
      </w:r>
      <w:r w:rsidRPr="00F46F9F">
        <w:t>is</w:t>
      </w:r>
      <w:r w:rsidR="000516F3" w:rsidRPr="00F46F9F">
        <w:t xml:space="preserve"> completed. This is reported on in </w:t>
      </w:r>
      <w:r w:rsidR="000516F3" w:rsidRPr="00F46F9F">
        <w:rPr>
          <w:b/>
        </w:rPr>
        <w:t>Article 16</w:t>
      </w:r>
    </w:p>
    <w:p w14:paraId="34A375A5" w14:textId="77777777" w:rsidR="000516F3" w:rsidRPr="00F46F9F" w:rsidRDefault="000516F3" w:rsidP="00A22E9E">
      <w:pPr>
        <w:pStyle w:val="Heading2"/>
        <w:numPr>
          <w:ilvl w:val="0"/>
          <w:numId w:val="20"/>
        </w:numPr>
        <w:ind w:left="426" w:hanging="426"/>
      </w:pPr>
      <w:r w:rsidRPr="00F46F9F">
        <w:t xml:space="preserve">Response to Challenge to Australia from the 7th CNS Review Meeting </w:t>
      </w:r>
    </w:p>
    <w:p w14:paraId="7DE50724" w14:textId="131B87E3" w:rsidR="000516F3" w:rsidRPr="00F46F9F" w:rsidRDefault="000516F3" w:rsidP="00783BEB">
      <w:r w:rsidRPr="00F46F9F">
        <w:t>At the 7</w:t>
      </w:r>
      <w:r w:rsidRPr="00783BEB">
        <w:rPr>
          <w:vertAlign w:val="superscript"/>
        </w:rPr>
        <w:t>th</w:t>
      </w:r>
      <w:r w:rsidRPr="00F46F9F">
        <w:t xml:space="preserve"> CNS review meeting, held in Vienna in March 2017, Australia was part of country group 7 which also included Croatia, Denmark, India, Ireland, Mali, Netherlands, Peru, Sri Lanka, Switzerland and Ukraine. One ch</w:t>
      </w:r>
      <w:r w:rsidR="00FB526A" w:rsidRPr="00F46F9F">
        <w:t>allenge was issued to Australia:</w:t>
      </w:r>
    </w:p>
    <w:p w14:paraId="564FE5DD" w14:textId="06282955" w:rsidR="000516F3" w:rsidRPr="00F46F9F" w:rsidRDefault="000516F3" w:rsidP="00783BEB">
      <w:r w:rsidRPr="00F46F9F">
        <w:rPr>
          <w:i/>
        </w:rPr>
        <w:t>Challenge 1: Acquire and maintain adequate resourcing and competence within the regulator to cope with add</w:t>
      </w:r>
      <w:r w:rsidR="008E46F0" w:rsidRPr="00F46F9F">
        <w:rPr>
          <w:i/>
        </w:rPr>
        <w:t>itional/new work and activities</w:t>
      </w:r>
      <w:r w:rsidR="008E46F0" w:rsidRPr="00F46F9F">
        <w:t xml:space="preserve">. </w:t>
      </w:r>
      <w:r w:rsidRPr="00F46F9F">
        <w:rPr>
          <w:b/>
        </w:rPr>
        <w:t>The response to this challenge is reported on in</w:t>
      </w:r>
      <w:r w:rsidRPr="00F46F9F">
        <w:t xml:space="preserve"> </w:t>
      </w:r>
      <w:r w:rsidRPr="00F46F9F">
        <w:rPr>
          <w:b/>
        </w:rPr>
        <w:t>Article 11</w:t>
      </w:r>
      <w:r w:rsidR="0038355F">
        <w:rPr>
          <w:b/>
        </w:rPr>
        <w:t>.</w:t>
      </w:r>
    </w:p>
    <w:p w14:paraId="52323DCE" w14:textId="77777777" w:rsidR="008E46F0" w:rsidRPr="00F46F9F" w:rsidRDefault="008E46F0" w:rsidP="00A22E9E">
      <w:pPr>
        <w:pStyle w:val="Heading2"/>
        <w:numPr>
          <w:ilvl w:val="0"/>
          <w:numId w:val="20"/>
        </w:numPr>
        <w:ind w:left="426" w:hanging="426"/>
      </w:pPr>
      <w:r w:rsidRPr="00F46F9F">
        <w:lastRenderedPageBreak/>
        <w:t>Open Status Challenges from the 6</w:t>
      </w:r>
      <w:r w:rsidRPr="00517BFD">
        <w:rPr>
          <w:vertAlign w:val="superscript"/>
        </w:rPr>
        <w:t>th</w:t>
      </w:r>
      <w:r w:rsidRPr="00F46F9F">
        <w:t xml:space="preserve"> CNS Review Meeting</w:t>
      </w:r>
    </w:p>
    <w:p w14:paraId="0179436A" w14:textId="57060734" w:rsidR="003D5A37" w:rsidRPr="003D5A37" w:rsidRDefault="003D5A37" w:rsidP="006F2833">
      <w:pPr>
        <w:rPr>
          <w:rFonts w:ascii="Times New Roman" w:hAnsi="Times New Roman" w:cs="Times New Roman"/>
        </w:rPr>
      </w:pPr>
      <w:r w:rsidRPr="003D5A37">
        <w:t>T</w:t>
      </w:r>
      <w:r w:rsidR="000516F3" w:rsidRPr="003D5A37">
        <w:t>wo challenges to Australia from the 6</w:t>
      </w:r>
      <w:r w:rsidR="000516F3" w:rsidRPr="00517BFD">
        <w:rPr>
          <w:vertAlign w:val="superscript"/>
        </w:rPr>
        <w:t>th</w:t>
      </w:r>
      <w:r w:rsidR="000516F3" w:rsidRPr="003D5A37">
        <w:t xml:space="preserve"> C</w:t>
      </w:r>
      <w:r w:rsidR="00E17E57">
        <w:t>NS review meeting remain o</w:t>
      </w:r>
      <w:r>
        <w:t>pen</w:t>
      </w:r>
      <w:r w:rsidR="008713B7">
        <w:t xml:space="preserve"> due to their ongoing nature</w:t>
      </w:r>
      <w:r>
        <w:t>:</w:t>
      </w:r>
    </w:p>
    <w:p w14:paraId="433ED389" w14:textId="52777789" w:rsidR="00F36C94" w:rsidRPr="006F2833" w:rsidRDefault="000C26A5" w:rsidP="006F2833">
      <w:pPr>
        <w:rPr>
          <w:b/>
        </w:rPr>
      </w:pPr>
      <w:r w:rsidRPr="00F46F9F">
        <w:rPr>
          <w:b/>
          <w:bCs/>
          <w:i/>
        </w:rPr>
        <w:t>Challenge:</w:t>
      </w:r>
      <w:r w:rsidR="00F36C94" w:rsidRPr="00F46F9F">
        <w:rPr>
          <w:i/>
        </w:rPr>
        <w:t xml:space="preserve"> Maintenance of competence within both the operator and regulator, including readiness to cope with expected applications for new (non-reactor) facilities</w:t>
      </w:r>
      <w:r w:rsidR="00F36C94" w:rsidRPr="00F46F9F">
        <w:t xml:space="preserve">. - </w:t>
      </w:r>
      <w:r w:rsidR="00F36C94" w:rsidRPr="00F46F9F">
        <w:rPr>
          <w:b/>
        </w:rPr>
        <w:t xml:space="preserve">Reported </w:t>
      </w:r>
      <w:r w:rsidR="00F11AAE">
        <w:rPr>
          <w:b/>
        </w:rPr>
        <w:t>on in</w:t>
      </w:r>
      <w:r w:rsidR="00F36C94" w:rsidRPr="00F46F9F">
        <w:rPr>
          <w:b/>
        </w:rPr>
        <w:t xml:space="preserve"> Article 11 </w:t>
      </w:r>
    </w:p>
    <w:p w14:paraId="5C4613B2" w14:textId="3C4443EF" w:rsidR="00F36C94" w:rsidRPr="00F11AAE" w:rsidRDefault="000C26A5" w:rsidP="006F2833">
      <w:pPr>
        <w:rPr>
          <w:b/>
        </w:rPr>
      </w:pPr>
      <w:r w:rsidRPr="00F46F9F">
        <w:rPr>
          <w:b/>
          <w:bCs/>
          <w:i/>
        </w:rPr>
        <w:t>Challenge:</w:t>
      </w:r>
      <w:r w:rsidR="00F36C94" w:rsidRPr="00F46F9F">
        <w:rPr>
          <w:i/>
        </w:rPr>
        <w:t xml:space="preserve"> Engagement with the wider Australian community</w:t>
      </w:r>
      <w:r w:rsidR="00F11AAE">
        <w:rPr>
          <w:i/>
        </w:rPr>
        <w:t xml:space="preserve"> over planned waste facilities </w:t>
      </w:r>
      <w:r w:rsidR="00F11AAE" w:rsidRPr="00F11AAE">
        <w:t xml:space="preserve">– </w:t>
      </w:r>
      <w:r w:rsidR="00F11AAE" w:rsidRPr="00F11AAE">
        <w:rPr>
          <w:b/>
        </w:rPr>
        <w:t xml:space="preserve">Reported on in Summary </w:t>
      </w:r>
      <w:r w:rsidR="00F11AAE">
        <w:rPr>
          <w:b/>
        </w:rPr>
        <w:t>section</w:t>
      </w:r>
      <w:r w:rsidR="008A000F">
        <w:rPr>
          <w:b/>
        </w:rPr>
        <w:t xml:space="preserve"> </w:t>
      </w:r>
      <w:r w:rsidR="00F11AAE" w:rsidRPr="00F11AAE">
        <w:rPr>
          <w:b/>
        </w:rPr>
        <w:t>– paragraph xi</w:t>
      </w:r>
    </w:p>
    <w:p w14:paraId="3645B32D" w14:textId="77777777" w:rsidR="008E69DB" w:rsidRPr="00F46F9F" w:rsidRDefault="008E69DB" w:rsidP="00A22E9E">
      <w:pPr>
        <w:pStyle w:val="Heading2"/>
        <w:numPr>
          <w:ilvl w:val="0"/>
          <w:numId w:val="20"/>
        </w:numPr>
        <w:ind w:left="426" w:hanging="426"/>
      </w:pPr>
      <w:r w:rsidRPr="00F46F9F">
        <w:t xml:space="preserve">International Peer Review Missions </w:t>
      </w:r>
    </w:p>
    <w:p w14:paraId="2AF7A4A8" w14:textId="77445687" w:rsidR="008E69DB" w:rsidRPr="00F46F9F" w:rsidRDefault="008E69DB" w:rsidP="00A22E9E">
      <w:pPr>
        <w:pStyle w:val="ListParagraph"/>
        <w:numPr>
          <w:ilvl w:val="0"/>
          <w:numId w:val="22"/>
        </w:numPr>
      </w:pPr>
      <w:r w:rsidRPr="00F46F9F">
        <w:t xml:space="preserve">An </w:t>
      </w:r>
      <w:r w:rsidR="00731487" w:rsidRPr="00F46F9F">
        <w:t>Integrated Regulatory Review Service (</w:t>
      </w:r>
      <w:r w:rsidRPr="00F46F9F">
        <w:t>IRRS</w:t>
      </w:r>
      <w:r w:rsidR="00731487" w:rsidRPr="00F46F9F">
        <w:t>)</w:t>
      </w:r>
      <w:r w:rsidRPr="00F46F9F">
        <w:t xml:space="preserve"> team undertook a full scope mission in Australia in 2007. This IAEA effort was an in-depth review of ARPANSA’s Regulatory Services Branch. A follow-up mission was then conducted in 2011, when a module on medical exposure and patient protection was introduced. </w:t>
      </w:r>
      <w:r w:rsidR="00121AD4" w:rsidRPr="00F46F9F">
        <w:t>All actions from this mission have been implemented.</w:t>
      </w:r>
      <w:r w:rsidR="006E2A2A" w:rsidRPr="00F46F9F">
        <w:t xml:space="preserve"> The reports and closure of recommendations are published on the ARPANSA website</w:t>
      </w:r>
      <w:r w:rsidR="006E2A2A" w:rsidRPr="00F46F9F">
        <w:rPr>
          <w:rStyle w:val="FootnoteReference"/>
          <w:color w:val="000000"/>
        </w:rPr>
        <w:footnoteReference w:id="6"/>
      </w:r>
      <w:r w:rsidR="006E2A2A" w:rsidRPr="00F46F9F">
        <w:t xml:space="preserve">. </w:t>
      </w:r>
    </w:p>
    <w:p w14:paraId="79749CAA" w14:textId="2C68B556" w:rsidR="00AB28CE" w:rsidRPr="00F46F9F" w:rsidRDefault="00E17E57" w:rsidP="00A22E9E">
      <w:pPr>
        <w:pStyle w:val="ListParagraph"/>
        <w:numPr>
          <w:ilvl w:val="0"/>
          <w:numId w:val="22"/>
        </w:numPr>
      </w:pPr>
      <w:r>
        <w:t>A full scope</w:t>
      </w:r>
      <w:r w:rsidR="008E69DB" w:rsidRPr="00F46F9F">
        <w:t xml:space="preserve"> </w:t>
      </w:r>
      <w:r w:rsidR="00B96BE5">
        <w:t>IRRS mission</w:t>
      </w:r>
      <w:r w:rsidR="008E69DB" w:rsidRPr="00F46F9F">
        <w:t xml:space="preserve"> to Australia </w:t>
      </w:r>
      <w:r>
        <w:t xml:space="preserve">occurred </w:t>
      </w:r>
      <w:r w:rsidR="008E69DB" w:rsidRPr="00F46F9F">
        <w:t>4–16 November 2018</w:t>
      </w:r>
      <w:r w:rsidR="00B22F4A">
        <w:t>,</w:t>
      </w:r>
      <w:r w:rsidR="008E46F0" w:rsidRPr="00F46F9F">
        <w:t xml:space="preserve"> which</w:t>
      </w:r>
      <w:r w:rsidR="008E69DB" w:rsidRPr="00F46F9F">
        <w:t xml:space="preserve"> reviewed Australia’s national, legal and governmental framework for nuclear and radiation safety against the IAEA’s Safety Standards. This mission </w:t>
      </w:r>
      <w:r>
        <w:t>included participation from all</w:t>
      </w:r>
      <w:r w:rsidR="008E69DB" w:rsidRPr="00F46F9F">
        <w:t xml:space="preserve"> Australian </w:t>
      </w:r>
      <w:r w:rsidR="00B22F4A">
        <w:t xml:space="preserve">self-governing </w:t>
      </w:r>
      <w:r w:rsidR="00200EBA">
        <w:t>s</w:t>
      </w:r>
      <w:r w:rsidR="008E69DB" w:rsidRPr="00F46F9F">
        <w:t xml:space="preserve">tates and </w:t>
      </w:r>
      <w:r w:rsidR="00200EBA">
        <w:t>t</w:t>
      </w:r>
      <w:r w:rsidR="008E69DB" w:rsidRPr="00F46F9F">
        <w:t>erritories</w:t>
      </w:r>
      <w:r w:rsidR="00B22F4A">
        <w:rPr>
          <w:rStyle w:val="FootnoteReference"/>
        </w:rPr>
        <w:footnoteReference w:id="7"/>
      </w:r>
      <w:r w:rsidR="008E69DB" w:rsidRPr="00F46F9F">
        <w:t>, as well as the Commonwealth</w:t>
      </w:r>
      <w:r w:rsidR="00B22F4A">
        <w:t xml:space="preserve"> of Australia (the federal Australian Government)</w:t>
      </w:r>
      <w:r w:rsidR="008E69DB" w:rsidRPr="00F46F9F">
        <w:t>.</w:t>
      </w:r>
      <w:r w:rsidR="00121AD4" w:rsidRPr="00F46F9F">
        <w:t xml:space="preserve"> </w:t>
      </w:r>
      <w:r w:rsidR="00225ABF" w:rsidRPr="00F46F9F">
        <w:t>The IRRS team consisted of 15 senior regulatory experts from 13 IAEA Member States, three IAEA staff members and two observers.</w:t>
      </w:r>
    </w:p>
    <w:p w14:paraId="09AB2B95" w14:textId="60FD511F" w:rsidR="002D46D5" w:rsidRPr="00F46F9F" w:rsidRDefault="00AB28CE" w:rsidP="00A22E9E">
      <w:pPr>
        <w:pStyle w:val="ListParagraph"/>
        <w:numPr>
          <w:ilvl w:val="0"/>
          <w:numId w:val="22"/>
        </w:numPr>
      </w:pPr>
      <w:r w:rsidRPr="00F46F9F">
        <w:t xml:space="preserve">The scope of the </w:t>
      </w:r>
      <w:r w:rsidR="00B96BE5">
        <w:t>IRRS mission</w:t>
      </w:r>
      <w:r w:rsidRPr="00F46F9F">
        <w:t xml:space="preserve"> to Australia included all modules offered by the IRRS. It included all facilities and activities regulated in Australia, with the exception of the uranium mining industry and the management of waste containing naturally occurring radioactive material (NORM). The mission scope included ARPANSA’s role and responsibilities as the Commonwealth regulator for radiation protection and nuclear safety in all modules. In addition, for specific modules (radiation sources control, transport, and medical exposure control), the mission scope included all </w:t>
      </w:r>
      <w:r w:rsidR="00200EBA">
        <w:t>s</w:t>
      </w:r>
      <w:r w:rsidRPr="00F46F9F">
        <w:t xml:space="preserve">tate and </w:t>
      </w:r>
      <w:r w:rsidR="00200EBA">
        <w:t>t</w:t>
      </w:r>
      <w:r w:rsidRPr="00F46F9F">
        <w:t xml:space="preserve">erritory regulatory bodies. </w:t>
      </w:r>
    </w:p>
    <w:p w14:paraId="06B3B67E" w14:textId="38E65E57" w:rsidR="002D46D5" w:rsidRPr="00F46F9F" w:rsidRDefault="002D46D5" w:rsidP="00A22E9E">
      <w:pPr>
        <w:pStyle w:val="ListParagraph"/>
        <w:numPr>
          <w:ilvl w:val="0"/>
          <w:numId w:val="22"/>
        </w:numPr>
      </w:pPr>
      <w:r w:rsidRPr="00F46F9F">
        <w:t xml:space="preserve">The IRRS team carried out the review in the areas of: responsibilities and functions of the government; the global safety regime; responsibilities and functions of the regulatory body; the management system of the regulatory body; the activities of the regulatory body including </w:t>
      </w:r>
      <w:r w:rsidR="00731487" w:rsidRPr="00F46F9F">
        <w:t>authorisation</w:t>
      </w:r>
      <w:r w:rsidRPr="00F46F9F">
        <w:t xml:space="preserve">, review and assessment, inspection, enforcement, development of regulations and guides including their contents; emergency preparedness and response; control of medical exposures, occupational radiation protection, control of public exposure, environmental monitoring and the interface of safety with nuclear security. </w:t>
      </w:r>
    </w:p>
    <w:p w14:paraId="376CBE90" w14:textId="7A0D0813" w:rsidR="002D46D5" w:rsidRPr="00F46F9F" w:rsidRDefault="002D46D5" w:rsidP="00A22E9E">
      <w:pPr>
        <w:pStyle w:val="ListParagraph"/>
        <w:numPr>
          <w:ilvl w:val="0"/>
          <w:numId w:val="22"/>
        </w:numPr>
      </w:pPr>
      <w:r w:rsidRPr="00F46F9F">
        <w:t xml:space="preserve">The </w:t>
      </w:r>
      <w:r w:rsidR="00B96BE5">
        <w:t>IRRS mission</w:t>
      </w:r>
      <w:r w:rsidRPr="00F46F9F">
        <w:t xml:space="preserve"> included a policy issue discussion on national uniformity of radiation protection and nuclear safety policy and practices across the Commonwealth, </w:t>
      </w:r>
      <w:r w:rsidR="0076243F">
        <w:t>s</w:t>
      </w:r>
      <w:r w:rsidRPr="00F46F9F">
        <w:t xml:space="preserve">tates and </w:t>
      </w:r>
      <w:r w:rsidR="0076243F">
        <w:t>t</w:t>
      </w:r>
      <w:r w:rsidRPr="00F46F9F">
        <w:t>erritories</w:t>
      </w:r>
    </w:p>
    <w:p w14:paraId="61D77C64" w14:textId="203694D4" w:rsidR="00121AD4" w:rsidRPr="00F46F9F" w:rsidRDefault="00121AD4" w:rsidP="00A22E9E">
      <w:pPr>
        <w:pStyle w:val="ListParagraph"/>
        <w:numPr>
          <w:ilvl w:val="0"/>
          <w:numId w:val="22"/>
        </w:numPr>
      </w:pPr>
      <w:r w:rsidRPr="00F46F9F">
        <w:t xml:space="preserve">This was the first </w:t>
      </w:r>
      <w:r w:rsidR="00B96BE5">
        <w:t>IRRS mission</w:t>
      </w:r>
      <w:r w:rsidRPr="00F46F9F">
        <w:t xml:space="preserve"> to undertake a comprehensive multi-jurisdictional review of a federated constitution in which all of the jurisdictions are self-governing. This was identified as a </w:t>
      </w:r>
      <w:r w:rsidRPr="00F46F9F">
        <w:lastRenderedPageBreak/>
        <w:t xml:space="preserve">good practice by the team and a model that other federal countries may want to consider when planning for future </w:t>
      </w:r>
      <w:r w:rsidR="00B96BE5">
        <w:t>IRRS mission</w:t>
      </w:r>
      <w:r w:rsidRPr="00F46F9F">
        <w:t xml:space="preserve">s. </w:t>
      </w:r>
    </w:p>
    <w:p w14:paraId="22CBFF9E" w14:textId="075AB81D" w:rsidR="00121AD4" w:rsidRPr="004E2298" w:rsidRDefault="00121AD4" w:rsidP="00A22E9E">
      <w:pPr>
        <w:pStyle w:val="ListParagraph"/>
        <w:numPr>
          <w:ilvl w:val="0"/>
          <w:numId w:val="22"/>
        </w:numPr>
        <w:rPr>
          <w:lang w:val="en" w:eastAsia="en-AU"/>
        </w:rPr>
      </w:pPr>
      <w:r w:rsidRPr="00F46F9F">
        <w:t xml:space="preserve">The </w:t>
      </w:r>
      <w:r w:rsidR="00F4671A" w:rsidRPr="00F46F9F">
        <w:t>mission found</w:t>
      </w:r>
      <w:r w:rsidRPr="00F46F9F">
        <w:t xml:space="preserve"> </w:t>
      </w:r>
      <w:r w:rsidR="0076243F">
        <w:t>four</w:t>
      </w:r>
      <w:r w:rsidR="007907A0" w:rsidRPr="00F46F9F">
        <w:t xml:space="preserve"> </w:t>
      </w:r>
      <w:r w:rsidRPr="00F46F9F">
        <w:t>good practices</w:t>
      </w:r>
      <w:r w:rsidR="0076243F">
        <w:t>, and made</w:t>
      </w:r>
      <w:r w:rsidRPr="00F46F9F">
        <w:t xml:space="preserve"> 23 recommendations and 12 suggestions</w:t>
      </w:r>
      <w:r w:rsidRPr="004E2298">
        <w:rPr>
          <w:lang w:val="en" w:eastAsia="en-AU"/>
        </w:rPr>
        <w:t xml:space="preserve"> for improvement. These are addressed to the various Australian governments and regulatory bodies. </w:t>
      </w:r>
      <w:r w:rsidRPr="00F46F9F">
        <w:t>A follow-up mission will be conducted in 2021-22</w:t>
      </w:r>
      <w:r w:rsidR="006E2A2A" w:rsidRPr="00F46F9F">
        <w:t>. The report is published on the ARPANSA website</w:t>
      </w:r>
      <w:r w:rsidR="006E2A2A" w:rsidRPr="00F46F9F">
        <w:rPr>
          <w:rStyle w:val="FootnoteReference"/>
          <w:color w:val="000000"/>
        </w:rPr>
        <w:footnoteReference w:id="8"/>
      </w:r>
      <w:r w:rsidR="006E2A2A" w:rsidRPr="00F46F9F">
        <w:t>.</w:t>
      </w:r>
    </w:p>
    <w:p w14:paraId="254C7D9E" w14:textId="0BB9DE12" w:rsidR="00E42E99" w:rsidRPr="004E2298" w:rsidRDefault="0009050C" w:rsidP="00A22E9E">
      <w:pPr>
        <w:pStyle w:val="ListParagraph"/>
        <w:numPr>
          <w:ilvl w:val="0"/>
          <w:numId w:val="22"/>
        </w:numPr>
        <w:rPr>
          <w:lang w:val="en" w:eastAsia="en-AU"/>
        </w:rPr>
      </w:pPr>
      <w:r w:rsidRPr="004E2298">
        <w:rPr>
          <w:lang w:val="en" w:eastAsia="en-AU"/>
        </w:rPr>
        <w:t xml:space="preserve">Development of an Action Plan that takes account of the IRRS findings as well as any other significant issues identified during the self-assessment is currently on-going. Where </w:t>
      </w:r>
      <w:r w:rsidRPr="00A05D1D">
        <w:t xml:space="preserve">findings </w:t>
      </w:r>
      <w:r w:rsidR="00B22F4A">
        <w:t xml:space="preserve">are </w:t>
      </w:r>
      <w:r w:rsidRPr="00A05D1D">
        <w:t xml:space="preserve">related to CNS areas, these have been addressed under the </w:t>
      </w:r>
      <w:r w:rsidR="00F33318" w:rsidRPr="00A05D1D">
        <w:t>relevant Articles</w:t>
      </w:r>
      <w:r w:rsidR="008E46F0" w:rsidRPr="00A05D1D">
        <w:t xml:space="preserve"> </w:t>
      </w:r>
      <w:r w:rsidRPr="00A05D1D">
        <w:t xml:space="preserve">namely </w:t>
      </w:r>
      <w:r w:rsidR="00F33318" w:rsidRPr="004E2298">
        <w:rPr>
          <w:b/>
        </w:rPr>
        <w:t xml:space="preserve">6, </w:t>
      </w:r>
      <w:r w:rsidR="00556720">
        <w:rPr>
          <w:b/>
        </w:rPr>
        <w:t>8, 15 and 16.</w:t>
      </w:r>
    </w:p>
    <w:p w14:paraId="2091E0D2" w14:textId="18766030" w:rsidR="00447232" w:rsidRPr="00035E28" w:rsidRDefault="00E42E99" w:rsidP="00A22E9E">
      <w:pPr>
        <w:pStyle w:val="ListParagraph"/>
        <w:numPr>
          <w:ilvl w:val="0"/>
          <w:numId w:val="22"/>
        </w:numPr>
        <w:rPr>
          <w:lang w:val="en" w:eastAsia="en-AU"/>
        </w:rPr>
      </w:pPr>
      <w:r w:rsidRPr="00E42E99">
        <w:t xml:space="preserve">All international review reports and Australia’s national reports under the </w:t>
      </w:r>
      <w:r w:rsidRPr="004E2298">
        <w:rPr>
          <w:i/>
        </w:rPr>
        <w:t xml:space="preserve">Convention </w:t>
      </w:r>
      <w:r w:rsidR="00B22F4A">
        <w:rPr>
          <w:i/>
        </w:rPr>
        <w:t>on</w:t>
      </w:r>
      <w:r w:rsidR="00B22F4A" w:rsidRPr="004E2298">
        <w:rPr>
          <w:i/>
        </w:rPr>
        <w:t xml:space="preserve"> </w:t>
      </w:r>
      <w:r w:rsidRPr="004E2298">
        <w:rPr>
          <w:i/>
        </w:rPr>
        <w:t>Nuclear Safety</w:t>
      </w:r>
      <w:r w:rsidRPr="00E42E99">
        <w:t xml:space="preserve"> and the </w:t>
      </w:r>
      <w:r w:rsidRPr="004E2298">
        <w:rPr>
          <w:i/>
        </w:rPr>
        <w:t>Joint Convention on the Safety of Spent Fuel Management and on the Safety of Radioactive Waste Management</w:t>
      </w:r>
      <w:r w:rsidRPr="00E42E99">
        <w:t xml:space="preserve"> are published in the ARPANSA website</w:t>
      </w:r>
      <w:r w:rsidR="0076243F">
        <w:t>.</w:t>
      </w:r>
      <w:r w:rsidRPr="00E42E99">
        <w:t xml:space="preserve"> See </w:t>
      </w:r>
      <w:r w:rsidRPr="004E2298">
        <w:rPr>
          <w:b/>
        </w:rPr>
        <w:t>Article 8</w:t>
      </w:r>
      <w:r w:rsidRPr="00E42E99">
        <w:t xml:space="preserve"> for further information on transparency. </w:t>
      </w:r>
    </w:p>
    <w:p w14:paraId="176AA10C" w14:textId="77777777" w:rsidR="00121AD4" w:rsidRPr="00A05D1D" w:rsidRDefault="00F3096F" w:rsidP="00A22E9E">
      <w:pPr>
        <w:pStyle w:val="Heading2"/>
        <w:numPr>
          <w:ilvl w:val="0"/>
          <w:numId w:val="20"/>
        </w:numPr>
        <w:ind w:left="426" w:hanging="426"/>
      </w:pPr>
      <w:r w:rsidRPr="00A05D1D">
        <w:t xml:space="preserve">Snapshot of new information in National Report under each Article </w:t>
      </w:r>
    </w:p>
    <w:p w14:paraId="70B10B25" w14:textId="4D723B7F" w:rsidR="00836476" w:rsidRPr="00A05D1D" w:rsidRDefault="00836476" w:rsidP="00836476">
      <w:pPr>
        <w:keepNext/>
        <w:keepLines/>
        <w:outlineLvl w:val="2"/>
      </w:pPr>
      <w:r w:rsidRPr="00A05D1D">
        <w:t>A snapshot of new information/ch</w:t>
      </w:r>
      <w:r w:rsidR="00E17E57">
        <w:t>anges since the 7th CNS Review M</w:t>
      </w:r>
      <w:r w:rsidRPr="00A05D1D">
        <w:t xml:space="preserve">eeting is presented below: </w:t>
      </w:r>
    </w:p>
    <w:p w14:paraId="530576B6" w14:textId="77777777" w:rsidR="0045232A" w:rsidRPr="00A05D1D" w:rsidRDefault="0045232A" w:rsidP="00F40BE9">
      <w:pPr>
        <w:pStyle w:val="Heading3"/>
        <w:numPr>
          <w:ilvl w:val="0"/>
          <w:numId w:val="0"/>
        </w:numPr>
      </w:pPr>
      <w:r w:rsidRPr="00A05D1D">
        <w:t>Article 6 - Existing nuclear installations</w:t>
      </w:r>
    </w:p>
    <w:p w14:paraId="13A81018" w14:textId="66E0E9DF" w:rsidR="00186479" w:rsidRPr="00A05D1D" w:rsidRDefault="0045232A" w:rsidP="00A22E9E">
      <w:pPr>
        <w:pStyle w:val="ListParagraph"/>
        <w:numPr>
          <w:ilvl w:val="0"/>
          <w:numId w:val="41"/>
        </w:numPr>
      </w:pPr>
      <w:r w:rsidRPr="00A05D1D">
        <w:t xml:space="preserve">There has been no significant safety issue at the OPAL </w:t>
      </w:r>
      <w:r w:rsidR="00AB28CE" w:rsidRPr="00A05D1D">
        <w:t xml:space="preserve">or HIFAR </w:t>
      </w:r>
      <w:r w:rsidRPr="00A05D1D">
        <w:t xml:space="preserve">reactor </w:t>
      </w:r>
      <w:r w:rsidR="00836476" w:rsidRPr="00A05D1D">
        <w:t>raised in the current report</w:t>
      </w:r>
      <w:r w:rsidR="00EE6AD3">
        <w:t>ing</w:t>
      </w:r>
      <w:r w:rsidR="00836476" w:rsidRPr="00A05D1D">
        <w:t xml:space="preserve"> period. </w:t>
      </w:r>
    </w:p>
    <w:p w14:paraId="4D4577F9" w14:textId="68C52CB6" w:rsidR="000A54DB" w:rsidRPr="0049546F" w:rsidRDefault="000A54DB" w:rsidP="00A22E9E">
      <w:pPr>
        <w:pStyle w:val="ListParagraph"/>
        <w:numPr>
          <w:ilvl w:val="0"/>
          <w:numId w:val="41"/>
        </w:numPr>
      </w:pPr>
      <w:r w:rsidRPr="0049546F">
        <w:t xml:space="preserve">A </w:t>
      </w:r>
      <w:r w:rsidR="00073C1C">
        <w:t>l</w:t>
      </w:r>
      <w:r w:rsidRPr="0049546F">
        <w:t xml:space="preserve">icence </w:t>
      </w:r>
      <w:r w:rsidR="00073C1C">
        <w:t>c</w:t>
      </w:r>
      <w:r w:rsidRPr="0049546F">
        <w:t>ondition was imp</w:t>
      </w:r>
      <w:r w:rsidR="00073C1C">
        <w:t>osed</w:t>
      </w:r>
      <w:r w:rsidRPr="0049546F">
        <w:t xml:space="preserve"> in May 2019 requir</w:t>
      </w:r>
      <w:r w:rsidR="00073C1C">
        <w:t>ing</w:t>
      </w:r>
      <w:r w:rsidRPr="0049546F">
        <w:t xml:space="preserve"> OPAL </w:t>
      </w:r>
      <w:r w:rsidR="006744FA">
        <w:t>to assess and report on</w:t>
      </w:r>
      <w:r w:rsidRPr="0049546F">
        <w:t xml:space="preserve"> Design Extension Conditions as per the Specific Safety Requirements No. SSR-3 </w:t>
      </w:r>
      <w:r w:rsidRPr="00AB09EF">
        <w:rPr>
          <w:i/>
        </w:rPr>
        <w:t>Safety of Research Reactors</w:t>
      </w:r>
      <w:r w:rsidRPr="0049546F">
        <w:t xml:space="preserve"> Requirement 22. This condition has also been applied to the </w:t>
      </w:r>
      <w:r w:rsidR="00C6617E">
        <w:t>o</w:t>
      </w:r>
      <w:r w:rsidRPr="0049546F">
        <w:t xml:space="preserve">perating </w:t>
      </w:r>
      <w:r w:rsidR="00C6617E">
        <w:t>l</w:t>
      </w:r>
      <w:r w:rsidRPr="0049546F">
        <w:t xml:space="preserve">icence for the new </w:t>
      </w:r>
      <w:r w:rsidR="002E2E6C">
        <w:t xml:space="preserve">ANSTO </w:t>
      </w:r>
      <w:r w:rsidRPr="0049546F">
        <w:t>N</w:t>
      </w:r>
      <w:r w:rsidR="00AB09EF">
        <w:t xml:space="preserve">uclear </w:t>
      </w:r>
      <w:r w:rsidRPr="0049546F">
        <w:t>M</w:t>
      </w:r>
      <w:r w:rsidR="00AB09EF">
        <w:t>edicine</w:t>
      </w:r>
      <w:r w:rsidRPr="0049546F">
        <w:t xml:space="preserve"> </w:t>
      </w:r>
      <w:r w:rsidR="002E2E6C">
        <w:t xml:space="preserve">(ANM) </w:t>
      </w:r>
      <w:r w:rsidRPr="0049546F">
        <w:t>Facility</w:t>
      </w:r>
      <w:r w:rsidR="00D81ADA">
        <w:t xml:space="preserve"> which was issued in April 2019</w:t>
      </w:r>
      <w:r w:rsidRPr="0049546F">
        <w:t xml:space="preserve">. </w:t>
      </w:r>
    </w:p>
    <w:p w14:paraId="4C93ECC7" w14:textId="080A5DA2" w:rsidR="00B8679F" w:rsidRPr="00AB09EF" w:rsidRDefault="008E46F0" w:rsidP="00A22E9E">
      <w:pPr>
        <w:pStyle w:val="ListParagraph"/>
        <w:numPr>
          <w:ilvl w:val="0"/>
          <w:numId w:val="41"/>
        </w:numPr>
      </w:pPr>
      <w:r w:rsidRPr="00A05D1D">
        <w:t xml:space="preserve">One safety significant incident, rated on the International Nuclear Event Scale as a </w:t>
      </w:r>
      <w:r w:rsidR="00B8679F" w:rsidRPr="00A05D1D">
        <w:t xml:space="preserve">level </w:t>
      </w:r>
      <w:r w:rsidRPr="00A05D1D">
        <w:t>3</w:t>
      </w:r>
      <w:r w:rsidR="00F11AAE">
        <w:t>,</w:t>
      </w:r>
      <w:r w:rsidRPr="00A05D1D">
        <w:t xml:space="preserve"> occurred at the ANSTO Health Radiopharmaceutical Facility</w:t>
      </w:r>
      <w:r w:rsidR="00B8679F" w:rsidRPr="00A05D1D">
        <w:t xml:space="preserve"> in August 2017</w:t>
      </w:r>
      <w:r w:rsidR="00A71881">
        <w:t>. As a result ARPANSA issued a d</w:t>
      </w:r>
      <w:r w:rsidRPr="00A05D1D">
        <w:t xml:space="preserve">irection to </w:t>
      </w:r>
      <w:r w:rsidR="00236BA6">
        <w:t xml:space="preserve">ANSTO to </w:t>
      </w:r>
      <w:r w:rsidR="00B22F4A">
        <w:t>initiate</w:t>
      </w:r>
      <w:r w:rsidR="00B22F4A" w:rsidRPr="00A05D1D">
        <w:t xml:space="preserve"> </w:t>
      </w:r>
      <w:r w:rsidRPr="00A05D1D">
        <w:t>an independent safety review of the facility conducted</w:t>
      </w:r>
      <w:r w:rsidR="00B8679F" w:rsidRPr="00A05D1D">
        <w:t xml:space="preserve"> by a team of international and national experts in the fields of nuclear safety, safety and organisational culture, radiation protection and human factors</w:t>
      </w:r>
      <w:r w:rsidR="00C31997" w:rsidRPr="00A05D1D">
        <w:t xml:space="preserve">. </w:t>
      </w:r>
      <w:r w:rsidR="00C31997" w:rsidRPr="002E2E6C">
        <w:t>At the time of this report ANSTO has submitted an action plan for approval in response to the findings</w:t>
      </w:r>
      <w:r w:rsidR="00C669C1" w:rsidRPr="002E2E6C">
        <w:t xml:space="preserve"> of the independent review</w:t>
      </w:r>
      <w:r w:rsidR="00C31997" w:rsidRPr="002E2E6C">
        <w:t xml:space="preserve"> to ARPANSA.</w:t>
      </w:r>
      <w:r w:rsidR="00C31997" w:rsidRPr="00AB09EF">
        <w:t xml:space="preserve"> </w:t>
      </w:r>
    </w:p>
    <w:p w14:paraId="61EF6A74" w14:textId="77777777" w:rsidR="0045232A" w:rsidRPr="00A05D1D" w:rsidRDefault="0045232A" w:rsidP="00FF54CB">
      <w:pPr>
        <w:pStyle w:val="Heading3"/>
        <w:numPr>
          <w:ilvl w:val="0"/>
          <w:numId w:val="0"/>
        </w:numPr>
      </w:pPr>
      <w:r w:rsidRPr="00A05D1D">
        <w:t>Article 7 – Legislation and regulatory framework</w:t>
      </w:r>
    </w:p>
    <w:p w14:paraId="38D3CE04" w14:textId="16D2E9CF" w:rsidR="00F20FE0" w:rsidRPr="00A05D1D" w:rsidRDefault="00F20FE0" w:rsidP="00AB09EF">
      <w:pPr>
        <w:pStyle w:val="ListParagraph"/>
        <w:numPr>
          <w:ilvl w:val="0"/>
          <w:numId w:val="51"/>
        </w:numPr>
      </w:pPr>
      <w:r w:rsidRPr="00A05D1D">
        <w:t>The Australian Radiation Protection and Nuclear Safety Regulations 2018 replaced the Australian Radiation Protection and Nuclear Safety Regulations 1999 (the ARPANS Reg</w:t>
      </w:r>
      <w:r w:rsidR="00E42E99">
        <w:t xml:space="preserve">ulations) </w:t>
      </w:r>
      <w:r w:rsidR="00215F35">
        <w:t xml:space="preserve">in </w:t>
      </w:r>
      <w:r w:rsidR="00E42E99">
        <w:t xml:space="preserve">December 2018. </w:t>
      </w:r>
      <w:r w:rsidRPr="00A05D1D">
        <w:t xml:space="preserve">There was no change to the </w:t>
      </w:r>
      <w:r w:rsidR="00C669C1" w:rsidRPr="00A05D1D">
        <w:t xml:space="preserve">substance </w:t>
      </w:r>
      <w:r w:rsidRPr="00A05D1D">
        <w:t xml:space="preserve">of the regulations, but the numbering and formatting </w:t>
      </w:r>
      <w:r w:rsidR="00E81F12" w:rsidRPr="00A05D1D">
        <w:t>was</w:t>
      </w:r>
      <w:r w:rsidRPr="00A05D1D">
        <w:t xml:space="preserve"> changed and in some parts the wording </w:t>
      </w:r>
      <w:r w:rsidR="00E81F12" w:rsidRPr="00A05D1D">
        <w:t xml:space="preserve">was </w:t>
      </w:r>
      <w:r w:rsidRPr="00A05D1D">
        <w:t>changed to simplify the regulations in accordance with modern drafting practices</w:t>
      </w:r>
      <w:r w:rsidR="00816D9B">
        <w:t>.</w:t>
      </w:r>
    </w:p>
    <w:p w14:paraId="30933C2E" w14:textId="771E9F10" w:rsidR="00E81F12" w:rsidRDefault="00226206" w:rsidP="00A22E9E">
      <w:pPr>
        <w:pStyle w:val="ListParagraph"/>
        <w:numPr>
          <w:ilvl w:val="0"/>
          <w:numId w:val="48"/>
        </w:numPr>
      </w:pPr>
      <w:r>
        <w:t>During</w:t>
      </w:r>
      <w:r w:rsidRPr="00A05D1D">
        <w:t xml:space="preserve"> </w:t>
      </w:r>
      <w:r w:rsidR="00E81F12" w:rsidRPr="00A05D1D">
        <w:t xml:space="preserve">the reporting period, in November 2018, ARPANSA published </w:t>
      </w:r>
      <w:r w:rsidR="00816D9B">
        <w:t>a</w:t>
      </w:r>
      <w:r w:rsidR="00816D9B" w:rsidRPr="00A05D1D">
        <w:t xml:space="preserve"> </w:t>
      </w:r>
      <w:r w:rsidR="00E81F12" w:rsidRPr="00A05D1D">
        <w:t xml:space="preserve">guide for </w:t>
      </w:r>
      <w:r w:rsidR="00816D9B">
        <w:t>preparing</w:t>
      </w:r>
      <w:r w:rsidR="00E81F12" w:rsidRPr="00A05D1D">
        <w:t xml:space="preserve"> </w:t>
      </w:r>
      <w:r w:rsidR="00816D9B">
        <w:t xml:space="preserve">a </w:t>
      </w:r>
      <w:r w:rsidR="00E81F12" w:rsidRPr="00A05D1D">
        <w:t xml:space="preserve">decommissioning licence application based on the IAEA safety guide: </w:t>
      </w:r>
      <w:r w:rsidR="00E81F12" w:rsidRPr="002F13BD">
        <w:rPr>
          <w:i/>
        </w:rPr>
        <w:t xml:space="preserve">Decommissioning of Nuclear </w:t>
      </w:r>
      <w:r w:rsidR="00E81F12" w:rsidRPr="002F13BD">
        <w:rPr>
          <w:i/>
        </w:rPr>
        <w:lastRenderedPageBreak/>
        <w:t>Power Plants, Research Reactors and Other Nuclear Fuel Cycle Facilities</w:t>
      </w:r>
      <w:r w:rsidR="00E81F12" w:rsidRPr="00A05D1D">
        <w:t xml:space="preserve"> (SSG-47). This guide is Regulatory Guide: </w:t>
      </w:r>
      <w:r w:rsidR="00E81F12" w:rsidRPr="002F13BD">
        <w:rPr>
          <w:i/>
        </w:rPr>
        <w:t>Decommissioning of Controlled Facilities</w:t>
      </w:r>
      <w:r w:rsidR="00D81ADA" w:rsidRPr="00D81ADA">
        <w:rPr>
          <w:vertAlign w:val="superscript"/>
        </w:rPr>
        <w:footnoteReference w:id="9"/>
      </w:r>
      <w:r w:rsidR="004C3C58">
        <w:t>.</w:t>
      </w:r>
    </w:p>
    <w:p w14:paraId="7274267D" w14:textId="7C59CEA5" w:rsidR="001D1CDB" w:rsidRDefault="00215F35" w:rsidP="00A22E9E">
      <w:pPr>
        <w:pStyle w:val="Default"/>
        <w:numPr>
          <w:ilvl w:val="0"/>
          <w:numId w:val="48"/>
        </w:numPr>
      </w:pPr>
      <w:r w:rsidRPr="00215F35">
        <w:rPr>
          <w:rFonts w:asciiTheme="minorHAnsi" w:hAnsiTheme="minorHAnsi" w:cstheme="minorBidi"/>
          <w:color w:val="444444"/>
          <w:sz w:val="22"/>
          <w:szCs w:val="22"/>
        </w:rPr>
        <w:t xml:space="preserve">ARPANSA also published </w:t>
      </w:r>
      <w:r w:rsidR="00816D9B">
        <w:rPr>
          <w:rFonts w:asciiTheme="minorHAnsi" w:hAnsiTheme="minorHAnsi" w:cstheme="minorBidi"/>
          <w:color w:val="444444"/>
          <w:sz w:val="22"/>
          <w:szCs w:val="22"/>
        </w:rPr>
        <w:t>a</w:t>
      </w:r>
      <w:r w:rsidR="00816D9B" w:rsidRPr="00215F35">
        <w:rPr>
          <w:rFonts w:asciiTheme="minorHAnsi" w:hAnsiTheme="minorHAnsi" w:cstheme="minorBidi"/>
          <w:color w:val="444444"/>
          <w:sz w:val="22"/>
          <w:szCs w:val="22"/>
        </w:rPr>
        <w:t xml:space="preserve"> </w:t>
      </w:r>
      <w:r w:rsidRPr="00215F35">
        <w:rPr>
          <w:rFonts w:asciiTheme="minorHAnsi" w:hAnsiTheme="minorHAnsi" w:cstheme="minorBidi"/>
          <w:color w:val="444444"/>
          <w:sz w:val="22"/>
          <w:szCs w:val="22"/>
        </w:rPr>
        <w:t xml:space="preserve">guide for applying for a radioactive waste storage or disposal facility </w:t>
      </w:r>
      <w:r w:rsidR="001D1CDB">
        <w:rPr>
          <w:rFonts w:asciiTheme="minorHAnsi" w:hAnsiTheme="minorHAnsi" w:cstheme="minorBidi"/>
          <w:color w:val="444444"/>
          <w:sz w:val="22"/>
          <w:szCs w:val="22"/>
        </w:rPr>
        <w:t xml:space="preserve">in May 2017 </w:t>
      </w:r>
      <w:r w:rsidRPr="00215F35">
        <w:rPr>
          <w:rFonts w:asciiTheme="minorHAnsi" w:hAnsiTheme="minorHAnsi" w:cstheme="minorBidi"/>
          <w:color w:val="444444"/>
          <w:sz w:val="22"/>
          <w:szCs w:val="22"/>
        </w:rPr>
        <w:t>based on IAEA Safety Series</w:t>
      </w:r>
      <w:r w:rsidR="001D1CDB">
        <w:rPr>
          <w:rFonts w:asciiTheme="minorHAnsi" w:hAnsiTheme="minorHAnsi" w:cstheme="minorBidi"/>
          <w:color w:val="444444"/>
          <w:sz w:val="22"/>
          <w:szCs w:val="22"/>
        </w:rPr>
        <w:t xml:space="preserve"> including</w:t>
      </w:r>
      <w:r w:rsidRPr="00215F35">
        <w:rPr>
          <w:rFonts w:asciiTheme="minorHAnsi" w:hAnsiTheme="minorHAnsi" w:cstheme="minorBidi"/>
          <w:color w:val="444444"/>
          <w:sz w:val="22"/>
          <w:szCs w:val="22"/>
        </w:rPr>
        <w:t xml:space="preserve"> GSG-1 </w:t>
      </w:r>
      <w:r w:rsidRPr="00AB09EF">
        <w:rPr>
          <w:rFonts w:asciiTheme="minorHAnsi" w:hAnsiTheme="minorHAnsi" w:cstheme="minorBidi"/>
          <w:i/>
          <w:color w:val="444444"/>
          <w:sz w:val="22"/>
          <w:szCs w:val="22"/>
        </w:rPr>
        <w:t>Classification of Radioactive Waste</w:t>
      </w:r>
      <w:r w:rsidR="001D1CDB">
        <w:rPr>
          <w:rFonts w:asciiTheme="minorHAnsi" w:hAnsiTheme="minorHAnsi" w:cstheme="minorBidi"/>
          <w:color w:val="444444"/>
          <w:sz w:val="22"/>
          <w:szCs w:val="22"/>
        </w:rPr>
        <w:t xml:space="preserve"> and </w:t>
      </w:r>
      <w:r w:rsidR="001D1CDB" w:rsidRPr="001D1CDB">
        <w:rPr>
          <w:rFonts w:asciiTheme="minorHAnsi" w:hAnsiTheme="minorHAnsi" w:cstheme="minorBidi"/>
          <w:color w:val="444444"/>
          <w:sz w:val="22"/>
          <w:szCs w:val="22"/>
        </w:rPr>
        <w:t xml:space="preserve">SSR-5 </w:t>
      </w:r>
      <w:r w:rsidR="001D1CDB" w:rsidRPr="00AB09EF">
        <w:rPr>
          <w:rFonts w:asciiTheme="minorHAnsi" w:hAnsiTheme="minorHAnsi" w:cstheme="minorBidi"/>
          <w:i/>
          <w:color w:val="444444"/>
          <w:sz w:val="22"/>
          <w:szCs w:val="22"/>
        </w:rPr>
        <w:t>Disposal of Radioactive Waste</w:t>
      </w:r>
      <w:r w:rsidR="001D1CDB" w:rsidRPr="001D1CDB">
        <w:rPr>
          <w:rFonts w:asciiTheme="minorHAnsi" w:hAnsiTheme="minorHAnsi" w:cstheme="minorBidi"/>
          <w:color w:val="444444"/>
          <w:sz w:val="22"/>
          <w:szCs w:val="22"/>
        </w:rPr>
        <w:t xml:space="preserve">. This guide is Regulatory Guide: </w:t>
      </w:r>
      <w:r w:rsidR="001D1CDB" w:rsidRPr="001D1CDB">
        <w:rPr>
          <w:rFonts w:asciiTheme="minorHAnsi" w:hAnsiTheme="minorHAnsi" w:cstheme="minorBidi"/>
          <w:i/>
          <w:color w:val="444444"/>
          <w:sz w:val="22"/>
          <w:szCs w:val="22"/>
        </w:rPr>
        <w:t>Applying for a licence for radioactive waste storage or disposal facility</w:t>
      </w:r>
      <w:r w:rsidR="001D1CDB" w:rsidRPr="00D81ADA">
        <w:rPr>
          <w:vertAlign w:val="superscript"/>
        </w:rPr>
        <w:footnoteReference w:id="10"/>
      </w:r>
      <w:r w:rsidR="001D1CDB">
        <w:t>.</w:t>
      </w:r>
    </w:p>
    <w:p w14:paraId="4188616E" w14:textId="0CD0F9BF" w:rsidR="00215F35" w:rsidRPr="00215F35" w:rsidRDefault="001D1CDB" w:rsidP="001D1CDB">
      <w:pPr>
        <w:autoSpaceDE w:val="0"/>
        <w:autoSpaceDN w:val="0"/>
        <w:adjustRightInd w:val="0"/>
        <w:spacing w:before="0" w:line="240" w:lineRule="auto"/>
        <w:ind w:left="720"/>
      </w:pPr>
      <w:r>
        <w:t xml:space="preserve"> </w:t>
      </w:r>
      <w:r w:rsidRPr="001D1CDB">
        <w:t xml:space="preserve"> </w:t>
      </w:r>
    </w:p>
    <w:p w14:paraId="1B788A8D" w14:textId="610F9747" w:rsidR="0045232A" w:rsidRPr="00A05D1D" w:rsidRDefault="0045232A" w:rsidP="00D343F9">
      <w:pPr>
        <w:pStyle w:val="Heading3"/>
        <w:numPr>
          <w:ilvl w:val="0"/>
          <w:numId w:val="0"/>
        </w:numPr>
      </w:pPr>
      <w:r w:rsidRPr="00A05D1D">
        <w:t>Article 8 –</w:t>
      </w:r>
      <w:r w:rsidR="00D343F9">
        <w:t xml:space="preserve"> </w:t>
      </w:r>
      <w:r w:rsidRPr="00A05D1D">
        <w:t>Regulatory body</w:t>
      </w:r>
    </w:p>
    <w:p w14:paraId="7A6814E4" w14:textId="538CEF3D" w:rsidR="0024240F" w:rsidRPr="00A05D1D" w:rsidRDefault="00E42E99" w:rsidP="00A22E9E">
      <w:pPr>
        <w:pStyle w:val="ListParagraph"/>
        <w:numPr>
          <w:ilvl w:val="0"/>
          <w:numId w:val="43"/>
        </w:numPr>
      </w:pPr>
      <w:r>
        <w:t xml:space="preserve">ARPANSA developed </w:t>
      </w:r>
      <w:r w:rsidR="008030CB">
        <w:t xml:space="preserve">a </w:t>
      </w:r>
      <w:r w:rsidR="004A2064" w:rsidRPr="00A05D1D">
        <w:t xml:space="preserve">Workforce Plan (2017–2021) which </w:t>
      </w:r>
      <w:r w:rsidR="008030CB">
        <w:t>covers</w:t>
      </w:r>
      <w:r w:rsidR="008030CB" w:rsidRPr="00A05D1D">
        <w:t xml:space="preserve"> </w:t>
      </w:r>
      <w:r w:rsidR="004A2064" w:rsidRPr="00A05D1D">
        <w:t>the identification, development and maintenance of competency requirements. In addition, in 2017 ARPANSA undertook a comprehensive review of all positions in the organi</w:t>
      </w:r>
      <w:r w:rsidR="00C669C1" w:rsidRPr="00A05D1D">
        <w:t>s</w:t>
      </w:r>
      <w:r w:rsidR="004A2064" w:rsidRPr="00A05D1D">
        <w:t xml:space="preserve">ation as part of ongoing succession planning. </w:t>
      </w:r>
    </w:p>
    <w:p w14:paraId="05F66E96" w14:textId="6093DC3F" w:rsidR="004A2064" w:rsidRPr="00A05D1D" w:rsidRDefault="00B8679F" w:rsidP="00A22E9E">
      <w:pPr>
        <w:pStyle w:val="ListParagraph"/>
        <w:numPr>
          <w:ilvl w:val="0"/>
          <w:numId w:val="43"/>
        </w:numPr>
      </w:pPr>
      <w:r w:rsidRPr="00A05D1D">
        <w:t>As part of the ongoing process to adopt</w:t>
      </w:r>
      <w:r w:rsidR="004A2064" w:rsidRPr="00A05D1D">
        <w:t xml:space="preserve"> ISO 1</w:t>
      </w:r>
      <w:r w:rsidRPr="00A05D1D">
        <w:t xml:space="preserve">7020 or equivalent arrangements, </w:t>
      </w:r>
      <w:r w:rsidR="004A2064" w:rsidRPr="00A05D1D">
        <w:t xml:space="preserve">ARPANSA implemented a </w:t>
      </w:r>
      <w:r w:rsidR="0024240F" w:rsidRPr="00A05D1D">
        <w:t xml:space="preserve">revised </w:t>
      </w:r>
      <w:r w:rsidR="00236BA6">
        <w:t>q</w:t>
      </w:r>
      <w:r w:rsidR="004A2064" w:rsidRPr="00A05D1D">
        <w:t xml:space="preserve">ualification system </w:t>
      </w:r>
      <w:r w:rsidRPr="00A05D1D">
        <w:t xml:space="preserve">in 2017 </w:t>
      </w:r>
      <w:r w:rsidR="004A2064" w:rsidRPr="00A05D1D">
        <w:t xml:space="preserve">with associated defined competencies that all regulatory officers must meet before </w:t>
      </w:r>
      <w:r w:rsidR="00486CF4">
        <w:t xml:space="preserve">formal </w:t>
      </w:r>
      <w:r w:rsidR="008030CB">
        <w:t>a</w:t>
      </w:r>
      <w:r w:rsidR="00486CF4">
        <w:t xml:space="preserve">ppointment </w:t>
      </w:r>
      <w:r w:rsidR="008030CB">
        <w:t>as an i</w:t>
      </w:r>
      <w:r w:rsidR="004A2064" w:rsidRPr="00A05D1D">
        <w:t xml:space="preserve">nspector. </w:t>
      </w:r>
    </w:p>
    <w:p w14:paraId="616B6B3D" w14:textId="5E5EC394" w:rsidR="00236BA6" w:rsidRDefault="0024240F" w:rsidP="00A22E9E">
      <w:pPr>
        <w:pStyle w:val="ListParagraph"/>
        <w:numPr>
          <w:ilvl w:val="0"/>
          <w:numId w:val="43"/>
        </w:numPr>
      </w:pPr>
      <w:r w:rsidRPr="00A05D1D">
        <w:t xml:space="preserve">The </w:t>
      </w:r>
      <w:r w:rsidR="008030CB" w:rsidRPr="00A05D1D">
        <w:t>2018</w:t>
      </w:r>
      <w:r w:rsidR="008030CB">
        <w:t xml:space="preserve"> </w:t>
      </w:r>
      <w:r w:rsidR="00B96BE5">
        <w:t>IRRS mission</w:t>
      </w:r>
      <w:r w:rsidRPr="00A05D1D">
        <w:t xml:space="preserve"> made the following </w:t>
      </w:r>
      <w:r w:rsidR="008030CB">
        <w:t>r</w:t>
      </w:r>
      <w:r w:rsidRPr="00A05D1D">
        <w:t xml:space="preserve">ecommendation which ARPANSA will address as part of its ongoing action plan for the 2018 </w:t>
      </w:r>
      <w:r w:rsidR="00B96BE5">
        <w:t>IRRS mission</w:t>
      </w:r>
      <w:r w:rsidRPr="00A05D1D">
        <w:t xml:space="preserve">. </w:t>
      </w:r>
    </w:p>
    <w:p w14:paraId="7A6D275F" w14:textId="77777777" w:rsidR="00236BA6" w:rsidRPr="00182DED" w:rsidRDefault="00236BA6" w:rsidP="00A22E9E">
      <w:pPr>
        <w:pStyle w:val="ListParagraph"/>
        <w:numPr>
          <w:ilvl w:val="1"/>
          <w:numId w:val="43"/>
        </w:numPr>
      </w:pPr>
      <w:r w:rsidRPr="00D343F9">
        <w:rPr>
          <w:i/>
        </w:rPr>
        <w:t>ARPANSA should enhance its human resource management to include an assessment of the number and capabilities of staff required to effectively perform their regulatory and emergency response duties and enhance their training programme based on an analysis of the necessary skills and competencies.</w:t>
      </w:r>
    </w:p>
    <w:p w14:paraId="5D9F06AE" w14:textId="52C586CC" w:rsidR="00B56173" w:rsidRPr="002F13BD" w:rsidRDefault="00B56173" w:rsidP="00A22E9E">
      <w:pPr>
        <w:pStyle w:val="ListParagraph"/>
        <w:numPr>
          <w:ilvl w:val="0"/>
          <w:numId w:val="43"/>
        </w:numPr>
      </w:pPr>
      <w:r w:rsidRPr="00A05D1D">
        <w:t xml:space="preserve">In 2019, in response to </w:t>
      </w:r>
      <w:r w:rsidR="00C669C1" w:rsidRPr="00A05D1D">
        <w:t xml:space="preserve">a </w:t>
      </w:r>
      <w:r w:rsidR="00236BA6">
        <w:t>r</w:t>
      </w:r>
      <w:r w:rsidRPr="00A05D1D">
        <w:t xml:space="preserve">ecommendation from the </w:t>
      </w:r>
      <w:r w:rsidR="008030CB" w:rsidRPr="00A05D1D">
        <w:t>2018</w:t>
      </w:r>
      <w:r w:rsidR="008030CB">
        <w:t xml:space="preserve"> </w:t>
      </w:r>
      <w:r w:rsidR="00B96BE5">
        <w:t>IRRS mission</w:t>
      </w:r>
      <w:r w:rsidRPr="00A05D1D">
        <w:t xml:space="preserve">, </w:t>
      </w:r>
      <w:r w:rsidR="008030CB" w:rsidRPr="00A05D1D">
        <w:t xml:space="preserve">ARPANSA </w:t>
      </w:r>
      <w:r w:rsidRPr="00A05D1D">
        <w:t xml:space="preserve">developed and piloted a custom-built safety culture maturity model within the Regulatory Services Branch (RSB). The model </w:t>
      </w:r>
      <w:r w:rsidR="00146D4E">
        <w:t>was</w:t>
      </w:r>
      <w:r w:rsidRPr="00A05D1D">
        <w:t xml:space="preserve"> consistent with the guidance for safety culture assessment of the International Atomic Energy Agency (IAEA) Safety Standard GS-G-3.5 </w:t>
      </w:r>
      <w:r w:rsidRPr="00AB09EF">
        <w:rPr>
          <w:i/>
        </w:rPr>
        <w:t>The</w:t>
      </w:r>
      <w:r w:rsidRPr="00AB09EF">
        <w:t xml:space="preserve"> </w:t>
      </w:r>
      <w:r w:rsidRPr="00AB09EF">
        <w:rPr>
          <w:i/>
        </w:rPr>
        <w:t>Management Sy</w:t>
      </w:r>
      <w:r w:rsidR="00236BA6" w:rsidRPr="00AB09EF">
        <w:rPr>
          <w:i/>
        </w:rPr>
        <w:t>stem for Nuclear Installations</w:t>
      </w:r>
      <w:r w:rsidR="00236BA6">
        <w:t xml:space="preserve"> </w:t>
      </w:r>
      <w:r w:rsidRPr="00A05D1D">
        <w:t>although modified to be more targeted at the role of the regulator rather than the operator</w:t>
      </w:r>
      <w:r w:rsidR="00C669C1" w:rsidRPr="00A05D1D">
        <w:t xml:space="preserve">. </w:t>
      </w:r>
      <w:r w:rsidR="00146D4E" w:rsidRPr="002E2E6C">
        <w:t xml:space="preserve">The results of the initial safety culture assessment will be published on the ARPANSA website. </w:t>
      </w:r>
      <w:r w:rsidR="00226206" w:rsidRPr="002E2E6C">
        <w:t>The safety</w:t>
      </w:r>
      <w:r w:rsidR="00226206" w:rsidRPr="002F13BD">
        <w:t xml:space="preserve"> culture assessment will be rolled out across the whole agency during the second half of 2019.</w:t>
      </w:r>
    </w:p>
    <w:p w14:paraId="38D02F6E" w14:textId="77777777" w:rsidR="0045232A" w:rsidRPr="00A05D1D" w:rsidRDefault="0045232A" w:rsidP="00D343F9">
      <w:pPr>
        <w:pStyle w:val="Heading3"/>
        <w:numPr>
          <w:ilvl w:val="0"/>
          <w:numId w:val="0"/>
        </w:numPr>
      </w:pPr>
      <w:r w:rsidRPr="00A05D1D">
        <w:t>Article 14 – Assessment and verification of safety</w:t>
      </w:r>
    </w:p>
    <w:p w14:paraId="25B87038" w14:textId="47D3913B" w:rsidR="00B56173" w:rsidRPr="00A05D1D" w:rsidRDefault="00540AFA" w:rsidP="00A22E9E">
      <w:pPr>
        <w:pStyle w:val="ListParagraph"/>
        <w:numPr>
          <w:ilvl w:val="0"/>
          <w:numId w:val="47"/>
        </w:numPr>
      </w:pPr>
      <w:r w:rsidRPr="00540AFA">
        <w:t>The next Periodic Safety and Security Review (PSSR) of OPAL is required to be submitted to ARPANSA in 2021.</w:t>
      </w:r>
      <w:r w:rsidR="00B36A53">
        <w:t xml:space="preserve"> </w:t>
      </w:r>
      <w:r w:rsidRPr="00540AFA">
        <w:t xml:space="preserve">A detailed plan for this review was submitted to ARPANSA for approval in May 2019. </w:t>
      </w:r>
      <w:r w:rsidR="00146D4E">
        <w:t xml:space="preserve"> </w:t>
      </w:r>
      <w:r w:rsidR="00C669C1" w:rsidRPr="00540AFA">
        <w:t>The licence</w:t>
      </w:r>
      <w:r w:rsidR="00146D4E">
        <w:t>s</w:t>
      </w:r>
      <w:r w:rsidR="00C669C1" w:rsidRPr="00540AFA">
        <w:t xml:space="preserve"> for the ANM Facility</w:t>
      </w:r>
      <w:r w:rsidR="00146D4E">
        <w:t xml:space="preserve"> and ANSTO Health also include</w:t>
      </w:r>
      <w:r w:rsidR="00C669C1" w:rsidRPr="00540AFA">
        <w:t xml:space="preserve"> a requirement for </w:t>
      </w:r>
      <w:r w:rsidR="00146D4E">
        <w:t>a PSSR at a specified time</w:t>
      </w:r>
      <w:r w:rsidR="00C669C1" w:rsidRPr="00540AFA">
        <w:t xml:space="preserve"> after commencement of routine operations.</w:t>
      </w:r>
    </w:p>
    <w:p w14:paraId="2FB5E558" w14:textId="77777777" w:rsidR="00B56173" w:rsidRPr="00A05D1D" w:rsidRDefault="00B56173" w:rsidP="008C0BA1">
      <w:pPr>
        <w:pStyle w:val="Heading3"/>
        <w:numPr>
          <w:ilvl w:val="0"/>
          <w:numId w:val="0"/>
        </w:numPr>
      </w:pPr>
      <w:r w:rsidRPr="00A05D1D">
        <w:t>Article 15 – Radiation Protection</w:t>
      </w:r>
    </w:p>
    <w:p w14:paraId="2C6D1F9C" w14:textId="6F17C698" w:rsidR="00236BA6" w:rsidRDefault="00B56173" w:rsidP="00A22E9E">
      <w:pPr>
        <w:pStyle w:val="ListParagraph"/>
        <w:numPr>
          <w:ilvl w:val="0"/>
          <w:numId w:val="44"/>
        </w:numPr>
      </w:pPr>
      <w:r w:rsidRPr="00A05D1D">
        <w:t xml:space="preserve">The </w:t>
      </w:r>
      <w:r w:rsidR="00095F19" w:rsidRPr="00A05D1D">
        <w:t xml:space="preserve">2018 </w:t>
      </w:r>
      <w:r w:rsidRPr="00A05D1D">
        <w:t>IRRS Mission made the following recommendation</w:t>
      </w:r>
      <w:r w:rsidR="00095F19">
        <w:t>:</w:t>
      </w:r>
      <w:r w:rsidR="00C669C1" w:rsidRPr="00A05D1D">
        <w:t xml:space="preserve"> </w:t>
      </w:r>
    </w:p>
    <w:p w14:paraId="4F6C18EF" w14:textId="77777777" w:rsidR="00095F19" w:rsidRDefault="00B56173" w:rsidP="00265D5C">
      <w:pPr>
        <w:pStyle w:val="ListParagraph"/>
        <w:ind w:left="720"/>
      </w:pPr>
      <w:r w:rsidRPr="00265D5C">
        <w:rPr>
          <w:i/>
        </w:rPr>
        <w:lastRenderedPageBreak/>
        <w:t>ARPANSA should make provision for an independent monitoring programme to confirm the monitoring results submitted by licensees and should consider basing the programme on an assessment of the nuclides that make a major contribution to public dose.</w:t>
      </w:r>
      <w:r w:rsidRPr="00A05D1D">
        <w:t xml:space="preserve"> </w:t>
      </w:r>
    </w:p>
    <w:p w14:paraId="702C2201" w14:textId="1AEF022E" w:rsidR="00B56173" w:rsidRPr="00A05D1D" w:rsidRDefault="00B56173" w:rsidP="00AB09EF">
      <w:r w:rsidRPr="00A05D1D">
        <w:t xml:space="preserve">ARPANSA is addressing this recommendation as part of the response to the </w:t>
      </w:r>
      <w:r w:rsidR="00B96BE5">
        <w:t>IRRS mission</w:t>
      </w:r>
      <w:r w:rsidR="00095F19">
        <w:t xml:space="preserve"> report.</w:t>
      </w:r>
    </w:p>
    <w:p w14:paraId="7153E42D" w14:textId="77777777" w:rsidR="00F97B33" w:rsidRPr="00AF0388" w:rsidRDefault="00F97B33" w:rsidP="0098260C">
      <w:pPr>
        <w:pStyle w:val="Heading3"/>
        <w:numPr>
          <w:ilvl w:val="0"/>
          <w:numId w:val="0"/>
        </w:numPr>
      </w:pPr>
      <w:r w:rsidRPr="00AF0388">
        <w:t>Article 16 – Emergency preparedness</w:t>
      </w:r>
    </w:p>
    <w:p w14:paraId="3A658F07" w14:textId="1B245676" w:rsidR="00F97B33" w:rsidRPr="0098260C" w:rsidRDefault="00F97B33" w:rsidP="00A22E9E">
      <w:pPr>
        <w:pStyle w:val="ListParagraph"/>
        <w:numPr>
          <w:ilvl w:val="0"/>
          <w:numId w:val="45"/>
        </w:numPr>
        <w:rPr>
          <w:color w:val="000000"/>
        </w:rPr>
      </w:pPr>
      <w:r w:rsidRPr="0049546F">
        <w:t>Three emergency exercises were conducted in the last three years at the Lucas Heights site where the OPAL reactor is located. Two scenarios included evacuation of the reactor building and the treatment of contaminated or injured personnel.</w:t>
      </w:r>
      <w:r w:rsidR="00B36A53">
        <w:t xml:space="preserve"> </w:t>
      </w:r>
      <w:r w:rsidRPr="0049546F">
        <w:t>One exercise was a site-wide evacuation that included the OPAL reactor.</w:t>
      </w:r>
      <w:r w:rsidR="00B36A53">
        <w:t xml:space="preserve"> </w:t>
      </w:r>
      <w:r w:rsidRPr="0049546F">
        <w:t>The exercises targeted effectiveness of the interfaces between ANSTO and external responders, adequacy of the processes at the OPAL reactor and site-wide protocols, and capabilities of personnel and equipment.</w:t>
      </w:r>
      <w:r w:rsidR="00B36A53">
        <w:t xml:space="preserve"> </w:t>
      </w:r>
      <w:r w:rsidRPr="0049546F">
        <w:t>The lessons learnt identified improvements in a number of areas, such as communications, coordination of responding teams, personnel decontamination process, and emergency management.</w:t>
      </w:r>
    </w:p>
    <w:p w14:paraId="1954F5B3" w14:textId="516D1E8C" w:rsidR="002D0AA5" w:rsidRPr="0049546F" w:rsidRDefault="00A05D1D" w:rsidP="00A22E9E">
      <w:pPr>
        <w:pStyle w:val="ListParagraph"/>
        <w:numPr>
          <w:ilvl w:val="0"/>
          <w:numId w:val="45"/>
        </w:numPr>
      </w:pPr>
      <w:r w:rsidRPr="0049546F">
        <w:t xml:space="preserve">As a condition of the </w:t>
      </w:r>
      <w:r w:rsidR="001C2746">
        <w:t>l</w:t>
      </w:r>
      <w:r w:rsidRPr="0049546F">
        <w:t xml:space="preserve">icence to </w:t>
      </w:r>
      <w:r w:rsidR="001C2746">
        <w:t>o</w:t>
      </w:r>
      <w:r w:rsidRPr="0049546F">
        <w:t xml:space="preserve">perate, the ANSTO ANM facility conducted an emergency exercise based on a scenario agreed with ARPANSA to demonstrate that emergency arrangements of this new facility were commensurate with the emergency preparedness category and that the arrangements interact in an effective manner with the site wide emergency arrangements. The scenario was based on the loss of a critical safety system and was witnessed by ARPANSA. </w:t>
      </w:r>
    </w:p>
    <w:p w14:paraId="7DF04665" w14:textId="6239C93C" w:rsidR="00B56173" w:rsidRPr="00A05D1D" w:rsidRDefault="00A725B7" w:rsidP="00A22E9E">
      <w:pPr>
        <w:pStyle w:val="ListParagraph"/>
        <w:numPr>
          <w:ilvl w:val="0"/>
          <w:numId w:val="45"/>
        </w:numPr>
      </w:pPr>
      <w:r w:rsidRPr="00A05D1D">
        <w:t>The</w:t>
      </w:r>
      <w:r w:rsidR="00B56173" w:rsidRPr="00A05D1D">
        <w:t xml:space="preserve"> formal safety reassessment in accordance with </w:t>
      </w:r>
      <w:r w:rsidR="00B56173" w:rsidRPr="0049546F">
        <w:t xml:space="preserve">IAEA Safety Report Series No. 80 </w:t>
      </w:r>
      <w:r w:rsidR="00B56173" w:rsidRPr="00AB09EF">
        <w:rPr>
          <w:i/>
        </w:rPr>
        <w:t>Safety Reassessment for Research Reactors</w:t>
      </w:r>
      <w:r w:rsidR="00B56173" w:rsidRPr="00A05D1D">
        <w:t xml:space="preserve"> in the light of the accident at the Fukushima Daiichi Nuclear Power Plant </w:t>
      </w:r>
      <w:r w:rsidRPr="00A05D1D">
        <w:t xml:space="preserve">is now complete. No significant safety related actions were required for OPAL as a result. </w:t>
      </w:r>
    </w:p>
    <w:p w14:paraId="05C98D73" w14:textId="77777777" w:rsidR="00B56173" w:rsidRPr="00A05D1D" w:rsidRDefault="00B56173" w:rsidP="002059F0">
      <w:pPr>
        <w:pStyle w:val="Heading3"/>
        <w:numPr>
          <w:ilvl w:val="0"/>
          <w:numId w:val="0"/>
        </w:numPr>
      </w:pPr>
      <w:r w:rsidRPr="00A05D1D">
        <w:t xml:space="preserve">Article 19 – Operation </w:t>
      </w:r>
    </w:p>
    <w:p w14:paraId="204438E4" w14:textId="02C30A85" w:rsidR="00B56173" w:rsidRPr="001D1CDB" w:rsidRDefault="00B56173" w:rsidP="00A22E9E">
      <w:pPr>
        <w:pStyle w:val="ListParagraph"/>
        <w:numPr>
          <w:ilvl w:val="0"/>
          <w:numId w:val="46"/>
        </w:numPr>
      </w:pPr>
      <w:r w:rsidRPr="001D1CDB">
        <w:t xml:space="preserve">Recent amendments to the OPAL </w:t>
      </w:r>
      <w:r w:rsidR="00E42E99" w:rsidRPr="001D1CDB">
        <w:t>o</w:t>
      </w:r>
      <w:r w:rsidR="00236BA6" w:rsidRPr="001D1CDB">
        <w:t xml:space="preserve">perational </w:t>
      </w:r>
      <w:r w:rsidR="001C2746">
        <w:t>l</w:t>
      </w:r>
      <w:r w:rsidR="00236BA6" w:rsidRPr="001D1CDB">
        <w:t xml:space="preserve">imits and </w:t>
      </w:r>
      <w:r w:rsidR="001C2746">
        <w:t>c</w:t>
      </w:r>
      <w:r w:rsidR="00236BA6" w:rsidRPr="001D1CDB">
        <w:t>onditions (</w:t>
      </w:r>
      <w:r w:rsidRPr="001D1CDB">
        <w:t>OLCs</w:t>
      </w:r>
      <w:r w:rsidR="00236BA6" w:rsidRPr="001D1CDB">
        <w:t>)</w:t>
      </w:r>
      <w:r w:rsidRPr="001D1CDB">
        <w:t xml:space="preserve"> include changes to amend the allowable </w:t>
      </w:r>
      <w:r w:rsidR="001B2FDD">
        <w:t>deuterium</w:t>
      </w:r>
      <w:r w:rsidRPr="001D1CDB">
        <w:t xml:space="preserve"> concentration in the heavy water systems and </w:t>
      </w:r>
      <w:r w:rsidR="0049546F" w:rsidRPr="001D1CDB">
        <w:t xml:space="preserve">an </w:t>
      </w:r>
      <w:r w:rsidRPr="001D1CDB">
        <w:t xml:space="preserve">amendment of the instrumentation OLCs to align with a revised </w:t>
      </w:r>
      <w:r w:rsidR="001C2746">
        <w:t>i</w:t>
      </w:r>
      <w:r w:rsidRPr="001D1CDB">
        <w:t xml:space="preserve">nstrument </w:t>
      </w:r>
      <w:r w:rsidR="001C2746">
        <w:t>c</w:t>
      </w:r>
      <w:r w:rsidRPr="001D1CDB">
        <w:t xml:space="preserve">alibration </w:t>
      </w:r>
      <w:r w:rsidR="001C2746">
        <w:t>m</w:t>
      </w:r>
      <w:r w:rsidRPr="001D1CDB">
        <w:t>ethodology.</w:t>
      </w:r>
      <w:r w:rsidR="00B36A53" w:rsidRPr="001D1CDB">
        <w:t xml:space="preserve"> </w:t>
      </w:r>
      <w:r w:rsidR="0049546F" w:rsidRPr="001D1CDB">
        <w:t xml:space="preserve">In addition </w:t>
      </w:r>
      <w:r w:rsidR="00146D4E" w:rsidRPr="001D1CDB">
        <w:t xml:space="preserve">changes were made to allow a revision </w:t>
      </w:r>
      <w:r w:rsidR="00226206" w:rsidRPr="001D1CDB">
        <w:t xml:space="preserve">of the </w:t>
      </w:r>
      <w:r w:rsidR="00146D4E" w:rsidRPr="001D1CDB">
        <w:t xml:space="preserve">analytical limit for </w:t>
      </w:r>
      <w:r w:rsidR="001C2746">
        <w:t>r</w:t>
      </w:r>
      <w:r w:rsidR="00146D4E" w:rsidRPr="001D1CDB">
        <w:t xml:space="preserve">eactor </w:t>
      </w:r>
      <w:r w:rsidR="001C2746">
        <w:t>p</w:t>
      </w:r>
      <w:r w:rsidR="00146D4E" w:rsidRPr="001D1CDB">
        <w:t xml:space="preserve">ower.   </w:t>
      </w:r>
    </w:p>
    <w:p w14:paraId="1116F7B0" w14:textId="0F774020" w:rsidR="00236BA6" w:rsidRPr="001D1CDB" w:rsidRDefault="00236BA6" w:rsidP="00A22E9E">
      <w:pPr>
        <w:pStyle w:val="ListParagraph"/>
        <w:numPr>
          <w:ilvl w:val="0"/>
          <w:numId w:val="46"/>
        </w:numPr>
      </w:pPr>
      <w:r w:rsidRPr="001D1CDB">
        <w:t xml:space="preserve">In 2018, the first spent fuel assemblies from the OPAL reactor </w:t>
      </w:r>
      <w:r w:rsidR="00226206" w:rsidRPr="001D1CDB">
        <w:t xml:space="preserve">were </w:t>
      </w:r>
      <w:r w:rsidRPr="001D1CDB">
        <w:t xml:space="preserve">shipped to the </w:t>
      </w:r>
      <w:r w:rsidR="001D1CDB" w:rsidRPr="001D1CDB">
        <w:t>ORANO</w:t>
      </w:r>
      <w:r w:rsidRPr="001D1CDB">
        <w:t xml:space="preserve"> La Hague facility in France for reprocessing. The shipment consisted of four TN-MTR casks and totalled 236 spent fuel assemblies. Residual waste from the reprocessing will be returned to Australia in around 2035-2040 as per the waste from HIFAR. </w:t>
      </w:r>
    </w:p>
    <w:p w14:paraId="6F966491" w14:textId="77777777" w:rsidR="00D35760" w:rsidRDefault="00D35760">
      <w:pPr>
        <w:rPr>
          <w:rFonts w:ascii="Calibri" w:eastAsiaTheme="majorEastAsia" w:hAnsi="Calibri" w:cstheme="majorBidi"/>
          <w:b/>
          <w:bCs/>
          <w:color w:val="4E1A74"/>
          <w:sz w:val="36"/>
          <w:szCs w:val="36"/>
        </w:rPr>
        <w:sectPr w:rsidR="00D35760" w:rsidSect="00A71D7C">
          <w:footerReference w:type="default" r:id="rId18"/>
          <w:pgSz w:w="11906" w:h="16838"/>
          <w:pgMar w:top="1134" w:right="1134" w:bottom="1134" w:left="1134" w:header="720" w:footer="720" w:gutter="0"/>
          <w:paperSrc w:first="2" w:other="2"/>
          <w:cols w:space="720"/>
        </w:sectPr>
      </w:pPr>
    </w:p>
    <w:p w14:paraId="4B615E5E" w14:textId="00F13102" w:rsidR="00D35760" w:rsidRDefault="00323133">
      <w:pPr>
        <w:rPr>
          <w:rFonts w:ascii="Calibri" w:eastAsiaTheme="majorEastAsia" w:hAnsi="Calibri" w:cstheme="majorBidi"/>
          <w:b/>
          <w:bCs/>
          <w:color w:val="4E1A74"/>
          <w:sz w:val="36"/>
          <w:szCs w:val="36"/>
        </w:rPr>
        <w:sectPr w:rsidR="00D35760" w:rsidSect="00A71D7C">
          <w:footerReference w:type="default" r:id="rId19"/>
          <w:pgSz w:w="11906" w:h="16838"/>
          <w:pgMar w:top="1134" w:right="1134" w:bottom="1134" w:left="1134" w:header="720" w:footer="720" w:gutter="0"/>
          <w:paperSrc w:first="2" w:other="2"/>
          <w:cols w:space="720"/>
        </w:sectPr>
      </w:pPr>
      <w:r>
        <w:rPr>
          <w:noProof/>
        </w:rPr>
        <w:lastRenderedPageBreak/>
        <w:pict w14:anchorId="7E7F9E84">
          <v:shape id="_x0000_s1027" type="#_x0000_t75" style="position:absolute;margin-left:-56.7pt;margin-top:-56.65pt;width:595.35pt;height:841.45pt;z-index:-251601920;mso-position-horizontal-relative:text;mso-position-vertical-relative:text;mso-width-relative:page;mso-height-relative:page">
            <v:imagedata r:id="rId20" o:title="CNS cover new3"/>
          </v:shape>
        </w:pict>
      </w:r>
      <w:r w:rsidR="00D35760">
        <w:rPr>
          <w:rFonts w:ascii="Calibri" w:eastAsiaTheme="majorEastAsia" w:hAnsi="Calibri" w:cstheme="majorBidi"/>
          <w:b/>
          <w:bCs/>
          <w:color w:val="4E1A74"/>
          <w:sz w:val="36"/>
          <w:szCs w:val="36"/>
        </w:rPr>
        <w:br w:type="page"/>
      </w:r>
    </w:p>
    <w:p w14:paraId="4CB559F5" w14:textId="2DFE4EBE" w:rsidR="00633351" w:rsidRDefault="00633351" w:rsidP="00D97CA9">
      <w:pPr>
        <w:pStyle w:val="Heading1"/>
        <w:numPr>
          <w:ilvl w:val="0"/>
          <w:numId w:val="0"/>
        </w:numPr>
        <w:spacing w:before="120" w:after="120"/>
        <w:ind w:left="680" w:hanging="680"/>
        <w:rPr>
          <w:sz w:val="36"/>
          <w:szCs w:val="36"/>
        </w:rPr>
      </w:pPr>
      <w:bookmarkStart w:id="19" w:name="_Toc12537942"/>
      <w:r w:rsidRPr="0047584A">
        <w:rPr>
          <w:sz w:val="36"/>
          <w:szCs w:val="36"/>
        </w:rPr>
        <w:lastRenderedPageBreak/>
        <w:t>Article 6</w:t>
      </w:r>
      <w:bookmarkEnd w:id="7"/>
      <w:r w:rsidRPr="0047584A">
        <w:rPr>
          <w:sz w:val="36"/>
          <w:szCs w:val="36"/>
        </w:rPr>
        <w:t xml:space="preserve"> – Existing Nuclear Installations</w:t>
      </w:r>
      <w:bookmarkEnd w:id="8"/>
      <w:bookmarkEnd w:id="9"/>
      <w:bookmarkEnd w:id="10"/>
      <w:bookmarkEnd w:id="11"/>
      <w:bookmarkEnd w:id="12"/>
      <w:bookmarkEnd w:id="13"/>
      <w:bookmarkEnd w:id="14"/>
      <w:bookmarkEnd w:id="15"/>
      <w:bookmarkEnd w:id="16"/>
      <w:bookmarkEnd w:id="19"/>
    </w:p>
    <w:tbl>
      <w:tblPr>
        <w:tblStyle w:val="GenericARPANSA"/>
        <w:tblW w:w="9639" w:type="dxa"/>
        <w:tblInd w:w="0" w:type="dxa"/>
        <w:shd w:val="clear" w:color="auto" w:fill="F3EAFA"/>
        <w:tblCellMar>
          <w:top w:w="57" w:type="dxa"/>
          <w:left w:w="170" w:type="dxa"/>
          <w:bottom w:w="57" w:type="dxa"/>
          <w:right w:w="170" w:type="dxa"/>
        </w:tblCellMar>
        <w:tblLook w:val="0480" w:firstRow="0" w:lastRow="0" w:firstColumn="1" w:lastColumn="0" w:noHBand="0" w:noVBand="1"/>
      </w:tblPr>
      <w:tblGrid>
        <w:gridCol w:w="9639"/>
      </w:tblGrid>
      <w:tr w:rsidR="00395872" w14:paraId="59948619" w14:textId="77777777" w:rsidTr="00395872">
        <w:tc>
          <w:tcPr>
            <w:tcW w:w="9628" w:type="dxa"/>
            <w:shd w:val="clear" w:color="auto" w:fill="F3EAFA"/>
          </w:tcPr>
          <w:p w14:paraId="1348593F" w14:textId="74C01756" w:rsidR="00395872" w:rsidRPr="00395872" w:rsidRDefault="00395872" w:rsidP="00395872">
            <w:pPr>
              <w:jc w:val="left"/>
              <w:rPr>
                <w:b/>
                <w:i/>
              </w:rPr>
            </w:pPr>
            <w:r w:rsidRPr="00395872">
              <w:rPr>
                <w:i/>
              </w:rPr>
              <w:t>Each Contracting Party shall take the appropriate steps to ensure that the safety of nuclear installations existing at the time the Convention enters into force for that Contracting Party is</w:t>
            </w:r>
            <w:r>
              <w:rPr>
                <w:i/>
              </w:rPr>
              <w:t xml:space="preserve"> reviewed as soon as possible. </w:t>
            </w:r>
            <w:r w:rsidRPr="00395872">
              <w:rPr>
                <w:i/>
              </w:rPr>
              <w:t>When necessary in the context of this Convention, the Contracting Party shall ensure that all reasonably practicable improvements are made as a matter of urgency to upgrade the safet</w:t>
            </w:r>
            <w:r>
              <w:rPr>
                <w:i/>
              </w:rPr>
              <w:t xml:space="preserve">y of the nuclear installation. </w:t>
            </w:r>
            <w:r w:rsidRPr="00395872">
              <w:rPr>
                <w:i/>
              </w:rPr>
              <w:t>If such upgrading cannot be achieved, plans should be implemented to shut down the nuclear installation as</w:t>
            </w:r>
            <w:r>
              <w:rPr>
                <w:i/>
              </w:rPr>
              <w:t xml:space="preserve"> soon as practically possible. </w:t>
            </w:r>
            <w:r w:rsidRPr="00395872">
              <w:rPr>
                <w:i/>
              </w:rPr>
              <w:t>The timing of the shutdown may take into account the whole energy context and possible alternatives as well as the social, environmental and economic impact.</w:t>
            </w:r>
          </w:p>
        </w:tc>
      </w:tr>
    </w:tbl>
    <w:p w14:paraId="5E2A442C" w14:textId="17A8C15F" w:rsidR="007401AB" w:rsidRPr="00CC67B4" w:rsidRDefault="00FF2421" w:rsidP="00CC67B4">
      <w:pPr>
        <w:pStyle w:val="Heading2"/>
      </w:pPr>
      <w:bookmarkStart w:id="20" w:name="_Toc5807473"/>
      <w:r w:rsidRPr="00CC67B4">
        <w:t>Nuclear research reactor that existed at the time the Co</w:t>
      </w:r>
      <w:r w:rsidR="0047584A" w:rsidRPr="00CC67B4">
        <w:t xml:space="preserve">nvention entered into force for </w:t>
      </w:r>
      <w:r w:rsidRPr="00CC67B4">
        <w:t>Australia</w:t>
      </w:r>
      <w:bookmarkEnd w:id="20"/>
    </w:p>
    <w:p w14:paraId="168622FB" w14:textId="0DF0F0FE" w:rsidR="007401AB" w:rsidRPr="007401AB" w:rsidRDefault="00FF2421" w:rsidP="00A22E9E">
      <w:pPr>
        <w:pStyle w:val="ListParagraph"/>
        <w:numPr>
          <w:ilvl w:val="0"/>
          <w:numId w:val="23"/>
        </w:numPr>
        <w:ind w:left="851" w:hanging="567"/>
      </w:pPr>
      <w:r w:rsidRPr="003F5299">
        <w:t xml:space="preserve">The only research reactor at the time the Convention </w:t>
      </w:r>
      <w:r w:rsidR="002979BA">
        <w:t xml:space="preserve">came into force </w:t>
      </w:r>
      <w:r w:rsidRPr="003F5299">
        <w:t>was the High Flux Austr</w:t>
      </w:r>
      <w:r w:rsidR="00BD70CE">
        <w:t>alian Reactor (HIFAR) - a 10 MW</w:t>
      </w:r>
      <w:r w:rsidR="002E2E6C" w:rsidRPr="003F5299">
        <w:t>(</w:t>
      </w:r>
      <w:r w:rsidRPr="003F5299">
        <w:t>t) heavy water, tank type, materials testing reactor</w:t>
      </w:r>
      <w:r w:rsidR="003F5299" w:rsidRPr="007401AB">
        <w:t>.</w:t>
      </w:r>
      <w:r w:rsidR="00B36A53">
        <w:t xml:space="preserve"> </w:t>
      </w:r>
      <w:r w:rsidR="003F5299" w:rsidRPr="007401AB">
        <w:t xml:space="preserve"> This reactor </w:t>
      </w:r>
      <w:r w:rsidR="001724E3">
        <w:t>operated between 1958 and 2007.</w:t>
      </w:r>
      <w:r w:rsidRPr="003F5299">
        <w:t xml:space="preserve"> HIFAR has been shut down and all fuel has been removed.</w:t>
      </w:r>
      <w:r w:rsidR="00B36A53">
        <w:t xml:space="preserve"> </w:t>
      </w:r>
      <w:r w:rsidRPr="003F5299">
        <w:t>ANSTO is currently managing HIFAR under a ‘possess or control’ licence while preparing to</w:t>
      </w:r>
      <w:r w:rsidR="003F5299" w:rsidRPr="003F5299">
        <w:t xml:space="preserve"> decommission it </w:t>
      </w:r>
      <w:r w:rsidR="00FC7E50">
        <w:t xml:space="preserve">in the </w:t>
      </w:r>
      <w:r w:rsidRPr="003F5299">
        <w:t>future.</w:t>
      </w:r>
      <w:r w:rsidR="003F5299" w:rsidRPr="007401AB">
        <w:t xml:space="preserve"> </w:t>
      </w:r>
      <w:r w:rsidRPr="003F5299">
        <w:t>ANSTO is expected to apply for a decommissioning licence once arrangements for the planned NRWMF are finalised.</w:t>
      </w:r>
      <w:r w:rsidR="007401AB" w:rsidRPr="007401AB">
        <w:t xml:space="preserve"> </w:t>
      </w:r>
    </w:p>
    <w:p w14:paraId="32F8A63D" w14:textId="77777777" w:rsidR="007401AB" w:rsidRDefault="007401AB" w:rsidP="007401AB">
      <w:pPr>
        <w:pStyle w:val="Heading2"/>
      </w:pPr>
      <w:bookmarkStart w:id="21" w:name="_Toc5807474"/>
      <w:r>
        <w:t>List of current research reactors</w:t>
      </w:r>
      <w:bookmarkEnd w:id="21"/>
    </w:p>
    <w:p w14:paraId="080E4EB3" w14:textId="5253C00B" w:rsidR="007401AB" w:rsidRPr="006F3810" w:rsidRDefault="007401AB" w:rsidP="00A22E9E">
      <w:pPr>
        <w:pStyle w:val="ListParagraph"/>
        <w:numPr>
          <w:ilvl w:val="0"/>
          <w:numId w:val="23"/>
        </w:numPr>
        <w:ind w:left="851" w:hanging="567"/>
      </w:pPr>
      <w:r w:rsidRPr="00974BE9">
        <w:t>Australia has one operating research reactor, the Open Pool Australian Light-water (OPAL)</w:t>
      </w:r>
      <w:r w:rsidR="002979BA">
        <w:t xml:space="preserve"> </w:t>
      </w:r>
      <w:r w:rsidRPr="00974BE9">
        <w:t>reactor</w:t>
      </w:r>
      <w:r w:rsidRPr="00AB09EF">
        <w:rPr>
          <w:vertAlign w:val="superscript"/>
        </w:rPr>
        <w:footnoteReference w:id="11"/>
      </w:r>
      <w:r w:rsidR="002979BA">
        <w:t>.</w:t>
      </w:r>
      <w:r w:rsidR="00B36A53">
        <w:t xml:space="preserve"> </w:t>
      </w:r>
      <w:r w:rsidRPr="00974BE9">
        <w:t>OPAL is a high flux, thermal, multi-purpose pool type reactor.</w:t>
      </w:r>
      <w:r w:rsidR="00B36A53">
        <w:t xml:space="preserve"> </w:t>
      </w:r>
      <w:r w:rsidRPr="00974BE9">
        <w:t>OPAL achieved full power of 20 Megawatts in 2006.</w:t>
      </w:r>
      <w:r w:rsidR="00B36A53">
        <w:t xml:space="preserve"> </w:t>
      </w:r>
      <w:r w:rsidRPr="00974BE9">
        <w:t>The reactor is fuelled with low enriched uranium (LEU).</w:t>
      </w:r>
      <w:r w:rsidR="00B36A53">
        <w:t xml:space="preserve"> </w:t>
      </w:r>
      <w:r w:rsidRPr="00974BE9">
        <w:t>The fuel elements are aluminium-clad uranium silicide plates.</w:t>
      </w:r>
      <w:r w:rsidR="00B36A53">
        <w:t xml:space="preserve"> </w:t>
      </w:r>
      <w:r w:rsidRPr="00974BE9">
        <w:t>It is cooled by light water and has a heavy water reflector surrounding the core.</w:t>
      </w:r>
      <w:r w:rsidR="00B36A53">
        <w:t xml:space="preserve"> </w:t>
      </w:r>
    </w:p>
    <w:p w14:paraId="27EDE905" w14:textId="3E64E3DC" w:rsidR="007401AB" w:rsidRPr="006F3810" w:rsidRDefault="007401AB" w:rsidP="00A22E9E">
      <w:pPr>
        <w:pStyle w:val="ListParagraph"/>
        <w:numPr>
          <w:ilvl w:val="0"/>
          <w:numId w:val="23"/>
        </w:numPr>
        <w:ind w:left="851" w:hanging="567"/>
      </w:pPr>
      <w:r w:rsidRPr="00974BE9">
        <w:t>OPAL is housed in a containment building which also includes the primary cooling circuit and most of the auxiliary plant.</w:t>
      </w:r>
      <w:r w:rsidR="00B36A53">
        <w:t xml:space="preserve"> </w:t>
      </w:r>
      <w:r w:rsidRPr="00974BE9">
        <w:t xml:space="preserve">The stainless steel reactor pool has a water depth of 12.6 metres and is surrounded by </w:t>
      </w:r>
      <w:r w:rsidR="00FC7E50" w:rsidRPr="00974BE9">
        <w:t xml:space="preserve">a </w:t>
      </w:r>
      <w:r w:rsidRPr="00974BE9">
        <w:t>thick-walled, reinforced high density concrete construction.</w:t>
      </w:r>
      <w:r w:rsidR="00B36A53">
        <w:t xml:space="preserve"> </w:t>
      </w:r>
      <w:r w:rsidRPr="00974BE9">
        <w:t>The reactor core sits at the bottom of the pool and is surrounded by a Zircaloy reflector vessel which also houses all the irradiation rigs and beam tube assemblies.</w:t>
      </w:r>
      <w:r w:rsidR="00B36A53">
        <w:t xml:space="preserve"> </w:t>
      </w:r>
      <w:r w:rsidRPr="00974BE9">
        <w:t>A service pool, contiguous with the reactor pool, stores the irradiated materials and provides for the interim storage of irradiated fuel.</w:t>
      </w:r>
      <w:r w:rsidR="00B36A53">
        <w:t xml:space="preserve"> </w:t>
      </w:r>
      <w:r w:rsidRPr="00974BE9">
        <w:t>A reactor beam hall within the reactor building and a neutron guide hall adjacent to the reactor building contain experimental stations and instrumentation for neutron beam research purposes.</w:t>
      </w:r>
    </w:p>
    <w:p w14:paraId="6D111CEF" w14:textId="73E0C4D2" w:rsidR="007401AB" w:rsidRPr="00974BE9" w:rsidRDefault="007401AB" w:rsidP="00A22E9E">
      <w:pPr>
        <w:pStyle w:val="ListParagraph"/>
        <w:numPr>
          <w:ilvl w:val="0"/>
          <w:numId w:val="23"/>
        </w:numPr>
        <w:ind w:left="851" w:hanging="567"/>
      </w:pPr>
      <w:r w:rsidRPr="00974BE9">
        <w:t>Other activities related to the operation of OPAL include the handling and storage of new and irradiated nuclear fuel and nuclear materials and the production of commercial quantities of radiopharmaceuticals and radioisotopes for use in medicine and research within Australia and overseas.</w:t>
      </w:r>
      <w:r w:rsidR="00B36A53">
        <w:t xml:space="preserve"> </w:t>
      </w:r>
      <w:r w:rsidRPr="00974BE9">
        <w:t xml:space="preserve"> </w:t>
      </w:r>
    </w:p>
    <w:p w14:paraId="448FFEE6" w14:textId="77777777" w:rsidR="007401AB" w:rsidRPr="00ED0D1F" w:rsidRDefault="007401AB" w:rsidP="007401AB">
      <w:pPr>
        <w:pStyle w:val="Heading2"/>
      </w:pPr>
      <w:bookmarkStart w:id="22" w:name="_Toc5807475"/>
      <w:r w:rsidRPr="00ED0D1F">
        <w:lastRenderedPageBreak/>
        <w:t>Overview of significant safety related issues in the last three years</w:t>
      </w:r>
      <w:bookmarkEnd w:id="22"/>
    </w:p>
    <w:p w14:paraId="2B5C336A" w14:textId="6ADA1C77" w:rsidR="00A71881" w:rsidRPr="00A71881" w:rsidRDefault="007401AB" w:rsidP="00A22E9E">
      <w:pPr>
        <w:pStyle w:val="ListParagraph"/>
        <w:numPr>
          <w:ilvl w:val="0"/>
          <w:numId w:val="23"/>
        </w:numPr>
        <w:ind w:left="851" w:hanging="567"/>
      </w:pPr>
      <w:r w:rsidRPr="00A71881">
        <w:t>There was no significant safety related issue in the past three years ass</w:t>
      </w:r>
      <w:r w:rsidR="00F33318" w:rsidRPr="00A71881">
        <w:t xml:space="preserve">ociated with the OPAL or HIFAR </w:t>
      </w:r>
      <w:r w:rsidRPr="00A71881">
        <w:t>reactor.</w:t>
      </w:r>
      <w:r w:rsidR="00A71881" w:rsidRPr="00A71881">
        <w:t xml:space="preserve"> However, events at the ANSTO Health Radiopharmaceutical Facilit</w:t>
      </w:r>
      <w:r w:rsidR="00236BA6">
        <w:t>y merit</w:t>
      </w:r>
      <w:r w:rsidR="00A71881" w:rsidRPr="00A71881">
        <w:t xml:space="preserve"> some mention</w:t>
      </w:r>
      <w:r w:rsidR="00B8393B">
        <w:rPr>
          <w:rStyle w:val="FootnoteReference"/>
        </w:rPr>
        <w:footnoteReference w:id="12"/>
      </w:r>
      <w:r w:rsidR="00A71881" w:rsidRPr="00A71881">
        <w:t>:</w:t>
      </w:r>
    </w:p>
    <w:p w14:paraId="3344C9CA" w14:textId="1C7850E6" w:rsidR="00612012" w:rsidRPr="00A71881" w:rsidRDefault="00381FF8" w:rsidP="00AB09EF">
      <w:pPr>
        <w:pStyle w:val="ListParagraph"/>
        <w:numPr>
          <w:ilvl w:val="0"/>
          <w:numId w:val="52"/>
        </w:numPr>
      </w:pPr>
      <w:r w:rsidRPr="00A71881">
        <w:t xml:space="preserve">A safety significant event rated as an International Nuclear </w:t>
      </w:r>
      <w:r w:rsidR="006C3E4E">
        <w:t xml:space="preserve">and Radiological </w:t>
      </w:r>
      <w:r w:rsidRPr="00A71881">
        <w:t xml:space="preserve">Event Scale </w:t>
      </w:r>
      <w:r w:rsidR="0049546F">
        <w:t>L</w:t>
      </w:r>
      <w:r w:rsidR="006E2A2A" w:rsidRPr="00A71881">
        <w:t xml:space="preserve">evel </w:t>
      </w:r>
      <w:r w:rsidRPr="00A71881">
        <w:t>3</w:t>
      </w:r>
      <w:r w:rsidR="00CB7ACB" w:rsidRPr="00A71881">
        <w:t xml:space="preserve"> ‘serious</w:t>
      </w:r>
      <w:r w:rsidRPr="00A71881">
        <w:t xml:space="preserve"> </w:t>
      </w:r>
      <w:r w:rsidR="006E2A2A" w:rsidRPr="00A71881">
        <w:t>incident</w:t>
      </w:r>
      <w:r w:rsidR="00CB7ACB" w:rsidRPr="00A71881">
        <w:t>’</w:t>
      </w:r>
      <w:r w:rsidR="006E2A2A" w:rsidRPr="00A71881">
        <w:t xml:space="preserve"> </w:t>
      </w:r>
      <w:r w:rsidRPr="00A71881">
        <w:t xml:space="preserve">occurred at the ANSTO Health Radiopharmaceutical Production Facility. The event comprised skin contamination of a worker on 22 August 2017 that exceeded statutory dose limits. </w:t>
      </w:r>
    </w:p>
    <w:p w14:paraId="54DC44AC" w14:textId="0DAB05AD" w:rsidR="00612012" w:rsidRPr="00A05D1D" w:rsidRDefault="006C3E4E" w:rsidP="00AB09EF">
      <w:pPr>
        <w:pStyle w:val="ListParagraph"/>
        <w:numPr>
          <w:ilvl w:val="0"/>
          <w:numId w:val="52"/>
        </w:numPr>
      </w:pPr>
      <w:r>
        <w:t>On 29 June 2018</w:t>
      </w:r>
      <w:r w:rsidR="00BD70CE">
        <w:t>,</w:t>
      </w:r>
      <w:r w:rsidR="00381FF8" w:rsidRPr="00A05D1D">
        <w:t xml:space="preserve"> ARPANSA </w:t>
      </w:r>
      <w:r w:rsidR="00CA3098">
        <w:t>directed</w:t>
      </w:r>
      <w:r>
        <w:t xml:space="preserve"> ANSTO to</w:t>
      </w:r>
      <w:r w:rsidR="00381FF8" w:rsidRPr="00A05D1D">
        <w:t xml:space="preserve"> initiate an independent review under section 41(1A) of the </w:t>
      </w:r>
      <w:r w:rsidR="007E7699">
        <w:t xml:space="preserve">ARPANSA </w:t>
      </w:r>
      <w:r w:rsidR="00381FF8" w:rsidRPr="00A05D1D">
        <w:t xml:space="preserve">following this and another </w:t>
      </w:r>
      <w:r w:rsidR="002A5AA0">
        <w:t>three</w:t>
      </w:r>
      <w:r w:rsidR="00381FF8" w:rsidRPr="00A05D1D">
        <w:t xml:space="preserve"> less significant separate events with safety implications at ANSTO Health in less than 10 months</w:t>
      </w:r>
      <w:r w:rsidR="00987E0D" w:rsidRPr="006003B5">
        <w:rPr>
          <w:vertAlign w:val="superscript"/>
        </w:rPr>
        <w:footnoteReference w:id="13"/>
      </w:r>
      <w:r w:rsidR="00381FF8" w:rsidRPr="00A05D1D">
        <w:t>. </w:t>
      </w:r>
    </w:p>
    <w:p w14:paraId="68FA33F0" w14:textId="5DBF7E09" w:rsidR="00612012" w:rsidRPr="00A05D1D" w:rsidRDefault="00381FF8" w:rsidP="00AB09EF">
      <w:pPr>
        <w:pStyle w:val="ListParagraph"/>
        <w:numPr>
          <w:ilvl w:val="0"/>
          <w:numId w:val="52"/>
        </w:numPr>
      </w:pPr>
      <w:r w:rsidRPr="00A05D1D">
        <w:t>In accordance with the direction, ANSTO engaged an independent expert review team that was approved by ARPANSA. The team was drawn from a cohort of international and national experts in the fields of nuclear safety, safety and organisational culture, radiation protection and human factors. The team reviewed ANSTO’s approach to occupational radiation safety of processes and operational procedures at its nuclear medicine facility, in particular those associated with quality control of molybdenum-99 samples. </w:t>
      </w:r>
      <w:r w:rsidR="00987E0D" w:rsidRPr="00A05D1D">
        <w:t>The final report is published on the ARPANSA website</w:t>
      </w:r>
      <w:r w:rsidR="00987E0D" w:rsidRPr="006003B5">
        <w:rPr>
          <w:vertAlign w:val="superscript"/>
        </w:rPr>
        <w:footnoteReference w:id="14"/>
      </w:r>
      <w:r w:rsidR="00987E0D" w:rsidRPr="00A05D1D">
        <w:t>.</w:t>
      </w:r>
    </w:p>
    <w:p w14:paraId="27BAD996" w14:textId="41E84D94" w:rsidR="00612012" w:rsidRPr="0049546F" w:rsidRDefault="00987E0D" w:rsidP="00AB09EF">
      <w:pPr>
        <w:pStyle w:val="ListParagraph"/>
        <w:numPr>
          <w:ilvl w:val="0"/>
          <w:numId w:val="52"/>
        </w:numPr>
      </w:pPr>
      <w:r w:rsidRPr="006003B5">
        <w:t>On 4 December 2018, ANSTO provided ARPANSA with an action plan for approval that responds to the 85 recommendations made by the independent review team. At the time of this report</w:t>
      </w:r>
      <w:r w:rsidR="006C3E4E" w:rsidRPr="006003B5">
        <w:t xml:space="preserve"> a fourth iteration of</w:t>
      </w:r>
      <w:r w:rsidRPr="006003B5">
        <w:t xml:space="preserve"> the action plan </w:t>
      </w:r>
      <w:r w:rsidR="006C3E4E" w:rsidRPr="006003B5">
        <w:t xml:space="preserve">is </w:t>
      </w:r>
      <w:r w:rsidRPr="006003B5">
        <w:t>under review by ARPANSA.</w:t>
      </w:r>
    </w:p>
    <w:p w14:paraId="692231DD" w14:textId="3BB575FD" w:rsidR="00381FF8" w:rsidRPr="00A05D1D" w:rsidRDefault="00A71881" w:rsidP="00AB09EF">
      <w:pPr>
        <w:pStyle w:val="ListParagraph"/>
        <w:numPr>
          <w:ilvl w:val="0"/>
          <w:numId w:val="52"/>
        </w:numPr>
      </w:pPr>
      <w:r>
        <w:t xml:space="preserve">ANSTO Reactor Operators </w:t>
      </w:r>
      <w:r w:rsidR="00381FF8" w:rsidRPr="00A05D1D">
        <w:t xml:space="preserve">conducted a review against the </w:t>
      </w:r>
      <w:r w:rsidR="00987E0D" w:rsidRPr="00A05D1D">
        <w:t xml:space="preserve">report with a view </w:t>
      </w:r>
      <w:r w:rsidR="00381FF8" w:rsidRPr="00A05D1D">
        <w:t>to implement</w:t>
      </w:r>
      <w:r w:rsidR="00987E0D" w:rsidRPr="00A05D1D">
        <w:t>ing</w:t>
      </w:r>
      <w:r w:rsidR="00381FF8" w:rsidRPr="00A05D1D">
        <w:t xml:space="preserve"> any relevant findi</w:t>
      </w:r>
      <w:r w:rsidR="00110D62">
        <w:t xml:space="preserve">ngs to </w:t>
      </w:r>
      <w:r>
        <w:t>the OPAL reactor</w:t>
      </w:r>
      <w:r w:rsidR="00110D62">
        <w:t>.</w:t>
      </w:r>
      <w:r w:rsidR="00F33318" w:rsidRPr="00A05D1D">
        <w:t xml:space="preserve"> No significant actions were </w:t>
      </w:r>
      <w:r w:rsidR="0049546F">
        <w:t xml:space="preserve">identified as being </w:t>
      </w:r>
      <w:r w:rsidR="00F33318" w:rsidRPr="00A05D1D">
        <w:t>required for OPAL as a result.</w:t>
      </w:r>
      <w:r w:rsidR="00B36A53">
        <w:t xml:space="preserve"> </w:t>
      </w:r>
    </w:p>
    <w:p w14:paraId="5FDFDAED" w14:textId="77777777" w:rsidR="007401AB" w:rsidRPr="00A05D1D" w:rsidRDefault="007401AB" w:rsidP="007401AB">
      <w:pPr>
        <w:pStyle w:val="Heading2"/>
      </w:pPr>
      <w:bookmarkStart w:id="23" w:name="_Toc5807476"/>
      <w:r w:rsidRPr="00A05D1D">
        <w:t>Overview of planned programs and measures for continued safety</w:t>
      </w:r>
      <w:bookmarkEnd w:id="23"/>
    </w:p>
    <w:p w14:paraId="29DEA8AA" w14:textId="7972C3AA" w:rsidR="00A072FF" w:rsidRPr="00A05D1D" w:rsidRDefault="007401AB" w:rsidP="00A22E9E">
      <w:pPr>
        <w:pStyle w:val="ListParagraph"/>
        <w:numPr>
          <w:ilvl w:val="0"/>
          <w:numId w:val="23"/>
        </w:numPr>
        <w:ind w:left="851" w:hanging="567"/>
      </w:pPr>
      <w:r w:rsidRPr="00A05D1D">
        <w:t>ARPANSA continues to conduct inspections o</w:t>
      </w:r>
      <w:r w:rsidR="00612012">
        <w:t>f</w:t>
      </w:r>
      <w:r w:rsidRPr="00A05D1D">
        <w:t xml:space="preserve"> the OPAL reactor on a quarterly basis to monitor ongoing compliance with the </w:t>
      </w:r>
      <w:r w:rsidR="00612012">
        <w:t>r</w:t>
      </w:r>
      <w:r w:rsidRPr="00A05D1D">
        <w:t>egulations and licence conditions. Additional requirements for ongoing periodic safety and security reviews</w:t>
      </w:r>
      <w:r w:rsidR="00A072FF" w:rsidRPr="00A05D1D">
        <w:t xml:space="preserve"> (PSSR) were</w:t>
      </w:r>
      <w:r w:rsidRPr="00A05D1D">
        <w:t xml:space="preserve"> stipulated in the </w:t>
      </w:r>
      <w:r w:rsidR="009B417B" w:rsidRPr="00A05D1D">
        <w:t>OPAL licence in 2015.</w:t>
      </w:r>
      <w:r w:rsidR="00B36A53">
        <w:t xml:space="preserve"> </w:t>
      </w:r>
    </w:p>
    <w:p w14:paraId="5DF9512E" w14:textId="415C355A" w:rsidR="007401AB" w:rsidRPr="00A05D1D" w:rsidRDefault="00A072FF" w:rsidP="00A22E9E">
      <w:pPr>
        <w:pStyle w:val="ListParagraph"/>
        <w:numPr>
          <w:ilvl w:val="0"/>
          <w:numId w:val="23"/>
        </w:numPr>
        <w:ind w:left="851" w:hanging="567"/>
      </w:pPr>
      <w:r w:rsidRPr="00A05D1D">
        <w:t xml:space="preserve">The next PSSR </w:t>
      </w:r>
      <w:r w:rsidR="006744FA">
        <w:t xml:space="preserve">of OPAL </w:t>
      </w:r>
      <w:r w:rsidRPr="00A05D1D">
        <w:t>is r</w:t>
      </w:r>
      <w:r w:rsidR="00540AFA">
        <w:t>equired to be submitted in 2021. A detailed plan for this PSSR was submitted to ARPANSA for approval in May 2019.</w:t>
      </w:r>
    </w:p>
    <w:p w14:paraId="40AC403B" w14:textId="1106480D" w:rsidR="00061AFA" w:rsidRPr="00A05D1D" w:rsidRDefault="00A072FF" w:rsidP="00A22E9E">
      <w:pPr>
        <w:pStyle w:val="ListParagraph"/>
        <w:numPr>
          <w:ilvl w:val="0"/>
          <w:numId w:val="23"/>
        </w:numPr>
        <w:ind w:left="851" w:hanging="567"/>
      </w:pPr>
      <w:r w:rsidRPr="00A05D1D">
        <w:t xml:space="preserve">In addition to the PSSR, requirements for the </w:t>
      </w:r>
      <w:r w:rsidR="006744FA">
        <w:t xml:space="preserve">assessment and reporting </w:t>
      </w:r>
      <w:r w:rsidRPr="00A05D1D">
        <w:t xml:space="preserve">of Design Extension Conditions </w:t>
      </w:r>
      <w:r w:rsidR="002A5AA0">
        <w:t xml:space="preserve">(DECs) </w:t>
      </w:r>
      <w:r w:rsidRPr="00A05D1D">
        <w:t xml:space="preserve">for the OPAL Reactor were stipulated in the revised </w:t>
      </w:r>
      <w:r w:rsidR="002A5AA0">
        <w:t xml:space="preserve">OPAL </w:t>
      </w:r>
      <w:r w:rsidRPr="00A05D1D">
        <w:t xml:space="preserve">licence </w:t>
      </w:r>
      <w:r w:rsidR="002A5AA0">
        <w:t>issued in May 2019.</w:t>
      </w:r>
      <w:r w:rsidR="00B36A53">
        <w:t xml:space="preserve"> </w:t>
      </w:r>
      <w:r w:rsidR="009B417B" w:rsidRPr="00A05D1D">
        <w:t xml:space="preserve">This is in </w:t>
      </w:r>
      <w:r w:rsidR="00363161" w:rsidRPr="00A05D1D">
        <w:t>response to</w:t>
      </w:r>
      <w:r w:rsidR="009B417B" w:rsidRPr="00A05D1D">
        <w:t xml:space="preserve"> </w:t>
      </w:r>
      <w:r w:rsidR="00363161" w:rsidRPr="00A05D1D">
        <w:t>a</w:t>
      </w:r>
      <w:r w:rsidR="009B417B" w:rsidRPr="00A05D1D">
        <w:t xml:space="preserve"> suggestion </w:t>
      </w:r>
      <w:r w:rsidR="00612012">
        <w:t>arising from</w:t>
      </w:r>
      <w:r w:rsidR="009B417B" w:rsidRPr="00A05D1D">
        <w:t xml:space="preserve"> the </w:t>
      </w:r>
      <w:r w:rsidR="00612012" w:rsidRPr="00A05D1D">
        <w:t>2018</w:t>
      </w:r>
      <w:r w:rsidR="00612012">
        <w:t xml:space="preserve"> </w:t>
      </w:r>
      <w:r w:rsidR="00B96BE5">
        <w:t>IRRS mission</w:t>
      </w:r>
      <w:r w:rsidR="00363161" w:rsidRPr="00A05D1D">
        <w:t>.</w:t>
      </w:r>
      <w:r w:rsidR="00B36A53">
        <w:t xml:space="preserve"> </w:t>
      </w:r>
    </w:p>
    <w:p w14:paraId="2B28EE34" w14:textId="4CF5543A" w:rsidR="007401AB" w:rsidRPr="00325E86" w:rsidRDefault="007401AB" w:rsidP="00A22E9E">
      <w:pPr>
        <w:pStyle w:val="ListParagraph"/>
        <w:numPr>
          <w:ilvl w:val="0"/>
          <w:numId w:val="23"/>
        </w:numPr>
        <w:ind w:left="851" w:hanging="567"/>
      </w:pPr>
      <w:r w:rsidRPr="00325E86">
        <w:t xml:space="preserve">ANSTO </w:t>
      </w:r>
      <w:r w:rsidR="00CC67B4">
        <w:t xml:space="preserve">continues to take </w:t>
      </w:r>
      <w:r w:rsidRPr="00325E86">
        <w:t>part in a collaboration agreement with operators of the SAFARI-1 reactor (South Africa) and High Flux Reactor (HFR - The Netherlands)</w:t>
      </w:r>
      <w:r w:rsidR="00CC67B4">
        <w:t xml:space="preserve"> (since 2016)</w:t>
      </w:r>
      <w:r w:rsidRPr="00325E86">
        <w:t xml:space="preserve">. The aim is to work together to increase safety and reliability through cooperation as OPAL, SAFARI-1 and HFR </w:t>
      </w:r>
      <w:r w:rsidRPr="00325E86">
        <w:lastRenderedPageBreak/>
        <w:t>are similar reactors.</w:t>
      </w:r>
      <w:r w:rsidR="00B36A53">
        <w:t xml:space="preserve"> </w:t>
      </w:r>
      <w:r w:rsidRPr="00325E86">
        <w:t>Meetings are held every 12 to 18 months to exchange ideas, experiences and good practices.</w:t>
      </w:r>
    </w:p>
    <w:p w14:paraId="4074FCF6" w14:textId="617112CA" w:rsidR="00CC5147" w:rsidRDefault="00CC5147" w:rsidP="00A22E9E">
      <w:pPr>
        <w:pStyle w:val="ListParagraph"/>
        <w:numPr>
          <w:ilvl w:val="0"/>
          <w:numId w:val="23"/>
        </w:numPr>
        <w:ind w:left="851" w:hanging="567"/>
      </w:pPr>
      <w:r>
        <w:t xml:space="preserve">ARPANSA has working relationships with a number of overseas regulators, including with the US Nuclear Regulatory Commission </w:t>
      </w:r>
      <w:r w:rsidRPr="006744FA">
        <w:t xml:space="preserve">and </w:t>
      </w:r>
      <w:r w:rsidRPr="00CC5147">
        <w:t xml:space="preserve">the </w:t>
      </w:r>
      <w:r w:rsidRPr="006744FA">
        <w:t xml:space="preserve">Dutch Authority for Nuclear Safety and Radiation Protection </w:t>
      </w:r>
      <w:r>
        <w:t>to exchange information and lessons learnt.</w:t>
      </w:r>
      <w:r w:rsidR="00B36A53">
        <w:t xml:space="preserve"> </w:t>
      </w:r>
      <w:r>
        <w:t>Overseas consultants are also engaged on short term projects to learn from and adapt good regulatory practices from international counterparts.</w:t>
      </w:r>
      <w:r w:rsidR="00B36A53">
        <w:t xml:space="preserve"> </w:t>
      </w:r>
    </w:p>
    <w:p w14:paraId="2B0DB552" w14:textId="77777777" w:rsidR="00325E86" w:rsidRDefault="00987E0D" w:rsidP="00A22E9E">
      <w:pPr>
        <w:pStyle w:val="ListParagraph"/>
        <w:numPr>
          <w:ilvl w:val="0"/>
          <w:numId w:val="23"/>
        </w:numPr>
        <w:ind w:left="851" w:hanging="567"/>
      </w:pPr>
      <w:r>
        <w:br w:type="page"/>
      </w:r>
    </w:p>
    <w:p w14:paraId="47F1C9A7" w14:textId="357462CF" w:rsidR="00325E86" w:rsidRDefault="00325E86" w:rsidP="006C09E2">
      <w:pPr>
        <w:pStyle w:val="Heading1"/>
        <w:numPr>
          <w:ilvl w:val="0"/>
          <w:numId w:val="0"/>
        </w:numPr>
        <w:spacing w:after="120"/>
        <w:ind w:left="680" w:hanging="680"/>
      </w:pPr>
      <w:bookmarkStart w:id="24" w:name="_Ref516303117"/>
      <w:bookmarkStart w:id="25" w:name="_Toc527512559"/>
      <w:bookmarkStart w:id="26" w:name="_Toc81816902"/>
      <w:bookmarkStart w:id="27" w:name="_Toc81816957"/>
      <w:bookmarkStart w:id="28" w:name="_Toc81891561"/>
      <w:bookmarkStart w:id="29" w:name="_Toc81893627"/>
      <w:bookmarkStart w:id="30" w:name="_Toc81896896"/>
      <w:bookmarkStart w:id="31" w:name="_Toc457392306"/>
      <w:bookmarkStart w:id="32" w:name="_Toc12537943"/>
      <w:r w:rsidRPr="00FD5BE4">
        <w:lastRenderedPageBreak/>
        <w:t>Article 7 – Legislative and Regulatory Framework</w:t>
      </w:r>
      <w:bookmarkEnd w:id="24"/>
      <w:bookmarkEnd w:id="25"/>
      <w:bookmarkEnd w:id="26"/>
      <w:bookmarkEnd w:id="27"/>
      <w:bookmarkEnd w:id="28"/>
      <w:bookmarkEnd w:id="29"/>
      <w:bookmarkEnd w:id="30"/>
      <w:bookmarkEnd w:id="31"/>
      <w:bookmarkEnd w:id="32"/>
    </w:p>
    <w:tbl>
      <w:tblPr>
        <w:tblStyle w:val="GenericARPANSA"/>
        <w:tblW w:w="9639" w:type="dxa"/>
        <w:tblInd w:w="0" w:type="dxa"/>
        <w:tblCellMar>
          <w:top w:w="57" w:type="dxa"/>
          <w:left w:w="170" w:type="dxa"/>
          <w:bottom w:w="57" w:type="dxa"/>
          <w:right w:w="170" w:type="dxa"/>
        </w:tblCellMar>
        <w:tblLook w:val="0480" w:firstRow="0" w:lastRow="0" w:firstColumn="1" w:lastColumn="0" w:noHBand="0" w:noVBand="1"/>
      </w:tblPr>
      <w:tblGrid>
        <w:gridCol w:w="9639"/>
      </w:tblGrid>
      <w:tr w:rsidR="00C50E8B" w14:paraId="03486A3B" w14:textId="77777777" w:rsidTr="00C50E8B">
        <w:tc>
          <w:tcPr>
            <w:tcW w:w="9628" w:type="dxa"/>
            <w:shd w:val="clear" w:color="auto" w:fill="F3EAFA"/>
          </w:tcPr>
          <w:p w14:paraId="6EBDD2AF" w14:textId="4294AD02" w:rsidR="00C50E8B" w:rsidRPr="00C50E8B" w:rsidRDefault="00C50E8B" w:rsidP="00A22E9E">
            <w:pPr>
              <w:pStyle w:val="ListParagraph"/>
              <w:numPr>
                <w:ilvl w:val="0"/>
                <w:numId w:val="24"/>
              </w:numPr>
              <w:spacing w:before="60"/>
              <w:jc w:val="left"/>
              <w:rPr>
                <w:i/>
              </w:rPr>
            </w:pPr>
            <w:r w:rsidRPr="00C50E8B">
              <w:rPr>
                <w:i/>
              </w:rPr>
              <w:t>Each Contracting Party shall establish and maintain a legislative and regulatory framework to govern the safety of nuclear installations.</w:t>
            </w:r>
          </w:p>
        </w:tc>
      </w:tr>
    </w:tbl>
    <w:p w14:paraId="0EA603A6" w14:textId="77777777" w:rsidR="00325E86" w:rsidRPr="00FD5BE4" w:rsidRDefault="00325E86" w:rsidP="00325E86">
      <w:pPr>
        <w:pStyle w:val="Heading2"/>
        <w:rPr>
          <w:b w:val="0"/>
        </w:rPr>
      </w:pPr>
      <w:bookmarkStart w:id="33" w:name="_Toc5807479"/>
      <w:r w:rsidRPr="00FD5BE4">
        <w:t>Australian Radiation Protection and Nuclear Safety</w:t>
      </w:r>
      <w:r>
        <w:t xml:space="preserve"> </w:t>
      </w:r>
      <w:r w:rsidRPr="00FD5BE4">
        <w:t xml:space="preserve">Act 1998 </w:t>
      </w:r>
      <w:r>
        <w:t>(the Act)</w:t>
      </w:r>
      <w:bookmarkEnd w:id="33"/>
    </w:p>
    <w:p w14:paraId="11E6B1C0" w14:textId="7BFD6631" w:rsidR="00325E86" w:rsidRDefault="00325E86" w:rsidP="00167358">
      <w:pPr>
        <w:pStyle w:val="70list"/>
        <w:ind w:left="851" w:hanging="567"/>
      </w:pPr>
      <w:bookmarkStart w:id="34" w:name="_Ref176694584"/>
      <w:r w:rsidRPr="00FD5BE4">
        <w:t xml:space="preserve">The </w:t>
      </w:r>
      <w:r>
        <w:t xml:space="preserve">Act </w:t>
      </w:r>
      <w:r w:rsidRPr="00FD5BE4">
        <w:t xml:space="preserve">applies </w:t>
      </w:r>
      <w:r>
        <w:t xml:space="preserve">only </w:t>
      </w:r>
      <w:r w:rsidRPr="00FD5BE4">
        <w:t xml:space="preserve">to </w:t>
      </w:r>
      <w:r>
        <w:t>Australian Gov</w:t>
      </w:r>
      <w:r w:rsidRPr="00FD5BE4">
        <w:t>ernment entities</w:t>
      </w:r>
      <w:r>
        <w:t xml:space="preserve"> and </w:t>
      </w:r>
      <w:r w:rsidRPr="00FD5BE4">
        <w:t>their contractors</w:t>
      </w:r>
      <w:r>
        <w:t>. It enables the regulatory framework to govern the safety of, among others, OPAL and HIFAR</w:t>
      </w:r>
      <w:bookmarkEnd w:id="34"/>
      <w:r>
        <w:t>.</w:t>
      </w:r>
      <w:r w:rsidR="00B36A53">
        <w:t xml:space="preserve"> </w:t>
      </w:r>
      <w:r>
        <w:t>The Act was amended in 2015 to provide the CEO with additional powers to direct a licence holder, issue improvement notices, and compel the provision of information.</w:t>
      </w:r>
    </w:p>
    <w:tbl>
      <w:tblPr>
        <w:tblStyle w:val="GenericARPANSA"/>
        <w:tblW w:w="0" w:type="auto"/>
        <w:shd w:val="clear" w:color="auto" w:fill="F3EAFA"/>
        <w:tblCellMar>
          <w:top w:w="57" w:type="dxa"/>
          <w:left w:w="170" w:type="dxa"/>
          <w:bottom w:w="57" w:type="dxa"/>
          <w:right w:w="170" w:type="dxa"/>
        </w:tblCellMar>
        <w:tblLook w:val="0480" w:firstRow="0" w:lastRow="0" w:firstColumn="1" w:lastColumn="0" w:noHBand="0" w:noVBand="1"/>
      </w:tblPr>
      <w:tblGrid>
        <w:gridCol w:w="9520"/>
      </w:tblGrid>
      <w:tr w:rsidR="00060919" w14:paraId="5F2973A6" w14:textId="77777777" w:rsidTr="002850A6">
        <w:tc>
          <w:tcPr>
            <w:tcW w:w="9628" w:type="dxa"/>
            <w:shd w:val="clear" w:color="auto" w:fill="F3EAFA"/>
          </w:tcPr>
          <w:p w14:paraId="1F6CE368" w14:textId="77777777" w:rsidR="00060919" w:rsidRPr="002850A6" w:rsidRDefault="00060919" w:rsidP="002850A6">
            <w:pPr>
              <w:ind w:firstLine="343"/>
              <w:jc w:val="left"/>
              <w:rPr>
                <w:b/>
                <w:i/>
              </w:rPr>
            </w:pPr>
            <w:r w:rsidRPr="002850A6">
              <w:rPr>
                <w:i/>
              </w:rPr>
              <w:t>2.</w:t>
            </w:r>
            <w:r w:rsidRPr="002850A6">
              <w:rPr>
                <w:i/>
              </w:rPr>
              <w:tab/>
              <w:t xml:space="preserve">The legislative and regulatory framework shall provide for: </w:t>
            </w:r>
          </w:p>
          <w:p w14:paraId="1B171265" w14:textId="628D667C" w:rsidR="00060919" w:rsidRPr="002850A6" w:rsidRDefault="00060919" w:rsidP="00C46346">
            <w:pPr>
              <w:ind w:left="1417" w:hanging="425"/>
              <w:jc w:val="left"/>
              <w:rPr>
                <w:b/>
                <w:i/>
              </w:rPr>
            </w:pPr>
            <w:r w:rsidRPr="002850A6">
              <w:rPr>
                <w:i/>
              </w:rPr>
              <w:t>(i)</w:t>
            </w:r>
            <w:r w:rsidRPr="002850A6">
              <w:rPr>
                <w:i/>
              </w:rPr>
              <w:tab/>
              <w:t>the establishment of applicable national safety requirements and regulations;</w:t>
            </w:r>
          </w:p>
        </w:tc>
      </w:tr>
    </w:tbl>
    <w:p w14:paraId="3AABF45D" w14:textId="02A4E2A8" w:rsidR="00325E86" w:rsidRDefault="00325E86" w:rsidP="00325E86">
      <w:pPr>
        <w:pStyle w:val="Heading2"/>
      </w:pPr>
      <w:bookmarkStart w:id="35" w:name="_Toc5807480"/>
      <w:r w:rsidRPr="00FD5BE4">
        <w:t xml:space="preserve">The Australian Radiation Protection and Nuclear Safety Regulations </w:t>
      </w:r>
      <w:r w:rsidR="002A5AA0">
        <w:t>2018</w:t>
      </w:r>
      <w:r w:rsidRPr="00FD5BE4">
        <w:t xml:space="preserve"> and other </w:t>
      </w:r>
      <w:r>
        <w:t>r</w:t>
      </w:r>
      <w:r w:rsidRPr="00FD5BE4">
        <w:t xml:space="preserve">egulatory </w:t>
      </w:r>
      <w:r>
        <w:t>g</w:t>
      </w:r>
      <w:r w:rsidRPr="00FD5BE4">
        <w:t>uidance documents</w:t>
      </w:r>
      <w:bookmarkEnd w:id="35"/>
    </w:p>
    <w:p w14:paraId="71CA714B" w14:textId="653597E6" w:rsidR="00617B14" w:rsidRPr="00167358" w:rsidRDefault="00617B14" w:rsidP="00167358">
      <w:pPr>
        <w:pStyle w:val="70list"/>
        <w:ind w:left="851" w:hanging="567"/>
        <w:rPr>
          <w:rFonts w:cstheme="minorHAnsi"/>
        </w:rPr>
      </w:pPr>
      <w:r w:rsidRPr="00167358">
        <w:rPr>
          <w:rFonts w:cstheme="minorHAnsi"/>
        </w:rPr>
        <w:t>The Australian Radiation Protection and Nuclear Safety Regulations 2018 replaced the Australian Radiation Protection and Nuclear Safety Regulations 1999 (the Regulat</w:t>
      </w:r>
      <w:r w:rsidR="002A5AA0" w:rsidRPr="00167358">
        <w:rPr>
          <w:rFonts w:cstheme="minorHAnsi"/>
        </w:rPr>
        <w:t>ions) on the 9 December 2018.</w:t>
      </w:r>
      <w:r w:rsidR="00B36A53" w:rsidRPr="00167358">
        <w:rPr>
          <w:rFonts w:cstheme="minorHAnsi"/>
        </w:rPr>
        <w:t xml:space="preserve"> </w:t>
      </w:r>
      <w:r w:rsidRPr="00167358">
        <w:rPr>
          <w:rFonts w:cstheme="minorHAnsi"/>
        </w:rPr>
        <w:t xml:space="preserve">There </w:t>
      </w:r>
      <w:r w:rsidR="00F20FE0" w:rsidRPr="00167358">
        <w:rPr>
          <w:rFonts w:cstheme="minorHAnsi"/>
        </w:rPr>
        <w:t>was</w:t>
      </w:r>
      <w:r w:rsidRPr="00167358">
        <w:rPr>
          <w:rFonts w:cstheme="minorHAnsi"/>
        </w:rPr>
        <w:t xml:space="preserve"> no change to the effect of the regulations, but the numbering and formatting has changed and in some parts the wording has changed to simplify the regulations in accordance with modern drafting practices</w:t>
      </w:r>
      <w:r w:rsidR="00612012">
        <w:rPr>
          <w:rFonts w:cstheme="minorHAnsi"/>
        </w:rPr>
        <w:t>.</w:t>
      </w:r>
    </w:p>
    <w:p w14:paraId="7E693E75" w14:textId="56FEA5FB" w:rsidR="008008F9" w:rsidRPr="00167358" w:rsidRDefault="00331438" w:rsidP="00167358">
      <w:pPr>
        <w:pStyle w:val="70list"/>
        <w:ind w:left="851" w:hanging="567"/>
        <w:rPr>
          <w:rFonts w:cstheme="minorHAnsi"/>
        </w:rPr>
      </w:pPr>
      <w:r w:rsidRPr="00167358">
        <w:rPr>
          <w:rFonts w:cstheme="minorHAnsi"/>
        </w:rPr>
        <w:t>The Regulations</w:t>
      </w:r>
      <w:r w:rsidR="008008F9" w:rsidRPr="00167358">
        <w:rPr>
          <w:rFonts w:cstheme="minorHAnsi"/>
        </w:rPr>
        <w:t xml:space="preserve"> set up a framework for licensing, inspection and enforcement.</w:t>
      </w:r>
      <w:r w:rsidR="00B36A53" w:rsidRPr="00167358">
        <w:rPr>
          <w:rFonts w:cstheme="minorHAnsi"/>
        </w:rPr>
        <w:t xml:space="preserve"> </w:t>
      </w:r>
      <w:r w:rsidR="008008F9" w:rsidRPr="00167358">
        <w:rPr>
          <w:rFonts w:cstheme="minorHAnsi"/>
        </w:rPr>
        <w:t>The Regulations also contain licence conditions and specify dose limits.</w:t>
      </w:r>
      <w:r w:rsidR="002A2960" w:rsidRPr="00167358">
        <w:rPr>
          <w:rFonts w:cstheme="minorHAnsi"/>
        </w:rPr>
        <w:t xml:space="preserve"> </w:t>
      </w:r>
    </w:p>
    <w:p w14:paraId="268E0438" w14:textId="54114319" w:rsidR="00F2548F" w:rsidRPr="00167358" w:rsidRDefault="00F2548F" w:rsidP="00167358">
      <w:pPr>
        <w:pStyle w:val="70list"/>
        <w:ind w:left="851" w:hanging="567"/>
        <w:rPr>
          <w:rFonts w:cstheme="minorHAnsi"/>
        </w:rPr>
      </w:pPr>
      <w:r w:rsidRPr="00167358">
        <w:rPr>
          <w:rFonts w:cstheme="minorHAnsi"/>
        </w:rPr>
        <w:t>In assessing licence applications, ARPANSA must, under the Act, take into account international best practice in radiation protection and nuclear safety.</w:t>
      </w:r>
      <w:r w:rsidR="00B36A53" w:rsidRPr="00167358">
        <w:rPr>
          <w:rFonts w:cstheme="minorHAnsi"/>
        </w:rPr>
        <w:t xml:space="preserve"> </w:t>
      </w:r>
      <w:r w:rsidR="00E160DF" w:rsidRPr="00167358">
        <w:rPr>
          <w:rFonts w:cstheme="minorHAnsi"/>
        </w:rPr>
        <w:t>In 2016, ARPANSA established a register of relevant international standards on its website</w:t>
      </w:r>
      <w:r w:rsidR="00E160DF" w:rsidRPr="00167358">
        <w:rPr>
          <w:rFonts w:cstheme="minorHAnsi"/>
          <w:vertAlign w:val="superscript"/>
        </w:rPr>
        <w:footnoteReference w:id="15"/>
      </w:r>
      <w:r w:rsidR="00E160DF" w:rsidRPr="00167358">
        <w:rPr>
          <w:rFonts w:cstheme="minorHAnsi"/>
        </w:rPr>
        <w:t xml:space="preserve">. For the purpose of nuclear safety, these primarily comprise all relevant IAEA Safety Standards adapted as necessary to suit the Australian context. </w:t>
      </w:r>
    </w:p>
    <w:p w14:paraId="3144999C" w14:textId="2A526745" w:rsidR="00325E86" w:rsidRPr="00167358" w:rsidRDefault="00325E86" w:rsidP="00167358">
      <w:pPr>
        <w:pStyle w:val="70list"/>
        <w:ind w:left="851" w:hanging="567"/>
        <w:rPr>
          <w:rFonts w:cstheme="minorHAnsi"/>
        </w:rPr>
      </w:pPr>
      <w:r w:rsidRPr="00167358">
        <w:rPr>
          <w:rFonts w:cstheme="minorHAnsi"/>
        </w:rPr>
        <w:t>ARPANSA also publishes regulatory guide</w:t>
      </w:r>
      <w:r w:rsidR="00612012">
        <w:rPr>
          <w:rFonts w:cstheme="minorHAnsi"/>
        </w:rPr>
        <w:t>s</w:t>
      </w:r>
      <w:r w:rsidRPr="00167358">
        <w:rPr>
          <w:rFonts w:cstheme="minorHAnsi"/>
        </w:rPr>
        <w:t xml:space="preserve"> to </w:t>
      </w:r>
      <w:r w:rsidR="00612012">
        <w:rPr>
          <w:rFonts w:cstheme="minorHAnsi"/>
        </w:rPr>
        <w:t xml:space="preserve">assist </w:t>
      </w:r>
      <w:r w:rsidRPr="00167358">
        <w:rPr>
          <w:rFonts w:cstheme="minorHAnsi"/>
        </w:rPr>
        <w:t>licence applicants and licence holders</w:t>
      </w:r>
      <w:r w:rsidR="00612012">
        <w:rPr>
          <w:rFonts w:cstheme="minorHAnsi"/>
        </w:rPr>
        <w:t>.</w:t>
      </w:r>
      <w:r w:rsidR="000B7660">
        <w:rPr>
          <w:rFonts w:cstheme="minorHAnsi"/>
        </w:rPr>
        <w:t xml:space="preserve"> These </w:t>
      </w:r>
      <w:r w:rsidRPr="00167358">
        <w:rPr>
          <w:rFonts w:cstheme="minorHAnsi"/>
        </w:rPr>
        <w:t>include guid</w:t>
      </w:r>
      <w:r w:rsidR="000B7660">
        <w:rPr>
          <w:rFonts w:cstheme="minorHAnsi"/>
        </w:rPr>
        <w:t>ance</w:t>
      </w:r>
      <w:r w:rsidRPr="00167358">
        <w:rPr>
          <w:rFonts w:cstheme="minorHAnsi"/>
        </w:rPr>
        <w:t xml:space="preserve"> to prepare licence applications</w:t>
      </w:r>
      <w:r w:rsidR="00A7012F" w:rsidRPr="00167358">
        <w:rPr>
          <w:rFonts w:cstheme="minorHAnsi"/>
        </w:rPr>
        <w:t xml:space="preserve"> such as the </w:t>
      </w:r>
      <w:r w:rsidR="00A7012F" w:rsidRPr="00167358">
        <w:rPr>
          <w:rFonts w:cstheme="minorHAnsi"/>
          <w:i/>
        </w:rPr>
        <w:t>Regulatory Guide on Plans and Arrangements for Managing Safety</w:t>
      </w:r>
      <w:r w:rsidR="00A7012F" w:rsidRPr="00167358">
        <w:rPr>
          <w:rFonts w:cstheme="minorHAnsi"/>
        </w:rPr>
        <w:t xml:space="preserve"> </w:t>
      </w:r>
      <w:r w:rsidRPr="00167358">
        <w:rPr>
          <w:rFonts w:cstheme="minorHAnsi"/>
        </w:rPr>
        <w:t>and other activity specific guides. These guidance documents are published on ARPANSA’s website</w:t>
      </w:r>
      <w:r w:rsidRPr="00167358">
        <w:rPr>
          <w:rFonts w:cstheme="minorHAnsi"/>
          <w:vertAlign w:val="superscript"/>
        </w:rPr>
        <w:footnoteReference w:id="16"/>
      </w:r>
      <w:r w:rsidRPr="00167358">
        <w:rPr>
          <w:rFonts w:cstheme="minorHAnsi"/>
        </w:rPr>
        <w:t>.</w:t>
      </w:r>
      <w:r w:rsidR="00B36A53" w:rsidRPr="00167358">
        <w:rPr>
          <w:rFonts w:cstheme="minorHAnsi"/>
        </w:rPr>
        <w:t xml:space="preserve"> </w:t>
      </w:r>
      <w:r w:rsidR="00CC5147" w:rsidRPr="00167358">
        <w:rPr>
          <w:rFonts w:cstheme="minorHAnsi"/>
        </w:rPr>
        <w:t>ANSTO is consulted during the development or amendment of regulatory guides applicable to OPAL and HIFAR</w:t>
      </w:r>
      <w:r w:rsidRPr="00167358">
        <w:rPr>
          <w:rFonts w:cstheme="minorHAnsi"/>
        </w:rPr>
        <w:t>.</w:t>
      </w:r>
      <w:r w:rsidR="000B3974" w:rsidRPr="00167358">
        <w:rPr>
          <w:rFonts w:cstheme="minorHAnsi"/>
        </w:rPr>
        <w:t xml:space="preserve"> In addition </w:t>
      </w:r>
      <w:r w:rsidR="00BD70CE">
        <w:rPr>
          <w:rFonts w:cstheme="minorHAnsi"/>
        </w:rPr>
        <w:t xml:space="preserve">new regulatory guides are also </w:t>
      </w:r>
      <w:r w:rsidR="000B3974" w:rsidRPr="00167358">
        <w:rPr>
          <w:rFonts w:cstheme="minorHAnsi"/>
        </w:rPr>
        <w:t>opened for public comment prior to publishing.</w:t>
      </w:r>
    </w:p>
    <w:p w14:paraId="2FC5B12B" w14:textId="5F08C090" w:rsidR="00325E86" w:rsidRPr="00167358" w:rsidRDefault="000B7660" w:rsidP="00167358">
      <w:pPr>
        <w:pStyle w:val="70list"/>
        <w:ind w:left="851" w:hanging="567"/>
        <w:rPr>
          <w:rFonts w:cstheme="minorHAnsi"/>
        </w:rPr>
      </w:pPr>
      <w:r>
        <w:rPr>
          <w:rFonts w:cstheme="minorHAnsi"/>
        </w:rPr>
        <w:t>I</w:t>
      </w:r>
      <w:r w:rsidRPr="00167358">
        <w:rPr>
          <w:rFonts w:cstheme="minorHAnsi"/>
        </w:rPr>
        <w:t>n April 2016</w:t>
      </w:r>
      <w:r w:rsidR="00BD70CE">
        <w:rPr>
          <w:rFonts w:cstheme="minorHAnsi"/>
        </w:rPr>
        <w:t>,</w:t>
      </w:r>
      <w:r w:rsidRPr="00167358">
        <w:rPr>
          <w:rFonts w:cstheme="minorHAnsi"/>
        </w:rPr>
        <w:t xml:space="preserve"> </w:t>
      </w:r>
      <w:r w:rsidR="00061AFA" w:rsidRPr="00167358">
        <w:rPr>
          <w:rFonts w:cstheme="minorHAnsi"/>
        </w:rPr>
        <w:t>ARPANSA</w:t>
      </w:r>
      <w:r w:rsidR="00325E86" w:rsidRPr="00167358">
        <w:rPr>
          <w:rFonts w:cstheme="minorHAnsi"/>
        </w:rPr>
        <w:t xml:space="preserve"> </w:t>
      </w:r>
      <w:r w:rsidR="00F20FE0" w:rsidRPr="00167358">
        <w:rPr>
          <w:rFonts w:cstheme="minorHAnsi"/>
        </w:rPr>
        <w:t xml:space="preserve">published </w:t>
      </w:r>
      <w:r>
        <w:rPr>
          <w:rFonts w:cstheme="minorHAnsi"/>
        </w:rPr>
        <w:t>a</w:t>
      </w:r>
      <w:r w:rsidRPr="00167358">
        <w:rPr>
          <w:rFonts w:cstheme="minorHAnsi"/>
        </w:rPr>
        <w:t xml:space="preserve"> </w:t>
      </w:r>
      <w:r w:rsidR="00325E86" w:rsidRPr="00167358">
        <w:rPr>
          <w:rFonts w:cstheme="minorHAnsi"/>
        </w:rPr>
        <w:t xml:space="preserve">guide for </w:t>
      </w:r>
      <w:r>
        <w:rPr>
          <w:rFonts w:cstheme="minorHAnsi"/>
        </w:rPr>
        <w:t>undertaking</w:t>
      </w:r>
      <w:r w:rsidR="00325E86" w:rsidRPr="00167358">
        <w:rPr>
          <w:rFonts w:cstheme="minorHAnsi"/>
        </w:rPr>
        <w:t xml:space="preserve"> a P</w:t>
      </w:r>
      <w:r w:rsidR="00167358">
        <w:rPr>
          <w:rFonts w:cstheme="minorHAnsi"/>
        </w:rPr>
        <w:t>S</w:t>
      </w:r>
      <w:r w:rsidR="00325E86" w:rsidRPr="00167358">
        <w:rPr>
          <w:rFonts w:cstheme="minorHAnsi"/>
        </w:rPr>
        <w:t xml:space="preserve">SR that builds on IAEA safety guide </w:t>
      </w:r>
      <w:r w:rsidR="00325E86" w:rsidRPr="00AB09EF">
        <w:rPr>
          <w:rFonts w:cstheme="minorHAnsi"/>
          <w:i/>
        </w:rPr>
        <w:t>Periodic Safety Review for Nuclear Power Plants and Ageing Management for Research Reactors</w:t>
      </w:r>
      <w:r w:rsidR="00F20FE0" w:rsidRPr="00167358">
        <w:rPr>
          <w:rFonts w:cstheme="minorHAnsi"/>
        </w:rPr>
        <w:t xml:space="preserve"> (SSG-10</w:t>
      </w:r>
      <w:r>
        <w:rPr>
          <w:rFonts w:cstheme="minorHAnsi"/>
        </w:rPr>
        <w:t>.</w:t>
      </w:r>
      <w:r w:rsidR="00325E86" w:rsidRPr="00167358">
        <w:rPr>
          <w:rFonts w:cstheme="minorHAnsi"/>
        </w:rPr>
        <w:t xml:space="preserve"> </w:t>
      </w:r>
      <w:r>
        <w:rPr>
          <w:rFonts w:cstheme="minorHAnsi"/>
        </w:rPr>
        <w:t xml:space="preserve"> Published as </w:t>
      </w:r>
      <w:r w:rsidR="00325E86" w:rsidRPr="00167358">
        <w:rPr>
          <w:rFonts w:cstheme="minorHAnsi"/>
        </w:rPr>
        <w:t xml:space="preserve">Regulatory Guide: </w:t>
      </w:r>
      <w:r w:rsidR="00325E86" w:rsidRPr="00167358">
        <w:rPr>
          <w:rFonts w:cstheme="minorHAnsi"/>
          <w:i/>
        </w:rPr>
        <w:t>Periodic Safety and Security Review for Research</w:t>
      </w:r>
      <w:r w:rsidR="00325E86" w:rsidRPr="00167358">
        <w:rPr>
          <w:rFonts w:cstheme="minorHAnsi"/>
        </w:rPr>
        <w:t xml:space="preserve"> </w:t>
      </w:r>
      <w:r w:rsidR="00325E86" w:rsidRPr="00167358">
        <w:rPr>
          <w:rFonts w:cstheme="minorHAnsi"/>
          <w:i/>
        </w:rPr>
        <w:lastRenderedPageBreak/>
        <w:t>Reactors</w:t>
      </w:r>
      <w:r>
        <w:rPr>
          <w:rFonts w:cstheme="minorHAnsi"/>
          <w:i/>
        </w:rPr>
        <w:t>,</w:t>
      </w:r>
      <w:r>
        <w:rPr>
          <w:rFonts w:cstheme="minorHAnsi"/>
        </w:rPr>
        <w:t xml:space="preserve"> it </w:t>
      </w:r>
      <w:r w:rsidR="00B607DA" w:rsidRPr="00167358">
        <w:rPr>
          <w:rFonts w:cstheme="minorHAnsi"/>
        </w:rPr>
        <w:t>was developed in collaboration with the Australian Safeguards and Non-Proliferation Office (ASNO).</w:t>
      </w:r>
    </w:p>
    <w:p w14:paraId="4466BF0A" w14:textId="51E59001" w:rsidR="00CC67B4" w:rsidRPr="0022426D" w:rsidRDefault="00061AFA" w:rsidP="00A22E9E">
      <w:pPr>
        <w:pStyle w:val="70list"/>
        <w:ind w:left="851" w:hanging="567"/>
      </w:pPr>
      <w:r w:rsidRPr="001D1CDB">
        <w:t>In the last reporting period</w:t>
      </w:r>
      <w:r w:rsidR="00E81F12" w:rsidRPr="001D1CDB">
        <w:t xml:space="preserve">, in November 2018, </w:t>
      </w:r>
      <w:r w:rsidRPr="001D1CDB">
        <w:t xml:space="preserve">ARPANSA </w:t>
      </w:r>
      <w:r w:rsidR="00E81F12" w:rsidRPr="001D1CDB">
        <w:t xml:space="preserve">published </w:t>
      </w:r>
      <w:r w:rsidR="000B7660">
        <w:t>a</w:t>
      </w:r>
      <w:r w:rsidR="000B7660" w:rsidRPr="001D1CDB">
        <w:t xml:space="preserve"> </w:t>
      </w:r>
      <w:r w:rsidR="00E81F12" w:rsidRPr="001D1CDB">
        <w:t xml:space="preserve">guide for </w:t>
      </w:r>
      <w:r w:rsidR="000B7660">
        <w:t>preparing</w:t>
      </w:r>
      <w:r w:rsidR="00E81F12" w:rsidRPr="001D1CDB">
        <w:t xml:space="preserve"> </w:t>
      </w:r>
      <w:r w:rsidR="00CA3098" w:rsidRPr="001D1CDB">
        <w:t xml:space="preserve">a </w:t>
      </w:r>
      <w:r w:rsidR="00E81F12" w:rsidRPr="001D1CDB">
        <w:t xml:space="preserve">decommissioning licence application based on the IAEA safety guide: </w:t>
      </w:r>
      <w:r w:rsidR="00E81F12" w:rsidRPr="00AB09EF">
        <w:rPr>
          <w:i/>
        </w:rPr>
        <w:t>Decommissioning of Nuclear Power Plants, Research Reactors and Other Nuclear Fuel Cycle Facilities</w:t>
      </w:r>
      <w:r w:rsidR="00E81F12" w:rsidRPr="001D1CDB">
        <w:t xml:space="preserve"> (SSG-47). This guide is</w:t>
      </w:r>
      <w:r w:rsidRPr="001D1CDB">
        <w:t xml:space="preserve"> </w:t>
      </w:r>
      <w:r w:rsidR="00591F67" w:rsidRPr="001D1CDB">
        <w:t>Regulatory Guide</w:t>
      </w:r>
      <w:r w:rsidR="00591F67" w:rsidRPr="0022426D">
        <w:rPr>
          <w:i/>
        </w:rPr>
        <w:t xml:space="preserve">: Decommissioning of Controlled </w:t>
      </w:r>
      <w:r w:rsidR="0022426D" w:rsidRPr="0022426D">
        <w:rPr>
          <w:i/>
        </w:rPr>
        <w:t>Facilities</w:t>
      </w:r>
      <w:r w:rsidR="0022426D" w:rsidRPr="0022426D">
        <w:rPr>
          <w:vertAlign w:val="superscript"/>
        </w:rPr>
        <w:footnoteReference w:id="17"/>
      </w:r>
      <w:r w:rsidR="00050F04">
        <w:t>.</w:t>
      </w:r>
      <w:r w:rsidR="001D1CDB" w:rsidRPr="001D1CDB">
        <w:t xml:space="preserve"> </w:t>
      </w:r>
      <w:r w:rsidR="001D1CDB" w:rsidRPr="00215F35">
        <w:t xml:space="preserve">ARPANSA also published </w:t>
      </w:r>
      <w:r w:rsidR="000B7660">
        <w:t>a</w:t>
      </w:r>
      <w:r w:rsidR="000B7660" w:rsidRPr="00215F35">
        <w:t xml:space="preserve"> </w:t>
      </w:r>
      <w:r w:rsidR="001D1CDB" w:rsidRPr="00215F35">
        <w:t xml:space="preserve">guide for applying for a radioactive waste storage or disposal facility </w:t>
      </w:r>
      <w:r w:rsidR="001D1CDB">
        <w:t xml:space="preserve">in May 2017 </w:t>
      </w:r>
      <w:r w:rsidR="001D1CDB" w:rsidRPr="00215F35">
        <w:t xml:space="preserve">based on </w:t>
      </w:r>
      <w:r w:rsidR="000B7660">
        <w:t xml:space="preserve">the </w:t>
      </w:r>
      <w:r w:rsidR="001D1CDB" w:rsidRPr="00215F35">
        <w:t>IAEA Safety Series</w:t>
      </w:r>
      <w:r w:rsidR="001D1CDB">
        <w:t xml:space="preserve"> including</w:t>
      </w:r>
      <w:r w:rsidR="001D1CDB" w:rsidRPr="00215F35">
        <w:t xml:space="preserve"> GSG-1 </w:t>
      </w:r>
      <w:r w:rsidR="001D1CDB" w:rsidRPr="00AB09EF">
        <w:rPr>
          <w:i/>
        </w:rPr>
        <w:t>Classification of Radioactive Waste</w:t>
      </w:r>
      <w:r w:rsidR="001D1CDB">
        <w:t xml:space="preserve"> and </w:t>
      </w:r>
      <w:r w:rsidR="001D1CDB" w:rsidRPr="001D1CDB">
        <w:t xml:space="preserve">SSR-5 </w:t>
      </w:r>
      <w:r w:rsidR="001D1CDB" w:rsidRPr="00AB09EF">
        <w:rPr>
          <w:i/>
        </w:rPr>
        <w:t>Disposal of Radioactive Waste</w:t>
      </w:r>
      <w:r w:rsidR="001D1CDB" w:rsidRPr="001D1CDB">
        <w:t>. This guide is Regulatory Guide</w:t>
      </w:r>
      <w:r w:rsidR="001D1CDB" w:rsidRPr="001D1CDB">
        <w:rPr>
          <w:i/>
        </w:rPr>
        <w:t>: Applying for a licence for radioactive waste storage or disposal facility</w:t>
      </w:r>
      <w:r w:rsidR="001D1CDB" w:rsidRPr="001D1CDB">
        <w:rPr>
          <w:i/>
          <w:vertAlign w:val="superscript"/>
        </w:rPr>
        <w:footnoteReference w:id="18"/>
      </w:r>
      <w:r w:rsidR="0022426D">
        <w:rPr>
          <w:i/>
        </w:rPr>
        <w:t>.</w:t>
      </w:r>
    </w:p>
    <w:tbl>
      <w:tblPr>
        <w:tblStyle w:val="GenericARPANSA"/>
        <w:tblW w:w="9639" w:type="dxa"/>
        <w:tblInd w:w="0" w:type="dxa"/>
        <w:shd w:val="clear" w:color="auto" w:fill="F3EAFA"/>
        <w:tblLook w:val="0480" w:firstRow="0" w:lastRow="0" w:firstColumn="1" w:lastColumn="0" w:noHBand="0" w:noVBand="1"/>
      </w:tblPr>
      <w:tblGrid>
        <w:gridCol w:w="9639"/>
      </w:tblGrid>
      <w:tr w:rsidR="00C46346" w14:paraId="6D26BE90" w14:textId="77777777" w:rsidTr="00C46346">
        <w:tc>
          <w:tcPr>
            <w:tcW w:w="9628" w:type="dxa"/>
            <w:shd w:val="clear" w:color="auto" w:fill="F3EAFA"/>
          </w:tcPr>
          <w:p w14:paraId="2B1F5C5A" w14:textId="10DADE13" w:rsidR="00C46346" w:rsidRPr="00C46346" w:rsidRDefault="00C46346" w:rsidP="00E160DF">
            <w:pPr>
              <w:ind w:left="1417" w:hanging="425"/>
              <w:jc w:val="left"/>
              <w:rPr>
                <w:rStyle w:val="Normalbold"/>
                <w:b w:val="0"/>
              </w:rPr>
            </w:pPr>
            <w:r w:rsidRPr="005C143D">
              <w:rPr>
                <w:i/>
              </w:rPr>
              <w:t>(ii)</w:t>
            </w:r>
            <w:r w:rsidRPr="005C143D">
              <w:rPr>
                <w:i/>
              </w:rPr>
              <w:tab/>
              <w:t>a system of licensing with regard to nuclear installations and the prohibition of the operation of a nuclear installation without a licence</w:t>
            </w:r>
            <w:r w:rsidR="00E160DF">
              <w:rPr>
                <w:i/>
              </w:rPr>
              <w:t>;</w:t>
            </w:r>
          </w:p>
        </w:tc>
      </w:tr>
    </w:tbl>
    <w:p w14:paraId="20236C2D" w14:textId="4ADBE141" w:rsidR="00325E86" w:rsidRPr="008C312A" w:rsidRDefault="00325E86" w:rsidP="00325E86">
      <w:pPr>
        <w:pStyle w:val="Heading2"/>
      </w:pPr>
      <w:bookmarkStart w:id="36" w:name="_Toc5807481"/>
      <w:r w:rsidRPr="008C312A">
        <w:t>Licensing</w:t>
      </w:r>
      <w:bookmarkEnd w:id="36"/>
    </w:p>
    <w:p w14:paraId="09F9BD7D" w14:textId="44806F59" w:rsidR="00325E86" w:rsidRDefault="00325E86" w:rsidP="00167358">
      <w:pPr>
        <w:pStyle w:val="70list"/>
        <w:ind w:left="851" w:hanging="567"/>
      </w:pPr>
      <w:bookmarkStart w:id="37" w:name="_Ref176694650"/>
      <w:r w:rsidRPr="00CC67B4">
        <w:t>The Act prohibits the siting, construction, operation, possession and control, or decommissioning of nuclear installations by a Commonwealth entity withou</w:t>
      </w:r>
      <w:r w:rsidR="001437A0">
        <w:t xml:space="preserve">t a licence issued by ARPANSA. </w:t>
      </w:r>
      <w:r w:rsidRPr="00CC67B4">
        <w:t>Applicants for a licence are required to submit, among others, ‘plans and arrangements’ to demonstrate how the applicant will maintain effective control, manage safety and security</w:t>
      </w:r>
      <w:r w:rsidR="001437A0">
        <w:t xml:space="preserve">, and protect the environment. </w:t>
      </w:r>
      <w:r w:rsidRPr="00CC67B4">
        <w:t>Licences may contain conditions that the licence holder must comply with</w:t>
      </w:r>
      <w:bookmarkEnd w:id="37"/>
      <w:r w:rsidRPr="00CC67B4">
        <w:t>.</w:t>
      </w:r>
    </w:p>
    <w:tbl>
      <w:tblPr>
        <w:tblStyle w:val="GenericARPANSA"/>
        <w:tblW w:w="9639" w:type="dxa"/>
        <w:tblInd w:w="0" w:type="dxa"/>
        <w:shd w:val="clear" w:color="auto" w:fill="F3EAFA"/>
        <w:tblLook w:val="0480" w:firstRow="0" w:lastRow="0" w:firstColumn="1" w:lastColumn="0" w:noHBand="0" w:noVBand="1"/>
      </w:tblPr>
      <w:tblGrid>
        <w:gridCol w:w="9639"/>
      </w:tblGrid>
      <w:tr w:rsidR="00E92BC7" w14:paraId="764A7325" w14:textId="77777777" w:rsidTr="00E92BC7">
        <w:tc>
          <w:tcPr>
            <w:tcW w:w="9639" w:type="dxa"/>
            <w:shd w:val="clear" w:color="auto" w:fill="F3EAFA"/>
          </w:tcPr>
          <w:p w14:paraId="53DD9282" w14:textId="30793C8D" w:rsidR="00E92BC7" w:rsidRPr="00C46346" w:rsidRDefault="00E92BC7" w:rsidP="00FD7DD3">
            <w:pPr>
              <w:ind w:left="1417" w:hanging="425"/>
              <w:jc w:val="left"/>
              <w:rPr>
                <w:rStyle w:val="Normalbold"/>
                <w:b w:val="0"/>
              </w:rPr>
            </w:pPr>
            <w:r w:rsidRPr="005C143D">
              <w:rPr>
                <w:i/>
              </w:rPr>
              <w:t>(i</w:t>
            </w:r>
            <w:r>
              <w:rPr>
                <w:i/>
              </w:rPr>
              <w:t>i</w:t>
            </w:r>
            <w:r w:rsidRPr="005C143D">
              <w:rPr>
                <w:i/>
              </w:rPr>
              <w:t>i)</w:t>
            </w:r>
            <w:r w:rsidRPr="005C143D">
              <w:rPr>
                <w:i/>
              </w:rPr>
              <w:tab/>
            </w:r>
            <w:r w:rsidRPr="00E92BC7">
              <w:rPr>
                <w:i/>
              </w:rPr>
              <w:t>a system of regulatory inspection and assessment of nuclear installations to ascertain compliance with applicable regulations and the terms of licences;</w:t>
            </w:r>
          </w:p>
        </w:tc>
      </w:tr>
    </w:tbl>
    <w:p w14:paraId="571C41B0" w14:textId="0CA51A7D" w:rsidR="00325E86" w:rsidRDefault="00325E86" w:rsidP="00325E86">
      <w:pPr>
        <w:pStyle w:val="Heading2"/>
      </w:pPr>
      <w:bookmarkStart w:id="38" w:name="_Toc5807483"/>
      <w:r>
        <w:t>Inspections</w:t>
      </w:r>
      <w:bookmarkEnd w:id="38"/>
    </w:p>
    <w:p w14:paraId="7210F319" w14:textId="1B2DE1DB" w:rsidR="00325E86" w:rsidRPr="00CC67B4" w:rsidRDefault="00325E86" w:rsidP="00167358">
      <w:pPr>
        <w:pStyle w:val="70list"/>
        <w:ind w:left="851" w:hanging="567"/>
      </w:pPr>
      <w:r w:rsidRPr="00CC67B4">
        <w:t xml:space="preserve">The Act provides powers of entry for inspectors to enter OPAL </w:t>
      </w:r>
      <w:r w:rsidR="007F79C2">
        <w:t>(and any other licen</w:t>
      </w:r>
      <w:r w:rsidR="000B7660">
        <w:t>s</w:t>
      </w:r>
      <w:r w:rsidR="007F79C2">
        <w:t xml:space="preserve">ed facility) </w:t>
      </w:r>
      <w:r w:rsidRPr="00CC67B4">
        <w:t>and i</w:t>
      </w:r>
      <w:r w:rsidR="001437A0">
        <w:t xml:space="preserve">nspect it at reasonable times. </w:t>
      </w:r>
      <w:r w:rsidRPr="00CC67B4">
        <w:t>Inspectors are authorised to undertake searches and exercise a range of powers.</w:t>
      </w:r>
      <w:r w:rsidR="00B36A53">
        <w:t xml:space="preserve"> </w:t>
      </w:r>
      <w:r w:rsidR="00E30E3C">
        <w:t xml:space="preserve">An </w:t>
      </w:r>
      <w:r w:rsidR="000B7660">
        <w:t>i</w:t>
      </w:r>
      <w:r w:rsidR="00E30E3C">
        <w:t>nspection m</w:t>
      </w:r>
      <w:r w:rsidRPr="00CC67B4">
        <w:t>anua</w:t>
      </w:r>
      <w:r w:rsidR="00E30E3C" w:rsidRPr="00167358">
        <w:t>l</w:t>
      </w:r>
      <w:r w:rsidR="00E30E3C" w:rsidRPr="00167358">
        <w:rPr>
          <w:vertAlign w:val="superscript"/>
        </w:rPr>
        <w:footnoteReference w:id="19"/>
      </w:r>
      <w:r w:rsidR="00E30E3C" w:rsidRPr="00167358">
        <w:rPr>
          <w:vertAlign w:val="superscript"/>
        </w:rPr>
        <w:t xml:space="preserve"> </w:t>
      </w:r>
      <w:r w:rsidRPr="00CC67B4">
        <w:t xml:space="preserve"> is available to guide inspectors on the exercise of their powers.</w:t>
      </w:r>
      <w:r w:rsidR="00B36A53">
        <w:t xml:space="preserve"> </w:t>
      </w:r>
      <w:r w:rsidRPr="00CC67B4">
        <w:t>ARPANSA has developed a risk-</w:t>
      </w:r>
      <w:r w:rsidR="00180D23">
        <w:t>informed</w:t>
      </w:r>
      <w:r w:rsidR="00180D23" w:rsidRPr="00CC67B4">
        <w:t xml:space="preserve"> </w:t>
      </w:r>
      <w:r w:rsidRPr="00CC67B4">
        <w:t xml:space="preserve">approach to </w:t>
      </w:r>
      <w:r w:rsidR="00180D23">
        <w:t xml:space="preserve">the planning of </w:t>
      </w:r>
      <w:r w:rsidRPr="00CC67B4">
        <w:t>its inspection program, which is designed to emphasise its safety assurance role.</w:t>
      </w:r>
      <w:r w:rsidR="00B36A53">
        <w:t xml:space="preserve"> </w:t>
      </w:r>
    </w:p>
    <w:p w14:paraId="2657F31A" w14:textId="7E812848" w:rsidR="00E30E3C" w:rsidRPr="006003B5" w:rsidRDefault="0022426D" w:rsidP="00167358">
      <w:pPr>
        <w:pStyle w:val="70list"/>
        <w:ind w:left="851" w:hanging="567"/>
      </w:pPr>
      <w:r w:rsidRPr="006003B5">
        <w:t xml:space="preserve"> </w:t>
      </w:r>
      <w:r w:rsidR="00325E86" w:rsidRPr="006003B5">
        <w:t xml:space="preserve">A baseline inspection program defines the minimum level of planned inspections to evaluate performance over a </w:t>
      </w:r>
      <w:r w:rsidR="00C10B31" w:rsidRPr="006003B5">
        <w:t>defined period (using a risk based approach)</w:t>
      </w:r>
      <w:r w:rsidR="00325E86" w:rsidRPr="006003B5">
        <w:t>.</w:t>
      </w:r>
      <w:r w:rsidR="00B36A53" w:rsidRPr="006003B5">
        <w:t xml:space="preserve"> </w:t>
      </w:r>
      <w:r w:rsidR="00325E86" w:rsidRPr="006003B5">
        <w:t>The program aims to monitor all facilities to provide assurance that performance of the licence holder meets safety and security objectives.</w:t>
      </w:r>
      <w:r w:rsidR="00B36A53" w:rsidRPr="006003B5">
        <w:t xml:space="preserve"> </w:t>
      </w:r>
      <w:r w:rsidR="00325E86" w:rsidRPr="006003B5">
        <w:t>There are eight inspection areas.</w:t>
      </w:r>
      <w:r w:rsidR="00B36A53" w:rsidRPr="006003B5">
        <w:t xml:space="preserve"> </w:t>
      </w:r>
      <w:r w:rsidR="00325E86" w:rsidRPr="006003B5">
        <w:t>Each of these areas must be inspected at least once during the baseline period.</w:t>
      </w:r>
      <w:r w:rsidR="00B36A53" w:rsidRPr="006003B5">
        <w:t xml:space="preserve"> </w:t>
      </w:r>
      <w:r w:rsidR="00325E86" w:rsidRPr="006003B5">
        <w:t>Although the approach will be the same, the specifics will vary and each facility will have to be looked at individually.</w:t>
      </w:r>
      <w:r w:rsidR="00B36A53" w:rsidRPr="006003B5">
        <w:t xml:space="preserve"> </w:t>
      </w:r>
      <w:r w:rsidR="00325E86" w:rsidRPr="006003B5">
        <w:t>The nature and scope of inspections is tailored to the facility.</w:t>
      </w:r>
    </w:p>
    <w:tbl>
      <w:tblPr>
        <w:tblStyle w:val="GenericARPANSA"/>
        <w:tblW w:w="9639" w:type="dxa"/>
        <w:tblInd w:w="0" w:type="dxa"/>
        <w:shd w:val="clear" w:color="auto" w:fill="F3EAFA"/>
        <w:tblLook w:val="0480" w:firstRow="0" w:lastRow="0" w:firstColumn="1" w:lastColumn="0" w:noHBand="0" w:noVBand="1"/>
      </w:tblPr>
      <w:tblGrid>
        <w:gridCol w:w="9639"/>
      </w:tblGrid>
      <w:tr w:rsidR="0022353C" w14:paraId="6C7C8DBB" w14:textId="77777777" w:rsidTr="00FD7DD3">
        <w:tc>
          <w:tcPr>
            <w:tcW w:w="9639" w:type="dxa"/>
            <w:shd w:val="clear" w:color="auto" w:fill="F3EAFA"/>
          </w:tcPr>
          <w:p w14:paraId="14F3EA9F" w14:textId="06EC8B89" w:rsidR="0022353C" w:rsidRPr="00C46346" w:rsidRDefault="0022353C" w:rsidP="00FD7DD3">
            <w:pPr>
              <w:ind w:left="1417" w:hanging="425"/>
              <w:jc w:val="left"/>
              <w:rPr>
                <w:rStyle w:val="Normalbold"/>
                <w:b w:val="0"/>
              </w:rPr>
            </w:pPr>
            <w:r w:rsidRPr="005C143D">
              <w:rPr>
                <w:i/>
              </w:rPr>
              <w:lastRenderedPageBreak/>
              <w:t>(i</w:t>
            </w:r>
            <w:r>
              <w:rPr>
                <w:i/>
              </w:rPr>
              <w:t>v</w:t>
            </w:r>
            <w:r w:rsidRPr="005C143D">
              <w:rPr>
                <w:i/>
              </w:rPr>
              <w:t>)</w:t>
            </w:r>
            <w:r w:rsidRPr="005C143D">
              <w:rPr>
                <w:i/>
              </w:rPr>
              <w:tab/>
            </w:r>
            <w:r w:rsidRPr="0022353C">
              <w:rPr>
                <w:i/>
              </w:rPr>
              <w:t>the enforcement of applicable regulations and of the terms of licences, including suspension, modification or revocation.</w:t>
            </w:r>
          </w:p>
        </w:tc>
      </w:tr>
    </w:tbl>
    <w:p w14:paraId="71005221" w14:textId="24874A7B" w:rsidR="00325E86" w:rsidRPr="00540AFA" w:rsidRDefault="00325E86" w:rsidP="00325E86">
      <w:pPr>
        <w:pStyle w:val="Heading2"/>
      </w:pPr>
      <w:bookmarkStart w:id="39" w:name="_Toc5807484"/>
      <w:r w:rsidRPr="00540AFA">
        <w:t>Enforcement</w:t>
      </w:r>
      <w:bookmarkEnd w:id="39"/>
    </w:p>
    <w:p w14:paraId="2A8E050D" w14:textId="746F5869" w:rsidR="00412899" w:rsidRPr="00540AFA" w:rsidRDefault="00412899" w:rsidP="00A22E9E">
      <w:pPr>
        <w:pStyle w:val="70list"/>
        <w:ind w:left="851" w:hanging="567"/>
      </w:pPr>
      <w:r w:rsidRPr="00540AFA">
        <w:t xml:space="preserve">The aim of ARPANSA’s regulatory activities is to verify that licence holders and controlled persons comply with the </w:t>
      </w:r>
      <w:r w:rsidR="00BD70CE">
        <w:t>Act</w:t>
      </w:r>
      <w:r w:rsidRPr="00540AFA">
        <w:t>, the Regulations and licence conditions.</w:t>
      </w:r>
      <w:r w:rsidR="00B36A53">
        <w:t xml:space="preserve"> </w:t>
      </w:r>
    </w:p>
    <w:p w14:paraId="2790AA88" w14:textId="03A91714" w:rsidR="00610D38" w:rsidRPr="00540AFA" w:rsidRDefault="00412899" w:rsidP="00A22E9E">
      <w:pPr>
        <w:pStyle w:val="70list"/>
        <w:ind w:left="851" w:hanging="567"/>
      </w:pPr>
      <w:r w:rsidRPr="00540AFA">
        <w:t xml:space="preserve">ARPANSA adopts a graded and risk-based approach to compliance and enforcement as reflected in Regulatory Guide: </w:t>
      </w:r>
      <w:r w:rsidRPr="00AB09EF">
        <w:rPr>
          <w:i/>
        </w:rPr>
        <w:t xml:space="preserve">Graded </w:t>
      </w:r>
      <w:r w:rsidR="00992D45" w:rsidRPr="00AB09EF">
        <w:rPr>
          <w:i/>
        </w:rPr>
        <w:t>a</w:t>
      </w:r>
      <w:r w:rsidRPr="00AB09EF">
        <w:rPr>
          <w:i/>
        </w:rPr>
        <w:t>pproach to dealing with licence holder non- compliance</w:t>
      </w:r>
      <w:r w:rsidRPr="00167358">
        <w:rPr>
          <w:vertAlign w:val="superscript"/>
        </w:rPr>
        <w:footnoteReference w:id="20"/>
      </w:r>
      <w:r w:rsidRPr="00167358">
        <w:rPr>
          <w:vertAlign w:val="superscript"/>
        </w:rPr>
        <w:t xml:space="preserve"> </w:t>
      </w:r>
      <w:r w:rsidR="00E30E3C">
        <w:t>a</w:t>
      </w:r>
      <w:r w:rsidR="00E8687D" w:rsidRPr="00540AFA">
        <w:t>nd</w:t>
      </w:r>
      <w:r w:rsidR="00364355" w:rsidRPr="00540AFA">
        <w:t xml:space="preserve"> </w:t>
      </w:r>
      <w:r w:rsidR="00E8687D" w:rsidRPr="00540AFA">
        <w:t>the ARPANSA Compliance and Enforcement Manual which details options for enforcement</w:t>
      </w:r>
      <w:r w:rsidR="00E8687D" w:rsidRPr="00167358">
        <w:rPr>
          <w:vertAlign w:val="superscript"/>
        </w:rPr>
        <w:footnoteReference w:id="21"/>
      </w:r>
      <w:r w:rsidR="00E8687D" w:rsidRPr="00540AFA">
        <w:t xml:space="preserve">. </w:t>
      </w:r>
      <w:r w:rsidRPr="00540AFA">
        <w:t>When non-compliance is identified the regulatory response is graded and proportionate to the actual or potential significance of the non-compliance. The minimum response necessary is used to achieve the desired result which in most cases will be a return to compliance</w:t>
      </w:r>
      <w:r w:rsidR="00992D45">
        <w:t>.</w:t>
      </w:r>
    </w:p>
    <w:p w14:paraId="01ED9F6F" w14:textId="77777777" w:rsidR="00412899" w:rsidRPr="00167358" w:rsidRDefault="00412899" w:rsidP="00167358">
      <w:pPr>
        <w:pStyle w:val="Heading2"/>
      </w:pPr>
      <w:r w:rsidRPr="00167358">
        <w:t xml:space="preserve">Encourage and Assist Compliance </w:t>
      </w:r>
    </w:p>
    <w:p w14:paraId="2F6498CA" w14:textId="3394F5E9" w:rsidR="00412899" w:rsidRPr="00540AFA" w:rsidRDefault="00412899" w:rsidP="00A22E9E">
      <w:pPr>
        <w:pStyle w:val="70list"/>
        <w:ind w:left="851" w:hanging="567"/>
      </w:pPr>
      <w:r w:rsidRPr="00540AFA">
        <w:t xml:space="preserve">ARPANSA may provide information to encourage and </w:t>
      </w:r>
      <w:r w:rsidR="00E160DF">
        <w:t>support</w:t>
      </w:r>
      <w:r w:rsidR="00E160DF" w:rsidRPr="00540AFA">
        <w:t xml:space="preserve"> </w:t>
      </w:r>
      <w:r w:rsidRPr="00540AFA">
        <w:t>a licence holder return to compliance</w:t>
      </w:r>
      <w:r w:rsidR="00E160DF">
        <w:t>, while being mindful that the ultimate responsibility for safety rests with the operator</w:t>
      </w:r>
      <w:r w:rsidRPr="00540AFA">
        <w:t>.</w:t>
      </w:r>
      <w:r w:rsidR="00B36A53">
        <w:t xml:space="preserve"> </w:t>
      </w:r>
      <w:r w:rsidRPr="00540AFA">
        <w:t xml:space="preserve">ARPANSA may accept a written commitment from the licence holder that action will be taken to rectify non-compliance within a defined timeframe. If resolution efforts prove unsuccessful in achieving a return to compliance, the regulatory response may be escalated. </w:t>
      </w:r>
    </w:p>
    <w:p w14:paraId="18347F34" w14:textId="77777777" w:rsidR="00412899" w:rsidRPr="00167358" w:rsidRDefault="00412899" w:rsidP="00167358">
      <w:pPr>
        <w:pStyle w:val="Heading2"/>
      </w:pPr>
      <w:r w:rsidRPr="00167358">
        <w:t xml:space="preserve">Improvement Notice (s80A) </w:t>
      </w:r>
    </w:p>
    <w:p w14:paraId="595AD4AF" w14:textId="3EFBC8EC" w:rsidR="00CC5147" w:rsidRPr="00C10B31" w:rsidRDefault="00412899" w:rsidP="00A22E9E">
      <w:pPr>
        <w:pStyle w:val="70list"/>
        <w:ind w:left="851" w:hanging="567"/>
      </w:pPr>
      <w:r w:rsidRPr="00540AFA">
        <w:t>Under section 80A of the Act, an inspector may issue an improvement notice in response to non-compliance or where non-compliance is likely to occur.</w:t>
      </w:r>
    </w:p>
    <w:p w14:paraId="4C035E0D" w14:textId="77777777" w:rsidR="00412899" w:rsidRPr="00167358" w:rsidRDefault="00412899" w:rsidP="00167358">
      <w:pPr>
        <w:pStyle w:val="Heading2"/>
      </w:pPr>
      <w:r w:rsidRPr="00167358">
        <w:t xml:space="preserve">Direction by the CEO of ARPANSA (s41) </w:t>
      </w:r>
    </w:p>
    <w:p w14:paraId="70DAB8B4" w14:textId="733B1234" w:rsidR="00412899" w:rsidRPr="00540AFA" w:rsidRDefault="00412899" w:rsidP="00A22E9E">
      <w:pPr>
        <w:pStyle w:val="70list"/>
        <w:ind w:left="851" w:hanging="567"/>
      </w:pPr>
      <w:r w:rsidRPr="00540AFA">
        <w:t>Section 41 of the Act give</w:t>
      </w:r>
      <w:r w:rsidR="00992D45">
        <w:t>s</w:t>
      </w:r>
      <w:r w:rsidRPr="00540AFA">
        <w:t xml:space="preserve"> the CEO the power to issue </w:t>
      </w:r>
      <w:r w:rsidR="00992D45">
        <w:t xml:space="preserve">a </w:t>
      </w:r>
      <w:r w:rsidRPr="00540AFA">
        <w:t>direction. Under section 41</w:t>
      </w:r>
      <w:r w:rsidR="00E160DF">
        <w:t>(1),</w:t>
      </w:r>
      <w:r w:rsidRPr="00540AFA">
        <w:t xml:space="preserve"> before issuing a direction the CEO must believe on reasonable grounds that a controlled person is not complying with the Act or regulations in respect of a thing, and that it is necessary to protect the health and safety of people or to avoid damage to the environment. </w:t>
      </w:r>
    </w:p>
    <w:p w14:paraId="6D82ED03" w14:textId="08AA0DB2" w:rsidR="00610D38" w:rsidRDefault="00412899" w:rsidP="00A22E9E">
      <w:pPr>
        <w:pStyle w:val="70list"/>
        <w:ind w:left="851" w:hanging="567"/>
      </w:pPr>
      <w:r w:rsidRPr="00540AFA">
        <w:t>Under section 41</w:t>
      </w:r>
      <w:r w:rsidR="00E160DF">
        <w:t>(1</w:t>
      </w:r>
      <w:r w:rsidRPr="00540AFA">
        <w:t>A</w:t>
      </w:r>
      <w:r w:rsidR="00E160DF">
        <w:t>)</w:t>
      </w:r>
      <w:r w:rsidRPr="00540AFA">
        <w:t>, the CEO has the power to issue a direction if the CEO believes on reasonable grounds that there is a risk of death, serious illness, serious injury or serious damage to the environment, arising from radiation, in connection with a controlled facility, controlled material or controlled apparatus and there is an urg</w:t>
      </w:r>
      <w:r w:rsidR="00CC5147" w:rsidRPr="00540AFA">
        <w:t>ent need to minimise the risk.</w:t>
      </w:r>
      <w:r w:rsidR="00B36A53">
        <w:t xml:space="preserve"> </w:t>
      </w:r>
      <w:r w:rsidRPr="00540AFA">
        <w:t xml:space="preserve">A copy of any direction issued by the CEO must be provided to the Minister, who must table it in each House of Parliament. </w:t>
      </w:r>
      <w:r w:rsidR="00CC5147" w:rsidRPr="00540AFA">
        <w:t>In 2018 ARPANSA issued a direction under section 41(</w:t>
      </w:r>
      <w:r w:rsidR="00E160DF">
        <w:t>1A)</w:t>
      </w:r>
      <w:r w:rsidR="00CC5147" w:rsidRPr="00540AFA">
        <w:t>) to ANSTO. S</w:t>
      </w:r>
      <w:r w:rsidR="00BC6E9B" w:rsidRPr="00540AFA">
        <w:t xml:space="preserve">ee Article 6 for more information. </w:t>
      </w:r>
    </w:p>
    <w:p w14:paraId="190BF891" w14:textId="77777777" w:rsidR="00E30E3C" w:rsidRPr="00C10B31" w:rsidRDefault="00E30E3C" w:rsidP="00E30E3C">
      <w:pPr>
        <w:pStyle w:val="70list"/>
        <w:numPr>
          <w:ilvl w:val="0"/>
          <w:numId w:val="0"/>
        </w:numPr>
        <w:ind w:left="851"/>
      </w:pPr>
    </w:p>
    <w:p w14:paraId="1415DD5B" w14:textId="77777777" w:rsidR="00412899" w:rsidRPr="00167358" w:rsidRDefault="00412899" w:rsidP="00167358">
      <w:pPr>
        <w:pStyle w:val="Heading2"/>
      </w:pPr>
      <w:r w:rsidRPr="00167358">
        <w:lastRenderedPageBreak/>
        <w:t xml:space="preserve">Amendment of Licence (s36) </w:t>
      </w:r>
    </w:p>
    <w:p w14:paraId="25D9A65B" w14:textId="463445FB" w:rsidR="00412899" w:rsidRPr="00540AFA" w:rsidRDefault="00412899" w:rsidP="00A22E9E">
      <w:pPr>
        <w:pStyle w:val="70list"/>
        <w:ind w:left="851" w:hanging="567"/>
      </w:pPr>
      <w:r w:rsidRPr="00540AFA">
        <w:t xml:space="preserve">Under section 36 of the Act, the CEO may impose additional licence conditions, remove or vary licence conditions that were imposed by the CEO or extend or reduce the authority granted by the licence. Depending on the nature of the non-compliance, it may be considered appropriate to amend the licence to facilitate compliance or address any new risks that have been identified. </w:t>
      </w:r>
    </w:p>
    <w:p w14:paraId="29CFB0AD" w14:textId="51760FCB" w:rsidR="00412899" w:rsidRPr="00167358" w:rsidRDefault="00412899" w:rsidP="00167358">
      <w:pPr>
        <w:pStyle w:val="Heading2"/>
      </w:pPr>
      <w:r w:rsidRPr="00167358">
        <w:t xml:space="preserve">Suspension or Cancellation of Licence (s38) </w:t>
      </w:r>
    </w:p>
    <w:p w14:paraId="7977B08E" w14:textId="3F863E92" w:rsidR="00412899" w:rsidRPr="00540AFA" w:rsidRDefault="00412899" w:rsidP="00A22E9E">
      <w:pPr>
        <w:pStyle w:val="70list"/>
        <w:ind w:left="851" w:hanging="567"/>
      </w:pPr>
      <w:r w:rsidRPr="00540AFA">
        <w:t>Under section 38 of the Act, the CEO may decide to suspend or cancel a licence in circumstances where a condition of the licence has been breached by the licence holder or by a person covered by the licence where there are reasonable grounds to believe that an offence has been committed against the Act or regulations by the licence holder or by a person covered by the licence, or where the licence was obtained improperly.</w:t>
      </w:r>
    </w:p>
    <w:p w14:paraId="69572E8B" w14:textId="77777777" w:rsidR="00CC5147" w:rsidRPr="00167358" w:rsidRDefault="00CC5147" w:rsidP="00167358">
      <w:pPr>
        <w:pStyle w:val="Heading2"/>
      </w:pPr>
      <w:r w:rsidRPr="00167358">
        <w:t xml:space="preserve">Referring Matters to the Director of Public Prosecutions </w:t>
      </w:r>
    </w:p>
    <w:p w14:paraId="68EDD824" w14:textId="5449B9E4" w:rsidR="00CC5147" w:rsidRPr="00C10B31" w:rsidRDefault="00CC5147" w:rsidP="00A22E9E">
      <w:pPr>
        <w:pStyle w:val="70list"/>
        <w:ind w:left="851" w:hanging="567"/>
      </w:pPr>
      <w:r w:rsidRPr="00540AFA">
        <w:t>The laws administered by ARPANSA create a number of offences. The Office of the Commonwealth Director of Public Prosecutions (CDPP) is an independent prosecution service responsible for prosecuting alleged offences against Commonwealth Law. The decision to refer a matter to the CDPP for prosecution will be made by ARPANSA in light of the facts and the Prosecution Policy of the Commonwealth. The CDPP will then make the ultimate decision whether or not to commence a prosecution in accordance with the Prosecution Policy of the Commonwealth.</w:t>
      </w:r>
    </w:p>
    <w:p w14:paraId="0789CD1A" w14:textId="77777777" w:rsidR="00CC5147" w:rsidRPr="00167358" w:rsidRDefault="00CC5147" w:rsidP="00167358">
      <w:pPr>
        <w:pStyle w:val="Heading2"/>
      </w:pPr>
      <w:r w:rsidRPr="00167358">
        <w:t xml:space="preserve">Injunction </w:t>
      </w:r>
    </w:p>
    <w:p w14:paraId="0ADF0E09" w14:textId="6B461613" w:rsidR="00412899" w:rsidRPr="002F13BD" w:rsidRDefault="00CC5147" w:rsidP="00A22E9E">
      <w:pPr>
        <w:pStyle w:val="70list"/>
        <w:ind w:left="851" w:hanging="567"/>
      </w:pPr>
      <w:r w:rsidRPr="00540AFA">
        <w:t>Under section 43 of the Act, the CEO can make an application to the Federal Court of Australia for an injunction in circumstances where a controlled person has engaged, is engaging, or proposing to engage in any conduct that would be an offence against the Act, or where there has been or is</w:t>
      </w:r>
      <w:r w:rsidRPr="002F13BD">
        <w:t xml:space="preserve"> proposed to be a refusal or failure to do a thing, which refusal or failure would be an offence against the Act.</w:t>
      </w:r>
    </w:p>
    <w:p w14:paraId="747F4720" w14:textId="5EA8D5A2" w:rsidR="00C10B31" w:rsidRPr="00871D7F" w:rsidRDefault="002C5376" w:rsidP="00871D7F">
      <w:pPr>
        <w:rPr>
          <w:b/>
          <w:i/>
          <w:color w:val="4E1A74"/>
        </w:rPr>
      </w:pPr>
      <w:r>
        <w:rPr>
          <w:b/>
          <w:i/>
          <w:color w:val="4E1A74"/>
        </w:rPr>
        <w:t>For</w:t>
      </w:r>
      <w:r w:rsidRPr="00871D7F">
        <w:rPr>
          <w:b/>
          <w:i/>
          <w:color w:val="4E1A74"/>
        </w:rPr>
        <w:t xml:space="preserve"> </w:t>
      </w:r>
      <w:r w:rsidR="003B4F39" w:rsidRPr="00871D7F">
        <w:rPr>
          <w:b/>
          <w:i/>
          <w:color w:val="4E1A74"/>
        </w:rPr>
        <w:t xml:space="preserve">a full </w:t>
      </w:r>
      <w:r>
        <w:rPr>
          <w:b/>
          <w:i/>
          <w:color w:val="4E1A74"/>
        </w:rPr>
        <w:t>s</w:t>
      </w:r>
      <w:r w:rsidRPr="00871D7F">
        <w:rPr>
          <w:b/>
          <w:i/>
          <w:color w:val="4E1A74"/>
        </w:rPr>
        <w:t xml:space="preserve">ummary </w:t>
      </w:r>
      <w:r w:rsidR="00BC6E9B" w:rsidRPr="00871D7F">
        <w:rPr>
          <w:b/>
          <w:i/>
          <w:color w:val="4E1A74"/>
        </w:rPr>
        <w:t>of how Australia meets the Vienna Declaration on Nuclear Safety Principle 3</w:t>
      </w:r>
      <w:r w:rsidR="003B4F39" w:rsidRPr="00871D7F">
        <w:rPr>
          <w:b/>
          <w:i/>
          <w:color w:val="4E1A74"/>
        </w:rPr>
        <w:t xml:space="preserve"> See Article 14 </w:t>
      </w:r>
      <w:r w:rsidR="00C10B31" w:rsidRPr="00871D7F">
        <w:rPr>
          <w:b/>
          <w:i/>
          <w:color w:val="4E1A74"/>
        </w:rPr>
        <w:br w:type="page"/>
      </w:r>
    </w:p>
    <w:p w14:paraId="55ADCCAE" w14:textId="1BD4F4B4" w:rsidR="00061AFA" w:rsidRDefault="00061AFA" w:rsidP="0021390B">
      <w:pPr>
        <w:pStyle w:val="Heading1"/>
        <w:numPr>
          <w:ilvl w:val="0"/>
          <w:numId w:val="0"/>
        </w:numPr>
        <w:spacing w:after="120"/>
      </w:pPr>
      <w:bookmarkStart w:id="40" w:name="_Ref516303217"/>
      <w:bookmarkStart w:id="41" w:name="_Toc527512560"/>
      <w:bookmarkStart w:id="42" w:name="_Toc81816903"/>
      <w:bookmarkStart w:id="43" w:name="_Toc81816958"/>
      <w:bookmarkStart w:id="44" w:name="_Toc81891562"/>
      <w:bookmarkStart w:id="45" w:name="_Toc81893628"/>
      <w:bookmarkStart w:id="46" w:name="_Toc81896897"/>
      <w:bookmarkStart w:id="47" w:name="_Toc457392307"/>
      <w:bookmarkStart w:id="48" w:name="_Toc12537944"/>
      <w:r w:rsidRPr="00FD5BE4">
        <w:lastRenderedPageBreak/>
        <w:t>Article 8 – Regulatory Body</w:t>
      </w:r>
      <w:bookmarkEnd w:id="40"/>
      <w:bookmarkEnd w:id="41"/>
      <w:bookmarkEnd w:id="42"/>
      <w:bookmarkEnd w:id="43"/>
      <w:bookmarkEnd w:id="44"/>
      <w:bookmarkEnd w:id="45"/>
      <w:bookmarkEnd w:id="46"/>
      <w:bookmarkEnd w:id="47"/>
      <w:bookmarkEnd w:id="48"/>
    </w:p>
    <w:tbl>
      <w:tblPr>
        <w:tblStyle w:val="GenericARPANSA"/>
        <w:tblW w:w="9639" w:type="dxa"/>
        <w:tblInd w:w="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shd w:val="clear" w:color="auto" w:fill="F3EAFA"/>
        <w:tblLook w:val="0480" w:firstRow="0" w:lastRow="0" w:firstColumn="1" w:lastColumn="0" w:noHBand="0" w:noVBand="1"/>
      </w:tblPr>
      <w:tblGrid>
        <w:gridCol w:w="9639"/>
      </w:tblGrid>
      <w:tr w:rsidR="0021390B" w14:paraId="6805FB65" w14:textId="77777777" w:rsidTr="00E30E3C">
        <w:tc>
          <w:tcPr>
            <w:tcW w:w="9639" w:type="dxa"/>
            <w:shd w:val="clear" w:color="auto" w:fill="F3EAFA"/>
          </w:tcPr>
          <w:p w14:paraId="40C1DB47" w14:textId="2E8508AA" w:rsidR="0021390B" w:rsidRPr="00B9188F" w:rsidRDefault="00B9188F" w:rsidP="00A22E9E">
            <w:pPr>
              <w:pStyle w:val="ListParagraph"/>
              <w:numPr>
                <w:ilvl w:val="0"/>
                <w:numId w:val="39"/>
              </w:numPr>
              <w:spacing w:before="60"/>
              <w:ind w:left="734" w:hanging="425"/>
              <w:jc w:val="left"/>
              <w:rPr>
                <w:rStyle w:val="Normalbold"/>
                <w:b w:val="0"/>
              </w:rPr>
            </w:pPr>
            <w:r w:rsidRPr="00B9188F">
              <w:rPr>
                <w:i/>
              </w:rPr>
              <w:t>Each Contracting Party shall establish and maintain a legislative and regulatory framework to govern the safety of nuclear installations.</w:t>
            </w:r>
          </w:p>
        </w:tc>
      </w:tr>
    </w:tbl>
    <w:p w14:paraId="0A0A3709" w14:textId="18DB2025" w:rsidR="00061AFA" w:rsidRPr="00FD5BE4" w:rsidRDefault="00061AFA" w:rsidP="00061AFA">
      <w:pPr>
        <w:pStyle w:val="Heading2"/>
      </w:pPr>
      <w:bookmarkStart w:id="49" w:name="_Toc5807486"/>
      <w:r>
        <w:t>ARPANSA</w:t>
      </w:r>
      <w:bookmarkEnd w:id="49"/>
    </w:p>
    <w:p w14:paraId="44EDFD8E" w14:textId="3F87865F" w:rsidR="00061AFA" w:rsidRDefault="00061AFA" w:rsidP="00BD70CE">
      <w:pPr>
        <w:pStyle w:val="80list"/>
        <w:numPr>
          <w:ilvl w:val="0"/>
          <w:numId w:val="26"/>
        </w:numPr>
        <w:ind w:left="851" w:hanging="567"/>
      </w:pPr>
      <w:r w:rsidRPr="000537B2">
        <w:t>The Act establishes the office of the CEO of ARPANSA.</w:t>
      </w:r>
      <w:r w:rsidR="00B36A53">
        <w:t xml:space="preserve"> </w:t>
      </w:r>
      <w:r w:rsidRPr="000537B2">
        <w:t>The CEO has both regulatory and non-regulatory functions.</w:t>
      </w:r>
      <w:r w:rsidR="00B36A53">
        <w:t xml:space="preserve"> </w:t>
      </w:r>
      <w:r w:rsidRPr="000537B2">
        <w:t xml:space="preserve">The non-regulatory functions include promoting national uniformity in radiation protection policy and processes among </w:t>
      </w:r>
      <w:r w:rsidR="008438FE">
        <w:t>s</w:t>
      </w:r>
      <w:r w:rsidRPr="000537B2">
        <w:t xml:space="preserve">tates and </w:t>
      </w:r>
      <w:r w:rsidR="008438FE">
        <w:t>t</w:t>
      </w:r>
      <w:r w:rsidRPr="000537B2">
        <w:t>erritories, providing scientific advice, providing radiation monitor</w:t>
      </w:r>
      <w:r>
        <w:t>ing and calibration services, and undertaking research.</w:t>
      </w:r>
    </w:p>
    <w:p w14:paraId="79250DA5" w14:textId="4156ABD6" w:rsidR="00445201" w:rsidRPr="00E37579" w:rsidRDefault="00061AFA" w:rsidP="00BD70CE">
      <w:pPr>
        <w:pStyle w:val="80list"/>
        <w:numPr>
          <w:ilvl w:val="0"/>
          <w:numId w:val="26"/>
        </w:numPr>
        <w:ind w:left="851" w:hanging="567"/>
      </w:pPr>
      <w:r w:rsidRPr="002C2DAC">
        <w:t xml:space="preserve">The </w:t>
      </w:r>
      <w:r w:rsidR="00BD70CE">
        <w:t xml:space="preserve">RSB </w:t>
      </w:r>
      <w:r w:rsidRPr="002C2DAC">
        <w:t xml:space="preserve">assists the CEO </w:t>
      </w:r>
      <w:r w:rsidR="00BD70CE">
        <w:t xml:space="preserve">to </w:t>
      </w:r>
      <w:r w:rsidRPr="002C2DAC">
        <w:t xml:space="preserve">perform </w:t>
      </w:r>
      <w:r w:rsidR="008438FE">
        <w:t>his</w:t>
      </w:r>
      <w:r w:rsidR="008438FE" w:rsidRPr="002C2DAC">
        <w:t xml:space="preserve"> </w:t>
      </w:r>
      <w:r w:rsidRPr="002C2DAC">
        <w:t>regulatory functions.</w:t>
      </w:r>
      <w:r w:rsidR="00B36A53">
        <w:t xml:space="preserve"> </w:t>
      </w:r>
      <w:r w:rsidRPr="002C2DAC">
        <w:t xml:space="preserve">The </w:t>
      </w:r>
      <w:r w:rsidRPr="00BD70CE">
        <w:t>RS</w:t>
      </w:r>
      <w:r w:rsidRPr="002C2DAC">
        <w:t xml:space="preserve">B has </w:t>
      </w:r>
      <w:r w:rsidR="00A71881" w:rsidRPr="00A71881">
        <w:t>primary</w:t>
      </w:r>
      <w:r w:rsidR="00E30E3C" w:rsidRPr="00BD70CE">
        <w:t xml:space="preserve"> </w:t>
      </w:r>
      <w:r w:rsidRPr="002C2DAC">
        <w:t xml:space="preserve">responsibility for </w:t>
      </w:r>
      <w:r w:rsidR="00E77EA4">
        <w:t xml:space="preserve">the day-to-day </w:t>
      </w:r>
      <w:r w:rsidRPr="002C2DAC">
        <w:t>regulat</w:t>
      </w:r>
      <w:r w:rsidR="00E77EA4">
        <w:t xml:space="preserve">ory oversight of </w:t>
      </w:r>
      <w:r w:rsidRPr="002C2DAC">
        <w:t xml:space="preserve">the safety and security of OPAL and HIFAR. In addition to licensing, compliance monitoring and enforcement, the RSB also investigates accidents and incidents and prepares regulatory guidance material. The RSB’s functions also include </w:t>
      </w:r>
      <w:r w:rsidR="008438FE" w:rsidRPr="002C2DAC">
        <w:t xml:space="preserve">regulatory </w:t>
      </w:r>
      <w:r w:rsidR="008438FE">
        <w:t xml:space="preserve">oversight of </w:t>
      </w:r>
      <w:r w:rsidRPr="002C2DAC">
        <w:t>other facilities such as radioisotope production facilities, radioactive waste management facilities, accelerators, and irradiators.</w:t>
      </w:r>
      <w:r w:rsidR="00E30E3C">
        <w:t xml:space="preserve"> </w:t>
      </w:r>
      <w:r w:rsidR="00F36C74">
        <w:t xml:space="preserve">The delivery of regulatory outcomes is governed by the </w:t>
      </w:r>
      <w:r w:rsidR="00F36C74" w:rsidRPr="00BD70CE">
        <w:rPr>
          <w:i/>
        </w:rPr>
        <w:t>Policy for ARPANSA’s Regulatory Activities</w:t>
      </w:r>
      <w:r w:rsidR="00F36C74" w:rsidRPr="00BD70CE">
        <w:rPr>
          <w:vertAlign w:val="superscript"/>
        </w:rPr>
        <w:footnoteReference w:id="22"/>
      </w:r>
      <w:r w:rsidR="00F36C74">
        <w:t>.</w:t>
      </w:r>
    </w:p>
    <w:p w14:paraId="1D8963B6" w14:textId="77777777" w:rsidR="00445201" w:rsidRDefault="00061AFA" w:rsidP="00591F67">
      <w:pPr>
        <w:pStyle w:val="Heading2"/>
      </w:pPr>
      <w:bookmarkStart w:id="50" w:name="_Toc5807487"/>
      <w:r>
        <w:t>Human resources and competencies</w:t>
      </w:r>
      <w:bookmarkEnd w:id="50"/>
    </w:p>
    <w:p w14:paraId="3AC2FED4" w14:textId="77777777" w:rsidR="002A651D" w:rsidRDefault="00803EB9" w:rsidP="001E75E6">
      <w:r w:rsidRPr="00CC2CA8">
        <w:rPr>
          <w:b/>
        </w:rPr>
        <w:t xml:space="preserve">Response to the </w:t>
      </w:r>
      <w:r w:rsidR="002A651D" w:rsidRPr="00CC2CA8">
        <w:rPr>
          <w:b/>
        </w:rPr>
        <w:t>Challenge from the 7</w:t>
      </w:r>
      <w:r w:rsidR="002A651D" w:rsidRPr="00CC2CA8">
        <w:rPr>
          <w:b/>
          <w:vertAlign w:val="superscript"/>
        </w:rPr>
        <w:t>th</w:t>
      </w:r>
      <w:r w:rsidR="00CC67B4" w:rsidRPr="00CC2CA8">
        <w:rPr>
          <w:b/>
        </w:rPr>
        <w:t xml:space="preserve"> CNS Review Meeting: </w:t>
      </w:r>
      <w:r w:rsidR="00CC67B4" w:rsidRPr="00CC2CA8">
        <w:t xml:space="preserve">Acquire and maintain adequate resourcing and competence within the regulator to cope with additional/new </w:t>
      </w:r>
      <w:r w:rsidR="00CC67B4" w:rsidRPr="00FB526A">
        <w:t xml:space="preserve">work and activities. </w:t>
      </w:r>
    </w:p>
    <w:p w14:paraId="65B6F051" w14:textId="77777777" w:rsidR="00803EB9" w:rsidRPr="00803EB9" w:rsidRDefault="00803EB9" w:rsidP="00803EB9">
      <w:pPr>
        <w:autoSpaceDE w:val="0"/>
        <w:autoSpaceDN w:val="0"/>
        <w:adjustRightInd w:val="0"/>
        <w:spacing w:before="0" w:line="240" w:lineRule="auto"/>
        <w:rPr>
          <w:color w:val="000000"/>
        </w:rPr>
      </w:pPr>
    </w:p>
    <w:p w14:paraId="362E4372" w14:textId="37F5C805" w:rsidR="00CD06B3" w:rsidRPr="00E37579" w:rsidRDefault="00445201" w:rsidP="00BD70CE">
      <w:pPr>
        <w:pStyle w:val="80list"/>
        <w:numPr>
          <w:ilvl w:val="0"/>
          <w:numId w:val="26"/>
        </w:numPr>
        <w:ind w:left="851" w:hanging="567"/>
      </w:pPr>
      <w:r w:rsidRPr="00E37579">
        <w:t>At the</w:t>
      </w:r>
      <w:r w:rsidR="00803EB9" w:rsidRPr="00E37579">
        <w:t xml:space="preserve"> 7</w:t>
      </w:r>
      <w:r w:rsidR="00803EB9" w:rsidRPr="00BD70CE">
        <w:t>th</w:t>
      </w:r>
      <w:r w:rsidR="00803EB9" w:rsidRPr="00E37579">
        <w:t xml:space="preserve"> </w:t>
      </w:r>
      <w:r w:rsidRPr="00E37579">
        <w:t xml:space="preserve">CNS review meeting </w:t>
      </w:r>
      <w:r w:rsidR="00364355">
        <w:t>Australia</w:t>
      </w:r>
      <w:r w:rsidRPr="00E37579">
        <w:t xml:space="preserve"> reported that</w:t>
      </w:r>
      <w:r w:rsidR="00061AFA" w:rsidRPr="00E37579">
        <w:t xml:space="preserve"> </w:t>
      </w:r>
      <w:r w:rsidR="00BD70CE">
        <w:t>RSB’s</w:t>
      </w:r>
      <w:r w:rsidR="00061AFA" w:rsidRPr="00E37579">
        <w:t xml:space="preserve"> staff numbers decreased from 28 to 23, due to retirements and resignations.</w:t>
      </w:r>
      <w:r w:rsidR="00B36A53">
        <w:t xml:space="preserve"> </w:t>
      </w:r>
      <w:r w:rsidR="002A651D" w:rsidRPr="00E37579">
        <w:t xml:space="preserve">This </w:t>
      </w:r>
      <w:r w:rsidR="00AF4B89">
        <w:t xml:space="preserve">staff </w:t>
      </w:r>
      <w:r w:rsidR="002A651D" w:rsidRPr="00E37579">
        <w:t xml:space="preserve">number remains at </w:t>
      </w:r>
      <w:r w:rsidRPr="00E37579">
        <w:t xml:space="preserve">23 </w:t>
      </w:r>
      <w:r w:rsidR="00CD06B3" w:rsidRPr="00E37579">
        <w:t xml:space="preserve">which is considered adequate </w:t>
      </w:r>
      <w:r w:rsidR="00F36C74" w:rsidRPr="00E37579">
        <w:t xml:space="preserve">for </w:t>
      </w:r>
      <w:r w:rsidR="00E77EA4" w:rsidRPr="00E37579">
        <w:t>regulatory</w:t>
      </w:r>
      <w:r w:rsidR="00F36C74" w:rsidRPr="00E37579">
        <w:t xml:space="preserve"> oversight of the licence holders </w:t>
      </w:r>
      <w:r w:rsidR="00CD06B3" w:rsidRPr="00E37579">
        <w:t>following the implementation of the Regulatory Delivery Model</w:t>
      </w:r>
      <w:r w:rsidR="00993F34" w:rsidRPr="00E37579">
        <w:t xml:space="preserve"> (</w:t>
      </w:r>
      <w:r w:rsidR="00E77EA4" w:rsidRPr="00E37579">
        <w:t>now superseded by the Inspection Manual, Review and Assessment Manual a</w:t>
      </w:r>
      <w:r w:rsidR="00993F34" w:rsidRPr="00E37579">
        <w:t>n</w:t>
      </w:r>
      <w:r w:rsidR="00E77EA4" w:rsidRPr="00E37579">
        <w:t>d Compliance and Enforcement Manual</w:t>
      </w:r>
      <w:r w:rsidR="00C32353" w:rsidRPr="00BD70CE">
        <w:t>)</w:t>
      </w:r>
      <w:r w:rsidR="00993F34" w:rsidRPr="00E37579">
        <w:t xml:space="preserve">, </w:t>
      </w:r>
      <w:r w:rsidR="00C10B31">
        <w:t>that</w:t>
      </w:r>
      <w:r w:rsidR="00CD06B3" w:rsidRPr="00E37579">
        <w:t xml:space="preserve"> applied resources to inspection and compliance monitoring using a graded, risk-informed approach</w:t>
      </w:r>
      <w:r w:rsidR="00803EB9" w:rsidRPr="00E37579">
        <w:t>.</w:t>
      </w:r>
    </w:p>
    <w:p w14:paraId="27DE3519" w14:textId="267B95C9" w:rsidR="00C04B88" w:rsidRPr="00C10B31" w:rsidRDefault="004F447A" w:rsidP="00BD70CE">
      <w:pPr>
        <w:pStyle w:val="80list"/>
        <w:numPr>
          <w:ilvl w:val="0"/>
          <w:numId w:val="26"/>
        </w:numPr>
        <w:ind w:left="851" w:hanging="567"/>
      </w:pPr>
      <w:r w:rsidRPr="00E37579">
        <w:t>RSB</w:t>
      </w:r>
      <w:r w:rsidR="00CD06B3" w:rsidRPr="00E37579">
        <w:t xml:space="preserve"> </w:t>
      </w:r>
      <w:r w:rsidR="00D66FCE">
        <w:t>personnel</w:t>
      </w:r>
      <w:r w:rsidR="00CD06B3" w:rsidRPr="00E37579">
        <w:t xml:space="preserve"> have competency in a wide variety of technical fields related to radiation protection and nuclear safety.</w:t>
      </w:r>
      <w:r w:rsidR="00C04B88" w:rsidRPr="00E37579">
        <w:t xml:space="preserve"> The CEO </w:t>
      </w:r>
      <w:r w:rsidR="004B7738" w:rsidRPr="00E37579">
        <w:t xml:space="preserve">of </w:t>
      </w:r>
      <w:r w:rsidR="00C04B88" w:rsidRPr="00E37579">
        <w:t xml:space="preserve">ARPANSA can also for specific purposes draw on expertise from other </w:t>
      </w:r>
      <w:r w:rsidR="00D66FCE">
        <w:t>b</w:t>
      </w:r>
      <w:r w:rsidR="00C04B88" w:rsidRPr="00E37579">
        <w:t xml:space="preserve">ranches of ARPANSA </w:t>
      </w:r>
      <w:r w:rsidR="002C5376">
        <w:t xml:space="preserve">(e.g. dosimetry, emergency management, communication) </w:t>
      </w:r>
      <w:r w:rsidR="00C04B88" w:rsidRPr="00E37579">
        <w:t xml:space="preserve">and is also supported by the Corporate and Legal Offices, and by </w:t>
      </w:r>
      <w:r w:rsidR="00C04B88" w:rsidRPr="00C10B31">
        <w:t>the Office of the CEO.</w:t>
      </w:r>
      <w:r w:rsidR="002C5376">
        <w:t xml:space="preserve"> ARPANSA’s corporate policies and procedures apply across the whole Agency, including RSB</w:t>
      </w:r>
      <w:r w:rsidR="004F5F5B">
        <w:t>.</w:t>
      </w:r>
      <w:r w:rsidR="00B36A53">
        <w:t xml:space="preserve"> </w:t>
      </w:r>
      <w:r w:rsidR="00C04B88" w:rsidRPr="00C10B31">
        <w:t>ARPANSA’s overall staffing level at the time of submission of this report was just</w:t>
      </w:r>
      <w:r w:rsidR="00A2421D" w:rsidRPr="00C10B31">
        <w:t xml:space="preserve"> </w:t>
      </w:r>
      <w:r w:rsidR="00C04B88" w:rsidRPr="00C10B31">
        <w:t>over 130 full-time equivalents</w:t>
      </w:r>
      <w:r w:rsidR="00F36C74" w:rsidRPr="00C10B31">
        <w:t xml:space="preserve"> (FTE) and is capped at 134 FTE</w:t>
      </w:r>
      <w:r w:rsidR="00C04B88" w:rsidRPr="00C10B31">
        <w:t>.</w:t>
      </w:r>
    </w:p>
    <w:p w14:paraId="7B05F656" w14:textId="1D888653" w:rsidR="00C10B31" w:rsidRPr="00BD70CE" w:rsidRDefault="00CD06B3" w:rsidP="00BD70CE">
      <w:pPr>
        <w:pStyle w:val="80list"/>
        <w:numPr>
          <w:ilvl w:val="0"/>
          <w:numId w:val="26"/>
        </w:numPr>
        <w:ind w:left="851" w:hanging="567"/>
      </w:pPr>
      <w:r w:rsidRPr="00BD70CE">
        <w:t xml:space="preserve">If ARPANSA requires specialist technical advice to support regulatory activities </w:t>
      </w:r>
      <w:r w:rsidR="00D66FCE" w:rsidRPr="00BD70CE">
        <w:t xml:space="preserve">and this is not available </w:t>
      </w:r>
      <w:r w:rsidRPr="00BD70CE">
        <w:t>within the ag</w:t>
      </w:r>
      <w:r w:rsidR="00970A9A" w:rsidRPr="00BD70CE">
        <w:t>ency or in other partner organis</w:t>
      </w:r>
      <w:r w:rsidRPr="00BD70CE">
        <w:t xml:space="preserve">ations, financial resources and contracts are available to source </w:t>
      </w:r>
      <w:r w:rsidR="00D66FCE" w:rsidRPr="00BD70CE">
        <w:t xml:space="preserve">such </w:t>
      </w:r>
      <w:r w:rsidRPr="00BD70CE">
        <w:t xml:space="preserve">expertise externally. </w:t>
      </w:r>
      <w:r w:rsidR="00D66FCE" w:rsidRPr="00BD70CE">
        <w:t>For example, e</w:t>
      </w:r>
      <w:r w:rsidR="00C10B31" w:rsidRPr="00BD70CE">
        <w:t>xternal expertise was employed</w:t>
      </w:r>
      <w:r w:rsidR="00AB09EF" w:rsidRPr="00BD70CE">
        <w:t xml:space="preserve"> to conduct independent modelling</w:t>
      </w:r>
      <w:r w:rsidR="00C10B31" w:rsidRPr="00BD70CE">
        <w:t xml:space="preserve"> for the assessment of the OPAL </w:t>
      </w:r>
      <w:r w:rsidR="00D66FCE" w:rsidRPr="00BD70CE">
        <w:t>s</w:t>
      </w:r>
      <w:r w:rsidR="00C10B31" w:rsidRPr="00BD70CE">
        <w:t xml:space="preserve">ubmission to increase the </w:t>
      </w:r>
      <w:r w:rsidR="00D66FCE">
        <w:t>a</w:t>
      </w:r>
      <w:r w:rsidR="00C10B31" w:rsidRPr="00C10B31">
        <w:t xml:space="preserve">nalytical </w:t>
      </w:r>
      <w:r w:rsidR="00D66FCE">
        <w:t>l</w:t>
      </w:r>
      <w:r w:rsidR="00C10B31" w:rsidRPr="00C10B31">
        <w:t xml:space="preserve">imit used in the safety analysis contained in the SAR from 26MW to 28MW, </w:t>
      </w:r>
      <w:r w:rsidR="00D66FCE">
        <w:t xml:space="preserve">and </w:t>
      </w:r>
      <w:r w:rsidR="00C10B31" w:rsidRPr="00C10B31">
        <w:t xml:space="preserve">approved by ARPANSA in 2018. </w:t>
      </w:r>
    </w:p>
    <w:p w14:paraId="47B9F9F2" w14:textId="77B2021F" w:rsidR="00CD06B3" w:rsidRPr="00BD70CE" w:rsidRDefault="00CD06B3" w:rsidP="00BD70CE">
      <w:pPr>
        <w:pStyle w:val="80list"/>
        <w:numPr>
          <w:ilvl w:val="0"/>
          <w:numId w:val="26"/>
        </w:numPr>
        <w:ind w:left="851" w:hanging="567"/>
      </w:pPr>
      <w:r w:rsidRPr="00C10B31">
        <w:lastRenderedPageBreak/>
        <w:t xml:space="preserve">ARPANSA has developed a Workforce Plan (2017–2021) </w:t>
      </w:r>
      <w:r w:rsidR="00C10B31" w:rsidRPr="00C10B31">
        <w:t>that</w:t>
      </w:r>
      <w:r w:rsidRPr="00C10B31">
        <w:t xml:space="preserve"> notes the identification, development and maintenance of competency requirements. In addition, in 2017, ARPANSA undertook a comprehensive review of all positions in the organi</w:t>
      </w:r>
      <w:r w:rsidR="00F36C74" w:rsidRPr="00C10B31">
        <w:t>s</w:t>
      </w:r>
      <w:r w:rsidRPr="00C10B31">
        <w:t>ation as part of ongoing succession planning. This included identification of vulnerable areas and priority areas for strengthening resilience of some key competencies.</w:t>
      </w:r>
    </w:p>
    <w:p w14:paraId="395ADC0D" w14:textId="1D81FA06" w:rsidR="00A30BC0" w:rsidRPr="00BD70CE" w:rsidRDefault="00A30BC0" w:rsidP="00BD70CE">
      <w:pPr>
        <w:pStyle w:val="80list"/>
        <w:numPr>
          <w:ilvl w:val="0"/>
          <w:numId w:val="26"/>
        </w:numPr>
        <w:ind w:left="851" w:hanging="567"/>
      </w:pPr>
      <w:r w:rsidRPr="00C10B31">
        <w:t xml:space="preserve">The 2018 </w:t>
      </w:r>
      <w:r w:rsidR="00B96BE5">
        <w:t>IRRS mission</w:t>
      </w:r>
      <w:r w:rsidRPr="00C10B31">
        <w:t xml:space="preserve"> noted the following </w:t>
      </w:r>
      <w:r w:rsidR="00723F8B">
        <w:t>g</w:t>
      </w:r>
      <w:r w:rsidRPr="00C10B31">
        <w:t xml:space="preserve">ood </w:t>
      </w:r>
      <w:r w:rsidR="00723F8B">
        <w:t>p</w:t>
      </w:r>
      <w:r w:rsidRPr="00C10B31">
        <w:t xml:space="preserve">ractice in relation to ARPANSA’s succession plan: </w:t>
      </w:r>
      <w:r w:rsidRPr="00BD70CE">
        <w:rPr>
          <w:i/>
        </w:rPr>
        <w:t>ARPANSA has a well-developed strategy to compensate for the departure of qualified staff that systematically assessed succession risks for every position in the organization and prioritised the development of competencies that were found to be vulnerabilities to the long-term capability of the organisation.</w:t>
      </w:r>
    </w:p>
    <w:p w14:paraId="2DCF2944" w14:textId="19F8E2E1" w:rsidR="00061AFA" w:rsidRPr="00C10B31" w:rsidRDefault="003805AE" w:rsidP="00BD70CE">
      <w:pPr>
        <w:pStyle w:val="80list"/>
        <w:numPr>
          <w:ilvl w:val="0"/>
          <w:numId w:val="26"/>
        </w:numPr>
        <w:ind w:left="851" w:hanging="567"/>
      </w:pPr>
      <w:r w:rsidRPr="00C10B31">
        <w:t xml:space="preserve">RSB staff </w:t>
      </w:r>
      <w:r w:rsidR="00061AFA" w:rsidRPr="00C10B31">
        <w:t>competence has been maintained through targeted training.</w:t>
      </w:r>
      <w:r w:rsidR="00B36A53">
        <w:t xml:space="preserve"> </w:t>
      </w:r>
      <w:r w:rsidR="00061AFA" w:rsidRPr="00C10B31">
        <w:t>This is done through annual formal training as well as on-the-job training and supervision.</w:t>
      </w:r>
      <w:r w:rsidR="00B36A53">
        <w:t xml:space="preserve"> </w:t>
      </w:r>
      <w:r w:rsidR="00061AFA" w:rsidRPr="00C10B31">
        <w:t xml:space="preserve">Staff also </w:t>
      </w:r>
      <w:r w:rsidR="00723F8B">
        <w:t xml:space="preserve">undertake </w:t>
      </w:r>
      <w:r w:rsidR="00061AFA" w:rsidRPr="00C10B31">
        <w:t>ongoing professional development through participation in international meetings, workshops and technical consultancies</w:t>
      </w:r>
      <w:r w:rsidR="00061AFA" w:rsidRPr="00BD70CE">
        <w:t xml:space="preserve">. </w:t>
      </w:r>
    </w:p>
    <w:p w14:paraId="7F6EE19A" w14:textId="3701E64B" w:rsidR="00C04B88" w:rsidRPr="00C10B31" w:rsidRDefault="00C04B88" w:rsidP="00BD70CE">
      <w:pPr>
        <w:pStyle w:val="80list"/>
        <w:numPr>
          <w:ilvl w:val="0"/>
          <w:numId w:val="26"/>
        </w:numPr>
        <w:ind w:left="851" w:hanging="567"/>
      </w:pPr>
      <w:r w:rsidRPr="00C10B31">
        <w:t>ARPANSA has initiated a process to adopt ISO 17020 or equivalent arrangements for all regulatory processes. As a part of that work, ARPANSA has developed and implemented a Qualification Card system with associated defined competencies that all regulatory officers must meet before being</w:t>
      </w:r>
      <w:r w:rsidR="00723F8B">
        <w:t xml:space="preserve"> a</w:t>
      </w:r>
      <w:r w:rsidR="00486CF4">
        <w:t>ppointed</w:t>
      </w:r>
      <w:r w:rsidRPr="00C10B31">
        <w:t xml:space="preserve"> </w:t>
      </w:r>
      <w:r w:rsidR="00723F8B">
        <w:t>as an i</w:t>
      </w:r>
      <w:r w:rsidRPr="00C10B31">
        <w:t xml:space="preserve">nspector. Competencies of </w:t>
      </w:r>
      <w:r w:rsidR="00723F8B">
        <w:t xml:space="preserve">each </w:t>
      </w:r>
      <w:r w:rsidRPr="00C10B31">
        <w:t xml:space="preserve">candidate are formally assessed prior to their </w:t>
      </w:r>
      <w:r w:rsidR="00486CF4">
        <w:t xml:space="preserve">appointment </w:t>
      </w:r>
      <w:r w:rsidR="00723F8B">
        <w:t>under section 62 of the Act</w:t>
      </w:r>
      <w:r w:rsidRPr="00C10B31">
        <w:t>.</w:t>
      </w:r>
    </w:p>
    <w:p w14:paraId="45B30E3F" w14:textId="35CE4274" w:rsidR="00A71881" w:rsidRPr="00BD70CE" w:rsidRDefault="00A71881" w:rsidP="00BD70CE">
      <w:pPr>
        <w:pStyle w:val="80list"/>
        <w:numPr>
          <w:ilvl w:val="0"/>
          <w:numId w:val="26"/>
        </w:numPr>
        <w:ind w:left="851" w:hanging="567"/>
      </w:pPr>
      <w:r w:rsidRPr="00BD70CE">
        <w:t xml:space="preserve">The 2018 </w:t>
      </w:r>
      <w:r w:rsidR="00B96BE5" w:rsidRPr="00BD70CE">
        <w:t>IRRS mission</w:t>
      </w:r>
      <w:r w:rsidRPr="00BD70CE">
        <w:t xml:space="preserve"> made the following recommendation which will be addressed by ARPANSA as part of its response to the </w:t>
      </w:r>
      <w:r w:rsidR="00B96BE5" w:rsidRPr="00BD70CE">
        <w:t>IRRS mission</w:t>
      </w:r>
      <w:r w:rsidRPr="00BD70CE">
        <w:t xml:space="preserve"> report</w:t>
      </w:r>
      <w:r w:rsidR="0048738F" w:rsidRPr="00BD70CE">
        <w:t>:</w:t>
      </w:r>
    </w:p>
    <w:p w14:paraId="1B54505A" w14:textId="77777777" w:rsidR="00803EB9" w:rsidRPr="00E37579" w:rsidRDefault="00C04B88" w:rsidP="00B738F6">
      <w:pPr>
        <w:pStyle w:val="80list"/>
        <w:ind w:left="851"/>
        <w:rPr>
          <w:i/>
          <w:spacing w:val="-2"/>
        </w:rPr>
      </w:pPr>
      <w:r w:rsidRPr="00E37579">
        <w:rPr>
          <w:b/>
          <w:i/>
          <w:spacing w:val="-2"/>
        </w:rPr>
        <w:t xml:space="preserve">Recommendation: </w:t>
      </w:r>
      <w:r w:rsidRPr="00C10B31">
        <w:rPr>
          <w:i/>
          <w:spacing w:val="-2"/>
        </w:rPr>
        <w:t>ARPANSA should enhance its human resource management to include an assessment of the number and capabilities of staff required to effectively perform their regulatory and emergency response duties and enhance their training programme based on an analysis of the necessary skills and competencies</w:t>
      </w:r>
      <w:r w:rsidRPr="00E37579">
        <w:rPr>
          <w:i/>
          <w:spacing w:val="-2"/>
        </w:rPr>
        <w:t>.</w:t>
      </w:r>
    </w:p>
    <w:p w14:paraId="0C9B3B9B" w14:textId="77777777" w:rsidR="00061AFA" w:rsidRDefault="00061AFA" w:rsidP="00061AFA">
      <w:pPr>
        <w:pStyle w:val="Heading2"/>
      </w:pPr>
      <w:bookmarkStart w:id="51" w:name="_Toc5807488"/>
      <w:r>
        <w:t>Statement of adequacy of resources</w:t>
      </w:r>
      <w:bookmarkEnd w:id="51"/>
    </w:p>
    <w:p w14:paraId="3A4A518C" w14:textId="46A01CF1" w:rsidR="004F447A" w:rsidRPr="00E37579" w:rsidRDefault="00061AFA" w:rsidP="00BD70CE">
      <w:pPr>
        <w:pStyle w:val="80list"/>
        <w:numPr>
          <w:ilvl w:val="0"/>
          <w:numId w:val="26"/>
        </w:numPr>
        <w:ind w:left="851" w:hanging="567"/>
      </w:pPr>
      <w:r w:rsidRPr="00E37579">
        <w:t>R</w:t>
      </w:r>
      <w:r w:rsidR="00C10B31">
        <w:t>egulatory Services Branch’</w:t>
      </w:r>
      <w:r w:rsidRPr="00E37579">
        <w:t xml:space="preserve">s full-time staffing level </w:t>
      </w:r>
      <w:r w:rsidR="00445201" w:rsidRPr="00E37579">
        <w:t xml:space="preserve">is considered to be adequate </w:t>
      </w:r>
      <w:r w:rsidR="007134D6" w:rsidRPr="00E37579">
        <w:t xml:space="preserve">for direct oversight of the licence holders </w:t>
      </w:r>
      <w:r w:rsidR="00445201" w:rsidRPr="00E37579">
        <w:t>at the time of this report. The previous</w:t>
      </w:r>
      <w:r w:rsidRPr="00E37579">
        <w:t xml:space="preserve"> shortfall</w:t>
      </w:r>
      <w:r w:rsidR="00445201" w:rsidRPr="00E37579">
        <w:t xml:space="preserve"> was</w:t>
      </w:r>
      <w:r w:rsidRPr="00E37579">
        <w:t xml:space="preserve"> managed by allocating resources to inspection and compliance monitoring using a</w:t>
      </w:r>
      <w:r w:rsidR="004A2064" w:rsidRPr="00E37579">
        <w:t xml:space="preserve"> graded, risk-informed approach under the Regulatory Delivery Model.</w:t>
      </w:r>
      <w:r w:rsidR="00F36C74" w:rsidRPr="00E37579">
        <w:t xml:space="preserve"> The cost for ARPANSA’s regulatory activities are recovered from the licence holders through licence charges and application fees</w:t>
      </w:r>
      <w:r w:rsidR="0048738F" w:rsidRPr="0048738F">
        <w:t xml:space="preserve"> </w:t>
      </w:r>
      <w:r w:rsidR="0048738F" w:rsidRPr="00E37579">
        <w:t>as relevant</w:t>
      </w:r>
      <w:r w:rsidR="00F36C74" w:rsidRPr="00E37579">
        <w:t xml:space="preserve">. </w:t>
      </w:r>
      <w:r w:rsidR="007134D6" w:rsidRPr="00E37579">
        <w:t xml:space="preserve">ARPANSA tracks expenditure of resources on regulatory activities, and the annual charges are adjusted accordingly. </w:t>
      </w:r>
      <w:r w:rsidR="00993F34" w:rsidRPr="00E37579">
        <w:t>Proposed c</w:t>
      </w:r>
      <w:r w:rsidR="007134D6" w:rsidRPr="00E37579">
        <w:t>hanges that are not simply machinery in nature (</w:t>
      </w:r>
      <w:r w:rsidR="00993F34" w:rsidRPr="00E37579">
        <w:t xml:space="preserve">an example of a machinery change </w:t>
      </w:r>
      <w:r w:rsidR="00FD4C72" w:rsidRPr="00E37579">
        <w:t>is indexation</w:t>
      </w:r>
      <w:r w:rsidR="007134D6" w:rsidRPr="00E37579">
        <w:t>), are communicated to licence holders and their responses taken into account.</w:t>
      </w:r>
    </w:p>
    <w:p w14:paraId="50273017" w14:textId="77777777" w:rsidR="00061AFA" w:rsidRPr="00032CE6" w:rsidRDefault="00061AFA" w:rsidP="00032CE6">
      <w:pPr>
        <w:pStyle w:val="Heading2"/>
      </w:pPr>
      <w:r w:rsidRPr="00032CE6">
        <w:t>Quality management</w:t>
      </w:r>
    </w:p>
    <w:p w14:paraId="77080A2E" w14:textId="2D79D383" w:rsidR="00BC6E9B" w:rsidRPr="00BC6E9B" w:rsidRDefault="00061AFA" w:rsidP="00BD70CE">
      <w:pPr>
        <w:pStyle w:val="80list"/>
        <w:numPr>
          <w:ilvl w:val="0"/>
          <w:numId w:val="26"/>
        </w:numPr>
        <w:ind w:left="851" w:hanging="567"/>
      </w:pPr>
      <w:r w:rsidRPr="00BD70CE">
        <w:t>ARPANSA has a Quality Management System (QMS) to develop and maintain policies, procedures, forms and guides of a regulatory nature.</w:t>
      </w:r>
      <w:r w:rsidR="00B36A53" w:rsidRPr="00BD70CE">
        <w:t xml:space="preserve"> </w:t>
      </w:r>
      <w:r w:rsidRPr="00BD70CE">
        <w:t>The QMS provides assurance to stakeholders that regulatory processes are open and accountable and services are provided in an effective and efficient manner and subject to continuous improvement.</w:t>
      </w:r>
      <w:r w:rsidR="00B36A53" w:rsidRPr="00BD70CE">
        <w:t xml:space="preserve"> </w:t>
      </w:r>
      <w:r w:rsidRPr="00BD70CE">
        <w:t>The QMS meets the requirements of AS/NZS ISO 9001 standard.</w:t>
      </w:r>
      <w:r w:rsidR="00445201" w:rsidRPr="00BD70CE">
        <w:t xml:space="preserve"> </w:t>
      </w:r>
    </w:p>
    <w:p w14:paraId="0A6CC018" w14:textId="69A61B38" w:rsidR="00061AFA" w:rsidRPr="00E37579" w:rsidRDefault="00445201" w:rsidP="00BD70CE">
      <w:pPr>
        <w:pStyle w:val="80list"/>
        <w:numPr>
          <w:ilvl w:val="0"/>
          <w:numId w:val="26"/>
        </w:numPr>
        <w:ind w:left="851" w:hanging="567"/>
      </w:pPr>
      <w:r w:rsidRPr="00BD70CE">
        <w:t>At the time of this report</w:t>
      </w:r>
      <w:r w:rsidR="00BD70CE" w:rsidRPr="00BD70CE">
        <w:t>,</w:t>
      </w:r>
      <w:r w:rsidRPr="00BD70CE">
        <w:t xml:space="preserve"> ARPANSA is planning to achieve certification to AS/NZ ISO</w:t>
      </w:r>
      <w:r w:rsidR="004F5F5B" w:rsidRPr="00BD70CE">
        <w:t xml:space="preserve"> </w:t>
      </w:r>
      <w:r w:rsidRPr="00BD70CE">
        <w:t>9001.</w:t>
      </w:r>
      <w:r w:rsidR="00B36A53" w:rsidRPr="00BD70CE">
        <w:t xml:space="preserve"> </w:t>
      </w:r>
      <w:r w:rsidR="00061AFA" w:rsidRPr="00BD70CE">
        <w:t xml:space="preserve"> In 2016, RSB started working towards compliance with ISO 17020:2012 standard (on competence of </w:t>
      </w:r>
      <w:r w:rsidR="00061AFA" w:rsidRPr="00BD70CE">
        <w:lastRenderedPageBreak/>
        <w:t>inspection bodies).</w:t>
      </w:r>
      <w:r w:rsidR="006D5B8C" w:rsidRPr="00BD70CE">
        <w:t xml:space="preserve"> </w:t>
      </w:r>
      <w:r w:rsidRPr="00BD70CE">
        <w:t>This work is ongoing.</w:t>
      </w:r>
      <w:r w:rsidR="007134D6" w:rsidRPr="00BD70CE">
        <w:t xml:space="preserve"> The QMS is being integrated with the Integrated Management System under development across the agency.</w:t>
      </w:r>
    </w:p>
    <w:p w14:paraId="0912151D" w14:textId="77777777" w:rsidR="00061AFA" w:rsidRDefault="00061AFA" w:rsidP="00061AFA">
      <w:pPr>
        <w:pStyle w:val="Heading2"/>
      </w:pPr>
      <w:bookmarkStart w:id="52" w:name="_Toc5807489"/>
      <w:r>
        <w:t>Advisory committees</w:t>
      </w:r>
      <w:bookmarkEnd w:id="52"/>
    </w:p>
    <w:p w14:paraId="23D3413D" w14:textId="7E0E32C5" w:rsidR="00A30BC0" w:rsidRPr="00182DED" w:rsidRDefault="00A30BC0" w:rsidP="00BD70CE">
      <w:pPr>
        <w:pStyle w:val="80list"/>
        <w:numPr>
          <w:ilvl w:val="0"/>
          <w:numId w:val="26"/>
        </w:numPr>
        <w:ind w:left="851" w:hanging="567"/>
      </w:pPr>
      <w:r>
        <w:t xml:space="preserve">The </w:t>
      </w:r>
      <w:r w:rsidRPr="00182DED">
        <w:t xml:space="preserve">CEO </w:t>
      </w:r>
      <w:r>
        <w:t xml:space="preserve">of </w:t>
      </w:r>
      <w:r w:rsidRPr="00182DED">
        <w:t>ARPANSA receives advice on radiation protection and nuclear regulatory matters from three committees.</w:t>
      </w:r>
      <w:r>
        <w:t xml:space="preserve"> </w:t>
      </w:r>
      <w:r w:rsidRPr="00182DED">
        <w:t xml:space="preserve">These are the Radiation Health and Safety Advisory Council, the Nuclear Safety Committee and the Radiation Health Committee. </w:t>
      </w:r>
      <w:r>
        <w:t>Each committee’s functions are established under the Act.</w:t>
      </w:r>
    </w:p>
    <w:p w14:paraId="1E0A431F" w14:textId="77777777" w:rsidR="00061AFA" w:rsidRDefault="00061AFA" w:rsidP="0038355F">
      <w:pPr>
        <w:pStyle w:val="80list"/>
        <w:numPr>
          <w:ilvl w:val="0"/>
          <w:numId w:val="26"/>
        </w:numPr>
        <w:ind w:left="851" w:hanging="567"/>
      </w:pPr>
      <w:r>
        <w:t>The Radiation Health and Safety Advisory Council has the following functions:</w:t>
      </w:r>
    </w:p>
    <w:p w14:paraId="0ABDD0B6" w14:textId="5D1063D9" w:rsidR="00061AFA" w:rsidRDefault="00061AFA" w:rsidP="0038355F">
      <w:pPr>
        <w:pStyle w:val="ListParagraph"/>
        <w:numPr>
          <w:ilvl w:val="0"/>
          <w:numId w:val="27"/>
        </w:numPr>
        <w:ind w:left="1418" w:hanging="284"/>
      </w:pPr>
      <w:r w:rsidRPr="000A118B">
        <w:t>to identify emerging issues relating to radiation protection and nuclear safety and to advise the CEO on them</w:t>
      </w:r>
    </w:p>
    <w:p w14:paraId="2EFC7E6E" w14:textId="58D363D5" w:rsidR="00061AFA" w:rsidRDefault="00061AFA" w:rsidP="0038355F">
      <w:pPr>
        <w:pStyle w:val="ListParagraph"/>
        <w:numPr>
          <w:ilvl w:val="0"/>
          <w:numId w:val="27"/>
        </w:numPr>
        <w:ind w:left="1418" w:hanging="284"/>
      </w:pPr>
      <w:r w:rsidRPr="000A118B">
        <w:t>to examine matters of major concern to the community in relation to radiation protection and nuclear safety and to advise the CEO on them</w:t>
      </w:r>
    </w:p>
    <w:p w14:paraId="278B1129" w14:textId="40A9C0B7" w:rsidR="00061AFA" w:rsidRDefault="00061AFA" w:rsidP="0038355F">
      <w:pPr>
        <w:pStyle w:val="ListParagraph"/>
        <w:numPr>
          <w:ilvl w:val="0"/>
          <w:numId w:val="27"/>
        </w:numPr>
        <w:ind w:left="1418" w:hanging="284"/>
      </w:pPr>
      <w:r w:rsidRPr="000A118B">
        <w:t>to advise the CEO on the adoption of recommendations, policies, codes and standards in relation to radiation protection and nuclear safety</w:t>
      </w:r>
    </w:p>
    <w:p w14:paraId="1D1E2B83" w14:textId="4B52FA41" w:rsidR="00061AFA" w:rsidRDefault="00061AFA" w:rsidP="0038355F">
      <w:pPr>
        <w:pStyle w:val="ListParagraph"/>
        <w:numPr>
          <w:ilvl w:val="0"/>
          <w:numId w:val="27"/>
        </w:numPr>
        <w:ind w:left="1418" w:hanging="284"/>
      </w:pPr>
      <w:r w:rsidRPr="00994900">
        <w:t>to advise the CEO, at the CEO’s request, on other matters relating to radiation protection and nuclear safety</w:t>
      </w:r>
    </w:p>
    <w:p w14:paraId="2977FD5C" w14:textId="49577E48" w:rsidR="00061AFA" w:rsidRDefault="00061AFA" w:rsidP="0038355F">
      <w:pPr>
        <w:pStyle w:val="ListParagraph"/>
        <w:numPr>
          <w:ilvl w:val="0"/>
          <w:numId w:val="27"/>
        </w:numPr>
        <w:ind w:left="1418" w:hanging="284"/>
      </w:pPr>
      <w:r w:rsidRPr="00994900">
        <w:t>to advise the CEO on such other matters relating to radiation protection and nuclear safety as the Council considers appropriate</w:t>
      </w:r>
    </w:p>
    <w:p w14:paraId="7B3F71CF" w14:textId="3C9474DC" w:rsidR="00061AFA" w:rsidRDefault="00061AFA" w:rsidP="0038355F">
      <w:pPr>
        <w:pStyle w:val="ListParagraph"/>
        <w:numPr>
          <w:ilvl w:val="0"/>
          <w:numId w:val="27"/>
        </w:numPr>
        <w:ind w:left="1418" w:hanging="284"/>
      </w:pPr>
      <w:r w:rsidRPr="00994900">
        <w:t>to report to the CEO on matters relating to radiation protection and nuclear safety</w:t>
      </w:r>
    </w:p>
    <w:p w14:paraId="4BFE05AA" w14:textId="77777777" w:rsidR="00061AFA" w:rsidRDefault="00061AFA" w:rsidP="0038355F">
      <w:pPr>
        <w:pStyle w:val="80list"/>
        <w:numPr>
          <w:ilvl w:val="0"/>
          <w:numId w:val="26"/>
        </w:numPr>
        <w:ind w:left="851" w:hanging="567"/>
      </w:pPr>
      <w:r>
        <w:t>The Nuclear Safety Committee has the following functions:</w:t>
      </w:r>
    </w:p>
    <w:p w14:paraId="6B2C2126" w14:textId="2653FA8F" w:rsidR="00061AFA" w:rsidRDefault="00061AFA" w:rsidP="0038355F">
      <w:pPr>
        <w:pStyle w:val="Footer"/>
        <w:numPr>
          <w:ilvl w:val="0"/>
          <w:numId w:val="4"/>
        </w:numPr>
        <w:tabs>
          <w:tab w:val="clear" w:pos="4513"/>
          <w:tab w:val="clear" w:pos="9026"/>
        </w:tabs>
        <w:spacing w:after="60"/>
        <w:ind w:left="1418" w:hanging="284"/>
      </w:pPr>
      <w:r w:rsidRPr="00757608">
        <w:t>to advise the CEO and the Council on matters relating to nuclear safety and the safety of controlled facilities</w:t>
      </w:r>
    </w:p>
    <w:p w14:paraId="17009935" w14:textId="7EC0033B" w:rsidR="00061AFA" w:rsidRDefault="00061AFA" w:rsidP="0038355F">
      <w:pPr>
        <w:pStyle w:val="Footer"/>
        <w:numPr>
          <w:ilvl w:val="0"/>
          <w:numId w:val="4"/>
        </w:numPr>
        <w:tabs>
          <w:tab w:val="clear" w:pos="4513"/>
          <w:tab w:val="clear" w:pos="9026"/>
        </w:tabs>
        <w:spacing w:after="60"/>
        <w:ind w:left="1418" w:hanging="284"/>
      </w:pPr>
      <w:r w:rsidRPr="00757608">
        <w:t>to review and assess the effectiveness of standards, codes, practices and procedures in relation to the safety of controlled facilities</w:t>
      </w:r>
    </w:p>
    <w:p w14:paraId="0D023709" w14:textId="2748F2FC" w:rsidR="00061AFA" w:rsidRDefault="00061AFA" w:rsidP="0038355F">
      <w:pPr>
        <w:pStyle w:val="Footer"/>
        <w:numPr>
          <w:ilvl w:val="0"/>
          <w:numId w:val="4"/>
        </w:numPr>
        <w:tabs>
          <w:tab w:val="clear" w:pos="4513"/>
          <w:tab w:val="clear" w:pos="9026"/>
        </w:tabs>
        <w:spacing w:after="60"/>
        <w:ind w:left="1418" w:hanging="284"/>
      </w:pPr>
      <w:r w:rsidRPr="00757608">
        <w:t>to develop detailed policies and to prepare draft publications for the promotion of uniform national standards in relation to the safety of controlled facilities</w:t>
      </w:r>
    </w:p>
    <w:p w14:paraId="29061143" w14:textId="349E6D76" w:rsidR="00061AFA" w:rsidRDefault="00061AFA" w:rsidP="0038355F">
      <w:pPr>
        <w:pStyle w:val="Footer"/>
        <w:numPr>
          <w:ilvl w:val="0"/>
          <w:numId w:val="4"/>
        </w:numPr>
        <w:tabs>
          <w:tab w:val="clear" w:pos="4513"/>
          <w:tab w:val="clear" w:pos="9026"/>
        </w:tabs>
        <w:spacing w:after="120"/>
        <w:ind w:left="1418" w:hanging="284"/>
      </w:pPr>
      <w:r w:rsidRPr="00757608">
        <w:t>to report to the CEO on matters relating to nuclear safety and the safety of controlled facilities</w:t>
      </w:r>
    </w:p>
    <w:p w14:paraId="68D10BA2" w14:textId="77777777" w:rsidR="00061AFA" w:rsidRDefault="00061AFA" w:rsidP="0038355F">
      <w:pPr>
        <w:pStyle w:val="80list"/>
        <w:numPr>
          <w:ilvl w:val="0"/>
          <w:numId w:val="26"/>
        </w:numPr>
        <w:ind w:left="851" w:hanging="567"/>
      </w:pPr>
      <w:r>
        <w:t>The Radiation Health Committee has the following functions:</w:t>
      </w:r>
    </w:p>
    <w:p w14:paraId="36B82CF4" w14:textId="3CDA1F62" w:rsidR="00061AFA" w:rsidRDefault="00061AFA" w:rsidP="0038355F">
      <w:pPr>
        <w:pStyle w:val="Footer"/>
        <w:numPr>
          <w:ilvl w:val="0"/>
          <w:numId w:val="6"/>
        </w:numPr>
        <w:tabs>
          <w:tab w:val="clear" w:pos="4513"/>
          <w:tab w:val="clear" w:pos="9026"/>
        </w:tabs>
        <w:spacing w:after="60"/>
        <w:ind w:left="1418" w:hanging="284"/>
      </w:pPr>
      <w:r>
        <w:t>to advise the CEO and the Council on matters relating to radiation protection</w:t>
      </w:r>
    </w:p>
    <w:p w14:paraId="52A16415" w14:textId="16F2D270" w:rsidR="00061AFA" w:rsidRDefault="00061AFA" w:rsidP="0038355F">
      <w:pPr>
        <w:pStyle w:val="Footer"/>
        <w:numPr>
          <w:ilvl w:val="0"/>
          <w:numId w:val="6"/>
        </w:numPr>
        <w:tabs>
          <w:tab w:val="clear" w:pos="4513"/>
          <w:tab w:val="clear" w:pos="9026"/>
        </w:tabs>
        <w:spacing w:after="60"/>
        <w:ind w:left="1418" w:hanging="284"/>
      </w:pPr>
      <w:r>
        <w:t>to develop policies and to prepare draft publications for the promotion of uniform national standards of radiation protection</w:t>
      </w:r>
    </w:p>
    <w:p w14:paraId="1489527F" w14:textId="7C7FD260" w:rsidR="00061AFA" w:rsidRDefault="00061AFA" w:rsidP="0038355F">
      <w:pPr>
        <w:pStyle w:val="Footer"/>
        <w:numPr>
          <w:ilvl w:val="0"/>
          <w:numId w:val="6"/>
        </w:numPr>
        <w:tabs>
          <w:tab w:val="clear" w:pos="4513"/>
          <w:tab w:val="clear" w:pos="9026"/>
        </w:tabs>
        <w:spacing w:after="60"/>
        <w:ind w:left="1418" w:hanging="284"/>
      </w:pPr>
      <w:r>
        <w:t>to formulate draft national policies, codes and standards in relation to radiation protection for consideration by the Commonwealth, the States and the Territories</w:t>
      </w:r>
    </w:p>
    <w:p w14:paraId="732E95F2" w14:textId="4EB695D9" w:rsidR="00061AFA" w:rsidRDefault="00061AFA" w:rsidP="0038355F">
      <w:pPr>
        <w:pStyle w:val="Footer"/>
        <w:numPr>
          <w:ilvl w:val="0"/>
          <w:numId w:val="6"/>
        </w:numPr>
        <w:tabs>
          <w:tab w:val="clear" w:pos="4513"/>
          <w:tab w:val="clear" w:pos="9026"/>
        </w:tabs>
        <w:spacing w:after="60"/>
        <w:ind w:left="1418" w:hanging="284"/>
      </w:pPr>
      <w:r>
        <w:t>to review national policies, codes and standards in relation to radiation protection to ensure that they continue to substantially reflect world best practice</w:t>
      </w:r>
    </w:p>
    <w:p w14:paraId="729EBEBF" w14:textId="4D9F921A" w:rsidR="00CC2CA8" w:rsidRDefault="00061AFA" w:rsidP="0038355F">
      <w:pPr>
        <w:pStyle w:val="Footer"/>
        <w:numPr>
          <w:ilvl w:val="0"/>
          <w:numId w:val="5"/>
        </w:numPr>
        <w:tabs>
          <w:tab w:val="clear" w:pos="4513"/>
          <w:tab w:val="clear" w:pos="9026"/>
        </w:tabs>
        <w:spacing w:after="120"/>
        <w:ind w:left="1418" w:hanging="284"/>
      </w:pPr>
      <w:r>
        <w:t>to consult publicly in the development and review of policies, codes and standards in relation to radiation protection</w:t>
      </w:r>
    </w:p>
    <w:tbl>
      <w:tblPr>
        <w:tblStyle w:val="GenericARPANSA"/>
        <w:tblW w:w="9639" w:type="dxa"/>
        <w:tblInd w:w="0" w:type="dxa"/>
        <w:shd w:val="clear" w:color="auto" w:fill="F3EAFA"/>
        <w:tblLook w:val="0480" w:firstRow="0" w:lastRow="0" w:firstColumn="1" w:lastColumn="0" w:noHBand="0" w:noVBand="1"/>
      </w:tblPr>
      <w:tblGrid>
        <w:gridCol w:w="9639"/>
      </w:tblGrid>
      <w:tr w:rsidR="00CC2CA8" w14:paraId="1A2CDEF3" w14:textId="77777777" w:rsidTr="00FD7DD3">
        <w:tc>
          <w:tcPr>
            <w:tcW w:w="9639" w:type="dxa"/>
            <w:shd w:val="clear" w:color="auto" w:fill="F3EAFA"/>
          </w:tcPr>
          <w:p w14:paraId="4F08A849" w14:textId="251826FC" w:rsidR="00CC2CA8" w:rsidRPr="00CC2CA8" w:rsidRDefault="00CC2CA8" w:rsidP="00A22E9E">
            <w:pPr>
              <w:pStyle w:val="ListParagraph"/>
              <w:numPr>
                <w:ilvl w:val="0"/>
                <w:numId w:val="39"/>
              </w:numPr>
              <w:ind w:left="734" w:hanging="425"/>
              <w:jc w:val="left"/>
              <w:rPr>
                <w:rStyle w:val="Normalbold"/>
                <w:b w:val="0"/>
                <w:i/>
              </w:rPr>
            </w:pPr>
            <w:r w:rsidRPr="00CC2CA8">
              <w:rPr>
                <w:i/>
              </w:rPr>
              <w:t xml:space="preserve">Each Contracting Party shall take the appropriate steps to ensure an effective separation between the functions of the regulatory body and those of any other body or organisation concerned with the promotion or utilisation of nuclear energy. </w:t>
            </w:r>
          </w:p>
        </w:tc>
      </w:tr>
    </w:tbl>
    <w:p w14:paraId="581757AC" w14:textId="5E90EDC3" w:rsidR="00CC2CA8" w:rsidRDefault="00CC2CA8" w:rsidP="00CC2CA8">
      <w:pPr>
        <w:pStyle w:val="Footer"/>
        <w:tabs>
          <w:tab w:val="clear" w:pos="4513"/>
          <w:tab w:val="clear" w:pos="9026"/>
        </w:tabs>
        <w:spacing w:after="120"/>
        <w:jc w:val="both"/>
      </w:pPr>
    </w:p>
    <w:p w14:paraId="78FE3A70" w14:textId="6E98C83E" w:rsidR="00BD3F24" w:rsidRDefault="00BD3F24" w:rsidP="00CC2CA8">
      <w:pPr>
        <w:pStyle w:val="Footer"/>
        <w:tabs>
          <w:tab w:val="clear" w:pos="4513"/>
          <w:tab w:val="clear" w:pos="9026"/>
        </w:tabs>
        <w:spacing w:after="120"/>
        <w:jc w:val="both"/>
      </w:pPr>
    </w:p>
    <w:p w14:paraId="7646D460" w14:textId="77777777" w:rsidR="00BD3F24" w:rsidRDefault="00BD3F24" w:rsidP="00CC2CA8">
      <w:pPr>
        <w:pStyle w:val="Footer"/>
        <w:tabs>
          <w:tab w:val="clear" w:pos="4513"/>
          <w:tab w:val="clear" w:pos="9026"/>
        </w:tabs>
        <w:spacing w:after="120"/>
        <w:jc w:val="both"/>
      </w:pPr>
    </w:p>
    <w:p w14:paraId="0D9CA6AB" w14:textId="4A211AB7" w:rsidR="00BD3F24" w:rsidRPr="00BD3F24" w:rsidRDefault="00BD3F24" w:rsidP="00BD3F24">
      <w:pPr>
        <w:spacing w:before="0" w:after="120" w:line="240" w:lineRule="auto"/>
        <w:jc w:val="both"/>
        <w:rPr>
          <w:rFonts w:ascii="Calibri" w:eastAsiaTheme="majorEastAsia" w:hAnsi="Calibri" w:cstheme="majorBidi"/>
          <w:b/>
          <w:bCs/>
          <w:i/>
          <w:color w:val="4E1A74"/>
          <w:sz w:val="26"/>
          <w:szCs w:val="26"/>
        </w:rPr>
      </w:pPr>
      <w:r w:rsidRPr="00BD3F24">
        <w:rPr>
          <w:rFonts w:ascii="Calibri" w:eastAsiaTheme="majorEastAsia" w:hAnsi="Calibri" w:cstheme="majorBidi"/>
          <w:b/>
          <w:bCs/>
          <w:i/>
          <w:color w:val="4E1A74"/>
          <w:sz w:val="26"/>
          <w:szCs w:val="26"/>
        </w:rPr>
        <w:t xml:space="preserve">Independence </w:t>
      </w:r>
      <w:r>
        <w:rPr>
          <w:rFonts w:ascii="Calibri" w:eastAsiaTheme="majorEastAsia" w:hAnsi="Calibri" w:cstheme="majorBidi"/>
          <w:b/>
          <w:bCs/>
          <w:i/>
          <w:color w:val="4E1A74"/>
          <w:sz w:val="26"/>
          <w:szCs w:val="26"/>
        </w:rPr>
        <w:t>and Conflict of Interest</w:t>
      </w:r>
    </w:p>
    <w:p w14:paraId="39DBCBDF" w14:textId="595DD03F" w:rsidR="00061AFA" w:rsidRPr="00656E0C" w:rsidRDefault="00061AFA" w:rsidP="00BD70CE">
      <w:pPr>
        <w:pStyle w:val="80list"/>
        <w:numPr>
          <w:ilvl w:val="0"/>
          <w:numId w:val="26"/>
        </w:numPr>
        <w:ind w:left="851" w:hanging="567"/>
      </w:pPr>
      <w:r w:rsidRPr="00656E0C">
        <w:t xml:space="preserve">Although ARPANSA and ANSTO are </w:t>
      </w:r>
      <w:r w:rsidR="00BD70CE">
        <w:t>g</w:t>
      </w:r>
      <w:r w:rsidRPr="00656E0C">
        <w:t xml:space="preserve">overnment entities, </w:t>
      </w:r>
      <w:r w:rsidR="00BD70CE">
        <w:t>they are separated by portfolios managed by separate ministers.</w:t>
      </w:r>
      <w:r w:rsidR="00BD70CE" w:rsidRPr="00BD70CE">
        <w:t xml:space="preserve"> </w:t>
      </w:r>
      <w:r w:rsidR="00BD70CE" w:rsidRPr="00656E0C">
        <w:t xml:space="preserve">ARPANSA is within the Health portfolio, while ANSTO is a </w:t>
      </w:r>
      <w:r w:rsidR="00BD70CE">
        <w:t>g</w:t>
      </w:r>
      <w:r w:rsidR="00BD70CE" w:rsidRPr="00656E0C">
        <w:t>overnment-owned business within the Industry, Innovation and Science portfolio</w:t>
      </w:r>
      <w:r w:rsidRPr="00656E0C">
        <w:t>.</w:t>
      </w:r>
      <w:r w:rsidR="00CB4F03">
        <w:t xml:space="preserve"> </w:t>
      </w:r>
      <w:r w:rsidR="00656E0C" w:rsidRPr="00656E0C">
        <w:t>Besides this structural separation, ARPANSA’s independence is further assured through requirements in the Act. These include:</w:t>
      </w:r>
      <w:r w:rsidR="00B36A53">
        <w:t xml:space="preserve"> </w:t>
      </w:r>
      <w:r w:rsidRPr="00656E0C">
        <w:t xml:space="preserve"> </w:t>
      </w:r>
    </w:p>
    <w:p w14:paraId="4028F551" w14:textId="7DB4DB57" w:rsidR="00061AFA" w:rsidRPr="0094105E" w:rsidRDefault="00061AFA" w:rsidP="00CE2A9D">
      <w:pPr>
        <w:pStyle w:val="bulletedindent1"/>
        <w:tabs>
          <w:tab w:val="clear" w:pos="1134"/>
          <w:tab w:val="num" w:pos="1418"/>
        </w:tabs>
        <w:spacing w:after="60"/>
        <w:ind w:left="1418" w:hanging="284"/>
        <w:rPr>
          <w:rFonts w:asciiTheme="minorHAnsi" w:eastAsiaTheme="minorHAnsi" w:hAnsiTheme="minorHAnsi" w:cstheme="minorBidi"/>
          <w:color w:val="444444"/>
          <w:spacing w:val="-4"/>
          <w:sz w:val="22"/>
          <w:szCs w:val="22"/>
          <w:lang w:eastAsia="en-US"/>
        </w:rPr>
      </w:pPr>
      <w:r w:rsidRPr="0094105E">
        <w:rPr>
          <w:rFonts w:asciiTheme="minorHAnsi" w:eastAsiaTheme="minorHAnsi" w:hAnsiTheme="minorHAnsi" w:cstheme="minorBidi"/>
          <w:color w:val="444444"/>
          <w:spacing w:val="-4"/>
          <w:sz w:val="22"/>
          <w:szCs w:val="22"/>
          <w:lang w:eastAsia="en-US"/>
        </w:rPr>
        <w:t>A requirement to report quarterly and annually to Parliament on the operations of ARPANSA and any finding of breach of licence condition or legislation</w:t>
      </w:r>
    </w:p>
    <w:p w14:paraId="7E57ECF4" w14:textId="1E4F8807" w:rsidR="00061AFA" w:rsidRPr="0094105E" w:rsidRDefault="00061AFA" w:rsidP="00CE2A9D">
      <w:pPr>
        <w:pStyle w:val="bulletedindent1"/>
        <w:tabs>
          <w:tab w:val="clear" w:pos="1134"/>
          <w:tab w:val="num" w:pos="1418"/>
        </w:tabs>
        <w:spacing w:after="60"/>
        <w:ind w:left="1418" w:hanging="284"/>
        <w:rPr>
          <w:rFonts w:asciiTheme="minorHAnsi" w:eastAsiaTheme="minorHAnsi" w:hAnsiTheme="minorHAnsi" w:cstheme="minorBidi"/>
          <w:color w:val="444444"/>
          <w:spacing w:val="-4"/>
          <w:sz w:val="22"/>
          <w:szCs w:val="22"/>
          <w:lang w:eastAsia="en-US"/>
        </w:rPr>
      </w:pPr>
      <w:r w:rsidRPr="0094105E">
        <w:rPr>
          <w:rFonts w:asciiTheme="minorHAnsi" w:eastAsiaTheme="minorHAnsi" w:hAnsiTheme="minorHAnsi" w:cstheme="minorBidi"/>
          <w:color w:val="444444"/>
          <w:spacing w:val="-4"/>
          <w:sz w:val="22"/>
          <w:szCs w:val="22"/>
          <w:lang w:eastAsia="en-US"/>
        </w:rPr>
        <w:t>A requirement to report to Parliament about any serious accident or malfunction that occurs at a nuclear installation, including the OPAL and HIFAR reactors</w:t>
      </w:r>
    </w:p>
    <w:p w14:paraId="351940A8" w14:textId="19B876B3" w:rsidR="00BC6E9B" w:rsidRDefault="00061AFA" w:rsidP="00CE2A9D">
      <w:pPr>
        <w:pStyle w:val="bulletedindent1"/>
        <w:tabs>
          <w:tab w:val="clear" w:pos="1134"/>
          <w:tab w:val="num" w:pos="1418"/>
        </w:tabs>
        <w:ind w:left="1418" w:hanging="284"/>
        <w:rPr>
          <w:rFonts w:asciiTheme="minorHAnsi" w:eastAsiaTheme="minorHAnsi" w:hAnsiTheme="minorHAnsi" w:cstheme="minorBidi"/>
          <w:color w:val="444444"/>
          <w:spacing w:val="-4"/>
          <w:sz w:val="22"/>
          <w:szCs w:val="22"/>
          <w:lang w:eastAsia="en-US"/>
        </w:rPr>
      </w:pPr>
      <w:r w:rsidRPr="0094105E">
        <w:rPr>
          <w:rFonts w:asciiTheme="minorHAnsi" w:eastAsiaTheme="minorHAnsi" w:hAnsiTheme="minorHAnsi" w:cstheme="minorBidi"/>
          <w:color w:val="444444"/>
          <w:spacing w:val="-4"/>
          <w:sz w:val="22"/>
          <w:szCs w:val="22"/>
          <w:lang w:eastAsia="en-US"/>
        </w:rPr>
        <w:t>A requirement for the Minister to table in Parliament any direction that he or she makes to the CEO of ARPANSA</w:t>
      </w:r>
    </w:p>
    <w:p w14:paraId="54AE5DC2" w14:textId="6C222BEA" w:rsidR="004F5F5B" w:rsidRPr="00CB4F03" w:rsidRDefault="004F5F5B" w:rsidP="00CE2A9D">
      <w:pPr>
        <w:pStyle w:val="bulletedindent1"/>
        <w:tabs>
          <w:tab w:val="clear" w:pos="1134"/>
          <w:tab w:val="num" w:pos="1418"/>
        </w:tabs>
        <w:ind w:left="1418" w:hanging="284"/>
        <w:rPr>
          <w:rFonts w:asciiTheme="minorHAnsi" w:eastAsiaTheme="minorHAnsi" w:hAnsiTheme="minorHAnsi" w:cstheme="minorBidi"/>
          <w:color w:val="444444"/>
          <w:spacing w:val="-4"/>
          <w:sz w:val="22"/>
          <w:szCs w:val="22"/>
          <w:lang w:eastAsia="en-US"/>
        </w:rPr>
      </w:pPr>
      <w:r>
        <w:rPr>
          <w:rFonts w:asciiTheme="minorHAnsi" w:eastAsiaTheme="minorHAnsi" w:hAnsiTheme="minorHAnsi" w:cstheme="minorBidi"/>
          <w:color w:val="444444"/>
          <w:spacing w:val="-4"/>
          <w:sz w:val="22"/>
          <w:szCs w:val="22"/>
          <w:lang w:eastAsia="en-US"/>
        </w:rPr>
        <w:t>The right of the CEO to</w:t>
      </w:r>
      <w:r w:rsidR="0041647B">
        <w:rPr>
          <w:rFonts w:asciiTheme="minorHAnsi" w:eastAsiaTheme="minorHAnsi" w:hAnsiTheme="minorHAnsi" w:cstheme="minorBidi"/>
          <w:color w:val="444444"/>
          <w:spacing w:val="-4"/>
          <w:sz w:val="22"/>
          <w:szCs w:val="22"/>
          <w:lang w:eastAsia="en-US"/>
        </w:rPr>
        <w:t>,</w:t>
      </w:r>
      <w:r>
        <w:rPr>
          <w:rFonts w:asciiTheme="minorHAnsi" w:eastAsiaTheme="minorHAnsi" w:hAnsiTheme="minorHAnsi" w:cstheme="minorBidi"/>
          <w:color w:val="444444"/>
          <w:spacing w:val="-4"/>
          <w:sz w:val="22"/>
          <w:szCs w:val="22"/>
          <w:lang w:eastAsia="en-US"/>
        </w:rPr>
        <w:t xml:space="preserve"> at any time</w:t>
      </w:r>
      <w:r w:rsidR="0041647B">
        <w:rPr>
          <w:rFonts w:asciiTheme="minorHAnsi" w:eastAsiaTheme="minorHAnsi" w:hAnsiTheme="minorHAnsi" w:cstheme="minorBidi"/>
          <w:color w:val="444444"/>
          <w:spacing w:val="-4"/>
          <w:sz w:val="22"/>
          <w:szCs w:val="22"/>
          <w:lang w:eastAsia="en-US"/>
        </w:rPr>
        <w:t>,</w:t>
      </w:r>
      <w:r>
        <w:rPr>
          <w:rFonts w:asciiTheme="minorHAnsi" w:eastAsiaTheme="minorHAnsi" w:hAnsiTheme="minorHAnsi" w:cstheme="minorBidi"/>
          <w:color w:val="444444"/>
          <w:spacing w:val="-4"/>
          <w:sz w:val="22"/>
          <w:szCs w:val="22"/>
          <w:lang w:eastAsia="en-US"/>
        </w:rPr>
        <w:t xml:space="preserve"> cause a report about matters relating to the CE</w:t>
      </w:r>
      <w:r w:rsidR="0041647B">
        <w:rPr>
          <w:rFonts w:asciiTheme="minorHAnsi" w:eastAsiaTheme="minorHAnsi" w:hAnsiTheme="minorHAnsi" w:cstheme="minorBidi"/>
          <w:color w:val="444444"/>
          <w:spacing w:val="-4"/>
          <w:sz w:val="22"/>
          <w:szCs w:val="22"/>
          <w:lang w:eastAsia="en-US"/>
        </w:rPr>
        <w:t>O’s functions to be tabled in Parliament</w:t>
      </w:r>
    </w:p>
    <w:p w14:paraId="2BFDC9F0" w14:textId="503703B3" w:rsidR="00237CF4" w:rsidRPr="00CB4F03" w:rsidRDefault="00993F34" w:rsidP="00BD70CE">
      <w:pPr>
        <w:pStyle w:val="80list"/>
        <w:numPr>
          <w:ilvl w:val="0"/>
          <w:numId w:val="26"/>
        </w:numPr>
        <w:ind w:left="851" w:hanging="567"/>
      </w:pPr>
      <w:r w:rsidRPr="00CB4F03">
        <w:t xml:space="preserve">The CEO </w:t>
      </w:r>
      <w:r w:rsidR="00CB4F03">
        <w:t xml:space="preserve">of ARPANSA </w:t>
      </w:r>
      <w:r w:rsidRPr="00CB4F03">
        <w:t>is ultimately responsible for the regulatory decisions</w:t>
      </w:r>
      <w:r w:rsidR="005962F7" w:rsidRPr="00CB4F03">
        <w:t>. The CEO</w:t>
      </w:r>
      <w:r w:rsidR="00BF14F4" w:rsidRPr="00CB4F03">
        <w:t>, or delegate,</w:t>
      </w:r>
      <w:r w:rsidR="005962F7" w:rsidRPr="00CB4F03">
        <w:t xml:space="preserve"> makes regulatory decisions to fulfi</w:t>
      </w:r>
      <w:r w:rsidR="00BD70CE">
        <w:t>l the object of the Act, being ‘</w:t>
      </w:r>
      <w:r w:rsidR="005962F7" w:rsidRPr="00CB4F03">
        <w:t>to protect the health and safety of people, and of the environment, from t</w:t>
      </w:r>
      <w:r w:rsidR="00BD70CE">
        <w:t>he harmful effects of radiation’</w:t>
      </w:r>
      <w:r w:rsidR="00237CF4" w:rsidRPr="00CB4F03">
        <w:t>,</w:t>
      </w:r>
      <w:r w:rsidR="005962F7" w:rsidRPr="00CB4F03">
        <w:t xml:space="preserve"> without regard to </w:t>
      </w:r>
      <w:r w:rsidR="00237CF4" w:rsidRPr="00CB4F03">
        <w:t xml:space="preserve">any external pressures but being mindful of consequences of the regulatory decisions for third parties. The Minister can issue directions to the CEO. However, a direction must be tabled in Parliament and the Minister can only direct the CEO if it is in the public interest to do so. In the 20 years ARPANSA has been in existence, no </w:t>
      </w:r>
      <w:r w:rsidR="00BF14F4" w:rsidRPr="00CB4F03">
        <w:t xml:space="preserve">such </w:t>
      </w:r>
      <w:r w:rsidR="00237CF4" w:rsidRPr="00CB4F03">
        <w:t xml:space="preserve">direction has been issued. On independence </w:t>
      </w:r>
      <w:r w:rsidR="00C32353">
        <w:t xml:space="preserve">as well as conflict of interest, </w:t>
      </w:r>
      <w:r w:rsidR="00237CF4" w:rsidRPr="00CB4F03">
        <w:t>see the aforementioned Policy for ARPANSA’s Regulatory Activities.</w:t>
      </w:r>
    </w:p>
    <w:p w14:paraId="54BCD3F5" w14:textId="1F48BA31" w:rsidR="00A7012F" w:rsidRPr="00A7012F" w:rsidRDefault="00061AFA" w:rsidP="00BD70CE">
      <w:pPr>
        <w:pStyle w:val="80list"/>
        <w:numPr>
          <w:ilvl w:val="0"/>
          <w:numId w:val="26"/>
        </w:numPr>
        <w:ind w:left="851" w:hanging="567"/>
      </w:pPr>
      <w:r w:rsidRPr="00CB4F03">
        <w:t xml:space="preserve">The CEO of ARPANSA </w:t>
      </w:r>
      <w:r w:rsidR="00237CF4" w:rsidRPr="00CB4F03">
        <w:t xml:space="preserve">has multiple functions in addition to being the nuclear and radiation regulator, and </w:t>
      </w:r>
      <w:r w:rsidRPr="00CB4F03">
        <w:t xml:space="preserve">is required by </w:t>
      </w:r>
      <w:r w:rsidR="006956CB" w:rsidRPr="00CB4F03">
        <w:t xml:space="preserve">Section 15 (2) of the ARPANS </w:t>
      </w:r>
      <w:r w:rsidRPr="00CB4F03">
        <w:t xml:space="preserve">Act to </w:t>
      </w:r>
      <w:r w:rsidR="00237CF4" w:rsidRPr="00CB4F03">
        <w:t xml:space="preserve">take all reasonable steps to </w:t>
      </w:r>
      <w:r w:rsidRPr="00CB4F03">
        <w:t xml:space="preserve">avoid any conflict of interest between </w:t>
      </w:r>
      <w:r w:rsidR="00BF14F4" w:rsidRPr="00CB4F03">
        <w:t xml:space="preserve">their </w:t>
      </w:r>
      <w:r w:rsidRPr="00CB4F03">
        <w:t>regulatory function and other functions</w:t>
      </w:r>
      <w:r w:rsidR="00237CF4" w:rsidRPr="00CB4F03">
        <w:t>.</w:t>
      </w:r>
      <w:r w:rsidR="00B36A53">
        <w:t xml:space="preserve"> </w:t>
      </w:r>
      <w:r w:rsidR="00BF14F4" w:rsidRPr="00CB4F03">
        <w:t>Establishment of the RSB</w:t>
      </w:r>
      <w:r w:rsidR="00CB4F03">
        <w:t xml:space="preserve"> </w:t>
      </w:r>
      <w:r w:rsidR="00BF14F4" w:rsidRPr="00CB4F03">
        <w:t xml:space="preserve">which has delegated regulatory functions for </w:t>
      </w:r>
      <w:r w:rsidRPr="00CB4F03">
        <w:t>licensing, inspections, compliance management, and enforcement</w:t>
      </w:r>
      <w:r w:rsidR="00BF14F4" w:rsidRPr="00CB4F03">
        <w:t xml:space="preserve">, provides structural clarity to the regulatory function. </w:t>
      </w:r>
      <w:r w:rsidR="00D757D3" w:rsidRPr="00CB4F03">
        <w:t xml:space="preserve">All staff members across the agency are required to make annual declarations of interests that could potentially conflict with the performance of their duties. The General Counsel makes the final determination of whether a conflict (perceived or real) exists and what mitigation strategy to put in place. </w:t>
      </w:r>
      <w:r w:rsidRPr="00CB4F03">
        <w:t>In addition, the CEO ensures that any regulatory function exercised over other parts of ARPANSA is independently</w:t>
      </w:r>
      <w:r w:rsidRPr="00A7012F">
        <w:t xml:space="preserve"> overseen by external personnel.</w:t>
      </w:r>
      <w:r w:rsidR="00B36A53">
        <w:t xml:space="preserve"> </w:t>
      </w:r>
      <w:r w:rsidR="00BF14F4">
        <w:t xml:space="preserve">On the matter of conflict of interest, see </w:t>
      </w:r>
      <w:r w:rsidR="00BF14F4" w:rsidRPr="00D91018">
        <w:rPr>
          <w:i/>
        </w:rPr>
        <w:t>Regulatory Intersection with Other Functions</w:t>
      </w:r>
      <w:r w:rsidR="00BF14F4">
        <w:t xml:space="preserve"> on ARPANSA’s website</w:t>
      </w:r>
      <w:r w:rsidR="00D757D3" w:rsidRPr="00BD70CE">
        <w:rPr>
          <w:vertAlign w:val="superscript"/>
        </w:rPr>
        <w:footnoteReference w:id="23"/>
      </w:r>
      <w:r w:rsidR="00D757D3">
        <w:t>.</w:t>
      </w:r>
    </w:p>
    <w:p w14:paraId="6B1C53DD" w14:textId="77777777" w:rsidR="00061AFA" w:rsidRPr="00A7012F" w:rsidRDefault="00061AFA" w:rsidP="00A7012F">
      <w:pPr>
        <w:pStyle w:val="Heading2"/>
        <w:rPr>
          <w:i/>
        </w:rPr>
      </w:pPr>
      <w:r w:rsidRPr="00A7012F">
        <w:rPr>
          <w:i/>
        </w:rPr>
        <w:t>Openness and transparency</w:t>
      </w:r>
    </w:p>
    <w:p w14:paraId="38CA3AC6" w14:textId="5DB60E62" w:rsidR="00236C20" w:rsidRPr="00E37579" w:rsidRDefault="00236C20" w:rsidP="00BD70CE">
      <w:pPr>
        <w:pStyle w:val="80list"/>
        <w:numPr>
          <w:ilvl w:val="0"/>
          <w:numId w:val="26"/>
        </w:numPr>
        <w:ind w:left="851" w:hanging="567"/>
      </w:pPr>
      <w:r w:rsidRPr="00BD70CE">
        <w:t>The Australian Radiation Protection and Nuclear Safety Regulations provide that if a facility licence application relates to a nuclear installation, the CEO of ARPANSA must invite people and bodies to make submissions about the application, provide a period for making submissions, and provide procedures for making submissions. This was done for the OPAL Reactor</w:t>
      </w:r>
      <w:r w:rsidR="00D757D3" w:rsidRPr="00BD70CE">
        <w:t xml:space="preserve"> and the ANM Facility</w:t>
      </w:r>
      <w:r w:rsidRPr="00BD70CE">
        <w:t xml:space="preserve">. </w:t>
      </w:r>
    </w:p>
    <w:p w14:paraId="4A1C6AE2" w14:textId="6CF1E79D" w:rsidR="00614BBC" w:rsidRPr="00BD70CE" w:rsidRDefault="00614BBC" w:rsidP="00BD70CE">
      <w:pPr>
        <w:pStyle w:val="80list"/>
        <w:numPr>
          <w:ilvl w:val="0"/>
          <w:numId w:val="26"/>
        </w:numPr>
        <w:ind w:left="851" w:hanging="567"/>
      </w:pPr>
      <w:r w:rsidRPr="00BD70CE">
        <w:lastRenderedPageBreak/>
        <w:t>ARPANSA continues to undertake a detailed stakeholder e</w:t>
      </w:r>
      <w:r w:rsidR="0074716A" w:rsidRPr="00BD70CE">
        <w:t>ngagement project for the NRWMF. This is not required under the Act or Regulations but ARPANSA believes this is best practice.</w:t>
      </w:r>
      <w:r w:rsidR="00B36A53" w:rsidRPr="00BD70CE">
        <w:t xml:space="preserve"> </w:t>
      </w:r>
      <w:r w:rsidR="0074716A" w:rsidRPr="00BD70CE">
        <w:t>Activities include engaging in significant outreach activities with the communities that have been identified in the site selection process, to inform the public and local organisations on the regulatory process, ARPANSA’s role, and what the public can expect in terms of interaction with the regulator during review and assessment of an application to prepare a site for a waste facility.</w:t>
      </w:r>
    </w:p>
    <w:p w14:paraId="71E03EA7" w14:textId="3BC3227E" w:rsidR="00061AFA" w:rsidRPr="00BD70CE" w:rsidRDefault="00061AFA" w:rsidP="00BD70CE">
      <w:pPr>
        <w:pStyle w:val="80list"/>
        <w:numPr>
          <w:ilvl w:val="0"/>
          <w:numId w:val="26"/>
        </w:numPr>
        <w:ind w:left="851" w:hanging="567"/>
      </w:pPr>
      <w:r w:rsidRPr="00BD70CE">
        <w:t xml:space="preserve">The RSB’s regulatory processes are fully transparent. The </w:t>
      </w:r>
      <w:r w:rsidR="00F22AF2" w:rsidRPr="00BD70CE">
        <w:t xml:space="preserve">regulatory assessment reports </w:t>
      </w:r>
      <w:r w:rsidRPr="00BD70CE">
        <w:t>that form the basis for licensing decisions</w:t>
      </w:r>
      <w:r w:rsidR="00E37579" w:rsidRPr="00BD70CE">
        <w:t xml:space="preserve"> for </w:t>
      </w:r>
      <w:r w:rsidR="007210BC" w:rsidRPr="00BD70CE">
        <w:t>n</w:t>
      </w:r>
      <w:r w:rsidR="00E37579" w:rsidRPr="00BD70CE">
        <w:t xml:space="preserve">uclear </w:t>
      </w:r>
      <w:r w:rsidR="007210BC" w:rsidRPr="00BD70CE">
        <w:t>i</w:t>
      </w:r>
      <w:r w:rsidR="00E37579" w:rsidRPr="00BD70CE">
        <w:t>nstallations</w:t>
      </w:r>
      <w:r w:rsidRPr="00BD70CE">
        <w:t xml:space="preserve"> are published on </w:t>
      </w:r>
      <w:r w:rsidR="007210BC" w:rsidRPr="00BD70CE">
        <w:t>ARPANSA’s website</w:t>
      </w:r>
      <w:r w:rsidRPr="00BD70CE">
        <w:t xml:space="preserve"> and are available for public scrutiny. The CEO also publishes </w:t>
      </w:r>
      <w:r w:rsidR="007210BC" w:rsidRPr="00BD70CE">
        <w:t>a ‘</w:t>
      </w:r>
      <w:r w:rsidRPr="00BD70CE">
        <w:t>statement of reasons</w:t>
      </w:r>
      <w:r w:rsidR="007210BC" w:rsidRPr="00BD70CE">
        <w:t>’</w:t>
      </w:r>
      <w:r w:rsidRPr="00BD70CE">
        <w:t xml:space="preserve"> for all licence decision in relation to nuclear installations. Inspection reports and findings of breach are also published on the </w:t>
      </w:r>
      <w:r w:rsidR="007210BC" w:rsidRPr="00BD70CE">
        <w:t>web</w:t>
      </w:r>
      <w:r w:rsidRPr="00BD70CE">
        <w:t>.</w:t>
      </w:r>
      <w:r w:rsidR="00B36A53" w:rsidRPr="00BD70CE">
        <w:t xml:space="preserve"> </w:t>
      </w:r>
      <w:r w:rsidRPr="00BD70CE">
        <w:t xml:space="preserve">The Act makes it mandatory for the CEO to report </w:t>
      </w:r>
      <w:r w:rsidR="00756C89" w:rsidRPr="00BD70CE">
        <w:t xml:space="preserve">to Parliament quarterly and annually </w:t>
      </w:r>
      <w:r w:rsidRPr="00BD70CE">
        <w:t>on operations</w:t>
      </w:r>
      <w:r w:rsidR="00756C89" w:rsidRPr="00BD70CE">
        <w:t xml:space="preserve"> of the CEO, ARPANSA and the advisory bodies. Such reports </w:t>
      </w:r>
      <w:r w:rsidRPr="00BD70CE">
        <w:t>includ</w:t>
      </w:r>
      <w:r w:rsidR="00756C89" w:rsidRPr="00BD70CE">
        <w:t>e</w:t>
      </w:r>
      <w:r w:rsidRPr="00BD70CE">
        <w:t xml:space="preserve"> findings of breach.</w:t>
      </w:r>
      <w:r w:rsidR="002E1D72" w:rsidRPr="00BD70CE">
        <w:t xml:space="preserve"> The CEO can also at any time table a report in Parliament on any matter that relate</w:t>
      </w:r>
      <w:r w:rsidR="00756C89" w:rsidRPr="00BD70CE">
        <w:t>s</w:t>
      </w:r>
      <w:r w:rsidR="002E1D72" w:rsidRPr="00BD70CE">
        <w:t xml:space="preserve"> to the CEO’s functions</w:t>
      </w:r>
      <w:r w:rsidR="008B26A5" w:rsidRPr="00BD70CE">
        <w:t>.</w:t>
      </w:r>
    </w:p>
    <w:p w14:paraId="42D0720C" w14:textId="5A89B119" w:rsidR="00400F78" w:rsidRPr="00E37579" w:rsidRDefault="004F5F5B" w:rsidP="00BD70CE">
      <w:pPr>
        <w:pStyle w:val="80list"/>
        <w:numPr>
          <w:ilvl w:val="0"/>
          <w:numId w:val="26"/>
        </w:numPr>
        <w:ind w:left="851" w:hanging="567"/>
      </w:pPr>
      <w:r>
        <w:t>A</w:t>
      </w:r>
      <w:r w:rsidR="00400F78" w:rsidRPr="00E37579">
        <w:t xml:space="preserve">nnual </w:t>
      </w:r>
      <w:r>
        <w:t xml:space="preserve">self-assessments under the </w:t>
      </w:r>
      <w:r w:rsidR="00400F78" w:rsidRPr="00E37579">
        <w:t>R</w:t>
      </w:r>
      <w:r w:rsidR="00032CE6" w:rsidRPr="00E37579">
        <w:t xml:space="preserve">egulator </w:t>
      </w:r>
      <w:r w:rsidRPr="00E37579">
        <w:t xml:space="preserve">Performance </w:t>
      </w:r>
      <w:r w:rsidR="00032CE6" w:rsidRPr="00E37579">
        <w:t xml:space="preserve">Framework </w:t>
      </w:r>
      <w:r w:rsidR="00642ED2">
        <w:t>are</w:t>
      </w:r>
      <w:r w:rsidR="00400F78" w:rsidRPr="00E37579">
        <w:t xml:space="preserve"> published on the ARPANSA website</w:t>
      </w:r>
      <w:r w:rsidR="003805AE" w:rsidRPr="00D91018">
        <w:rPr>
          <w:vertAlign w:val="superscript"/>
        </w:rPr>
        <w:footnoteReference w:id="24"/>
      </w:r>
      <w:r w:rsidR="00642ED2">
        <w:t>.</w:t>
      </w:r>
      <w:r w:rsidR="00400F78" w:rsidRPr="00E37579">
        <w:t xml:space="preserve"> </w:t>
      </w:r>
      <w:r w:rsidR="00642ED2">
        <w:t xml:space="preserve"> T</w:t>
      </w:r>
      <w:r w:rsidR="00400F78" w:rsidRPr="00E37579">
        <w:t xml:space="preserve">he RSB Safety Culture Assessment will </w:t>
      </w:r>
      <w:r w:rsidR="003805AE" w:rsidRPr="00E37579">
        <w:t xml:space="preserve">be published once finalised. </w:t>
      </w:r>
      <w:r w:rsidR="00400F78" w:rsidRPr="00E37579">
        <w:t>Minutes of the NSC</w:t>
      </w:r>
      <w:r w:rsidR="002F568C" w:rsidRPr="00D91018">
        <w:rPr>
          <w:vertAlign w:val="superscript"/>
        </w:rPr>
        <w:footnoteReference w:id="25"/>
      </w:r>
      <w:r w:rsidR="00400F78" w:rsidRPr="00E37579">
        <w:t>, RHC</w:t>
      </w:r>
      <w:r w:rsidR="002F568C" w:rsidRPr="00D91018">
        <w:rPr>
          <w:vertAlign w:val="superscript"/>
        </w:rPr>
        <w:footnoteReference w:id="26"/>
      </w:r>
      <w:r w:rsidR="00E37579" w:rsidRPr="00D91018">
        <w:rPr>
          <w:vertAlign w:val="superscript"/>
        </w:rPr>
        <w:t xml:space="preserve"> </w:t>
      </w:r>
      <w:r w:rsidR="00400F78" w:rsidRPr="00E37579">
        <w:t>and R</w:t>
      </w:r>
      <w:r w:rsidR="002F568C" w:rsidRPr="00E37579">
        <w:t>H</w:t>
      </w:r>
      <w:r w:rsidR="00400F78" w:rsidRPr="00E37579">
        <w:t>SAC</w:t>
      </w:r>
      <w:r w:rsidR="002F568C" w:rsidRPr="00D91018">
        <w:rPr>
          <w:vertAlign w:val="superscript"/>
        </w:rPr>
        <w:footnoteReference w:id="27"/>
      </w:r>
      <w:r w:rsidR="00400F78" w:rsidRPr="00D91018">
        <w:rPr>
          <w:vertAlign w:val="superscript"/>
        </w:rPr>
        <w:t xml:space="preserve"> </w:t>
      </w:r>
      <w:r w:rsidR="00400F78" w:rsidRPr="00E37579">
        <w:t>are also published</w:t>
      </w:r>
      <w:r w:rsidR="0074716A">
        <w:t xml:space="preserve"> on </w:t>
      </w:r>
      <w:r>
        <w:t xml:space="preserve">the </w:t>
      </w:r>
      <w:r w:rsidR="0074716A">
        <w:t>ARPANSA website</w:t>
      </w:r>
      <w:r w:rsidR="00400F78" w:rsidRPr="00E37579">
        <w:t xml:space="preserve">. </w:t>
      </w:r>
    </w:p>
    <w:p w14:paraId="51B4070E" w14:textId="77777777" w:rsidR="00061AFA" w:rsidRDefault="00061AFA" w:rsidP="00457612">
      <w:pPr>
        <w:pStyle w:val="Heading3"/>
        <w:numPr>
          <w:ilvl w:val="0"/>
          <w:numId w:val="0"/>
        </w:numPr>
        <w:ind w:left="680" w:hanging="680"/>
      </w:pPr>
      <w:r>
        <w:t>Safety culture</w:t>
      </w:r>
    </w:p>
    <w:p w14:paraId="027F95FB" w14:textId="30694F11" w:rsidR="00457612" w:rsidRPr="00717C8E" w:rsidRDefault="00061AFA" w:rsidP="00BD70CE">
      <w:pPr>
        <w:pStyle w:val="80list"/>
        <w:numPr>
          <w:ilvl w:val="0"/>
          <w:numId w:val="26"/>
        </w:numPr>
        <w:ind w:left="851" w:hanging="567"/>
      </w:pPr>
      <w:r w:rsidRPr="00457612">
        <w:t>ARPANSA places a very strong emphasis on safety culture.</w:t>
      </w:r>
      <w:r w:rsidR="00B36A53">
        <w:t xml:space="preserve"> </w:t>
      </w:r>
      <w:r w:rsidR="00642ED2">
        <w:t xml:space="preserve"> </w:t>
      </w:r>
      <w:r w:rsidRPr="00457612">
        <w:t xml:space="preserve">Safety culture is one of the three </w:t>
      </w:r>
      <w:r w:rsidRPr="00717C8E">
        <w:t xml:space="preserve">‘cross-cutting’ areas in the performance </w:t>
      </w:r>
      <w:r w:rsidR="002E1D72" w:rsidRPr="00717C8E">
        <w:t xml:space="preserve">objectives and </w:t>
      </w:r>
      <w:r w:rsidRPr="00717C8E">
        <w:t xml:space="preserve">criteria that inspectors’ use. </w:t>
      </w:r>
    </w:p>
    <w:p w14:paraId="73A97541" w14:textId="71E60BB6" w:rsidR="00457612" w:rsidRPr="00717C8E" w:rsidRDefault="00032CE6" w:rsidP="00BD70CE">
      <w:pPr>
        <w:pStyle w:val="80list"/>
        <w:numPr>
          <w:ilvl w:val="0"/>
          <w:numId w:val="26"/>
        </w:numPr>
        <w:ind w:left="851" w:hanging="567"/>
      </w:pPr>
      <w:r w:rsidRPr="00717C8E">
        <w:t xml:space="preserve">In 2019 in response to a </w:t>
      </w:r>
      <w:r w:rsidR="00BD082E">
        <w:t>r</w:t>
      </w:r>
      <w:r w:rsidRPr="00717C8E">
        <w:t>ecom</w:t>
      </w:r>
      <w:r w:rsidR="00BD082E">
        <w:t xml:space="preserve">mendation from the 2018 </w:t>
      </w:r>
      <w:r w:rsidR="00B96BE5">
        <w:t>IRRS mission</w:t>
      </w:r>
      <w:r w:rsidR="00BD082E">
        <w:t xml:space="preserve">, </w:t>
      </w:r>
      <w:r w:rsidR="00B54CB8" w:rsidRPr="00717C8E">
        <w:t>ARPANSA</w:t>
      </w:r>
      <w:r w:rsidR="00457612" w:rsidRPr="00717C8E">
        <w:t xml:space="preserve">, in conjunction with an external consultant in safety culture and organisational psychology, developed and piloted a </w:t>
      </w:r>
      <w:r w:rsidR="00B54CB8" w:rsidRPr="00717C8E">
        <w:t xml:space="preserve">custom-built safety culture maturity model in the </w:t>
      </w:r>
      <w:r w:rsidR="00BD082E">
        <w:t>RSB</w:t>
      </w:r>
      <w:r w:rsidR="00457612" w:rsidRPr="00717C8E">
        <w:t xml:space="preserve">. </w:t>
      </w:r>
      <w:r w:rsidR="00B54CB8" w:rsidRPr="00717C8E">
        <w:t>The model ranks performance in five elements each with four sub-elements. Maturity is ranked on a five point scale from ‘pathological’ to ‘holistic’</w:t>
      </w:r>
      <w:r w:rsidR="00642ED2">
        <w:t>.</w:t>
      </w:r>
    </w:p>
    <w:p w14:paraId="47042BDC" w14:textId="08D56D7F" w:rsidR="00457612" w:rsidRPr="00717C8E" w:rsidRDefault="00457612" w:rsidP="00BD70CE">
      <w:pPr>
        <w:pStyle w:val="80list"/>
        <w:numPr>
          <w:ilvl w:val="0"/>
          <w:numId w:val="26"/>
        </w:numPr>
        <w:ind w:left="851" w:hanging="567"/>
      </w:pPr>
      <w:r w:rsidRPr="00717C8E">
        <w:t xml:space="preserve">The model was based on the OECD Nuclear Energy Agency (NEA) publication </w:t>
      </w:r>
      <w:r w:rsidRPr="00BD70CE">
        <w:t>Safety Culture of an Effective Nuclear Regulatory Body</w:t>
      </w:r>
      <w:r w:rsidRPr="00717C8E">
        <w:t xml:space="preserve">. The model was adapted from the ‘Safety Culture Maturity Matrix’ and framework developed by Bel V (2018). Bel V is a subsidiary of the Belgian Federal Agency for Nuclear Control (FANC), which acts as an expert for the safety assessments of nuclear projects and carries out inspections of nuclear installations in Belgium. Bel V reviewed and commented on the ARPANSA model. </w:t>
      </w:r>
    </w:p>
    <w:p w14:paraId="06138166" w14:textId="03A8C530" w:rsidR="00B54CB8" w:rsidRPr="00717C8E" w:rsidRDefault="002E1D72" w:rsidP="00BD70CE">
      <w:pPr>
        <w:pStyle w:val="80list"/>
        <w:numPr>
          <w:ilvl w:val="0"/>
          <w:numId w:val="26"/>
        </w:numPr>
        <w:ind w:left="851" w:hanging="567"/>
      </w:pPr>
      <w:r w:rsidRPr="00717C8E">
        <w:t xml:space="preserve">The assessment </w:t>
      </w:r>
      <w:r w:rsidR="006A7775" w:rsidRPr="00717C8E">
        <w:t>was</w:t>
      </w:r>
      <w:r w:rsidRPr="00717C8E">
        <w:t xml:space="preserve"> carried out in the spirit of International Atomic Energy Agency (IAEA) General Safety Requirements No. GSR Part 2 </w:t>
      </w:r>
      <w:r w:rsidRPr="00D91018">
        <w:rPr>
          <w:i/>
        </w:rPr>
        <w:t>Leadership and Management for Safety</w:t>
      </w:r>
      <w:r w:rsidRPr="00717C8E">
        <w:t xml:space="preserve">. </w:t>
      </w:r>
      <w:r w:rsidR="00457612" w:rsidRPr="00717C8E">
        <w:t xml:space="preserve">The model is consistent with the guidance for safety culture assessment of IAEA Safety Standard GS-G-3.5 </w:t>
      </w:r>
      <w:r w:rsidR="00457612" w:rsidRPr="00D91018">
        <w:rPr>
          <w:i/>
        </w:rPr>
        <w:t>The Management System for Nuclear Installations</w:t>
      </w:r>
      <w:r w:rsidR="00457612" w:rsidRPr="00717C8E">
        <w:t>. However, it has been modified to be more targeted at the role of the regulator rather than the operator.</w:t>
      </w:r>
    </w:p>
    <w:p w14:paraId="3557DDCD" w14:textId="77777777" w:rsidR="00457612" w:rsidRPr="00717C8E" w:rsidRDefault="00457612" w:rsidP="00BD70CE">
      <w:pPr>
        <w:pStyle w:val="80list"/>
        <w:numPr>
          <w:ilvl w:val="0"/>
          <w:numId w:val="26"/>
        </w:numPr>
        <w:ind w:left="851" w:hanging="567"/>
      </w:pPr>
      <w:r w:rsidRPr="00717C8E">
        <w:t xml:space="preserve">Survey results for the five elements showed an overall positive safety culture, ranging in maturity from ‘Individual’ to ‘Cooperative’ levels. The more detailed sub-elements spanned a broader </w:t>
      </w:r>
      <w:r w:rsidRPr="00717C8E">
        <w:lastRenderedPageBreak/>
        <w:t xml:space="preserve">range of responses and highlight successful attributes of RSB’s safety culture maturity, as well as areas which deserve attention. </w:t>
      </w:r>
    </w:p>
    <w:p w14:paraId="06E4E0B6" w14:textId="77777777" w:rsidR="00B612E4" w:rsidRPr="00717C8E" w:rsidRDefault="00B612E4" w:rsidP="00D91018">
      <w:pPr>
        <w:pStyle w:val="80list"/>
        <w:numPr>
          <w:ilvl w:val="0"/>
          <w:numId w:val="26"/>
        </w:numPr>
        <w:ind w:left="851" w:hanging="567"/>
      </w:pPr>
      <w:r w:rsidRPr="00717C8E">
        <w:t>This study led to two recommendations, four areas for improvement and one good practice, including:</w:t>
      </w:r>
    </w:p>
    <w:p w14:paraId="158D546D" w14:textId="77777777" w:rsidR="00B612E4" w:rsidRPr="00717C8E" w:rsidRDefault="00B612E4" w:rsidP="00AB09EF">
      <w:pPr>
        <w:pStyle w:val="ListParagraph"/>
        <w:numPr>
          <w:ilvl w:val="0"/>
          <w:numId w:val="5"/>
        </w:numPr>
        <w:spacing w:after="120"/>
        <w:ind w:left="1418" w:hanging="284"/>
      </w:pPr>
      <w:r w:rsidRPr="00717C8E">
        <w:t>RSB should explore how to foster a positive culture where all employees are encouraged and provided opportunities for influence in decision-making and feel included at work.</w:t>
      </w:r>
    </w:p>
    <w:p w14:paraId="69EC96D0" w14:textId="77777777" w:rsidR="00B612E4" w:rsidRPr="00717C8E" w:rsidRDefault="00B612E4" w:rsidP="00AB09EF">
      <w:pPr>
        <w:pStyle w:val="ListParagraph"/>
        <w:numPr>
          <w:ilvl w:val="0"/>
          <w:numId w:val="5"/>
        </w:numPr>
        <w:spacing w:after="120"/>
        <w:ind w:left="1418" w:hanging="284"/>
      </w:pPr>
      <w:r w:rsidRPr="00717C8E">
        <w:t>Strategies for enhancing individual responsibility and accountability should be investigated in relation to procedural adherence and the management system. The core objective in this activity would be to examine such things as the interface between employees and the management system that impacts on efficiency and effectiveness in meeting key outcomes.</w:t>
      </w:r>
    </w:p>
    <w:p w14:paraId="346292C3" w14:textId="77777777" w:rsidR="00B612E4" w:rsidRPr="00717C8E" w:rsidRDefault="00B612E4" w:rsidP="00A22E9E">
      <w:pPr>
        <w:pStyle w:val="ListParagraph"/>
        <w:numPr>
          <w:ilvl w:val="0"/>
          <w:numId w:val="5"/>
        </w:numPr>
        <w:spacing w:after="240"/>
        <w:ind w:left="1418" w:hanging="284"/>
      </w:pPr>
      <w:r w:rsidRPr="00717C8E">
        <w:t>Communication and the relationship with licensees were found to be a good practice. RSB employees clearly recognise the value of cultivating and maintaining high quality interactions with licence holders in order to promote their safety performance.</w:t>
      </w:r>
    </w:p>
    <w:p w14:paraId="44A51D94" w14:textId="3E977B14" w:rsidR="00F04827" w:rsidRPr="00717C8E" w:rsidRDefault="00B612E4" w:rsidP="00D91018">
      <w:pPr>
        <w:pStyle w:val="80list"/>
        <w:numPr>
          <w:ilvl w:val="0"/>
          <w:numId w:val="26"/>
        </w:numPr>
        <w:ind w:left="851" w:hanging="567"/>
      </w:pPr>
      <w:r w:rsidRPr="00717C8E">
        <w:t xml:space="preserve">At the time of this report, the </w:t>
      </w:r>
      <w:r w:rsidR="00CB4F03">
        <w:t xml:space="preserve">safety culture </w:t>
      </w:r>
      <w:r w:rsidR="0074716A">
        <w:t>as</w:t>
      </w:r>
      <w:r w:rsidR="00CB4F03">
        <w:t xml:space="preserve">sessment </w:t>
      </w:r>
      <w:r w:rsidRPr="00717C8E">
        <w:t xml:space="preserve">report was being finalised along with </w:t>
      </w:r>
      <w:r w:rsidR="002F568C" w:rsidRPr="00717C8E">
        <w:t xml:space="preserve">an </w:t>
      </w:r>
      <w:r w:rsidRPr="00717C8E">
        <w:t xml:space="preserve">action plan to address the </w:t>
      </w:r>
      <w:r w:rsidR="00EF7B7D" w:rsidRPr="00717C8E">
        <w:t>areas for improvement and r</w:t>
      </w:r>
      <w:r w:rsidRPr="00717C8E">
        <w:t xml:space="preserve">ecommendations. The report will be published on the ARPANSA website for transparency once finalised. </w:t>
      </w:r>
      <w:r w:rsidR="004F447A" w:rsidRPr="00717C8E">
        <w:t>The model will then be rolled out to all organis</w:t>
      </w:r>
      <w:r w:rsidR="0094105E" w:rsidRPr="00717C8E">
        <w:t>ational levels and functions of</w:t>
      </w:r>
      <w:r w:rsidR="004F447A" w:rsidRPr="00717C8E">
        <w:t xml:space="preserve"> ARPANSA. </w:t>
      </w:r>
    </w:p>
    <w:p w14:paraId="0D6C8F56" w14:textId="30F039FE" w:rsidR="000C26A5" w:rsidRPr="00717C8E" w:rsidRDefault="00061AFA" w:rsidP="00D91018">
      <w:pPr>
        <w:pStyle w:val="80list"/>
        <w:numPr>
          <w:ilvl w:val="0"/>
          <w:numId w:val="26"/>
        </w:numPr>
        <w:ind w:left="851" w:hanging="567"/>
      </w:pPr>
      <w:r w:rsidRPr="00717C8E">
        <w:t>For a more detailed discussion on safety culture and holistic (systemic) safety, see Article 10.</w:t>
      </w:r>
      <w:bookmarkStart w:id="53" w:name="_Ref516303272"/>
      <w:bookmarkStart w:id="54" w:name="_Toc527512561"/>
      <w:bookmarkStart w:id="55" w:name="_Toc81816904"/>
      <w:bookmarkStart w:id="56" w:name="_Toc81816959"/>
      <w:bookmarkStart w:id="57" w:name="_Toc81891563"/>
      <w:bookmarkStart w:id="58" w:name="_Toc81893629"/>
      <w:bookmarkStart w:id="59" w:name="_Toc81896898"/>
      <w:bookmarkStart w:id="60" w:name="OLE_LINK1"/>
      <w:bookmarkStart w:id="61" w:name="_Toc457392308"/>
    </w:p>
    <w:p w14:paraId="18C37E2F" w14:textId="77777777" w:rsidR="00B612E4" w:rsidRPr="00717C8E" w:rsidRDefault="000C26A5" w:rsidP="00D91018">
      <w:pPr>
        <w:pStyle w:val="80list"/>
        <w:numPr>
          <w:ilvl w:val="0"/>
          <w:numId w:val="26"/>
        </w:numPr>
        <w:ind w:left="851" w:hanging="567"/>
      </w:pPr>
      <w:r w:rsidRPr="00717C8E">
        <w:br w:type="page"/>
      </w:r>
    </w:p>
    <w:p w14:paraId="733E7E22" w14:textId="760529BB" w:rsidR="008F08C7" w:rsidRDefault="00B612E4" w:rsidP="008F08C7">
      <w:pPr>
        <w:pStyle w:val="Heading1"/>
        <w:numPr>
          <w:ilvl w:val="0"/>
          <w:numId w:val="0"/>
        </w:numPr>
        <w:spacing w:after="120"/>
        <w:ind w:left="680" w:hanging="680"/>
      </w:pPr>
      <w:bookmarkStart w:id="62" w:name="_Toc12537945"/>
      <w:r w:rsidRPr="00FD5BE4">
        <w:lastRenderedPageBreak/>
        <w:t>Article 9 – Responsibility of the Licence Holder</w:t>
      </w:r>
      <w:bookmarkEnd w:id="53"/>
      <w:bookmarkEnd w:id="54"/>
      <w:bookmarkEnd w:id="55"/>
      <w:bookmarkEnd w:id="56"/>
      <w:bookmarkEnd w:id="57"/>
      <w:bookmarkEnd w:id="58"/>
      <w:bookmarkEnd w:id="59"/>
      <w:bookmarkEnd w:id="60"/>
      <w:bookmarkEnd w:id="61"/>
      <w:bookmarkEnd w:id="62"/>
    </w:p>
    <w:tbl>
      <w:tblPr>
        <w:tblStyle w:val="GenericARPANSA"/>
        <w:tblW w:w="9639" w:type="dxa"/>
        <w:tblInd w:w="0" w:type="dxa"/>
        <w:shd w:val="clear" w:color="auto" w:fill="F3EAFA"/>
        <w:tblLook w:val="0480" w:firstRow="0" w:lastRow="0" w:firstColumn="1" w:lastColumn="0" w:noHBand="0" w:noVBand="1"/>
      </w:tblPr>
      <w:tblGrid>
        <w:gridCol w:w="9639"/>
      </w:tblGrid>
      <w:tr w:rsidR="008F08C7" w14:paraId="3DE946F6" w14:textId="77777777" w:rsidTr="00FD7DD3">
        <w:tc>
          <w:tcPr>
            <w:tcW w:w="9639" w:type="dxa"/>
            <w:shd w:val="clear" w:color="auto" w:fill="F3EAFA"/>
          </w:tcPr>
          <w:p w14:paraId="3F79C78D" w14:textId="3A054125" w:rsidR="008F08C7" w:rsidRPr="008F08C7" w:rsidRDefault="008F08C7" w:rsidP="008F08C7">
            <w:pPr>
              <w:jc w:val="both"/>
              <w:rPr>
                <w:rStyle w:val="Normalbold"/>
                <w:b w:val="0"/>
                <w:i/>
              </w:rPr>
            </w:pPr>
            <w:r w:rsidRPr="008F08C7">
              <w:rPr>
                <w:rStyle w:val="Normalbold"/>
                <w:b w:val="0"/>
                <w:i/>
              </w:rPr>
              <w:t>Each Contracting Party shall ensure that prime responsibility for the safety of a nuclear installation rests with the holder of the relevant licence and shall take the appropriate steps to ensure that each such licence holder meets its responsibility.</w:t>
            </w:r>
          </w:p>
        </w:tc>
      </w:tr>
    </w:tbl>
    <w:p w14:paraId="3C566CF8" w14:textId="69337DFF" w:rsidR="00B612E4" w:rsidRPr="004B755B" w:rsidRDefault="00B612E4" w:rsidP="008F08C7">
      <w:pPr>
        <w:pStyle w:val="90list"/>
        <w:spacing w:before="120"/>
      </w:pPr>
      <w:bookmarkStart w:id="63" w:name="_Ref453243591"/>
      <w:r w:rsidRPr="004B755B">
        <w:t>The Regulations place prime responsibility for safety on the licence holder.</w:t>
      </w:r>
      <w:r w:rsidR="00B36A53">
        <w:t xml:space="preserve"> </w:t>
      </w:r>
      <w:r w:rsidRPr="004B755B">
        <w:t xml:space="preserve">This is primarily done through </w:t>
      </w:r>
      <w:r w:rsidR="00850881">
        <w:t>s</w:t>
      </w:r>
      <w:r w:rsidR="00540ABF" w:rsidRPr="004B755B">
        <w:t>ection 60</w:t>
      </w:r>
      <w:r w:rsidRPr="004B755B">
        <w:t>, which provides as follows:</w:t>
      </w:r>
      <w:bookmarkEnd w:id="63"/>
    </w:p>
    <w:p w14:paraId="5A9F3717" w14:textId="77777777" w:rsidR="00B612E4" w:rsidRPr="009F2330" w:rsidRDefault="00B612E4" w:rsidP="006E4D61">
      <w:pPr>
        <w:ind w:left="1560" w:hanging="426"/>
        <w:rPr>
          <w:i/>
        </w:rPr>
      </w:pPr>
      <w:bookmarkStart w:id="64" w:name="_Toc425316759"/>
      <w:r w:rsidRPr="009F2330">
        <w:rPr>
          <w:i/>
        </w:rPr>
        <w:t>Managing safety</w:t>
      </w:r>
      <w:bookmarkEnd w:id="64"/>
    </w:p>
    <w:p w14:paraId="38CB1AD6" w14:textId="297BCB31" w:rsidR="00A25490" w:rsidRDefault="00B36A53" w:rsidP="006E4D61">
      <w:pPr>
        <w:ind w:left="1843" w:hanging="709"/>
        <w:rPr>
          <w:i/>
          <w:lang w:val="en-US"/>
        </w:rPr>
      </w:pPr>
      <w:r>
        <w:rPr>
          <w:i/>
        </w:rPr>
        <w:t xml:space="preserve">  </w:t>
      </w:r>
      <w:r w:rsidR="009F2330">
        <w:rPr>
          <w:i/>
        </w:rPr>
        <w:t>(1) </w:t>
      </w:r>
      <w:r w:rsidR="009F2330">
        <w:rPr>
          <w:i/>
        </w:rPr>
        <w:tab/>
      </w:r>
      <w:r w:rsidR="00182D62" w:rsidRPr="009F2330">
        <w:rPr>
          <w:i/>
        </w:rPr>
        <w:t>The holder of a facility licence must take all reasonably practicable steps to manage the safety of the facility described in the licence, including:</w:t>
      </w:r>
    </w:p>
    <w:p w14:paraId="7CF0F8AC" w14:textId="77777777" w:rsidR="00A25490" w:rsidRDefault="009F2330" w:rsidP="006E4D61">
      <w:pPr>
        <w:ind w:left="2552" w:hanging="425"/>
        <w:rPr>
          <w:i/>
          <w:lang w:val="en-US"/>
        </w:rPr>
      </w:pPr>
      <w:r>
        <w:rPr>
          <w:i/>
        </w:rPr>
        <w:t>(a)</w:t>
      </w:r>
      <w:r>
        <w:rPr>
          <w:i/>
        </w:rPr>
        <w:tab/>
      </w:r>
      <w:r w:rsidR="00182D62" w:rsidRPr="009F2330">
        <w:rPr>
          <w:i/>
        </w:rPr>
        <w:t>having in place plans and arrangements described in paragraph 46(1)(d); and</w:t>
      </w:r>
    </w:p>
    <w:p w14:paraId="660C3B57" w14:textId="1D9E4E50" w:rsidR="00182D62" w:rsidRPr="00A25490" w:rsidRDefault="00A25490" w:rsidP="006E4D61">
      <w:pPr>
        <w:spacing w:after="120"/>
        <w:ind w:left="2552" w:hanging="425"/>
        <w:rPr>
          <w:i/>
          <w:lang w:val="en-US"/>
        </w:rPr>
      </w:pPr>
      <w:r>
        <w:rPr>
          <w:i/>
        </w:rPr>
        <w:t>(b)</w:t>
      </w:r>
      <w:r w:rsidR="009F2330">
        <w:rPr>
          <w:i/>
        </w:rPr>
        <w:tab/>
      </w:r>
      <w:r w:rsidR="00540ABF" w:rsidRPr="009F2330">
        <w:rPr>
          <w:i/>
        </w:rPr>
        <w:t>ensuring that such plans and arrangements are implemented to the extent</w:t>
      </w:r>
      <w:r w:rsidR="00B36A53">
        <w:rPr>
          <w:i/>
        </w:rPr>
        <w:t xml:space="preserve">    </w:t>
      </w:r>
      <w:r w:rsidR="00540ABF" w:rsidRPr="009F2330">
        <w:rPr>
          <w:i/>
        </w:rPr>
        <w:t>reasonably practicable.</w:t>
      </w:r>
    </w:p>
    <w:p w14:paraId="7E4D6446" w14:textId="548D0B18" w:rsidR="00B612E4" w:rsidRPr="00FD5BE4" w:rsidRDefault="00B612E4" w:rsidP="004B755B">
      <w:pPr>
        <w:pStyle w:val="90list"/>
      </w:pPr>
      <w:r>
        <w:t xml:space="preserve">Other provisions in the </w:t>
      </w:r>
      <w:r w:rsidRPr="00FD5BE4">
        <w:t xml:space="preserve">Act and Regulations </w:t>
      </w:r>
      <w:r>
        <w:t xml:space="preserve">reinforce that </w:t>
      </w:r>
      <w:r w:rsidRPr="00FD5BE4">
        <w:t>primary responsibility for safety rests with the licence holder.</w:t>
      </w:r>
      <w:r w:rsidR="00B36A53">
        <w:t xml:space="preserve"> </w:t>
      </w:r>
      <w:r w:rsidRPr="00FD5BE4">
        <w:t xml:space="preserve">These </w:t>
      </w:r>
      <w:r>
        <w:t xml:space="preserve">include requirements on </w:t>
      </w:r>
      <w:r w:rsidRPr="00FD5BE4">
        <w:t>the licence holder to</w:t>
      </w:r>
      <w:r>
        <w:t xml:space="preserve"> proactively </w:t>
      </w:r>
      <w:r w:rsidRPr="00FD5BE4">
        <w:t>investigate and rectify any breaches</w:t>
      </w:r>
      <w:r>
        <w:t>,</w:t>
      </w:r>
      <w:r w:rsidRPr="008208AD">
        <w:t xml:space="preserve"> </w:t>
      </w:r>
      <w:r w:rsidRPr="00FD5BE4">
        <w:t>prevent, control and minimise accidents</w:t>
      </w:r>
      <w:r>
        <w:t xml:space="preserve">, and </w:t>
      </w:r>
      <w:r w:rsidRPr="00FD5BE4">
        <w:t>report accidents to ARPANSA</w:t>
      </w:r>
      <w:r>
        <w:t xml:space="preserve"> within 24 hours.</w:t>
      </w:r>
    </w:p>
    <w:p w14:paraId="7A0CD24E" w14:textId="0B180FC9" w:rsidR="00B612E4" w:rsidRPr="00032CE6" w:rsidRDefault="00B612E4" w:rsidP="004B755B">
      <w:pPr>
        <w:pStyle w:val="90list"/>
        <w:rPr>
          <w:spacing w:val="-2"/>
        </w:rPr>
      </w:pPr>
      <w:r w:rsidRPr="00032CE6">
        <w:rPr>
          <w:spacing w:val="-2"/>
        </w:rPr>
        <w:t>ANSTO’s responsibility for safety is defined in its Work Health, Safety and Environment (WHSE) Policy and the supporting safety management system which is certified to ISO 9001 and 14001 standards.</w:t>
      </w:r>
      <w:r w:rsidR="00B36A53">
        <w:rPr>
          <w:spacing w:val="-2"/>
        </w:rPr>
        <w:t xml:space="preserve"> </w:t>
      </w:r>
      <w:r w:rsidRPr="00032CE6">
        <w:rPr>
          <w:spacing w:val="-2"/>
        </w:rPr>
        <w:t>This system establishes responsibilities for health, safety and environmental protection.</w:t>
      </w:r>
      <w:r w:rsidR="00B36A53">
        <w:rPr>
          <w:spacing w:val="-2"/>
        </w:rPr>
        <w:t xml:space="preserve"> </w:t>
      </w:r>
      <w:r w:rsidRPr="00032CE6">
        <w:rPr>
          <w:spacing w:val="-2"/>
        </w:rPr>
        <w:t>To support the safety management system, ANSTO has safety assessment, approval and audit systems overseen by internal committees that are independent of line management responsible for OPAL operation.</w:t>
      </w:r>
      <w:r w:rsidR="00B36A53">
        <w:rPr>
          <w:spacing w:val="-2"/>
        </w:rPr>
        <w:t xml:space="preserve"> </w:t>
      </w:r>
      <w:r w:rsidRPr="00032CE6">
        <w:rPr>
          <w:spacing w:val="-2"/>
        </w:rPr>
        <w:t>The overarching safety body, the Safety Assurance Committee (SAC), has external membership to ensure independent oversight.</w:t>
      </w:r>
    </w:p>
    <w:p w14:paraId="58ECE45C" w14:textId="007D64A8" w:rsidR="00B612E4" w:rsidRDefault="00B612E4" w:rsidP="004B755B">
      <w:pPr>
        <w:pStyle w:val="90list"/>
      </w:pPr>
      <w:r w:rsidRPr="00032CE6">
        <w:t xml:space="preserve">As part of the application for a </w:t>
      </w:r>
      <w:r w:rsidR="00850881">
        <w:t>f</w:t>
      </w:r>
      <w:r w:rsidRPr="00032CE6">
        <w:t xml:space="preserve">acility </w:t>
      </w:r>
      <w:r w:rsidR="00850881">
        <w:t>l</w:t>
      </w:r>
      <w:r w:rsidRPr="00032CE6">
        <w:t xml:space="preserve">icence </w:t>
      </w:r>
      <w:r w:rsidR="00850881">
        <w:t>to authorise the operation of</w:t>
      </w:r>
      <w:r>
        <w:t xml:space="preserve"> OPAL</w:t>
      </w:r>
      <w:r w:rsidRPr="001A54D2">
        <w:t>, ANSTO submit</w:t>
      </w:r>
      <w:r>
        <w:t>ted</w:t>
      </w:r>
      <w:r w:rsidRPr="001A54D2">
        <w:t xml:space="preserve"> a suite of safety related documentation includ</w:t>
      </w:r>
      <w:r w:rsidR="00850881">
        <w:t>ing</w:t>
      </w:r>
      <w:r w:rsidRPr="001A54D2">
        <w:t xml:space="preserve"> how appropriate effective control is maintained (resourcing, technical expertise etc</w:t>
      </w:r>
      <w:r>
        <w:t>.</w:t>
      </w:r>
      <w:r w:rsidRPr="001A54D2">
        <w:t xml:space="preserve">) and emergency response is handled. This </w:t>
      </w:r>
      <w:r>
        <w:t xml:space="preserve">suite of safety documents is </w:t>
      </w:r>
      <w:r w:rsidRPr="001A54D2">
        <w:t>reviewed as part of the ongoing inspection program.</w:t>
      </w:r>
      <w:r w:rsidR="00B36A53">
        <w:t xml:space="preserve"> </w:t>
      </w:r>
      <w:r>
        <w:t>Any proposal to change ANSTO’s arrangements for managing safety that has significant implications for safety requires ARPANSA’s prior approval.</w:t>
      </w:r>
    </w:p>
    <w:p w14:paraId="1301782A" w14:textId="2710D524" w:rsidR="00B612E4" w:rsidRPr="00032CE6" w:rsidRDefault="00BD082E" w:rsidP="004B755B">
      <w:pPr>
        <w:pStyle w:val="90list"/>
      </w:pPr>
      <w:r>
        <w:t>ARPANSA i</w:t>
      </w:r>
      <w:r w:rsidR="00B612E4" w:rsidRPr="00032CE6">
        <w:t xml:space="preserve">nspectors regularly monitor and review the operations </w:t>
      </w:r>
      <w:r>
        <w:t xml:space="preserve">of ANSTO’s nuclear operations. </w:t>
      </w:r>
      <w:r w:rsidR="00B612E4" w:rsidRPr="00032CE6">
        <w:t>The inspectors undertake planned inspections of the nuclear facili</w:t>
      </w:r>
      <w:r>
        <w:t xml:space="preserve">ties and frequent site visits. </w:t>
      </w:r>
      <w:r w:rsidR="00B612E4" w:rsidRPr="00032CE6">
        <w:t>Inspectors use these opportunities to emphasise and stress the licence holder’s primary responsibility for safety.</w:t>
      </w:r>
    </w:p>
    <w:p w14:paraId="3A6B9576" w14:textId="77777777" w:rsidR="000C26A5" w:rsidRDefault="000C26A5">
      <w:r>
        <w:br w:type="page"/>
      </w:r>
    </w:p>
    <w:p w14:paraId="4C519E2B" w14:textId="77777777" w:rsidR="00540ABF" w:rsidRPr="00B443E5" w:rsidRDefault="00540ABF" w:rsidP="00B612E4">
      <w:pPr>
        <w:sectPr w:rsidR="00540ABF" w:rsidRPr="00B443E5" w:rsidSect="00A71D7C">
          <w:footerReference w:type="default" r:id="rId21"/>
          <w:pgSz w:w="11906" w:h="16838"/>
          <w:pgMar w:top="1134" w:right="1134" w:bottom="1134" w:left="1134" w:header="720" w:footer="720" w:gutter="0"/>
          <w:paperSrc w:first="2" w:other="2"/>
          <w:cols w:space="720"/>
        </w:sectPr>
      </w:pPr>
    </w:p>
    <w:p w14:paraId="62BCE804" w14:textId="77777777" w:rsidR="00CF0651" w:rsidRDefault="00540ABF" w:rsidP="00CF0651">
      <w:pPr>
        <w:pStyle w:val="Heading1"/>
        <w:numPr>
          <w:ilvl w:val="0"/>
          <w:numId w:val="0"/>
        </w:numPr>
        <w:spacing w:after="120"/>
        <w:ind w:left="680" w:hanging="680"/>
      </w:pPr>
      <w:bookmarkStart w:id="65" w:name="_Ref516303463"/>
      <w:bookmarkStart w:id="66" w:name="_Toc527512562"/>
      <w:bookmarkStart w:id="67" w:name="_Toc81816905"/>
      <w:bookmarkStart w:id="68" w:name="_Toc81816960"/>
      <w:bookmarkStart w:id="69" w:name="_Toc81891564"/>
      <w:bookmarkStart w:id="70" w:name="_Toc81893630"/>
      <w:bookmarkStart w:id="71" w:name="_Toc81896899"/>
      <w:bookmarkStart w:id="72" w:name="_Toc457392309"/>
      <w:bookmarkStart w:id="73" w:name="_Toc12537946"/>
      <w:r w:rsidRPr="00121C07">
        <w:lastRenderedPageBreak/>
        <w:t>Article 10</w:t>
      </w:r>
      <w:r w:rsidRPr="00FD5BE4">
        <w:t xml:space="preserve"> – Priority to Safety</w:t>
      </w:r>
      <w:bookmarkEnd w:id="65"/>
      <w:bookmarkEnd w:id="66"/>
      <w:bookmarkEnd w:id="67"/>
      <w:bookmarkEnd w:id="68"/>
      <w:bookmarkEnd w:id="69"/>
      <w:bookmarkEnd w:id="70"/>
      <w:bookmarkEnd w:id="71"/>
      <w:bookmarkEnd w:id="72"/>
      <w:bookmarkEnd w:id="73"/>
      <w:r w:rsidR="00363161">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CF0651" w14:paraId="08C2E314" w14:textId="77777777" w:rsidTr="00FD7DD3">
        <w:tc>
          <w:tcPr>
            <w:tcW w:w="9639" w:type="dxa"/>
            <w:shd w:val="clear" w:color="auto" w:fill="F3EAFA"/>
          </w:tcPr>
          <w:p w14:paraId="041DDD63" w14:textId="0A41730F" w:rsidR="00CF0651" w:rsidRPr="008F08C7" w:rsidRDefault="00CF0651" w:rsidP="00CF0651">
            <w:pPr>
              <w:jc w:val="left"/>
              <w:rPr>
                <w:rStyle w:val="Normalbold"/>
                <w:b w:val="0"/>
                <w:i/>
              </w:rPr>
            </w:pPr>
            <w:r w:rsidRPr="00CF0651">
              <w:rPr>
                <w:rStyle w:val="Normalbold"/>
                <w:b w:val="0"/>
                <w:i/>
              </w:rPr>
              <w:t>Each Contracting Party shall take the appropriate steps to ensure that all organisations engaged in activities directly related to nuclear installations shall establish policies that give due priority to nuclear safety</w:t>
            </w:r>
          </w:p>
        </w:tc>
      </w:tr>
    </w:tbl>
    <w:p w14:paraId="00A1B4FD" w14:textId="1FAF44FB" w:rsidR="00540ABF" w:rsidRPr="004E0E68" w:rsidRDefault="00D91018" w:rsidP="00B17757">
      <w:pPr>
        <w:pStyle w:val="100list"/>
        <w:spacing w:before="120"/>
        <w:ind w:left="993" w:hanging="709"/>
      </w:pPr>
      <w:bookmarkStart w:id="74" w:name="_Ref176671637"/>
      <w:r>
        <w:t xml:space="preserve">ARPANSA </w:t>
      </w:r>
      <w:r w:rsidR="00540ABF" w:rsidRPr="004E0E68">
        <w:t>requires applicants for a licence and licence holders to demonstrate a commitment to a strong safety culture.</w:t>
      </w:r>
      <w:r w:rsidR="00B36A53">
        <w:t xml:space="preserve"> </w:t>
      </w:r>
      <w:r w:rsidR="00540ABF" w:rsidRPr="004E0E68">
        <w:t xml:space="preserve">The </w:t>
      </w:r>
      <w:r w:rsidR="00540ABF" w:rsidRPr="004E0E68">
        <w:rPr>
          <w:i/>
        </w:rPr>
        <w:t>Regulatory Guide: Plans and Arrangements for Managing Safety</w:t>
      </w:r>
      <w:r w:rsidR="00540ABF" w:rsidRPr="004E0E68">
        <w:rPr>
          <w:rStyle w:val="FootnoteReference"/>
          <w:i/>
        </w:rPr>
        <w:footnoteReference w:id="28"/>
      </w:r>
      <w:r w:rsidR="00540ABF" w:rsidRPr="004E0E68">
        <w:t>, against which licence applications are assessed, states:</w:t>
      </w:r>
    </w:p>
    <w:p w14:paraId="6B6A11C3" w14:textId="37614D5A" w:rsidR="00CB4F03" w:rsidRPr="00A04988" w:rsidRDefault="00540ABF" w:rsidP="005C07FA">
      <w:pPr>
        <w:spacing w:after="240"/>
        <w:ind w:left="1418" w:right="1418"/>
        <w:rPr>
          <w:i/>
        </w:rPr>
      </w:pPr>
      <w:r w:rsidRPr="00A04988">
        <w:rPr>
          <w:i/>
        </w:rPr>
        <w:t>The Licence Holder or Applicant is responsible for establishing safety as the organisation’s highest priority, consistent with international best practice in radiation protection and nuclear safety and overriding, if necessary, the demands of production or project schedules.</w:t>
      </w:r>
    </w:p>
    <w:p w14:paraId="59896ECD" w14:textId="1C67CAC1" w:rsidR="00540ABF" w:rsidRPr="00CC2DD7" w:rsidRDefault="00540ABF" w:rsidP="00A30583">
      <w:pPr>
        <w:pStyle w:val="100list"/>
      </w:pPr>
      <w:r>
        <w:t>The plans and arrangements are required to provide sufficient details on how the applicant will exercise effective control and manage safety, including measures to foster a safety culture.</w:t>
      </w:r>
      <w:r w:rsidR="00B36A53">
        <w:t xml:space="preserve"> </w:t>
      </w:r>
      <w:r>
        <w:t>Specific plans are required to be submitted on how the applicant will monitor and assess safety, including undertaking independent safety assessments for radiation protection, radioactive waste management, security and emergency preparedness.</w:t>
      </w:r>
      <w:bookmarkEnd w:id="74"/>
    </w:p>
    <w:p w14:paraId="086C91AE" w14:textId="3FB1BDC7" w:rsidR="00540ABF" w:rsidRPr="00897556" w:rsidRDefault="00540ABF" w:rsidP="00A30583">
      <w:pPr>
        <w:pStyle w:val="100list"/>
      </w:pPr>
      <w:r w:rsidRPr="00897556">
        <w:t xml:space="preserve">Once a licence is issued, </w:t>
      </w:r>
      <w:r>
        <w:t xml:space="preserve">the </w:t>
      </w:r>
      <w:r w:rsidRPr="00897556">
        <w:t xml:space="preserve">Regulations require the licence holder to take all reasonably practicable measures to </w:t>
      </w:r>
      <w:r>
        <w:t>manage</w:t>
      </w:r>
      <w:r w:rsidRPr="00897556">
        <w:t xml:space="preserve"> safety.</w:t>
      </w:r>
      <w:r w:rsidR="00B36A53">
        <w:t xml:space="preserve"> </w:t>
      </w:r>
      <w:r w:rsidRPr="00897556">
        <w:t>Specifically, the licence holder must continue to have in place plans and arrangements that are reviewed and updated at least once every three yea</w:t>
      </w:r>
      <w:r w:rsidR="00BD082E">
        <w:t xml:space="preserve">rs. </w:t>
      </w:r>
      <w:r w:rsidRPr="00897556">
        <w:t>The licence holder must also take all reasonably practicable measures to impleme</w:t>
      </w:r>
      <w:r w:rsidR="00BD082E">
        <w:t xml:space="preserve">nt the plans and arrangements. </w:t>
      </w:r>
      <w:r w:rsidRPr="00897556">
        <w:t xml:space="preserve">Non-compliance with these requirements </w:t>
      </w:r>
      <w:r>
        <w:t xml:space="preserve">may </w:t>
      </w:r>
      <w:r w:rsidRPr="00897556">
        <w:t>be a breach of licence condition.</w:t>
      </w:r>
    </w:p>
    <w:p w14:paraId="481D8692" w14:textId="77777777" w:rsidR="00540ABF" w:rsidRPr="00363161" w:rsidRDefault="00540ABF" w:rsidP="00363161">
      <w:pPr>
        <w:pStyle w:val="Heading3"/>
        <w:numPr>
          <w:ilvl w:val="0"/>
          <w:numId w:val="0"/>
        </w:numPr>
        <w:ind w:left="680" w:hanging="680"/>
      </w:pPr>
      <w:r w:rsidRPr="00363161">
        <w:t>ANSTO’s safety policies</w:t>
      </w:r>
    </w:p>
    <w:p w14:paraId="2FC05805" w14:textId="04A6B05A" w:rsidR="00540ABF" w:rsidRPr="002F568C" w:rsidRDefault="00540ABF" w:rsidP="00A30583">
      <w:pPr>
        <w:pStyle w:val="100list"/>
      </w:pPr>
      <w:r w:rsidRPr="002F568C">
        <w:t>As part of its business management system, ANSTO has a W</w:t>
      </w:r>
      <w:r w:rsidR="00BD082E">
        <w:t>ork Health Safety and Environmental (WHSE)</w:t>
      </w:r>
      <w:r w:rsidRPr="002F568C">
        <w:t xml:space="preserve"> policy, under which it </w:t>
      </w:r>
      <w:r w:rsidR="00850881">
        <w:t xml:space="preserve">operates </w:t>
      </w:r>
      <w:r w:rsidRPr="002F568C">
        <w:t>in a manner that places the protection of human health and safety and the environment as its highest priority, promotes a positive safety culture and environmental awareness; and strives for continual improvement in safe work practices using a blame-free learning approach.</w:t>
      </w:r>
      <w:r w:rsidR="00B36A53">
        <w:t xml:space="preserve"> </w:t>
      </w:r>
      <w:r w:rsidRPr="002F568C">
        <w:rPr>
          <w:szCs w:val="24"/>
        </w:rPr>
        <w:t xml:space="preserve">In addition to the WHSE policy, ANSTO also supports a positive safety culture through risk management and quality management policies and systems. </w:t>
      </w:r>
    </w:p>
    <w:p w14:paraId="00FD8E83" w14:textId="77777777" w:rsidR="00540ABF" w:rsidRPr="00032CE6" w:rsidRDefault="00540ABF" w:rsidP="00363161">
      <w:pPr>
        <w:pStyle w:val="Heading3"/>
        <w:numPr>
          <w:ilvl w:val="0"/>
          <w:numId w:val="0"/>
        </w:numPr>
        <w:ind w:left="680" w:hanging="680"/>
      </w:pPr>
      <w:r w:rsidRPr="00032CE6">
        <w:t xml:space="preserve">ANSTO safety management and culture </w:t>
      </w:r>
    </w:p>
    <w:p w14:paraId="1A50F123" w14:textId="1C501A80" w:rsidR="00540ABF" w:rsidRPr="002F568C" w:rsidRDefault="00540ABF" w:rsidP="00A30583">
      <w:pPr>
        <w:pStyle w:val="100list"/>
      </w:pPr>
      <w:r w:rsidRPr="002F568C">
        <w:t>ANSTO implements its safety policy and strategies through a work health and management system that covers radiological, nuclear and occupational health and safety.</w:t>
      </w:r>
      <w:r w:rsidR="00B36A53">
        <w:t xml:space="preserve"> </w:t>
      </w:r>
      <w:r w:rsidRPr="002F568C">
        <w:t xml:space="preserve">The system makes every member of ANSTO’s staff responsible for ensuring compliance with the organisation’s work health, safety and environment policy and strategies, and line management accountable for safety. </w:t>
      </w:r>
    </w:p>
    <w:p w14:paraId="2E3F9260" w14:textId="585D116A" w:rsidR="00540ABF" w:rsidRPr="002F568C" w:rsidRDefault="00540ABF" w:rsidP="00A30583">
      <w:pPr>
        <w:pStyle w:val="100list"/>
      </w:pPr>
      <w:r w:rsidRPr="002F568C">
        <w:t>Safety assurance at ANSTO is achieved by several mechanisms.</w:t>
      </w:r>
      <w:r w:rsidR="00B36A53">
        <w:t xml:space="preserve"> </w:t>
      </w:r>
      <w:r w:rsidRPr="002F568C">
        <w:t>Changes at the OPAL reactor that have any impact on nuclear safety are reviewed by the Reactor Assessment Committee (RAC).</w:t>
      </w:r>
      <w:r w:rsidR="00B36A53">
        <w:t xml:space="preserve"> </w:t>
      </w:r>
      <w:r w:rsidRPr="002F568C">
        <w:t xml:space="preserve">Additional assurance of safety is achieved through routine inspections by staff, who are </w:t>
      </w:r>
      <w:r w:rsidRPr="002F568C">
        <w:lastRenderedPageBreak/>
        <w:t>independent of the function being assessed, and the review of safety performance by senior management and the ANSTO Board.</w:t>
      </w:r>
      <w:r w:rsidR="00B36A53">
        <w:t xml:space="preserve"> </w:t>
      </w:r>
      <w:r w:rsidRPr="002F568C">
        <w:t xml:space="preserve">In undertaking its assessments, the RAC has regard to applicable IAEA Safety Standards. </w:t>
      </w:r>
    </w:p>
    <w:p w14:paraId="57DF36DE" w14:textId="77777777" w:rsidR="00540ABF" w:rsidRPr="00032CE6" w:rsidRDefault="00540ABF" w:rsidP="00540ABF">
      <w:pPr>
        <w:pStyle w:val="Heading3"/>
        <w:numPr>
          <w:ilvl w:val="0"/>
          <w:numId w:val="0"/>
        </w:numPr>
        <w:ind w:left="680" w:hanging="680"/>
      </w:pPr>
      <w:r w:rsidRPr="00032CE6">
        <w:t>Safety Performance Indicators</w:t>
      </w:r>
    </w:p>
    <w:p w14:paraId="0ED44B23" w14:textId="56186E48" w:rsidR="00363161" w:rsidRPr="00AB4BC4" w:rsidRDefault="00540ABF" w:rsidP="00AB4BC4">
      <w:pPr>
        <w:pStyle w:val="100list"/>
        <w:rPr>
          <w:color w:val="000000"/>
        </w:rPr>
      </w:pPr>
      <w:r w:rsidRPr="00032CE6">
        <w:t>ANSTO has, in consultation with ARPANSA established Safety Performance Indicators (SPIs) for OPAL.</w:t>
      </w:r>
      <w:r w:rsidR="00B36A53">
        <w:t xml:space="preserve"> </w:t>
      </w:r>
      <w:r w:rsidRPr="00032CE6">
        <w:t xml:space="preserve">These SPIs measure and set objective targets for </w:t>
      </w:r>
      <w:r w:rsidR="00AB4BC4">
        <w:t>16</w:t>
      </w:r>
      <w:r w:rsidRPr="00032CE6">
        <w:t xml:space="preserve"> safety relat</w:t>
      </w:r>
      <w:r w:rsidR="00AB4BC4">
        <w:t xml:space="preserve">ed functions of plant operation. </w:t>
      </w:r>
      <w:r w:rsidRPr="00032CE6">
        <w:t xml:space="preserve">Performance against the SPIs is reported </w:t>
      </w:r>
      <w:r w:rsidR="0001512A" w:rsidRPr="00032CE6">
        <w:t xml:space="preserve">monthly within ANSTO and </w:t>
      </w:r>
      <w:r w:rsidRPr="00032CE6">
        <w:t>quarterly to ARPANSA.</w:t>
      </w:r>
    </w:p>
    <w:p w14:paraId="705E49CE" w14:textId="699B2E05" w:rsidR="00CB4F03" w:rsidRPr="009E3BB8" w:rsidRDefault="004F5F5B" w:rsidP="009E3BB8">
      <w:pPr>
        <w:keepNext/>
        <w:keepLines/>
        <w:outlineLvl w:val="1"/>
        <w:rPr>
          <w:rFonts w:ascii="Calibri" w:eastAsiaTheme="majorEastAsia" w:hAnsi="Calibri" w:cstheme="majorBidi"/>
          <w:b/>
          <w:bCs/>
          <w:i/>
          <w:color w:val="4E1A74"/>
        </w:rPr>
      </w:pPr>
      <w:r>
        <w:rPr>
          <w:rFonts w:ascii="Calibri" w:eastAsiaTheme="majorEastAsia" w:hAnsi="Calibri" w:cstheme="majorBidi"/>
          <w:b/>
          <w:bCs/>
          <w:i/>
          <w:color w:val="4E1A74"/>
        </w:rPr>
        <w:t>For</w:t>
      </w:r>
      <w:r w:rsidRPr="009E3BB8">
        <w:rPr>
          <w:rFonts w:ascii="Calibri" w:eastAsiaTheme="majorEastAsia" w:hAnsi="Calibri" w:cstheme="majorBidi"/>
          <w:b/>
          <w:bCs/>
          <w:i/>
          <w:color w:val="4E1A74"/>
        </w:rPr>
        <w:t xml:space="preserve"> </w:t>
      </w:r>
      <w:r w:rsidR="003B4F39" w:rsidRPr="009E3BB8">
        <w:rPr>
          <w:rFonts w:ascii="Calibri" w:eastAsiaTheme="majorEastAsia" w:hAnsi="Calibri" w:cstheme="majorBidi"/>
          <w:b/>
          <w:bCs/>
          <w:i/>
          <w:color w:val="4E1A74"/>
        </w:rPr>
        <w:t xml:space="preserve">a full </w:t>
      </w:r>
      <w:r>
        <w:rPr>
          <w:rFonts w:ascii="Calibri" w:eastAsiaTheme="majorEastAsia" w:hAnsi="Calibri" w:cstheme="majorBidi"/>
          <w:b/>
          <w:bCs/>
          <w:i/>
          <w:color w:val="4E1A74"/>
        </w:rPr>
        <w:t>s</w:t>
      </w:r>
      <w:r w:rsidR="003B4F39" w:rsidRPr="009E3BB8">
        <w:rPr>
          <w:rFonts w:ascii="Calibri" w:eastAsiaTheme="majorEastAsia" w:hAnsi="Calibri" w:cstheme="majorBidi"/>
          <w:b/>
          <w:bCs/>
          <w:i/>
          <w:color w:val="4E1A74"/>
        </w:rPr>
        <w:t xml:space="preserve">ummary of how Australia meets the Vienna Declaration on Nuclear Safety Principle 3 </w:t>
      </w:r>
      <w:r w:rsidR="00CB4F03" w:rsidRPr="009E3BB8">
        <w:rPr>
          <w:rFonts w:ascii="Calibri" w:eastAsiaTheme="majorEastAsia" w:hAnsi="Calibri" w:cstheme="majorBidi"/>
          <w:b/>
          <w:bCs/>
          <w:i/>
          <w:color w:val="4E1A74"/>
        </w:rPr>
        <w:t xml:space="preserve">- </w:t>
      </w:r>
      <w:r w:rsidR="003B4F39" w:rsidRPr="009E3BB8">
        <w:rPr>
          <w:rFonts w:ascii="Calibri" w:eastAsiaTheme="majorEastAsia" w:hAnsi="Calibri" w:cstheme="majorBidi"/>
          <w:b/>
          <w:bCs/>
          <w:i/>
          <w:color w:val="4E1A74"/>
        </w:rPr>
        <w:t xml:space="preserve">See Article 14 </w:t>
      </w:r>
      <w:bookmarkStart w:id="75" w:name="_Ref516303513"/>
      <w:bookmarkStart w:id="76" w:name="_Toc527512563"/>
      <w:bookmarkStart w:id="77" w:name="_Toc81816906"/>
      <w:bookmarkStart w:id="78" w:name="_Toc81816961"/>
      <w:bookmarkStart w:id="79" w:name="_Toc81891565"/>
      <w:bookmarkStart w:id="80" w:name="_Toc81893631"/>
      <w:bookmarkStart w:id="81" w:name="_Toc81896900"/>
      <w:bookmarkStart w:id="82" w:name="_Toc457392310"/>
    </w:p>
    <w:p w14:paraId="1D44CC28" w14:textId="77777777" w:rsidR="00741FA4" w:rsidRDefault="00741FA4">
      <w:pPr>
        <w:rPr>
          <w:rFonts w:ascii="Calibri" w:eastAsiaTheme="majorEastAsia" w:hAnsi="Calibri" w:cstheme="majorBidi"/>
          <w:b/>
          <w:bCs/>
          <w:color w:val="4E1A74"/>
          <w:sz w:val="32"/>
          <w:szCs w:val="28"/>
        </w:rPr>
      </w:pPr>
      <w:r>
        <w:br w:type="page"/>
      </w:r>
    </w:p>
    <w:p w14:paraId="52451732" w14:textId="6A50C9DE" w:rsidR="00F64BB4" w:rsidRDefault="00540ABF" w:rsidP="00F64BB4">
      <w:pPr>
        <w:pStyle w:val="Heading1"/>
        <w:numPr>
          <w:ilvl w:val="0"/>
          <w:numId w:val="0"/>
        </w:numPr>
        <w:spacing w:after="120"/>
        <w:ind w:left="680" w:hanging="680"/>
      </w:pPr>
      <w:bookmarkStart w:id="83" w:name="_Toc12537947"/>
      <w:r w:rsidRPr="00A95F85">
        <w:lastRenderedPageBreak/>
        <w:t>Article 11</w:t>
      </w:r>
      <w:r w:rsidRPr="00FD5BE4">
        <w:t xml:space="preserve"> – Financial and Human Resources</w:t>
      </w:r>
      <w:bookmarkEnd w:id="75"/>
      <w:bookmarkEnd w:id="76"/>
      <w:bookmarkEnd w:id="77"/>
      <w:bookmarkEnd w:id="78"/>
      <w:bookmarkEnd w:id="79"/>
      <w:bookmarkEnd w:id="80"/>
      <w:bookmarkEnd w:id="81"/>
      <w:bookmarkEnd w:id="82"/>
      <w:bookmarkEnd w:id="83"/>
    </w:p>
    <w:tbl>
      <w:tblPr>
        <w:tblStyle w:val="GenericARPANSA"/>
        <w:tblW w:w="9639" w:type="dxa"/>
        <w:tblInd w:w="0" w:type="dxa"/>
        <w:shd w:val="clear" w:color="auto" w:fill="F3EAFA"/>
        <w:tblLook w:val="0480" w:firstRow="0" w:lastRow="0" w:firstColumn="1" w:lastColumn="0" w:noHBand="0" w:noVBand="1"/>
      </w:tblPr>
      <w:tblGrid>
        <w:gridCol w:w="9639"/>
      </w:tblGrid>
      <w:tr w:rsidR="00F64BB4" w14:paraId="38DAC920" w14:textId="77777777" w:rsidTr="00FD7DD3">
        <w:tc>
          <w:tcPr>
            <w:tcW w:w="9639" w:type="dxa"/>
            <w:shd w:val="clear" w:color="auto" w:fill="F3EAFA"/>
          </w:tcPr>
          <w:p w14:paraId="3F97AD29" w14:textId="7F6F6711" w:rsidR="00F64BB4" w:rsidRPr="00F64BB4" w:rsidRDefault="00F64BB4" w:rsidP="00A22E9E">
            <w:pPr>
              <w:pStyle w:val="ListParagraph"/>
              <w:numPr>
                <w:ilvl w:val="0"/>
                <w:numId w:val="40"/>
              </w:numPr>
              <w:ind w:left="876" w:hanging="567"/>
              <w:jc w:val="left"/>
              <w:rPr>
                <w:rStyle w:val="Normalbold"/>
                <w:b w:val="0"/>
                <w:i/>
              </w:rPr>
            </w:pPr>
            <w:r w:rsidRPr="00F64BB4">
              <w:rPr>
                <w:i/>
              </w:rPr>
              <w:t>Each Contracting Party shall take the appropriate steps to ensure that adequate financial resources are available to support the safety of each nuclear installation throughout its life.</w:t>
            </w:r>
          </w:p>
        </w:tc>
      </w:tr>
    </w:tbl>
    <w:p w14:paraId="45D32CA2" w14:textId="77777777" w:rsidR="00540ABF" w:rsidRPr="00FD5BE4" w:rsidRDefault="00540ABF" w:rsidP="00540ABF">
      <w:pPr>
        <w:pStyle w:val="Heading2"/>
      </w:pPr>
      <w:bookmarkStart w:id="84" w:name="_Toc5807494"/>
      <w:r w:rsidRPr="00FD5BE4">
        <w:t>Financial Resources</w:t>
      </w:r>
      <w:bookmarkEnd w:id="84"/>
    </w:p>
    <w:p w14:paraId="4DBC2128" w14:textId="77777777" w:rsidR="00CB4F03" w:rsidRPr="00093720" w:rsidRDefault="00540ABF" w:rsidP="00A30583">
      <w:pPr>
        <w:pStyle w:val="110list"/>
      </w:pPr>
      <w:r w:rsidRPr="00093720">
        <w:t>In making a licence decision, the CEO of ARPANSA must consider whether the applicant has shown a capacity to comply with the Regulations and any licence</w:t>
      </w:r>
      <w:r w:rsidR="00BA17C1" w:rsidRPr="00093720">
        <w:t xml:space="preserve"> condition that may be imposed. </w:t>
      </w:r>
      <w:r w:rsidRPr="00093720">
        <w:t xml:space="preserve">ANSTO must provide evidence of </w:t>
      </w:r>
      <w:r w:rsidRPr="00093720">
        <w:rPr>
          <w:snapToGrid w:val="0"/>
        </w:rPr>
        <w:t>a</w:t>
      </w:r>
      <w:r w:rsidRPr="00093720">
        <w:t>dequate resources, including financial capability, before it is issued with an operating licence</w:t>
      </w:r>
      <w:r w:rsidR="00BA17C1" w:rsidRPr="00093720">
        <w:t xml:space="preserve"> as per </w:t>
      </w:r>
      <w:r w:rsidR="00BA17C1" w:rsidRPr="00093720">
        <w:rPr>
          <w:i/>
        </w:rPr>
        <w:t xml:space="preserve">Regulatory Guide: </w:t>
      </w:r>
      <w:r w:rsidR="005B2389" w:rsidRPr="00093720">
        <w:rPr>
          <w:i/>
        </w:rPr>
        <w:t>Applying for a licence for a nuclear installation</w:t>
      </w:r>
      <w:r w:rsidR="00BA17C1" w:rsidRPr="00093720">
        <w:rPr>
          <w:rStyle w:val="FootnoteReference"/>
          <w:i/>
        </w:rPr>
        <w:footnoteReference w:id="29"/>
      </w:r>
      <w:r w:rsidR="00CB4F03" w:rsidRPr="00093720">
        <w:t xml:space="preserve">. </w:t>
      </w:r>
      <w:r w:rsidR="00E444F8" w:rsidRPr="00093720">
        <w:t xml:space="preserve">Since ANSTO is a government agency, its funding for nuclear safety and reliability of its installations, including decommissioning, will be underwritten by the Commonwealth Government throughout its life. </w:t>
      </w:r>
    </w:p>
    <w:p w14:paraId="724120CE" w14:textId="45C650C8" w:rsidR="008C6EB2" w:rsidRDefault="00540ABF" w:rsidP="006269DC">
      <w:pPr>
        <w:pStyle w:val="110list"/>
      </w:pPr>
      <w:r w:rsidRPr="00FD5BE4">
        <w:t>The bulk of ANSTO’s operating revenue</w:t>
      </w:r>
      <w:r>
        <w:t xml:space="preserve"> is provided by the Australian Government</w:t>
      </w:r>
      <w:r w:rsidRPr="00FD5BE4">
        <w:t>.</w:t>
      </w:r>
      <w:r w:rsidR="00B36A53">
        <w:t xml:space="preserve"> </w:t>
      </w:r>
      <w:r>
        <w:t xml:space="preserve">ANSTO also generates revenue </w:t>
      </w:r>
      <w:r w:rsidRPr="00FD5BE4">
        <w:t>from the sale of goods and services, particularly radiopharmaceuticals.</w:t>
      </w:r>
      <w:r w:rsidR="00B36A53">
        <w:t xml:space="preserve"> </w:t>
      </w:r>
      <w:r w:rsidRPr="00FD5BE4">
        <w:t>ANSTO has demonstrated to ARPANSA’s satisfaction that it has adequate financial capability to support the safety of OPAL</w:t>
      </w:r>
      <w:r>
        <w:t xml:space="preserve"> and HIFAR, including in the event of an emergency.</w:t>
      </w:r>
    </w:p>
    <w:tbl>
      <w:tblPr>
        <w:tblStyle w:val="GenericARPANSA"/>
        <w:tblW w:w="9639" w:type="dxa"/>
        <w:tblInd w:w="0" w:type="dxa"/>
        <w:shd w:val="clear" w:color="auto" w:fill="F3EAFA"/>
        <w:tblLook w:val="0480" w:firstRow="0" w:lastRow="0" w:firstColumn="1" w:lastColumn="0" w:noHBand="0" w:noVBand="1"/>
      </w:tblPr>
      <w:tblGrid>
        <w:gridCol w:w="9639"/>
      </w:tblGrid>
      <w:tr w:rsidR="008C6EB2" w14:paraId="246D9051" w14:textId="77777777" w:rsidTr="00FD7DD3">
        <w:tc>
          <w:tcPr>
            <w:tcW w:w="9639" w:type="dxa"/>
            <w:shd w:val="clear" w:color="auto" w:fill="F3EAFA"/>
          </w:tcPr>
          <w:p w14:paraId="47946EDB" w14:textId="4FE5B4BA" w:rsidR="008C6EB2" w:rsidRPr="008C6EB2" w:rsidRDefault="008C6EB2" w:rsidP="00A22E9E">
            <w:pPr>
              <w:pStyle w:val="ListParagraph"/>
              <w:numPr>
                <w:ilvl w:val="0"/>
                <w:numId w:val="40"/>
              </w:numPr>
              <w:ind w:left="876" w:hanging="426"/>
              <w:jc w:val="left"/>
              <w:rPr>
                <w:rStyle w:val="Normalbold"/>
                <w:b w:val="0"/>
                <w:i/>
              </w:rPr>
            </w:pPr>
            <w:r w:rsidRPr="008C6EB2">
              <w:rPr>
                <w:i/>
              </w:rPr>
              <w:t xml:space="preserve">Each Contracting Party shall take the appropriate steps to ensure that sufficient numbers of qualified staff with appropriate education, training and retraining are available for all safety-related activities in or for each nuclear installation, throughout its life. </w:t>
            </w:r>
          </w:p>
        </w:tc>
      </w:tr>
    </w:tbl>
    <w:p w14:paraId="345E54B3" w14:textId="77777777" w:rsidR="00540ABF" w:rsidRPr="00FD5BE4" w:rsidRDefault="00540ABF" w:rsidP="00540ABF">
      <w:pPr>
        <w:pStyle w:val="Heading2"/>
      </w:pPr>
      <w:bookmarkStart w:id="85" w:name="_Toc5807495"/>
      <w:r>
        <w:t>Human resources - ARPANSA</w:t>
      </w:r>
      <w:bookmarkEnd w:id="85"/>
    </w:p>
    <w:p w14:paraId="21E42362" w14:textId="212CCE65" w:rsidR="00540ABF" w:rsidRPr="003433E9" w:rsidRDefault="00540ABF" w:rsidP="00A30583">
      <w:pPr>
        <w:pStyle w:val="110list"/>
        <w:rPr>
          <w:iCs/>
        </w:rPr>
      </w:pPr>
      <w:r>
        <w:t xml:space="preserve">The RSB’s Facility </w:t>
      </w:r>
      <w:r w:rsidR="005B56FC">
        <w:t>Safety</w:t>
      </w:r>
      <w:r>
        <w:t xml:space="preserve"> Section is primarily responsible for the compliance and inspection program for safety related aspects of the operation of OPAL.</w:t>
      </w:r>
      <w:r w:rsidR="00B36A53">
        <w:t xml:space="preserve"> </w:t>
      </w:r>
      <w:r>
        <w:t xml:space="preserve">A dedicated lead inspector for OPAL is supported by </w:t>
      </w:r>
      <w:r w:rsidR="005B56FC">
        <w:t>several other</w:t>
      </w:r>
      <w:r>
        <w:t xml:space="preserve"> staff who assist the lead inspector.</w:t>
      </w:r>
      <w:r w:rsidR="00B36A53">
        <w:t xml:space="preserve"> </w:t>
      </w:r>
    </w:p>
    <w:p w14:paraId="68AC3A31" w14:textId="6CC6578B" w:rsidR="00BD3F24" w:rsidRDefault="00540ABF" w:rsidP="00A30583">
      <w:pPr>
        <w:pStyle w:val="110list"/>
      </w:pPr>
      <w:r>
        <w:t>Regulatory staff must complete o</w:t>
      </w:r>
      <w:r w:rsidRPr="00FD5BE4">
        <w:t xml:space="preserve">n the job training in </w:t>
      </w:r>
      <w:r>
        <w:t xml:space="preserve">relevant </w:t>
      </w:r>
      <w:r w:rsidRPr="00FD5BE4">
        <w:t>technical areas before being eligible to be appointed as an inspector.</w:t>
      </w:r>
      <w:r w:rsidR="00B36A53">
        <w:t xml:space="preserve"> </w:t>
      </w:r>
      <w:r w:rsidRPr="00E72706">
        <w:t>In addition, inspectors must have either obtained or be working towards a nationally recognised accreditation</w:t>
      </w:r>
      <w:r>
        <w:t>, namely,</w:t>
      </w:r>
      <w:r w:rsidRPr="00E72706">
        <w:t xml:space="preserve"> Certificate IV in Government</w:t>
      </w:r>
      <w:r w:rsidR="00BD3F24">
        <w:t xml:space="preserve"> Investigations</w:t>
      </w:r>
      <w:r w:rsidR="00486CF4">
        <w:t xml:space="preserve"> (or equivalent)</w:t>
      </w:r>
      <w:r w:rsidRPr="00E72706">
        <w:t>.</w:t>
      </w:r>
    </w:p>
    <w:p w14:paraId="482E1D99" w14:textId="7A74AA0A" w:rsidR="00540ABF" w:rsidRPr="008C59BE" w:rsidRDefault="00540ABF" w:rsidP="00A30583">
      <w:pPr>
        <w:pStyle w:val="110list"/>
      </w:pPr>
      <w:r>
        <w:t xml:space="preserve">Competencies that this </w:t>
      </w:r>
      <w:r w:rsidRPr="00E72706">
        <w:t>program</w:t>
      </w:r>
      <w:r>
        <w:t xml:space="preserve"> offers are the </w:t>
      </w:r>
      <w:r w:rsidRPr="00E72706">
        <w:t xml:space="preserve">ability to exercise regulatory powers, promote </w:t>
      </w:r>
      <w:r>
        <w:t xml:space="preserve">and assess </w:t>
      </w:r>
      <w:r w:rsidRPr="00E72706">
        <w:t>compliance with legislation, investigate non-compliance, conduct and record interviews, conduct a search and possible seizure and prepare evidence.</w:t>
      </w:r>
      <w:r w:rsidR="00B36A53">
        <w:t xml:space="preserve"> </w:t>
      </w:r>
      <w:r>
        <w:t>A</w:t>
      </w:r>
      <w:r w:rsidRPr="00E72706">
        <w:t xml:space="preserve">dditional training is conducted </w:t>
      </w:r>
      <w:r w:rsidR="005B56FC">
        <w:t xml:space="preserve">periodically </w:t>
      </w:r>
      <w:r w:rsidRPr="00E72706">
        <w:t xml:space="preserve">for </w:t>
      </w:r>
      <w:r w:rsidRPr="008C59BE">
        <w:t>all regulatory staff in inspection reporting, conflict of interest and legal awareness.</w:t>
      </w:r>
    </w:p>
    <w:p w14:paraId="7EE28A2E" w14:textId="6D568451" w:rsidR="00F46F9F" w:rsidRPr="000B33AC" w:rsidRDefault="00F46F9F" w:rsidP="00A30583">
      <w:pPr>
        <w:pStyle w:val="110list"/>
      </w:pPr>
      <w:r w:rsidRPr="008C59BE">
        <w:t xml:space="preserve">ARPANSA has developed </w:t>
      </w:r>
      <w:r w:rsidR="001C5CC1">
        <w:t>a</w:t>
      </w:r>
      <w:r w:rsidR="001C5CC1" w:rsidRPr="008C59BE">
        <w:t xml:space="preserve"> </w:t>
      </w:r>
      <w:r w:rsidRPr="008C59BE">
        <w:t>Workforce Plan (2017–2021) which notes the identification, development and maintenance of competency requirements. In addition, in 2017, ARPANSA undertook a comprehensive review of all positions in the organisation as part of ongoing succession planning. This included identification of vulnerable areas and priority areas for strengthening resilience of some key competencies.</w:t>
      </w:r>
    </w:p>
    <w:p w14:paraId="2C325CDC" w14:textId="77777777" w:rsidR="00540ABF" w:rsidRDefault="00540ABF" w:rsidP="00540ABF">
      <w:pPr>
        <w:pStyle w:val="Heading2"/>
      </w:pPr>
      <w:bookmarkStart w:id="86" w:name="_Toc5807496"/>
      <w:r>
        <w:t>Human resources - ANSTO</w:t>
      </w:r>
      <w:bookmarkEnd w:id="86"/>
    </w:p>
    <w:p w14:paraId="23213B71" w14:textId="530A1B38" w:rsidR="00540ABF" w:rsidRDefault="00540ABF" w:rsidP="00A30583">
      <w:pPr>
        <w:pStyle w:val="110list"/>
      </w:pPr>
      <w:r w:rsidRPr="00FD5BE4">
        <w:t>ARPANSA</w:t>
      </w:r>
      <w:r>
        <w:t xml:space="preserve"> </w:t>
      </w:r>
      <w:r w:rsidRPr="00FD5BE4">
        <w:t>require</w:t>
      </w:r>
      <w:r>
        <w:t>s</w:t>
      </w:r>
      <w:r w:rsidRPr="00FD5BE4">
        <w:t xml:space="preserve"> </w:t>
      </w:r>
      <w:r>
        <w:t xml:space="preserve">ANSTO </w:t>
      </w:r>
      <w:r w:rsidRPr="00FD5BE4">
        <w:t>to demonstrate</w:t>
      </w:r>
      <w:r>
        <w:t xml:space="preserve"> </w:t>
      </w:r>
      <w:r w:rsidRPr="0033368A">
        <w:t>adequate managerial structure and resources</w:t>
      </w:r>
      <w:r>
        <w:t xml:space="preserve"> to ensure </w:t>
      </w:r>
      <w:r w:rsidRPr="0033368A">
        <w:t>positive safety attitudes</w:t>
      </w:r>
      <w:r>
        <w:t xml:space="preserve"> and </w:t>
      </w:r>
      <w:r w:rsidRPr="0033368A">
        <w:t>high standards of human performance and competence</w:t>
      </w:r>
      <w:r>
        <w:t>.</w:t>
      </w:r>
      <w:r w:rsidR="00B36A53">
        <w:t xml:space="preserve"> </w:t>
      </w:r>
      <w:r>
        <w:t xml:space="preserve">This includes </w:t>
      </w:r>
      <w:r>
        <w:lastRenderedPageBreak/>
        <w:t>demonstrating clear lines of authority as well as systems for staff selection, training, and personnel stability.</w:t>
      </w:r>
      <w:r w:rsidR="00B36A53">
        <w:t xml:space="preserve"> </w:t>
      </w:r>
    </w:p>
    <w:p w14:paraId="4CF21785" w14:textId="0A08AB91" w:rsidR="00540ABF" w:rsidRDefault="00540ABF" w:rsidP="00A30583">
      <w:pPr>
        <w:pStyle w:val="110list"/>
      </w:pPr>
      <w:r>
        <w:t xml:space="preserve">OPAL is operated with a rotating roster of at least two </w:t>
      </w:r>
      <w:r w:rsidR="001C5CC1">
        <w:t>r</w:t>
      </w:r>
      <w:r>
        <w:t xml:space="preserve">eactor </w:t>
      </w:r>
      <w:r w:rsidR="001C5CC1">
        <w:t>o</w:t>
      </w:r>
      <w:r>
        <w:t xml:space="preserve">perators and a </w:t>
      </w:r>
      <w:r w:rsidR="001C5CC1">
        <w:t>s</w:t>
      </w:r>
      <w:r>
        <w:t xml:space="preserve">hift </w:t>
      </w:r>
      <w:r w:rsidR="001C5CC1">
        <w:t>m</w:t>
      </w:r>
      <w:r>
        <w:t>anager.</w:t>
      </w:r>
      <w:r w:rsidR="00B36A53">
        <w:t xml:space="preserve"> </w:t>
      </w:r>
      <w:r>
        <w:t xml:space="preserve">Shift </w:t>
      </w:r>
      <w:r w:rsidR="001C5CC1">
        <w:t>m</w:t>
      </w:r>
      <w:r>
        <w:t>anagers have, as a minimum, an appropriate university degree, often in engineering or physics.</w:t>
      </w:r>
      <w:r w:rsidR="00B36A53">
        <w:t xml:space="preserve"> </w:t>
      </w:r>
      <w:r w:rsidR="0067497A">
        <w:t>R</w:t>
      </w:r>
      <w:r>
        <w:t xml:space="preserve">eactor </w:t>
      </w:r>
      <w:r w:rsidR="001C5CC1">
        <w:t>o</w:t>
      </w:r>
      <w:r>
        <w:t xml:space="preserve">perators and </w:t>
      </w:r>
      <w:r w:rsidR="001C5CC1">
        <w:t>s</w:t>
      </w:r>
      <w:r>
        <w:t xml:space="preserve">hift </w:t>
      </w:r>
      <w:r w:rsidR="001C5CC1">
        <w:t>m</w:t>
      </w:r>
      <w:r>
        <w:t>anagers undergo a period of intensive training at the start of their employment and are required to demonstrate competence in reactor operation and safety through an accreditation process.</w:t>
      </w:r>
      <w:r w:rsidR="00B36A53">
        <w:t xml:space="preserve"> </w:t>
      </w:r>
      <w:r>
        <w:t xml:space="preserve">Reactor </w:t>
      </w:r>
      <w:r w:rsidR="001C5CC1">
        <w:t>o</w:t>
      </w:r>
      <w:r>
        <w:t>perators and</w:t>
      </w:r>
      <w:r w:rsidR="001C5CC1">
        <w:t xml:space="preserve"> s</w:t>
      </w:r>
      <w:r>
        <w:t xml:space="preserve">hift </w:t>
      </w:r>
      <w:r w:rsidR="001C5CC1">
        <w:t>m</w:t>
      </w:r>
      <w:r>
        <w:t>anagers are re-accredited every three years.</w:t>
      </w:r>
    </w:p>
    <w:p w14:paraId="62050CE0" w14:textId="7595C204" w:rsidR="004C1261" w:rsidRPr="00A30583" w:rsidRDefault="004C1261" w:rsidP="00A30583">
      <w:pPr>
        <w:pStyle w:val="110list"/>
      </w:pPr>
      <w:r w:rsidRPr="00A30583">
        <w:t xml:space="preserve">In addition to </w:t>
      </w:r>
      <w:r w:rsidR="001C5CC1">
        <w:t>r</w:t>
      </w:r>
      <w:r w:rsidRPr="00A30583">
        <w:t xml:space="preserve">eactor </w:t>
      </w:r>
      <w:r w:rsidR="001C5CC1">
        <w:t>o</w:t>
      </w:r>
      <w:r w:rsidRPr="00A30583">
        <w:t xml:space="preserve">perators and </w:t>
      </w:r>
      <w:r w:rsidR="001C5CC1">
        <w:t>s</w:t>
      </w:r>
      <w:r w:rsidRPr="00A30583">
        <w:t xml:space="preserve">hift </w:t>
      </w:r>
      <w:r w:rsidR="001C5CC1">
        <w:t>m</w:t>
      </w:r>
      <w:r w:rsidRPr="00A30583">
        <w:t>anagers, OPAL has significant human resources in utilisation, engineering, maintenance, nuclear analysis and technical support under the management of the Group Executive, Nuclear Operations.</w:t>
      </w:r>
    </w:p>
    <w:p w14:paraId="76CBD4D9" w14:textId="118CC0EA" w:rsidR="004C1261" w:rsidRPr="00DC727D" w:rsidRDefault="004C1261" w:rsidP="00A30583">
      <w:pPr>
        <w:pStyle w:val="110list"/>
      </w:pPr>
      <w:r w:rsidRPr="00A30583">
        <w:t>The arrangements for qualification training, accreditation and retraining of OPAL staff are summarised in the OPAL Safety Analysis Report</w:t>
      </w:r>
      <w:r w:rsidR="008B26A5">
        <w:t xml:space="preserve"> </w:t>
      </w:r>
      <w:r w:rsidRPr="00A30583">
        <w:t>and detailed in a Training Manual.</w:t>
      </w:r>
      <w:r w:rsidR="00B36A53">
        <w:t xml:space="preserve"> </w:t>
      </w:r>
      <w:r w:rsidRPr="00A30583">
        <w:t>OPAL reactor training is designed to provide personnel with the knowledge and skills needed to perform their roles, a healthy respect for nuclear safety and radiation protection</w:t>
      </w:r>
      <w:r w:rsidRPr="00DC727D">
        <w:t xml:space="preserve"> issues, and an awareness of the impact that actions have on safety and performance.</w:t>
      </w:r>
      <w:r w:rsidR="00B36A53">
        <w:t xml:space="preserve"> </w:t>
      </w:r>
      <w:r w:rsidRPr="00DC727D">
        <w:t>The three components of training at the OPAL reactor are induction, role-specific, and ongoing training.</w:t>
      </w:r>
    </w:p>
    <w:p w14:paraId="36DD1856" w14:textId="34515060" w:rsidR="004C1261" w:rsidRPr="008210E4" w:rsidRDefault="004C1261" w:rsidP="00A30583">
      <w:pPr>
        <w:pStyle w:val="110list"/>
        <w:tabs>
          <w:tab w:val="clear" w:pos="993"/>
        </w:tabs>
      </w:pPr>
      <w:r w:rsidRPr="008210E4">
        <w:t>OPAL operations are supported by staff from other parts of ANSTO who provide services in radiation protection, waste management and engineering as well as finance and procurement, site services, human resources and general administration as required.</w:t>
      </w:r>
      <w:r w:rsidR="00B36A53">
        <w:t xml:space="preserve"> </w:t>
      </w:r>
      <w:r w:rsidRPr="008210E4">
        <w:t xml:space="preserve">These services are stipulated by a </w:t>
      </w:r>
      <w:r w:rsidR="002412E5">
        <w:t>s</w:t>
      </w:r>
      <w:r w:rsidRPr="008210E4">
        <w:t xml:space="preserve">ervice </w:t>
      </w:r>
      <w:r w:rsidR="002412E5">
        <w:t>l</w:t>
      </w:r>
      <w:r w:rsidRPr="008210E4">
        <w:t xml:space="preserve">evel </w:t>
      </w:r>
      <w:r w:rsidR="002412E5">
        <w:t>a</w:t>
      </w:r>
      <w:r w:rsidRPr="008210E4">
        <w:t>greement (SLA) between the ANSTO internal service providers and the various ANSTO functional areas, including OPAL.</w:t>
      </w:r>
      <w:r w:rsidR="00B36A53">
        <w:t xml:space="preserve"> </w:t>
      </w:r>
      <w:r w:rsidRPr="008210E4">
        <w:t>This SLA stipulates the scope, nature, frequency and standard of the services provided.</w:t>
      </w:r>
    </w:p>
    <w:p w14:paraId="1D52A565" w14:textId="07208085" w:rsidR="00540ABF" w:rsidRPr="001A54D2" w:rsidRDefault="00540ABF" w:rsidP="00A30583">
      <w:pPr>
        <w:pStyle w:val="110list"/>
      </w:pPr>
      <w:r w:rsidRPr="001A54D2">
        <w:t>ARPANSA</w:t>
      </w:r>
      <w:r>
        <w:t>’s</w:t>
      </w:r>
      <w:r w:rsidRPr="001A54D2">
        <w:t xml:space="preserve"> inspections o</w:t>
      </w:r>
      <w:r w:rsidR="002412E5">
        <w:t>f</w:t>
      </w:r>
      <w:r w:rsidRPr="001A54D2">
        <w:t xml:space="preserve"> OPAL includ</w:t>
      </w:r>
      <w:r>
        <w:t xml:space="preserve">e </w:t>
      </w:r>
      <w:r w:rsidRPr="001A54D2">
        <w:t>training. ARPANSA inspectors are invited to observe shift operator and manager accreditation panels to ensure that the process is robust.</w:t>
      </w:r>
    </w:p>
    <w:p w14:paraId="462CC721" w14:textId="77777777" w:rsidR="0003528A" w:rsidRDefault="001660B9" w:rsidP="0003528A">
      <w:pPr>
        <w:pStyle w:val="Heading1"/>
        <w:numPr>
          <w:ilvl w:val="0"/>
          <w:numId w:val="0"/>
        </w:numPr>
        <w:spacing w:after="120"/>
        <w:ind w:left="680" w:hanging="680"/>
      </w:pPr>
      <w:r>
        <w:br w:type="page"/>
      </w:r>
      <w:bookmarkStart w:id="87" w:name="_Ref516303562"/>
      <w:bookmarkStart w:id="88" w:name="_Toc527512564"/>
      <w:bookmarkStart w:id="89" w:name="_Toc81816907"/>
      <w:bookmarkStart w:id="90" w:name="_Toc81816962"/>
      <w:bookmarkStart w:id="91" w:name="_Toc81891566"/>
      <w:bookmarkStart w:id="92" w:name="_Toc81893632"/>
      <w:bookmarkStart w:id="93" w:name="_Toc81896901"/>
      <w:bookmarkStart w:id="94" w:name="_Toc457392311"/>
      <w:bookmarkStart w:id="95" w:name="_Toc12537948"/>
      <w:r w:rsidR="00540ABF" w:rsidRPr="00316F91">
        <w:lastRenderedPageBreak/>
        <w:t>Article 12</w:t>
      </w:r>
      <w:r w:rsidR="00540ABF" w:rsidRPr="00FD5BE4">
        <w:t xml:space="preserve"> – Human Factors</w:t>
      </w:r>
      <w:bookmarkEnd w:id="87"/>
      <w:bookmarkEnd w:id="88"/>
      <w:bookmarkEnd w:id="89"/>
      <w:bookmarkEnd w:id="90"/>
      <w:bookmarkEnd w:id="91"/>
      <w:bookmarkEnd w:id="92"/>
      <w:bookmarkEnd w:id="93"/>
      <w:bookmarkEnd w:id="94"/>
      <w:bookmarkEnd w:id="95"/>
      <w:r w:rsidR="0003528A">
        <w:t xml:space="preserve"> </w:t>
      </w:r>
    </w:p>
    <w:tbl>
      <w:tblPr>
        <w:tblStyle w:val="GenericARPANSA"/>
        <w:tblW w:w="9639" w:type="dxa"/>
        <w:tblInd w:w="0" w:type="dxa"/>
        <w:tblBorders>
          <w:insideH w:val="none" w:sz="0" w:space="0" w:color="auto"/>
          <w:insideV w:val="none" w:sz="0" w:space="0" w:color="auto"/>
        </w:tblBorders>
        <w:shd w:val="clear" w:color="auto" w:fill="F3EAFA"/>
        <w:tblLook w:val="0480" w:firstRow="0" w:lastRow="0" w:firstColumn="1" w:lastColumn="0" w:noHBand="0" w:noVBand="1"/>
      </w:tblPr>
      <w:tblGrid>
        <w:gridCol w:w="9639"/>
      </w:tblGrid>
      <w:tr w:rsidR="0003528A" w14:paraId="363A504B" w14:textId="77777777" w:rsidTr="008B26A5">
        <w:tc>
          <w:tcPr>
            <w:tcW w:w="9639" w:type="dxa"/>
            <w:shd w:val="clear" w:color="auto" w:fill="F3EAFA"/>
          </w:tcPr>
          <w:p w14:paraId="3EE01960" w14:textId="0B1C2443" w:rsidR="0003528A" w:rsidRPr="008F08C7" w:rsidRDefault="0003528A" w:rsidP="00FD7DD3">
            <w:pPr>
              <w:jc w:val="left"/>
              <w:rPr>
                <w:rStyle w:val="Normalbold"/>
                <w:b w:val="0"/>
                <w:i/>
              </w:rPr>
            </w:pPr>
            <w:r w:rsidRPr="0003528A">
              <w:rPr>
                <w:rStyle w:val="Normalbold"/>
                <w:b w:val="0"/>
                <w:i/>
              </w:rPr>
              <w:t>Each Contracting Party shall take the appropriate steps to ensure that the capabilities and limitations of human performance are taken into account throughout the life of a nuclear installation.</w:t>
            </w:r>
          </w:p>
        </w:tc>
      </w:tr>
    </w:tbl>
    <w:p w14:paraId="676EC50F" w14:textId="5D5F74F4" w:rsidR="00540ABF" w:rsidRPr="00A770EC" w:rsidRDefault="00540ABF" w:rsidP="0003528A">
      <w:pPr>
        <w:pStyle w:val="120list"/>
        <w:spacing w:before="120"/>
      </w:pPr>
      <w:r w:rsidRPr="00A770EC">
        <w:t xml:space="preserve">ARPANSA’s human factors requirements are detailed in the </w:t>
      </w:r>
      <w:r w:rsidRPr="00A770EC">
        <w:rPr>
          <w:i/>
        </w:rPr>
        <w:t>Regulatory Assessment Criteria for the Design of New and Modification of Existing Controlled Facilities</w:t>
      </w:r>
      <w:r w:rsidR="00567156" w:rsidRPr="00A770EC">
        <w:rPr>
          <w:rStyle w:val="FootnoteReference"/>
        </w:rPr>
        <w:footnoteReference w:id="30"/>
      </w:r>
      <w:r w:rsidR="008B26A5">
        <w:rPr>
          <w:i/>
        </w:rPr>
        <w:t>.</w:t>
      </w:r>
      <w:r w:rsidR="00B36A53">
        <w:t xml:space="preserve"> </w:t>
      </w:r>
      <w:r w:rsidRPr="00A770EC">
        <w:t>Systems and procedures must be designed with systemic consideration of human factors at the individual and organisational levels to reduce the potential for human error and violations, facilitate correct actions by operators, and reduce operator stress.</w:t>
      </w:r>
      <w:r w:rsidR="00B36A53">
        <w:t xml:space="preserve"> </w:t>
      </w:r>
      <w:r w:rsidRPr="00A770EC">
        <w:t>Human factors must also be taken into account in any probabilistic safety assessment.</w:t>
      </w:r>
    </w:p>
    <w:p w14:paraId="1F8AB1C9" w14:textId="7585869B" w:rsidR="00540ABF" w:rsidRPr="00223787" w:rsidRDefault="00540ABF" w:rsidP="00A30583">
      <w:pPr>
        <w:pStyle w:val="120list"/>
      </w:pPr>
      <w:r>
        <w:t xml:space="preserve">ARPANSA has developed a set of </w:t>
      </w:r>
      <w:r w:rsidRPr="00B93507">
        <w:rPr>
          <w:i/>
        </w:rPr>
        <w:t>Holistic Safety Guidelines</w:t>
      </w:r>
      <w:r>
        <w:rPr>
          <w:rStyle w:val="FootnoteReference"/>
        </w:rPr>
        <w:footnoteReference w:id="31"/>
      </w:r>
      <w:r>
        <w:t xml:space="preserve"> </w:t>
      </w:r>
      <w:r w:rsidRPr="00B93507">
        <w:rPr>
          <w:lang w:val="en"/>
        </w:rPr>
        <w:t>to provide guidance on key technological, human, and organisational aspects that are necessary to create and maintain optimal safet</w:t>
      </w:r>
      <w:r w:rsidR="008C59BE">
        <w:rPr>
          <w:lang w:val="en"/>
        </w:rPr>
        <w:t>y.</w:t>
      </w:r>
      <w:r w:rsidR="00B36A53">
        <w:rPr>
          <w:lang w:val="en"/>
        </w:rPr>
        <w:t xml:space="preserve"> </w:t>
      </w:r>
      <w:r w:rsidR="008B26A5">
        <w:rPr>
          <w:lang w:val="en"/>
        </w:rPr>
        <w:t>Guidelines</w:t>
      </w:r>
      <w:r w:rsidRPr="00B93507">
        <w:rPr>
          <w:lang w:val="en"/>
        </w:rPr>
        <w:t xml:space="preserve"> contain a range of key </w:t>
      </w:r>
      <w:r w:rsidRPr="00B93507">
        <w:rPr>
          <w:iCs/>
          <w:lang w:val="en"/>
        </w:rPr>
        <w:t xml:space="preserve">principles </w:t>
      </w:r>
      <w:r w:rsidRPr="00B93507">
        <w:rPr>
          <w:lang w:val="en"/>
        </w:rPr>
        <w:t xml:space="preserve">considered relevant to </w:t>
      </w:r>
      <w:r>
        <w:rPr>
          <w:lang w:val="en"/>
        </w:rPr>
        <w:t>h</w:t>
      </w:r>
      <w:r w:rsidRPr="00B93507">
        <w:rPr>
          <w:lang w:val="en"/>
        </w:rPr>
        <w:t xml:space="preserve">olistic </w:t>
      </w:r>
      <w:r>
        <w:rPr>
          <w:lang w:val="en"/>
        </w:rPr>
        <w:t>(or systemic) s</w:t>
      </w:r>
      <w:r w:rsidRPr="00B93507">
        <w:rPr>
          <w:lang w:val="en"/>
        </w:rPr>
        <w:t>afety.</w:t>
      </w:r>
      <w:r w:rsidR="00B36A53">
        <w:rPr>
          <w:lang w:val="en"/>
        </w:rPr>
        <w:t xml:space="preserve"> </w:t>
      </w:r>
      <w:r w:rsidRPr="00B93507">
        <w:rPr>
          <w:lang w:val="en"/>
        </w:rPr>
        <w:t xml:space="preserve">The key principles of </w:t>
      </w:r>
      <w:r w:rsidRPr="00B93507">
        <w:rPr>
          <w:iCs/>
          <w:lang w:val="en"/>
        </w:rPr>
        <w:t>holistic safety</w:t>
      </w:r>
      <w:r w:rsidRPr="00B93507">
        <w:rPr>
          <w:i/>
          <w:iCs/>
          <w:lang w:val="en"/>
        </w:rPr>
        <w:t xml:space="preserve"> </w:t>
      </w:r>
      <w:r w:rsidRPr="00B93507">
        <w:rPr>
          <w:lang w:val="en"/>
        </w:rPr>
        <w:t>are arranged under seven ‘characteristics’.</w:t>
      </w:r>
      <w:r w:rsidR="00B36A53">
        <w:rPr>
          <w:lang w:val="en"/>
        </w:rPr>
        <w:t xml:space="preserve"> </w:t>
      </w:r>
      <w:r w:rsidRPr="00B93507">
        <w:rPr>
          <w:lang w:val="en"/>
        </w:rPr>
        <w:t xml:space="preserve">Within each ‘characteristic’ are ‘attributes’ that more specifically outline the ways in which the key principles of </w:t>
      </w:r>
      <w:r w:rsidRPr="00B93507">
        <w:rPr>
          <w:iCs/>
          <w:lang w:val="en"/>
        </w:rPr>
        <w:t>holistic safety</w:t>
      </w:r>
      <w:r w:rsidRPr="00B93507">
        <w:rPr>
          <w:i/>
          <w:iCs/>
          <w:lang w:val="en"/>
        </w:rPr>
        <w:t xml:space="preserve"> </w:t>
      </w:r>
      <w:r w:rsidRPr="00B93507">
        <w:rPr>
          <w:lang w:val="en"/>
        </w:rPr>
        <w:t>can be achieved.</w:t>
      </w:r>
      <w:r w:rsidR="00B36A53">
        <w:rPr>
          <w:lang w:val="en"/>
        </w:rPr>
        <w:t xml:space="preserve"> </w:t>
      </w:r>
    </w:p>
    <w:p w14:paraId="26D31DA0" w14:textId="32A87E97" w:rsidR="00540ABF" w:rsidRPr="004C1261" w:rsidRDefault="00540ABF" w:rsidP="00A30583">
      <w:pPr>
        <w:pStyle w:val="120list"/>
      </w:pPr>
      <w:r w:rsidRPr="006745A0">
        <w:rPr>
          <w:lang w:val="en"/>
        </w:rPr>
        <w:t xml:space="preserve">The seven </w:t>
      </w:r>
      <w:r>
        <w:rPr>
          <w:lang w:val="en"/>
        </w:rPr>
        <w:t>characteristics are human aspects, non-technical skills, defence-in-depth, management system, resilience, safety culture, and security.</w:t>
      </w:r>
      <w:r w:rsidR="00B36A53">
        <w:rPr>
          <w:lang w:val="en"/>
        </w:rPr>
        <w:t xml:space="preserve"> </w:t>
      </w:r>
      <w:r w:rsidRPr="001A54D2">
        <w:t xml:space="preserve">Human factors are covered in every inspection of </w:t>
      </w:r>
      <w:r w:rsidRPr="004C1261">
        <w:t>the OPAL reactor</w:t>
      </w:r>
    </w:p>
    <w:p w14:paraId="1EFCED93" w14:textId="237D04AD" w:rsidR="00EE6AD3" w:rsidRPr="006745A0" w:rsidRDefault="00EE6AD3" w:rsidP="00A30583">
      <w:pPr>
        <w:pStyle w:val="120list"/>
      </w:pPr>
      <w:r w:rsidRPr="004C1261">
        <w:t xml:space="preserve">In 2019, ARPANSA, in response to a </w:t>
      </w:r>
      <w:r w:rsidR="002F0D81">
        <w:t>r</w:t>
      </w:r>
      <w:r w:rsidRPr="004C1261">
        <w:t xml:space="preserve">ecommendation from the </w:t>
      </w:r>
      <w:r w:rsidR="002F0D81" w:rsidRPr="004C1261">
        <w:t>2018</w:t>
      </w:r>
      <w:r w:rsidR="002F0D81">
        <w:t xml:space="preserve"> </w:t>
      </w:r>
      <w:r w:rsidR="00B96BE5">
        <w:t>IRRS mission</w:t>
      </w:r>
      <w:r w:rsidRPr="004C1261">
        <w:t>, developed and piloted a custom-built safety culture maturity model in the Regulatory Services Branch (RSB).</w:t>
      </w:r>
      <w:r w:rsidRPr="004C1261">
        <w:rPr>
          <w:noProof/>
          <w:lang w:eastAsia="en-AU"/>
        </w:rPr>
        <mc:AlternateContent>
          <mc:Choice Requires="wps">
            <w:drawing>
              <wp:anchor distT="0" distB="0" distL="114300" distR="114300" simplePos="0" relativeHeight="251702272" behindDoc="0" locked="0" layoutInCell="1" allowOverlap="1" wp14:anchorId="1E0C2893" wp14:editId="537D443A">
                <wp:simplePos x="0" y="0"/>
                <wp:positionH relativeFrom="column">
                  <wp:posOffset>123825</wp:posOffset>
                </wp:positionH>
                <wp:positionV relativeFrom="paragraph">
                  <wp:posOffset>4465320</wp:posOffset>
                </wp:positionV>
                <wp:extent cx="940435" cy="556260"/>
                <wp:effectExtent l="0" t="0" r="0" b="0"/>
                <wp:wrapNone/>
                <wp:docPr id="3" name="TextBox 22"/>
                <wp:cNvGraphicFramePr/>
                <a:graphic xmlns:a="http://schemas.openxmlformats.org/drawingml/2006/main">
                  <a:graphicData uri="http://schemas.microsoft.com/office/word/2010/wordprocessingShape">
                    <wps:wsp>
                      <wps:cNvSpPr txBox="1"/>
                      <wps:spPr>
                        <a:xfrm>
                          <a:off x="0" y="0"/>
                          <a:ext cx="940435" cy="556260"/>
                        </a:xfrm>
                        <a:prstGeom prst="rect">
                          <a:avLst/>
                        </a:prstGeom>
                        <a:noFill/>
                      </wps:spPr>
                      <wps:txbx>
                        <w:txbxContent>
                          <w:p w14:paraId="5B8818C6" w14:textId="77777777" w:rsidR="00060D86" w:rsidRPr="0060500C" w:rsidRDefault="00060D86" w:rsidP="00EE6AD3">
                            <w:pPr>
                              <w:pStyle w:val="NormalWeb"/>
                              <w:spacing w:before="0" w:beforeAutospacing="0" w:after="0" w:afterAutospacing="0"/>
                              <w:rPr>
                                <w:sz w:val="20"/>
                                <w:szCs w:val="20"/>
                              </w:rPr>
                            </w:pPr>
                            <w:r w:rsidRPr="0060500C">
                              <w:rPr>
                                <w:rFonts w:asciiTheme="minorHAnsi" w:hAnsi="Calibri" w:cstheme="minorBidi"/>
                                <w:color w:val="FFFFFF" w:themeColor="background1"/>
                                <w:kern w:val="24"/>
                                <w:sz w:val="20"/>
                                <w:szCs w:val="20"/>
                              </w:rPr>
                              <w:t xml:space="preserve">Who </w:t>
                            </w:r>
                          </w:p>
                        </w:txbxContent>
                      </wps:txbx>
                      <wps:bodyPr wrap="square" rtlCol="0">
                        <a:spAutoFit/>
                      </wps:bodyPr>
                    </wps:wsp>
                  </a:graphicData>
                </a:graphic>
              </wp:anchor>
            </w:drawing>
          </mc:Choice>
          <mc:Fallback>
            <w:pict>
              <v:shapetype w14:anchorId="1E0C2893" id="_x0000_t202" coordsize="21600,21600" o:spt="202" path="m,l,21600r21600,l21600,xe">
                <v:stroke joinstyle="miter"/>
                <v:path gradientshapeok="t" o:connecttype="rect"/>
              </v:shapetype>
              <v:shape id="TextBox 22" o:spid="_x0000_s1026" type="#_x0000_t202" style="position:absolute;left:0;text-align:left;margin-left:9.75pt;margin-top:351.6pt;width:74.05pt;height:43.8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h8JlgEAAA0DAAAOAAAAZHJzL2Uyb0RvYy54bWysUk1v2zAMvQ/YfxB0X+y6TbAZcYpuRXcZ&#10;tgHtfoAiS7EAS9RIJXb+/SglTYvtNvRCSfx4fHzU+nb2ozgYJAehk1eLWgoTNPQu7Dr56+nhw0cp&#10;KKnQqxGC6eTRkLzdvH+3nmJrGhhg7A0KBgnUTrGTQ0qxrSrSg/GKFhBN4KAF9CrxE3dVj2pidD9W&#10;TV2vqgmwjwjaELH3/hSUm4JvrdHph7Vkkhg7ydxSsVjsNttqs1btDlUcnD7TUP/BwisXuOkF6l4l&#10;Jfbo/oHyTiMQ2LTQ4Cuw1mlTZuBpruq/pnkcVDRlFhaH4kUmejtY/f3wE4XrO3ktRVCeV/Rk5vQZ&#10;ZtE0WZ0pUstJj5HT0sx+3vKzn9iZh54t+nzyOILjrPPxoi2DCc3OTzf1zfVSCs2h5XLVrIr21Utx&#10;REpfDXiRL51EXl1RVB2+UWIinPqcknsFeHDjmP2Z4YlJvqV5O59pb6E/MuuJt9tJ+r1XaKTANH6B&#10;8hkyCsW7fWKk0iCXn2rOqKx56Xv+H3mpr98l6+UXb/4AAAD//wMAUEsDBBQABgAIAAAAIQDzMd4P&#10;3QAAAAoBAAAPAAAAZHJzL2Rvd25yZXYueG1sTI9NT8MwDIbvSPyHyEjcWLKhdVtpOk18SBy4MMrd&#10;a0xT0SRVk63dv8c7seNrP3r9uNhOrhMnGmIbvIb5TIEgXwfT+kZD9fX2sAYRE3qDXfCk4UwRtuXt&#10;TYG5CaP/pNM+NYJLfMxRg02pz6WMtSWHcRZ68rz7CYPDxHFopBlw5HLXyYVSmXTYer5gsadnS/Xv&#10;/ug0pGR283P16uL79/TxMlpVL7HS+v5u2j2BSDSlfxgu+qwOJTsdwtGbKDrOmyWTGlbqcQHiAmSr&#10;DMSBJxu1BlkW8vqF8g8AAP//AwBQSwECLQAUAAYACAAAACEAtoM4kv4AAADhAQAAEwAAAAAAAAAA&#10;AAAAAAAAAAAAW0NvbnRlbnRfVHlwZXNdLnhtbFBLAQItABQABgAIAAAAIQA4/SH/1gAAAJQBAAAL&#10;AAAAAAAAAAAAAAAAAC8BAABfcmVscy8ucmVsc1BLAQItABQABgAIAAAAIQDUJh8JlgEAAA0DAAAO&#10;AAAAAAAAAAAAAAAAAC4CAABkcnMvZTJvRG9jLnhtbFBLAQItABQABgAIAAAAIQDzMd4P3QAAAAoB&#10;AAAPAAAAAAAAAAAAAAAAAPADAABkcnMvZG93bnJldi54bWxQSwUGAAAAAAQABADzAAAA+gQAAAAA&#10;" filled="f" stroked="f">
                <v:textbox style="mso-fit-shape-to-text:t">
                  <w:txbxContent>
                    <w:p w14:paraId="5B8818C6" w14:textId="77777777" w:rsidR="00060D86" w:rsidRPr="0060500C" w:rsidRDefault="00060D86" w:rsidP="00EE6AD3">
                      <w:pPr>
                        <w:pStyle w:val="NormalWeb"/>
                        <w:spacing w:before="0" w:beforeAutospacing="0" w:after="0" w:afterAutospacing="0"/>
                        <w:rPr>
                          <w:sz w:val="20"/>
                          <w:szCs w:val="20"/>
                        </w:rPr>
                      </w:pPr>
                      <w:r w:rsidRPr="0060500C">
                        <w:rPr>
                          <w:rFonts w:asciiTheme="minorHAnsi" w:hAnsi="Calibri" w:cstheme="minorBidi"/>
                          <w:color w:val="FFFFFF" w:themeColor="background1"/>
                          <w:kern w:val="24"/>
                          <w:sz w:val="20"/>
                          <w:szCs w:val="20"/>
                        </w:rPr>
                        <w:t xml:space="preserve">Who </w:t>
                      </w:r>
                    </w:p>
                  </w:txbxContent>
                </v:textbox>
              </v:shape>
            </w:pict>
          </mc:Fallback>
        </mc:AlternateContent>
      </w:r>
      <w:r w:rsidRPr="004C1261">
        <w:t xml:space="preserve"> See Article 8 for more information.</w:t>
      </w:r>
    </w:p>
    <w:p w14:paraId="0C24400C" w14:textId="77777777" w:rsidR="00540ABF" w:rsidRDefault="00540ABF" w:rsidP="00540ABF">
      <w:pPr>
        <w:pStyle w:val="Heading2"/>
      </w:pPr>
      <w:bookmarkStart w:id="96" w:name="_Toc5807498"/>
      <w:r>
        <w:t>OPAL</w:t>
      </w:r>
      <w:bookmarkEnd w:id="96"/>
    </w:p>
    <w:p w14:paraId="75193720" w14:textId="391C7EDC" w:rsidR="004C1261" w:rsidRPr="004411AB" w:rsidRDefault="004C1261" w:rsidP="00AB09EF">
      <w:pPr>
        <w:pStyle w:val="120list"/>
        <w:spacing w:before="120"/>
      </w:pPr>
      <w:r w:rsidRPr="00DC727D">
        <w:t xml:space="preserve">OPAL has had a Human Factors (HF) Program from its inception </w:t>
      </w:r>
      <w:r>
        <w:t>that</w:t>
      </w:r>
      <w:r w:rsidRPr="00DC727D">
        <w:t xml:space="preserve"> will continue to evolve until the reactor is decommissioned.</w:t>
      </w:r>
      <w:r w:rsidR="00B36A53">
        <w:t xml:space="preserve"> </w:t>
      </w:r>
      <w:r w:rsidRPr="00DC727D">
        <w:t>The program aims to optimise the human-machine interface to avoid operational/maintenance errors and violations.</w:t>
      </w:r>
      <w:r w:rsidR="00B36A53">
        <w:t xml:space="preserve"> </w:t>
      </w:r>
      <w:r w:rsidRPr="00DC727D">
        <w:t>The HF design plans for OPAL were proposed by ANSTO and reviewed by ARPANSA.</w:t>
      </w:r>
      <w:r w:rsidR="00B36A53">
        <w:t xml:space="preserve"> </w:t>
      </w:r>
      <w:r w:rsidRPr="00DC727D">
        <w:t>The HF commitments are defined in various sections of the OPAL S</w:t>
      </w:r>
      <w:r>
        <w:t xml:space="preserve">afety </w:t>
      </w:r>
      <w:r w:rsidRPr="00DC727D">
        <w:t>A</w:t>
      </w:r>
      <w:r>
        <w:t xml:space="preserve">ssessment </w:t>
      </w:r>
      <w:r w:rsidRPr="00DC727D">
        <w:t>R</w:t>
      </w:r>
      <w:r>
        <w:t>eport (SAR)</w:t>
      </w:r>
      <w:r w:rsidRPr="00DC727D">
        <w:t>.</w:t>
      </w:r>
      <w:r w:rsidR="00B36A53">
        <w:t xml:space="preserve"> </w:t>
      </w:r>
      <w:r w:rsidRPr="00DC727D">
        <w:t xml:space="preserve"> All safety related events/incidents are reported and investigated following the </w:t>
      </w:r>
      <w:r w:rsidRPr="00AB09EF">
        <w:rPr>
          <w:i/>
        </w:rPr>
        <w:t>Incident Management and Incident Response Process</w:t>
      </w:r>
      <w:r w:rsidRPr="00DC727D">
        <w:t>.</w:t>
      </w:r>
      <w:r w:rsidR="00B36A53">
        <w:t xml:space="preserve"> </w:t>
      </w:r>
      <w:r w:rsidRPr="00DC727D">
        <w:t>This process also captures incidents and abnormal occurrences, suggestions for improvement, and includes human factor and organisational related issues</w:t>
      </w:r>
      <w:r w:rsidRPr="00DC727D">
        <w:rPr>
          <w:color w:val="1F497D"/>
        </w:rPr>
        <w:t xml:space="preserve">. </w:t>
      </w:r>
    </w:p>
    <w:p w14:paraId="6364BF7C" w14:textId="694BDB15" w:rsidR="004C1261" w:rsidRDefault="004C1261" w:rsidP="00A30583">
      <w:pPr>
        <w:pStyle w:val="120list"/>
      </w:pPr>
      <w:r w:rsidRPr="006E6A36">
        <w:t xml:space="preserve">ANSTO is required by the Regulations to analyse the causes of </w:t>
      </w:r>
      <w:r w:rsidRPr="005D2751">
        <w:t xml:space="preserve">incidents (abnormal safety occurrences) </w:t>
      </w:r>
      <w:r w:rsidRPr="006E6A36">
        <w:t>and lessons learned</w:t>
      </w:r>
      <w:r>
        <w:t>.</w:t>
      </w:r>
      <w:r w:rsidR="00B36A53">
        <w:t xml:space="preserve"> </w:t>
      </w:r>
      <w:r w:rsidRPr="006A2AEF">
        <w:t xml:space="preserve">Since the last CNS report, there have been a number of nuclear safety related </w:t>
      </w:r>
      <w:r w:rsidR="004F5F5B">
        <w:t xml:space="preserve">events </w:t>
      </w:r>
      <w:r w:rsidR="008C59BE">
        <w:t xml:space="preserve">reported for OPAL, </w:t>
      </w:r>
      <w:r w:rsidRPr="006A2AEF">
        <w:t xml:space="preserve">but </w:t>
      </w:r>
      <w:r>
        <w:t>none have been identified as</w:t>
      </w:r>
      <w:r w:rsidRPr="006A2AEF">
        <w:t xml:space="preserve"> </w:t>
      </w:r>
      <w:r>
        <w:t>significant</w:t>
      </w:r>
      <w:r w:rsidR="008C59BE">
        <w:t xml:space="preserve"> by ARPANSA</w:t>
      </w:r>
      <w:r>
        <w:t>.</w:t>
      </w:r>
      <w:r w:rsidR="00B36A53">
        <w:t xml:space="preserve"> </w:t>
      </w:r>
      <w:r>
        <w:t>In its Quarterly Report to ARPANSA, ANSTO provides a list of incidents that have occurred within OPAL in the previous quarter.</w:t>
      </w:r>
      <w:r w:rsidR="00B36A53">
        <w:t xml:space="preserve"> </w:t>
      </w:r>
      <w:r>
        <w:t>These incidents are reviewed and discussed by both organisations at a quarterly meeting.</w:t>
      </w:r>
    </w:p>
    <w:p w14:paraId="71F210BE" w14:textId="54CB01EC" w:rsidR="00937076" w:rsidRDefault="00937076" w:rsidP="00937076"/>
    <w:p w14:paraId="20551589" w14:textId="0B95C7D0" w:rsidR="00695883" w:rsidRDefault="00193D3A" w:rsidP="00695883">
      <w:pPr>
        <w:pStyle w:val="Heading1"/>
        <w:numPr>
          <w:ilvl w:val="0"/>
          <w:numId w:val="0"/>
        </w:numPr>
        <w:spacing w:after="120"/>
        <w:ind w:left="680" w:hanging="680"/>
      </w:pPr>
      <w:bookmarkStart w:id="97" w:name="_Toc457392312"/>
      <w:bookmarkStart w:id="98" w:name="_Toc12537949"/>
      <w:r w:rsidRPr="000F1198">
        <w:lastRenderedPageBreak/>
        <w:t>Article</w:t>
      </w:r>
      <w:r w:rsidRPr="00FD5BE4">
        <w:t xml:space="preserve"> 13 – Quality Assurance</w:t>
      </w:r>
      <w:bookmarkEnd w:id="97"/>
      <w:bookmarkEnd w:id="98"/>
      <w:r w:rsidR="00695883" w:rsidRPr="00695883">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695883" w14:paraId="43616CC0" w14:textId="77777777" w:rsidTr="00FD7DD3">
        <w:tc>
          <w:tcPr>
            <w:tcW w:w="9639" w:type="dxa"/>
            <w:shd w:val="clear" w:color="auto" w:fill="F3EAFA"/>
          </w:tcPr>
          <w:p w14:paraId="7B27DD4A" w14:textId="708C333D" w:rsidR="00695883" w:rsidRPr="008F08C7" w:rsidRDefault="00695883" w:rsidP="00FD7DD3">
            <w:pPr>
              <w:jc w:val="left"/>
              <w:rPr>
                <w:rStyle w:val="Normalbold"/>
                <w:b w:val="0"/>
                <w:i/>
              </w:rPr>
            </w:pPr>
            <w:r w:rsidRPr="00695883">
              <w:rPr>
                <w:rStyle w:val="Normalbold"/>
                <w:b w:val="0"/>
                <w:i/>
              </w:rPr>
              <w:t>Each Contracting Party shall take the appropriate steps to ensure that quality assurance programs are established and implemented with a view to providing confidence that specified requirements for all activities important to nuclear safety are satisfied throughout the life of a nuclear installation.</w:t>
            </w:r>
          </w:p>
        </w:tc>
      </w:tr>
    </w:tbl>
    <w:p w14:paraId="588AD197" w14:textId="70093501" w:rsidR="00193D3A" w:rsidRPr="004C1261" w:rsidRDefault="00193D3A" w:rsidP="00695883">
      <w:pPr>
        <w:pStyle w:val="130list"/>
        <w:spacing w:before="120"/>
      </w:pPr>
      <w:r w:rsidRPr="004C1261">
        <w:t>ARPANSA’s Regulatory Servi</w:t>
      </w:r>
      <w:r w:rsidRPr="003E7BB4">
        <w:t>ces Branch has a Quality Management System (QMS).</w:t>
      </w:r>
      <w:r w:rsidR="00B36A53">
        <w:t xml:space="preserve"> </w:t>
      </w:r>
      <w:r w:rsidRPr="003E7BB4">
        <w:t>The RSB is also working towards compliance with ISO 17020 which, when completed will integrate with a planned agency-wide Integr</w:t>
      </w:r>
      <w:r w:rsidRPr="004C1261">
        <w:t>ated Management System certified to ISO 9001.</w:t>
      </w:r>
    </w:p>
    <w:p w14:paraId="59E87EDE" w14:textId="2F81A7AA" w:rsidR="00D36275" w:rsidRPr="004C1261" w:rsidRDefault="00D36275" w:rsidP="003E7BB4">
      <w:pPr>
        <w:pStyle w:val="130list"/>
      </w:pPr>
      <w:r w:rsidRPr="004C1261">
        <w:t xml:space="preserve">ARPANSA is currently developing an Integrated Management System (IMS) to capture all regulatory processes as well as processes that support regulatory activities. This system comprises quality, safety, security, risk, compliance and corporate governance. </w:t>
      </w:r>
    </w:p>
    <w:p w14:paraId="2A5B15E2" w14:textId="7EB6AA5B" w:rsidR="00193D3A" w:rsidRDefault="00BA17C1" w:rsidP="003E7BB4">
      <w:pPr>
        <w:pStyle w:val="130list"/>
      </w:pPr>
      <w:r w:rsidRPr="004C1261">
        <w:t xml:space="preserve">As per </w:t>
      </w:r>
      <w:r w:rsidRPr="004C1261">
        <w:rPr>
          <w:i/>
        </w:rPr>
        <w:t xml:space="preserve">Regulatory Guide: Plans and </w:t>
      </w:r>
      <w:r w:rsidR="008B26A5">
        <w:rPr>
          <w:i/>
        </w:rPr>
        <w:t>Arrangements for Managing Safety</w:t>
      </w:r>
      <w:r w:rsidR="004F5F5B">
        <w:rPr>
          <w:i/>
        </w:rPr>
        <w:t xml:space="preserve">, </w:t>
      </w:r>
      <w:r w:rsidR="00193D3A" w:rsidRPr="004C1261">
        <w:t xml:space="preserve">a licence applicant </w:t>
      </w:r>
      <w:r w:rsidRPr="004C1261">
        <w:t xml:space="preserve">must </w:t>
      </w:r>
      <w:r w:rsidR="00193D3A" w:rsidRPr="004C1261">
        <w:t>demonstrate</w:t>
      </w:r>
      <w:r w:rsidRPr="004C1261">
        <w:t xml:space="preserve"> that arrangements are in place to establish and manage a facility and the interdependencies between such arrangements should be documented in a management system. The management system must be designed to support the object of the</w:t>
      </w:r>
      <w:r w:rsidR="004F5F5B">
        <w:t xml:space="preserve"> Act</w:t>
      </w:r>
      <w:r w:rsidRPr="004C1261">
        <w:t xml:space="preserve"> and integrate safety, health, environmental, security, qu</w:t>
      </w:r>
      <w:r w:rsidR="00BD3F24">
        <w:t>ality, societal and economic elements.</w:t>
      </w:r>
    </w:p>
    <w:p w14:paraId="4E78B7B3" w14:textId="32DE967F" w:rsidR="00167CA2" w:rsidRPr="00A85A71" w:rsidRDefault="00167CA2" w:rsidP="00167CA2">
      <w:pPr>
        <w:pStyle w:val="Heading2"/>
      </w:pPr>
      <w:r>
        <w:t xml:space="preserve">OPAL </w:t>
      </w:r>
    </w:p>
    <w:p w14:paraId="0363423E" w14:textId="243A90A4" w:rsidR="00193D3A" w:rsidRDefault="00193D3A" w:rsidP="003E7BB4">
      <w:pPr>
        <w:pStyle w:val="130list"/>
      </w:pPr>
      <w:r w:rsidRPr="00B420B6">
        <w:t>The administrative control of OPAL is undertaken in accordance with the Nuclear Operations Business Management System (BMS).</w:t>
      </w:r>
      <w:r w:rsidR="00B36A53">
        <w:t xml:space="preserve"> </w:t>
      </w:r>
      <w:r w:rsidRPr="00B420B6">
        <w:t>This system sits within the ANSTO Quality Policy and ANSTO Business Management System (ABMS) framework.</w:t>
      </w:r>
      <w:r w:rsidR="00B36A53">
        <w:t xml:space="preserve"> </w:t>
      </w:r>
      <w:r w:rsidRPr="00B420B6">
        <w:t>The ABMS covers ANSTO policies, overarching processes and supporting guidance.</w:t>
      </w:r>
      <w:r w:rsidR="00B36A53">
        <w:t xml:space="preserve"> </w:t>
      </w:r>
      <w:r w:rsidRPr="00B420B6">
        <w:t>The ABMS (and hence, the Nuclear Operations BMS) is ISO 9001 certified.</w:t>
      </w:r>
      <w:r w:rsidR="00B36A53">
        <w:t xml:space="preserve"> </w:t>
      </w:r>
    </w:p>
    <w:p w14:paraId="11F0EE69" w14:textId="148DA7FD" w:rsidR="00193D3A" w:rsidRPr="00B420B6" w:rsidRDefault="00193D3A" w:rsidP="003E7BB4">
      <w:pPr>
        <w:pStyle w:val="130list"/>
      </w:pPr>
      <w:r w:rsidRPr="00B420B6">
        <w:t xml:space="preserve">The lead document of the Nuclear Operations BMS is the </w:t>
      </w:r>
      <w:r w:rsidRPr="00B420B6">
        <w:rPr>
          <w:i/>
        </w:rPr>
        <w:t>Nuclear Operations Business Management System Manual</w:t>
      </w:r>
      <w:r w:rsidRPr="00B420B6">
        <w:t xml:space="preserve"> and below this lie </w:t>
      </w:r>
      <w:r w:rsidR="00D169D9">
        <w:t>a</w:t>
      </w:r>
      <w:r w:rsidR="00D169D9" w:rsidRPr="00B420B6">
        <w:t xml:space="preserve"> </w:t>
      </w:r>
      <w:r w:rsidRPr="00B420B6">
        <w:t>range of manuals, procedures, instructions, and forms for operational and maintenance activities.</w:t>
      </w:r>
      <w:r w:rsidR="00B36A53">
        <w:t xml:space="preserve"> </w:t>
      </w:r>
      <w:r w:rsidRPr="00B420B6">
        <w:t>The documents include response to alarms and emergency operating instructions.</w:t>
      </w:r>
      <w:r w:rsidR="00B36A53">
        <w:t xml:space="preserve"> </w:t>
      </w:r>
      <w:r w:rsidRPr="00B420B6">
        <w:t>ARPANSA reviewed these documents as part of the licence application assessment process and regularly undertakes inspections to determine if OPAL operation is consistent with the documentation contained in the Nuclear Operations BMS.</w:t>
      </w:r>
      <w:r w:rsidR="00B36A53">
        <w:t xml:space="preserve"> </w:t>
      </w:r>
    </w:p>
    <w:p w14:paraId="62F6FA39" w14:textId="236C0E4D" w:rsidR="000C26A5" w:rsidRDefault="00193D3A" w:rsidP="003E7BB4">
      <w:pPr>
        <w:pStyle w:val="130list"/>
      </w:pPr>
      <w:r>
        <w:t>ANSTO undertakes regular internal management system audits in accordance with its ISO 9001 quality system and ISO 14001 environmental system certifications that verify activities are compliant with the Nuclear Operations BMS and to identify process improvements.</w:t>
      </w:r>
      <w:r w:rsidR="00B36A53">
        <w:t xml:space="preserve"> </w:t>
      </w:r>
      <w:r>
        <w:t>ANSTO is also subject to regular surveillance and re-certification audits by an accredited external organisation in order to maintain its ISO 9001 quality system and ISO 14001 environmental management system certifications.</w:t>
      </w:r>
    </w:p>
    <w:p w14:paraId="37EA52DF" w14:textId="77777777" w:rsidR="00193D3A" w:rsidRPr="000C26A5" w:rsidRDefault="000C26A5" w:rsidP="000C26A5">
      <w:pPr>
        <w:rPr>
          <w:color w:val="000000"/>
        </w:rPr>
      </w:pPr>
      <w:r>
        <w:rPr>
          <w:color w:val="000000"/>
        </w:rPr>
        <w:br w:type="page"/>
      </w:r>
    </w:p>
    <w:p w14:paraId="6867E133" w14:textId="77777777" w:rsidR="001F3F4D" w:rsidRDefault="00193D3A" w:rsidP="001F3F4D">
      <w:pPr>
        <w:pStyle w:val="Heading1"/>
        <w:numPr>
          <w:ilvl w:val="0"/>
          <w:numId w:val="0"/>
        </w:numPr>
        <w:spacing w:after="120"/>
        <w:ind w:left="680" w:hanging="680"/>
      </w:pPr>
      <w:bookmarkStart w:id="99" w:name="_Ref516303943"/>
      <w:bookmarkStart w:id="100" w:name="_Toc527512566"/>
      <w:bookmarkStart w:id="101" w:name="_Toc81816909"/>
      <w:bookmarkStart w:id="102" w:name="_Toc81816964"/>
      <w:bookmarkStart w:id="103" w:name="_Toc81891568"/>
      <w:bookmarkStart w:id="104" w:name="_Toc81893634"/>
      <w:bookmarkStart w:id="105" w:name="_Toc81896903"/>
      <w:bookmarkStart w:id="106" w:name="_Toc457392313"/>
      <w:bookmarkStart w:id="107" w:name="_Toc12537950"/>
      <w:r w:rsidRPr="00193D3A">
        <w:lastRenderedPageBreak/>
        <w:t>Article 14 – Assessment and Verification of Safety</w:t>
      </w:r>
      <w:bookmarkEnd w:id="99"/>
      <w:bookmarkEnd w:id="100"/>
      <w:bookmarkEnd w:id="101"/>
      <w:bookmarkEnd w:id="102"/>
      <w:bookmarkEnd w:id="103"/>
      <w:bookmarkEnd w:id="104"/>
      <w:bookmarkEnd w:id="105"/>
      <w:bookmarkEnd w:id="106"/>
      <w:bookmarkEnd w:id="107"/>
      <w:r w:rsidR="001F3F4D" w:rsidRPr="00695883">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1F3F4D" w14:paraId="0BE3B227" w14:textId="77777777" w:rsidTr="00FD7DD3">
        <w:tc>
          <w:tcPr>
            <w:tcW w:w="9639" w:type="dxa"/>
            <w:shd w:val="clear" w:color="auto" w:fill="F3EAFA"/>
          </w:tcPr>
          <w:p w14:paraId="70AEFCBE" w14:textId="77777777" w:rsidR="001F3F4D" w:rsidRPr="001F3F4D" w:rsidRDefault="001F3F4D" w:rsidP="001F3F4D">
            <w:pPr>
              <w:jc w:val="left"/>
              <w:rPr>
                <w:rStyle w:val="Normalbold"/>
                <w:b w:val="0"/>
                <w:i/>
              </w:rPr>
            </w:pPr>
            <w:r w:rsidRPr="001F3F4D">
              <w:rPr>
                <w:rStyle w:val="Normalbold"/>
                <w:b w:val="0"/>
                <w:i/>
              </w:rPr>
              <w:t xml:space="preserve">Each Contracting Party shall take the appropriate steps to ensure that: </w:t>
            </w:r>
          </w:p>
          <w:p w14:paraId="74376327" w14:textId="160475FD" w:rsidR="001F3F4D" w:rsidRPr="008F08C7" w:rsidRDefault="001F3F4D" w:rsidP="001F3F4D">
            <w:pPr>
              <w:ind w:left="734" w:hanging="425"/>
              <w:jc w:val="left"/>
              <w:rPr>
                <w:rStyle w:val="Normalbold"/>
                <w:b w:val="0"/>
                <w:i/>
              </w:rPr>
            </w:pPr>
            <w:r w:rsidRPr="001F3F4D">
              <w:rPr>
                <w:rStyle w:val="Normalbold"/>
                <w:b w:val="0"/>
                <w:i/>
              </w:rPr>
              <w:t>i.</w:t>
            </w:r>
            <w:r w:rsidRPr="001F3F4D">
              <w:rPr>
                <w:rStyle w:val="Normalbold"/>
                <w:b w:val="0"/>
                <w:i/>
              </w:rPr>
              <w:tab/>
              <w:t>comprehensive and systematic safety assessments are carried out before the construction and commissioning of a nuclear installation and throughout its life.</w:t>
            </w:r>
            <w:r w:rsidR="00B36A53">
              <w:rPr>
                <w:rStyle w:val="Normalbold"/>
                <w:b w:val="0"/>
                <w:i/>
              </w:rPr>
              <w:t xml:space="preserve"> </w:t>
            </w:r>
            <w:r w:rsidRPr="001F3F4D">
              <w:rPr>
                <w:rStyle w:val="Normalbold"/>
                <w:b w:val="0"/>
                <w:i/>
              </w:rPr>
              <w:t>Such assessments shall be well documented, subsequently updated in the light of operating experience and significant new safety information, and reviewed under the authority of the regulatory body;</w:t>
            </w:r>
          </w:p>
        </w:tc>
      </w:tr>
    </w:tbl>
    <w:p w14:paraId="27660F40" w14:textId="77777777" w:rsidR="00193D3A" w:rsidRPr="00FD5BE4" w:rsidRDefault="00193D3A" w:rsidP="00193D3A">
      <w:pPr>
        <w:pStyle w:val="Heading2"/>
      </w:pPr>
      <w:bookmarkStart w:id="108" w:name="_Toc5807502"/>
      <w:r w:rsidRPr="00FD5BE4">
        <w:t>Safety Assessment</w:t>
      </w:r>
      <w:r>
        <w:t xml:space="preserve"> Reports (SAR)</w:t>
      </w:r>
      <w:bookmarkEnd w:id="108"/>
    </w:p>
    <w:p w14:paraId="1163D64E" w14:textId="032E668E" w:rsidR="00193D3A" w:rsidRPr="00234A37" w:rsidRDefault="00193D3A" w:rsidP="00521D10">
      <w:pPr>
        <w:pStyle w:val="140list"/>
      </w:pPr>
      <w:r w:rsidRPr="00234A37">
        <w:t>ARPANSA’s licensing process is staged.</w:t>
      </w:r>
      <w:r w:rsidR="00B36A53">
        <w:t xml:space="preserve"> </w:t>
      </w:r>
      <w:r w:rsidRPr="00234A37">
        <w:t>A separate licence is required for each stage of a nuclear reactor’s lifecycle from the preparation of a site to decommissioning</w:t>
      </w:r>
      <w:bookmarkStart w:id="109" w:name="_Ref176957363"/>
      <w:r w:rsidRPr="00234A37">
        <w:t>.</w:t>
      </w:r>
      <w:r w:rsidR="00B36A53">
        <w:t xml:space="preserve"> </w:t>
      </w:r>
      <w:bookmarkEnd w:id="109"/>
      <w:r w:rsidRPr="00234A37">
        <w:t>ARPANSA requires a preliminary SAR (PSAR) to be included in an application for a licence to construct a reactor.</w:t>
      </w:r>
      <w:r w:rsidR="00B36A53">
        <w:t xml:space="preserve"> </w:t>
      </w:r>
      <w:r w:rsidRPr="00234A37">
        <w:t>A final SAR (FSAR) is an updated version of the PSAR and must be submitted when applying for a licence to operate a reactor.</w:t>
      </w:r>
      <w:r w:rsidR="00B36A53">
        <w:t xml:space="preserve"> </w:t>
      </w:r>
      <w:r w:rsidRPr="00234A37">
        <w:t>The SAR is treated as a living document and is required to be updated throughout the life of the reactor.</w:t>
      </w:r>
    </w:p>
    <w:p w14:paraId="3E212FD3" w14:textId="6B3442D9" w:rsidR="00193D3A" w:rsidRPr="00167CA2" w:rsidRDefault="00193D3A" w:rsidP="00521D10">
      <w:pPr>
        <w:pStyle w:val="140list"/>
      </w:pPr>
      <w:r w:rsidRPr="00FD5BE4">
        <w:t>The SAR must include deterministic safety analyses to determine if the safety limits and objectives will be met for design-basis accidents.</w:t>
      </w:r>
      <w:r w:rsidR="00B36A53">
        <w:t xml:space="preserve"> </w:t>
      </w:r>
      <w:r>
        <w:t>A p</w:t>
      </w:r>
      <w:r w:rsidRPr="00FD5BE4">
        <w:t xml:space="preserve">robabilistic </w:t>
      </w:r>
      <w:r>
        <w:t xml:space="preserve">safety </w:t>
      </w:r>
      <w:r w:rsidRPr="00FD5BE4">
        <w:t xml:space="preserve">assessment may supplement </w:t>
      </w:r>
      <w:r>
        <w:t xml:space="preserve">the </w:t>
      </w:r>
      <w:r w:rsidRPr="00FD5BE4">
        <w:t xml:space="preserve">deterministic </w:t>
      </w:r>
      <w:r>
        <w:t xml:space="preserve">safety </w:t>
      </w:r>
      <w:r w:rsidRPr="00FD5BE4">
        <w:t>assessment of design-basis and beyond-design-basis accidents.</w:t>
      </w:r>
      <w:r w:rsidR="00B36A53">
        <w:t xml:space="preserve"> </w:t>
      </w:r>
      <w:r w:rsidRPr="00FD5BE4">
        <w:t xml:space="preserve">The </w:t>
      </w:r>
      <w:r>
        <w:t>operati</w:t>
      </w:r>
      <w:r w:rsidR="008C59BE">
        <w:t>onal</w:t>
      </w:r>
      <w:r>
        <w:t xml:space="preserve"> limits and conditions (</w:t>
      </w:r>
      <w:r w:rsidRPr="00FD5BE4">
        <w:t>OLC</w:t>
      </w:r>
      <w:r>
        <w:t>)</w:t>
      </w:r>
      <w:r w:rsidRPr="00FD5BE4">
        <w:t xml:space="preserve"> </w:t>
      </w:r>
      <w:r>
        <w:t xml:space="preserve">are </w:t>
      </w:r>
      <w:r w:rsidRPr="00FD5BE4">
        <w:t>determined from the safety analyses</w:t>
      </w:r>
      <w:r w:rsidR="005D6098" w:rsidRPr="00167CA2">
        <w:t xml:space="preserve">. Design </w:t>
      </w:r>
      <w:r w:rsidR="0067497A">
        <w:t>e</w:t>
      </w:r>
      <w:r w:rsidR="005D6098" w:rsidRPr="00167CA2">
        <w:t xml:space="preserve">xtension </w:t>
      </w:r>
      <w:r w:rsidR="0067497A">
        <w:t>c</w:t>
      </w:r>
      <w:r w:rsidR="005D6098" w:rsidRPr="00167CA2">
        <w:t>onditions</w:t>
      </w:r>
      <w:r w:rsidR="00BA17C1" w:rsidRPr="00167CA2">
        <w:t xml:space="preserve"> are currently being </w:t>
      </w:r>
      <w:r w:rsidR="006744FA" w:rsidRPr="00167CA2">
        <w:t>assessed</w:t>
      </w:r>
      <w:r w:rsidR="00BA17C1" w:rsidRPr="00167CA2">
        <w:t xml:space="preserve"> as per the requirements of the </w:t>
      </w:r>
      <w:r w:rsidR="0067497A">
        <w:t>l</w:t>
      </w:r>
      <w:r w:rsidR="00BA17C1" w:rsidRPr="00167CA2">
        <w:t>icence</w:t>
      </w:r>
      <w:r w:rsidR="00167CA2" w:rsidRPr="00167CA2">
        <w:t>.</w:t>
      </w:r>
    </w:p>
    <w:p w14:paraId="1A34820E" w14:textId="77777777" w:rsidR="00193D3A" w:rsidRDefault="00193D3A" w:rsidP="00521D10">
      <w:pPr>
        <w:pStyle w:val="140list"/>
      </w:pPr>
      <w:r>
        <w:t>ARPANSA’s requirements for each phase of a nuclear reactor’s lifecycle can be summarised as follows:</w:t>
      </w:r>
    </w:p>
    <w:tbl>
      <w:tblPr>
        <w:tblStyle w:val="GenericARPANSA"/>
        <w:tblW w:w="9360" w:type="dxa"/>
        <w:tblInd w:w="279" w:type="dxa"/>
        <w:tblLook w:val="0480" w:firstRow="0" w:lastRow="0" w:firstColumn="1" w:lastColumn="0" w:noHBand="0" w:noVBand="1"/>
      </w:tblPr>
      <w:tblGrid>
        <w:gridCol w:w="2268"/>
        <w:gridCol w:w="7092"/>
      </w:tblGrid>
      <w:tr w:rsidR="00193D3A" w14:paraId="2778EB97" w14:textId="77777777" w:rsidTr="00704C4B">
        <w:tc>
          <w:tcPr>
            <w:tcW w:w="2268" w:type="dxa"/>
          </w:tcPr>
          <w:p w14:paraId="6EF0C693" w14:textId="1FF2B663" w:rsidR="003308AB" w:rsidRDefault="001C2A9E" w:rsidP="003308AB">
            <w:pPr>
              <w:rPr>
                <w:b/>
              </w:rPr>
            </w:pPr>
            <w:r>
              <w:rPr>
                <w:b/>
                <w:noProof/>
                <w:lang w:eastAsia="en-AU"/>
              </w:rPr>
              <w:drawing>
                <wp:inline distT="0" distB="0" distL="0" distR="0" wp14:anchorId="4D5154B6" wp14:editId="6106564B">
                  <wp:extent cx="540000" cy="540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iting new.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p w14:paraId="6B6E02BD" w14:textId="05E2F57F" w:rsidR="00193D3A" w:rsidRPr="00526BA5" w:rsidRDefault="00193D3A" w:rsidP="003308AB">
            <w:pPr>
              <w:rPr>
                <w:b/>
              </w:rPr>
            </w:pPr>
            <w:r w:rsidRPr="00526BA5">
              <w:rPr>
                <w:b/>
              </w:rPr>
              <w:t>Siting</w:t>
            </w:r>
          </w:p>
        </w:tc>
        <w:tc>
          <w:tcPr>
            <w:tcW w:w="7092" w:type="dxa"/>
          </w:tcPr>
          <w:p w14:paraId="766BFA94" w14:textId="0BBDA7D3" w:rsidR="00193D3A" w:rsidRDefault="00193D3A" w:rsidP="00CC6C84">
            <w:pPr>
              <w:jc w:val="left"/>
            </w:pPr>
            <w:r>
              <w:t xml:space="preserve">Detailed site evaluation, including </w:t>
            </w:r>
            <w:r w:rsidRPr="00FD5BE4">
              <w:t>a consideration of the extent to which the site may be affected by natural and man-made events</w:t>
            </w:r>
            <w:r>
              <w:t>,</w:t>
            </w:r>
            <w:r w:rsidRPr="00FD5BE4">
              <w:t xml:space="preserve"> and environmental impact assessments</w:t>
            </w:r>
            <w:r w:rsidR="0067497A">
              <w:t>.</w:t>
            </w:r>
          </w:p>
        </w:tc>
      </w:tr>
      <w:tr w:rsidR="00193D3A" w14:paraId="2A1D2E2F" w14:textId="77777777" w:rsidTr="00704C4B">
        <w:trPr>
          <w:cnfStyle w:val="000000010000" w:firstRow="0" w:lastRow="0" w:firstColumn="0" w:lastColumn="0" w:oddVBand="0" w:evenVBand="0" w:oddHBand="0" w:evenHBand="1" w:firstRowFirstColumn="0" w:firstRowLastColumn="0" w:lastRowFirstColumn="0" w:lastRowLastColumn="0"/>
        </w:trPr>
        <w:tc>
          <w:tcPr>
            <w:tcW w:w="2268" w:type="dxa"/>
          </w:tcPr>
          <w:p w14:paraId="73CBA5E5" w14:textId="2A382E14" w:rsidR="00D06CE1" w:rsidRDefault="00D06CE1" w:rsidP="003308AB">
            <w:pPr>
              <w:rPr>
                <w:b/>
              </w:rPr>
            </w:pPr>
            <w:r>
              <w:rPr>
                <w:b/>
                <w:noProof/>
                <w:lang w:eastAsia="en-AU"/>
              </w:rPr>
              <w:drawing>
                <wp:inline distT="0" distB="0" distL="0" distR="0" wp14:anchorId="484C7CBF" wp14:editId="61D1DB52">
                  <wp:extent cx="540000" cy="5400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esign.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p w14:paraId="64F2C204" w14:textId="132B00D5" w:rsidR="00193D3A" w:rsidRPr="00526BA5" w:rsidRDefault="00193D3A" w:rsidP="003308AB">
            <w:pPr>
              <w:rPr>
                <w:b/>
              </w:rPr>
            </w:pPr>
            <w:r w:rsidRPr="00526BA5">
              <w:rPr>
                <w:b/>
              </w:rPr>
              <w:t>Construction and operation</w:t>
            </w:r>
          </w:p>
        </w:tc>
        <w:tc>
          <w:tcPr>
            <w:tcW w:w="7092" w:type="dxa"/>
          </w:tcPr>
          <w:p w14:paraId="5009FC34" w14:textId="45462131" w:rsidR="00193D3A" w:rsidRDefault="00193D3A" w:rsidP="00CC6C84">
            <w:pPr>
              <w:jc w:val="left"/>
            </w:pPr>
            <w:r>
              <w:t>D</w:t>
            </w:r>
            <w:r w:rsidRPr="00FD5BE4">
              <w:t>esign information, including the OLC</w:t>
            </w:r>
            <w:r>
              <w:t xml:space="preserve"> </w:t>
            </w:r>
            <w:r w:rsidRPr="00FD5BE4">
              <w:t xml:space="preserve">within which the </w:t>
            </w:r>
            <w:r>
              <w:t>reactor</w:t>
            </w:r>
            <w:r w:rsidRPr="00FD5BE4">
              <w:t xml:space="preserve"> must operate, </w:t>
            </w:r>
            <w:r>
              <w:t xml:space="preserve">the </w:t>
            </w:r>
            <w:r w:rsidRPr="00FD5BE4">
              <w:t>safety analysis</w:t>
            </w:r>
            <w:r>
              <w:t>,</w:t>
            </w:r>
            <w:r w:rsidRPr="00FD5BE4">
              <w:t xml:space="preserve"> and </w:t>
            </w:r>
            <w:r>
              <w:t xml:space="preserve">detailed </w:t>
            </w:r>
            <w:r w:rsidRPr="00FD5BE4">
              <w:t>plans and arrangements for safety.</w:t>
            </w:r>
          </w:p>
        </w:tc>
      </w:tr>
      <w:tr w:rsidR="00193D3A" w14:paraId="74CFA05B" w14:textId="77777777" w:rsidTr="00704C4B">
        <w:tc>
          <w:tcPr>
            <w:tcW w:w="2268" w:type="dxa"/>
          </w:tcPr>
          <w:p w14:paraId="3C818C01" w14:textId="262F0D9C" w:rsidR="00193D3A" w:rsidRPr="00526BA5" w:rsidRDefault="00700DF0" w:rsidP="003308AB">
            <w:pPr>
              <w:rPr>
                <w:b/>
              </w:rPr>
            </w:pPr>
            <w:r>
              <w:rPr>
                <w:b/>
                <w:noProof/>
                <w:lang w:eastAsia="en-AU"/>
              </w:rPr>
              <w:drawing>
                <wp:inline distT="0" distB="0" distL="0" distR="0" wp14:anchorId="7629EDD0" wp14:editId="269EB38D">
                  <wp:extent cx="540000" cy="540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ossesion new.png"/>
                          <pic:cNvPicPr/>
                        </pic:nvPicPr>
                        <pic:blipFill>
                          <a:blip r:embed="rId24">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r w:rsidR="00D06CE1">
              <w:rPr>
                <w:b/>
              </w:rPr>
              <w:br/>
            </w:r>
            <w:r w:rsidR="00193D3A" w:rsidRPr="00526BA5">
              <w:rPr>
                <w:b/>
              </w:rPr>
              <w:t xml:space="preserve">Possession </w:t>
            </w:r>
            <w:r w:rsidR="00DE7552" w:rsidRPr="00526BA5">
              <w:rPr>
                <w:b/>
              </w:rPr>
              <w:t>or</w:t>
            </w:r>
            <w:r w:rsidR="00193D3A" w:rsidRPr="00526BA5">
              <w:rPr>
                <w:b/>
              </w:rPr>
              <w:t xml:space="preserve"> control</w:t>
            </w:r>
          </w:p>
        </w:tc>
        <w:tc>
          <w:tcPr>
            <w:tcW w:w="7092" w:type="dxa"/>
          </w:tcPr>
          <w:p w14:paraId="50E4CE6A" w14:textId="77777777" w:rsidR="00193D3A" w:rsidRDefault="00193D3A" w:rsidP="00CC6C84">
            <w:pPr>
              <w:jc w:val="left"/>
            </w:pPr>
            <w:r>
              <w:t>A</w:t>
            </w:r>
            <w:r w:rsidRPr="00E728B2">
              <w:t>rrangements for safe storage of radioactive material and maintaining the nuclear reactor.</w:t>
            </w:r>
          </w:p>
        </w:tc>
      </w:tr>
      <w:tr w:rsidR="00193D3A" w14:paraId="7CAD151F" w14:textId="77777777" w:rsidTr="00704C4B">
        <w:trPr>
          <w:cnfStyle w:val="000000010000" w:firstRow="0" w:lastRow="0" w:firstColumn="0" w:lastColumn="0" w:oddVBand="0" w:evenVBand="0" w:oddHBand="0" w:evenHBand="1" w:firstRowFirstColumn="0" w:firstRowLastColumn="0" w:lastRowFirstColumn="0" w:lastRowLastColumn="0"/>
        </w:trPr>
        <w:tc>
          <w:tcPr>
            <w:tcW w:w="2268" w:type="dxa"/>
          </w:tcPr>
          <w:p w14:paraId="5C47B9D2" w14:textId="07E1E891" w:rsidR="00193D3A" w:rsidRPr="00526BA5" w:rsidRDefault="00D06CE1" w:rsidP="003308AB">
            <w:pPr>
              <w:rPr>
                <w:b/>
              </w:rPr>
            </w:pPr>
            <w:r>
              <w:rPr>
                <w:b/>
                <w:noProof/>
                <w:lang w:eastAsia="en-AU"/>
              </w:rPr>
              <w:drawing>
                <wp:inline distT="0" distB="0" distL="0" distR="0" wp14:anchorId="00A3B39C" wp14:editId="5102DF61">
                  <wp:extent cx="540000" cy="5400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losure.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r>
              <w:rPr>
                <w:b/>
              </w:rPr>
              <w:br/>
            </w:r>
            <w:r w:rsidR="00193D3A" w:rsidRPr="00526BA5">
              <w:rPr>
                <w:b/>
              </w:rPr>
              <w:t>Decommissioning and abandoning</w:t>
            </w:r>
          </w:p>
        </w:tc>
        <w:tc>
          <w:tcPr>
            <w:tcW w:w="7092" w:type="dxa"/>
          </w:tcPr>
          <w:p w14:paraId="46B08362" w14:textId="77777777" w:rsidR="00193D3A" w:rsidRDefault="00193D3A" w:rsidP="00CC6C84">
            <w:pPr>
              <w:jc w:val="left"/>
            </w:pPr>
            <w:r>
              <w:t>D</w:t>
            </w:r>
            <w:r w:rsidRPr="00E728B2">
              <w:t xml:space="preserve">ecommissioning plans and results (respectively) and the details of any </w:t>
            </w:r>
            <w:r>
              <w:t xml:space="preserve">proposed </w:t>
            </w:r>
            <w:r w:rsidRPr="00E728B2">
              <w:t>environmental monitoring program for the site.</w:t>
            </w:r>
          </w:p>
        </w:tc>
      </w:tr>
    </w:tbl>
    <w:p w14:paraId="17105441" w14:textId="77777777" w:rsidR="00193D3A" w:rsidRDefault="00193D3A" w:rsidP="00193D3A">
      <w:pPr>
        <w:pStyle w:val="Heading2"/>
      </w:pPr>
      <w:bookmarkStart w:id="110" w:name="_Toc5807503"/>
      <w:r w:rsidRPr="00FD5BE4">
        <w:lastRenderedPageBreak/>
        <w:t>OPAL</w:t>
      </w:r>
      <w:bookmarkEnd w:id="110"/>
    </w:p>
    <w:p w14:paraId="1E09B710" w14:textId="4EF562DC" w:rsidR="006F544B" w:rsidRDefault="00167CA2" w:rsidP="00AB09EF">
      <w:pPr>
        <w:pStyle w:val="140list"/>
        <w:spacing w:before="120"/>
      </w:pPr>
      <w:r>
        <w:t>ARPANSA issued the operating licence to OPAL in 2006 following a detailed assessment of the SAR and the plans and arrangements for ma</w:t>
      </w:r>
      <w:r w:rsidR="00980796">
        <w:t>naging safety submitted by ANSTO</w:t>
      </w:r>
      <w:r w:rsidR="00980796">
        <w:rPr>
          <w:rStyle w:val="FootnoteReference"/>
        </w:rPr>
        <w:footnoteReference w:id="32"/>
      </w:r>
      <w:r>
        <w:t>.</w:t>
      </w:r>
      <w:r w:rsidR="00B36A53">
        <w:t xml:space="preserve"> </w:t>
      </w:r>
      <w:r>
        <w:t>Any change to the SAR or the plans and arrangements with significant implications for safety requires approval by ARPANSA under</w:t>
      </w:r>
      <w:r w:rsidR="008C59BE">
        <w:t xml:space="preserve"> </w:t>
      </w:r>
      <w:r w:rsidR="000D01E2">
        <w:t>s</w:t>
      </w:r>
      <w:r w:rsidR="008C59BE">
        <w:t>ection 63 of the Regulations,</w:t>
      </w:r>
      <w:r>
        <w:t xml:space="preserve"> before implementation. </w:t>
      </w:r>
    </w:p>
    <w:p w14:paraId="75C0A31F" w14:textId="2BA64FC4" w:rsidR="00193D3A" w:rsidRDefault="00193D3A" w:rsidP="001E29F7">
      <w:pPr>
        <w:pStyle w:val="140list"/>
      </w:pPr>
      <w:r w:rsidRPr="00FD5BE4">
        <w:t xml:space="preserve">ANSTO </w:t>
      </w:r>
      <w:r>
        <w:t>has a well-developed and sophisticated system for safety assessment and verification</w:t>
      </w:r>
      <w:r w:rsidRPr="00FD5BE4">
        <w:t xml:space="preserve">, including </w:t>
      </w:r>
      <w:r>
        <w:t xml:space="preserve">the requirement for prior </w:t>
      </w:r>
      <w:r w:rsidRPr="00FD5BE4">
        <w:t xml:space="preserve">review and approvals </w:t>
      </w:r>
      <w:r w:rsidRPr="00ED0D1F">
        <w:t>of modifications to all licensed facilities that have the potential for significant implications for safety.</w:t>
      </w:r>
      <w:r w:rsidR="00B36A53">
        <w:t xml:space="preserve"> </w:t>
      </w:r>
      <w:r>
        <w:t>C</w:t>
      </w:r>
      <w:r w:rsidRPr="00ED0D1F">
        <w:t>hange</w:t>
      </w:r>
      <w:r>
        <w:t>s</w:t>
      </w:r>
      <w:r w:rsidRPr="00ED0D1F">
        <w:t xml:space="preserve"> at the OPAL reactor </w:t>
      </w:r>
      <w:r>
        <w:t xml:space="preserve">that have any impact on nuclear safety must be </w:t>
      </w:r>
      <w:r w:rsidRPr="00ED0D1F">
        <w:t>reviewed by the Reac</w:t>
      </w:r>
      <w:r>
        <w:t>tor Assessment Committee (RAC).</w:t>
      </w:r>
    </w:p>
    <w:tbl>
      <w:tblPr>
        <w:tblStyle w:val="GenericARPANSA"/>
        <w:tblW w:w="9639" w:type="dxa"/>
        <w:tblInd w:w="0" w:type="dxa"/>
        <w:shd w:val="clear" w:color="auto" w:fill="F3EAFA"/>
        <w:tblLook w:val="0480" w:firstRow="0" w:lastRow="0" w:firstColumn="1" w:lastColumn="0" w:noHBand="0" w:noVBand="1"/>
      </w:tblPr>
      <w:tblGrid>
        <w:gridCol w:w="9639"/>
      </w:tblGrid>
      <w:tr w:rsidR="00C20482" w14:paraId="5FB08EEF" w14:textId="77777777" w:rsidTr="00FD7DD3">
        <w:tc>
          <w:tcPr>
            <w:tcW w:w="9639" w:type="dxa"/>
            <w:shd w:val="clear" w:color="auto" w:fill="F3EAFA"/>
          </w:tcPr>
          <w:p w14:paraId="4A595221" w14:textId="2135E995" w:rsidR="00C20482" w:rsidRPr="008F08C7" w:rsidRDefault="00C20482" w:rsidP="00FD7DD3">
            <w:pPr>
              <w:ind w:left="734" w:hanging="425"/>
              <w:jc w:val="left"/>
              <w:rPr>
                <w:rStyle w:val="Normalbold"/>
                <w:b w:val="0"/>
                <w:i/>
              </w:rPr>
            </w:pPr>
            <w:r w:rsidRPr="001F3F4D">
              <w:rPr>
                <w:rStyle w:val="Normalbold"/>
                <w:b w:val="0"/>
                <w:i/>
              </w:rPr>
              <w:t>i</w:t>
            </w:r>
            <w:r>
              <w:rPr>
                <w:rStyle w:val="Normalbold"/>
                <w:b w:val="0"/>
                <w:i/>
              </w:rPr>
              <w:t>i</w:t>
            </w:r>
            <w:r w:rsidRPr="001F3F4D">
              <w:rPr>
                <w:rStyle w:val="Normalbold"/>
                <w:b w:val="0"/>
                <w:i/>
              </w:rPr>
              <w:t>.</w:t>
            </w:r>
            <w:r w:rsidRPr="001F3F4D">
              <w:rPr>
                <w:rStyle w:val="Normalbold"/>
                <w:b w:val="0"/>
                <w:i/>
              </w:rPr>
              <w:tab/>
            </w:r>
            <w:r w:rsidRPr="00C20482">
              <w:rPr>
                <w:rStyle w:val="Normalbold"/>
                <w:b w:val="0"/>
                <w:i/>
              </w:rPr>
              <w:t>verification by analysis, surveillance, testing and inspection is carried out to ensure that the physical state and the operation of a nuclear installation continue to be in accordance with its design, applicable national safety requirements, and operational limits and conditions.</w:t>
            </w:r>
          </w:p>
        </w:tc>
      </w:tr>
    </w:tbl>
    <w:p w14:paraId="572F8353" w14:textId="2485C9A9" w:rsidR="00193D3A" w:rsidRPr="00FD5BE4" w:rsidRDefault="00193D3A" w:rsidP="00193D3A">
      <w:pPr>
        <w:pStyle w:val="Heading2"/>
      </w:pPr>
      <w:bookmarkStart w:id="111" w:name="_Toc5807504"/>
      <w:r w:rsidRPr="009327CC">
        <w:t>Safety</w:t>
      </w:r>
      <w:r w:rsidRPr="00FD5BE4">
        <w:t xml:space="preserve"> </w:t>
      </w:r>
      <w:r>
        <w:t>v</w:t>
      </w:r>
      <w:r w:rsidRPr="00FD5BE4">
        <w:t>erification</w:t>
      </w:r>
      <w:bookmarkEnd w:id="111"/>
    </w:p>
    <w:p w14:paraId="54CDF944" w14:textId="1106EC33" w:rsidR="00193D3A" w:rsidRDefault="00193D3A" w:rsidP="003B6284">
      <w:pPr>
        <w:pStyle w:val="140list"/>
      </w:pPr>
      <w:r w:rsidRPr="00FD5BE4">
        <w:t xml:space="preserve">The </w:t>
      </w:r>
      <w:r>
        <w:t>Regulations</w:t>
      </w:r>
      <w:r w:rsidRPr="00FD5BE4">
        <w:t xml:space="preserve"> require </w:t>
      </w:r>
      <w:r>
        <w:t xml:space="preserve">a </w:t>
      </w:r>
      <w:r w:rsidRPr="00FD5BE4">
        <w:t>licence holder</w:t>
      </w:r>
      <w:r>
        <w:t xml:space="preserve"> </w:t>
      </w:r>
      <w:r w:rsidRPr="00FD5BE4">
        <w:t xml:space="preserve">to </w:t>
      </w:r>
      <w:r>
        <w:t>take all reasonably practicable measures to implement its p</w:t>
      </w:r>
      <w:r w:rsidRPr="00FD5BE4">
        <w:t xml:space="preserve">lans and </w:t>
      </w:r>
      <w:r>
        <w:t>a</w:t>
      </w:r>
      <w:r w:rsidRPr="00FD5BE4">
        <w:t xml:space="preserve">rrangements for </w:t>
      </w:r>
      <w:r>
        <w:t>m</w:t>
      </w:r>
      <w:r w:rsidRPr="00FD5BE4">
        <w:t xml:space="preserve">anaging </w:t>
      </w:r>
      <w:r>
        <w:t>s</w:t>
      </w:r>
      <w:r w:rsidRPr="00FD5BE4">
        <w:t>afety</w:t>
      </w:r>
      <w:r>
        <w:t>.</w:t>
      </w:r>
      <w:r w:rsidR="00B36A53">
        <w:t xml:space="preserve"> </w:t>
      </w:r>
      <w:r>
        <w:t xml:space="preserve">The licence holder is also required to </w:t>
      </w:r>
      <w:r w:rsidRPr="00FD5BE4">
        <w:t xml:space="preserve">review </w:t>
      </w:r>
      <w:r>
        <w:t xml:space="preserve">those </w:t>
      </w:r>
      <w:r w:rsidRPr="00FD5BE4">
        <w:t xml:space="preserve">plans and arrangements </w:t>
      </w:r>
      <w:r>
        <w:t>at least once every three years</w:t>
      </w:r>
      <w:r w:rsidRPr="00FD5BE4">
        <w:t>.</w:t>
      </w:r>
      <w:r w:rsidR="00B36A53">
        <w:t xml:space="preserve"> </w:t>
      </w:r>
      <w:r w:rsidRPr="00FD5BE4">
        <w:t xml:space="preserve">Any change to </w:t>
      </w:r>
      <w:r>
        <w:t>p</w:t>
      </w:r>
      <w:r w:rsidRPr="00FD5BE4">
        <w:t xml:space="preserve">lans and </w:t>
      </w:r>
      <w:r>
        <w:t>a</w:t>
      </w:r>
      <w:r w:rsidRPr="00FD5BE4">
        <w:t xml:space="preserve">rrangements that </w:t>
      </w:r>
      <w:r>
        <w:t xml:space="preserve">may </w:t>
      </w:r>
      <w:r w:rsidRPr="00FD5BE4">
        <w:t xml:space="preserve">have significant implications for safety must </w:t>
      </w:r>
      <w:r>
        <w:t xml:space="preserve">be </w:t>
      </w:r>
      <w:r w:rsidRPr="00FD5BE4">
        <w:t>approv</w:t>
      </w:r>
      <w:r>
        <w:t xml:space="preserve">ed </w:t>
      </w:r>
      <w:r w:rsidRPr="00FD5BE4">
        <w:t>prior to implementation.</w:t>
      </w:r>
      <w:r w:rsidR="00B36A53">
        <w:t xml:space="preserve"> </w:t>
      </w:r>
    </w:p>
    <w:p w14:paraId="7CE0980A" w14:textId="62D35C6D" w:rsidR="00193D3A" w:rsidRDefault="00193D3A" w:rsidP="003B6284">
      <w:pPr>
        <w:pStyle w:val="140list"/>
      </w:pPr>
      <w:r w:rsidRPr="001A54D2">
        <w:t>ARPANSA conducts planned inspections to verify the safe</w:t>
      </w:r>
      <w:r>
        <w:t>ty</w:t>
      </w:r>
      <w:r w:rsidRPr="001A54D2">
        <w:t xml:space="preserve"> of </w:t>
      </w:r>
      <w:r>
        <w:t>OPAL and HIFAR</w:t>
      </w:r>
      <w:r w:rsidR="00D07916">
        <w:t xml:space="preserve"> and other facilities</w:t>
      </w:r>
      <w:r w:rsidR="00167CA2">
        <w:t>.</w:t>
      </w:r>
      <w:r w:rsidR="00B36A53">
        <w:t xml:space="preserve"> </w:t>
      </w:r>
      <w:r w:rsidRPr="001A54D2">
        <w:t>The inspection</w:t>
      </w:r>
      <w:r>
        <w:t>s</w:t>
      </w:r>
      <w:r w:rsidRPr="001A54D2">
        <w:t xml:space="preserve"> </w:t>
      </w:r>
      <w:r>
        <w:t xml:space="preserve">aim </w:t>
      </w:r>
      <w:r w:rsidRPr="001A54D2">
        <w:t xml:space="preserve">to assess the safety performance of </w:t>
      </w:r>
      <w:r>
        <w:t xml:space="preserve">ANSTO </w:t>
      </w:r>
      <w:r w:rsidRPr="001A54D2">
        <w:t xml:space="preserve">and provide reasonable assurance to the </w:t>
      </w:r>
      <w:r>
        <w:t xml:space="preserve">Australian Government and the </w:t>
      </w:r>
      <w:r w:rsidRPr="001A54D2">
        <w:t>public that activities involving radiation facilities and sources do not pose a threat to human health or the environment.</w:t>
      </w:r>
      <w:r w:rsidR="00B36A53">
        <w:t xml:space="preserve"> </w:t>
      </w:r>
      <w:r w:rsidRPr="001A54D2">
        <w:t>The inspections focus on compliance with the Act and Regulations</w:t>
      </w:r>
      <w:r>
        <w:t>.</w:t>
      </w:r>
      <w:r w:rsidR="00B36A53">
        <w:t xml:space="preserve"> </w:t>
      </w:r>
      <w:r>
        <w:t xml:space="preserve">A set of </w:t>
      </w:r>
      <w:r w:rsidR="00D015B6">
        <w:t>p</w:t>
      </w:r>
      <w:r w:rsidRPr="001A54D2">
        <w:t xml:space="preserve">erformance </w:t>
      </w:r>
      <w:r w:rsidR="00D015B6">
        <w:t>o</w:t>
      </w:r>
      <w:r w:rsidRPr="001A54D2">
        <w:t xml:space="preserve">bjectives and </w:t>
      </w:r>
      <w:r w:rsidR="00D015B6">
        <w:t>c</w:t>
      </w:r>
      <w:r w:rsidRPr="001A54D2">
        <w:t>riteria (PO&amp;C)</w:t>
      </w:r>
      <w:r>
        <w:rPr>
          <w:rStyle w:val="FootnoteReference"/>
        </w:rPr>
        <w:footnoteReference w:id="33"/>
      </w:r>
      <w:r w:rsidR="00B36A53">
        <w:t xml:space="preserve"> </w:t>
      </w:r>
      <w:r w:rsidRPr="004411AB">
        <w:t xml:space="preserve">are used by inspectors </w:t>
      </w:r>
      <w:r>
        <w:t>for a</w:t>
      </w:r>
      <w:r w:rsidRPr="004411AB">
        <w:t xml:space="preserve"> transparent </w:t>
      </w:r>
      <w:r>
        <w:t xml:space="preserve">and graded </w:t>
      </w:r>
      <w:r w:rsidRPr="004411AB">
        <w:t xml:space="preserve">approach </w:t>
      </w:r>
      <w:r>
        <w:t xml:space="preserve">to assess licence holders’ practices and </w:t>
      </w:r>
      <w:r w:rsidRPr="004411AB">
        <w:t>is consistent with the risk of the facility.</w:t>
      </w:r>
      <w:r w:rsidR="00B36A53">
        <w:t xml:space="preserve"> </w:t>
      </w:r>
    </w:p>
    <w:p w14:paraId="4F35BEE1" w14:textId="404E5924" w:rsidR="00193D3A" w:rsidRDefault="00193D3A" w:rsidP="003B6284">
      <w:pPr>
        <w:pStyle w:val="140list"/>
        <w:rPr>
          <w:szCs w:val="24"/>
        </w:rPr>
      </w:pPr>
      <w:r w:rsidRPr="002F7188">
        <w:rPr>
          <w:szCs w:val="24"/>
        </w:rPr>
        <w:t>The PO&amp;Cs reflect international best practices</w:t>
      </w:r>
      <w:r>
        <w:rPr>
          <w:szCs w:val="24"/>
        </w:rPr>
        <w:t xml:space="preserve"> and are organised under </w:t>
      </w:r>
      <w:r>
        <w:rPr>
          <w:szCs w:val="24"/>
          <w:lang w:val="en"/>
        </w:rPr>
        <w:t xml:space="preserve">eight </w:t>
      </w:r>
      <w:r w:rsidRPr="002F7188">
        <w:rPr>
          <w:szCs w:val="24"/>
        </w:rPr>
        <w:t>‘baseline modules’ and three cross cutting areas</w:t>
      </w:r>
      <w:r>
        <w:rPr>
          <w:szCs w:val="24"/>
        </w:rPr>
        <w:t xml:space="preserve">. </w:t>
      </w:r>
      <w:r w:rsidRPr="002F7188">
        <w:rPr>
          <w:szCs w:val="24"/>
        </w:rPr>
        <w:t>One or more of these modules is used for the inspection of facilities.</w:t>
      </w:r>
      <w:r w:rsidR="00B36A53">
        <w:rPr>
          <w:szCs w:val="24"/>
        </w:rPr>
        <w:t xml:space="preserve"> </w:t>
      </w:r>
      <w:r>
        <w:rPr>
          <w:szCs w:val="24"/>
        </w:rPr>
        <w:t>The eight baseline modules cover:</w:t>
      </w:r>
    </w:p>
    <w:p w14:paraId="5BE89255" w14:textId="618DA181" w:rsidR="00193D3A" w:rsidRDefault="00193D3A" w:rsidP="00A22E9E">
      <w:pPr>
        <w:pStyle w:val="ListParagraph"/>
        <w:numPr>
          <w:ilvl w:val="0"/>
          <w:numId w:val="31"/>
        </w:numPr>
      </w:pPr>
      <w:r>
        <w:t xml:space="preserve">performance reporting </w:t>
      </w:r>
    </w:p>
    <w:p w14:paraId="0442A37F" w14:textId="1179BEE3" w:rsidR="00193D3A" w:rsidRDefault="00193D3A" w:rsidP="00A22E9E">
      <w:pPr>
        <w:pStyle w:val="ListParagraph"/>
        <w:numPr>
          <w:ilvl w:val="0"/>
          <w:numId w:val="31"/>
        </w:numPr>
      </w:pPr>
      <w:r>
        <w:t xml:space="preserve">configuration management </w:t>
      </w:r>
    </w:p>
    <w:p w14:paraId="0B86DFBC" w14:textId="069CC8F5" w:rsidR="00193D3A" w:rsidRDefault="00193D3A" w:rsidP="00A22E9E">
      <w:pPr>
        <w:pStyle w:val="ListParagraph"/>
        <w:numPr>
          <w:ilvl w:val="0"/>
          <w:numId w:val="31"/>
        </w:numPr>
      </w:pPr>
      <w:r>
        <w:t xml:space="preserve">inspection, testing and maintenance </w:t>
      </w:r>
    </w:p>
    <w:p w14:paraId="5041E34C" w14:textId="77777777" w:rsidR="00193D3A" w:rsidRDefault="00193D3A" w:rsidP="00A22E9E">
      <w:pPr>
        <w:pStyle w:val="ListParagraph"/>
        <w:numPr>
          <w:ilvl w:val="0"/>
          <w:numId w:val="31"/>
        </w:numPr>
      </w:pPr>
      <w:r>
        <w:t>training</w:t>
      </w:r>
    </w:p>
    <w:p w14:paraId="0AB9B6B3" w14:textId="77777777" w:rsidR="00193D3A" w:rsidRDefault="00193D3A" w:rsidP="00A22E9E">
      <w:pPr>
        <w:pStyle w:val="ListParagraph"/>
        <w:numPr>
          <w:ilvl w:val="0"/>
          <w:numId w:val="31"/>
        </w:numPr>
      </w:pPr>
      <w:r>
        <w:t>event protection</w:t>
      </w:r>
    </w:p>
    <w:p w14:paraId="11A2AD93" w14:textId="77777777" w:rsidR="00193D3A" w:rsidRDefault="00193D3A" w:rsidP="00A22E9E">
      <w:pPr>
        <w:pStyle w:val="ListParagraph"/>
        <w:numPr>
          <w:ilvl w:val="0"/>
          <w:numId w:val="31"/>
        </w:numPr>
      </w:pPr>
      <w:r>
        <w:t>security</w:t>
      </w:r>
    </w:p>
    <w:p w14:paraId="28E98AE3" w14:textId="77777777" w:rsidR="00193D3A" w:rsidRDefault="00193D3A" w:rsidP="00A22E9E">
      <w:pPr>
        <w:pStyle w:val="ListParagraph"/>
        <w:numPr>
          <w:ilvl w:val="0"/>
          <w:numId w:val="31"/>
        </w:numPr>
      </w:pPr>
      <w:r>
        <w:t>radiological protection</w:t>
      </w:r>
    </w:p>
    <w:p w14:paraId="2281FFEE" w14:textId="77777777" w:rsidR="00193D3A" w:rsidRDefault="00193D3A" w:rsidP="00A22E9E">
      <w:pPr>
        <w:pStyle w:val="ListParagraph"/>
        <w:numPr>
          <w:ilvl w:val="0"/>
          <w:numId w:val="31"/>
        </w:numPr>
        <w:spacing w:after="120"/>
      </w:pPr>
      <w:r>
        <w:lastRenderedPageBreak/>
        <w:t>emergency response and preparedness</w:t>
      </w:r>
    </w:p>
    <w:p w14:paraId="704422A7" w14:textId="77777777" w:rsidR="00193D3A" w:rsidRPr="002F7188" w:rsidRDefault="00193D3A" w:rsidP="006B2165">
      <w:pPr>
        <w:pStyle w:val="140list"/>
      </w:pPr>
      <w:r>
        <w:t xml:space="preserve">The cross cutting areas are </w:t>
      </w:r>
      <w:r w:rsidRPr="002F7188">
        <w:t xml:space="preserve">safety culture, human performance and </w:t>
      </w:r>
      <w:r>
        <w:t xml:space="preserve">performance </w:t>
      </w:r>
      <w:r w:rsidRPr="002F7188">
        <w:t>improvement.</w:t>
      </w:r>
    </w:p>
    <w:p w14:paraId="00F24EAB" w14:textId="62C769D5" w:rsidR="005C4906" w:rsidRDefault="00193D3A" w:rsidP="006B2165">
      <w:pPr>
        <w:pStyle w:val="140list"/>
      </w:pPr>
      <w:r>
        <w:t xml:space="preserve">ARPANSA also undertakes </w:t>
      </w:r>
      <w:r w:rsidRPr="001A54D2">
        <w:t>routine site visits to OPAL</w:t>
      </w:r>
      <w:r w:rsidR="00D07916">
        <w:t>,</w:t>
      </w:r>
      <w:r w:rsidRPr="001A54D2">
        <w:t xml:space="preserve"> HIFAR</w:t>
      </w:r>
      <w:r w:rsidR="00D07916">
        <w:t xml:space="preserve"> and other facilities</w:t>
      </w:r>
      <w:r>
        <w:t>.</w:t>
      </w:r>
      <w:r w:rsidR="00B36A53">
        <w:t xml:space="preserve"> </w:t>
      </w:r>
      <w:r w:rsidRPr="004411AB">
        <w:t>Site visits supplement the inspection program and are regular, frequent and informal visits to the premises of a licence holder for regulatory oversight</w:t>
      </w:r>
      <w:r>
        <w:t xml:space="preserve"> and discussions.</w:t>
      </w:r>
      <w:r w:rsidR="000C26A5">
        <w:t xml:space="preserve"> </w:t>
      </w:r>
    </w:p>
    <w:p w14:paraId="64A8483C" w14:textId="757E143C" w:rsidR="00167CA2" w:rsidRPr="00167CA2" w:rsidRDefault="00167CA2" w:rsidP="006B2165">
      <w:pPr>
        <w:pStyle w:val="140list"/>
      </w:pPr>
      <w:r w:rsidRPr="00167CA2">
        <w:t xml:space="preserve">Requirements for the assessment and reporting of </w:t>
      </w:r>
      <w:r w:rsidR="000D01E2">
        <w:t>d</w:t>
      </w:r>
      <w:r w:rsidRPr="00167CA2">
        <w:t xml:space="preserve">esign </w:t>
      </w:r>
      <w:r w:rsidR="000D01E2">
        <w:t>e</w:t>
      </w:r>
      <w:r w:rsidRPr="00167CA2">
        <w:t xml:space="preserve">xtension </w:t>
      </w:r>
      <w:r w:rsidR="000D01E2">
        <w:t>c</w:t>
      </w:r>
      <w:r w:rsidRPr="00167CA2">
        <w:t xml:space="preserve">onditions </w:t>
      </w:r>
      <w:r>
        <w:t xml:space="preserve">(DEC) </w:t>
      </w:r>
      <w:r w:rsidRPr="00167CA2">
        <w:t xml:space="preserve">for the OPAL </w:t>
      </w:r>
      <w:r w:rsidR="000D01E2">
        <w:t>r</w:t>
      </w:r>
      <w:r w:rsidRPr="00167CA2">
        <w:t>eactor were stipulated in the revised OPAL licence issued in May 2019 following submission of detailed plan</w:t>
      </w:r>
      <w:r w:rsidR="000D01E2">
        <w:t>s</w:t>
      </w:r>
      <w:r w:rsidRPr="00167CA2">
        <w:t xml:space="preserve"> by ANSTO.</w:t>
      </w:r>
      <w:r w:rsidR="00B36A53">
        <w:t xml:space="preserve"> </w:t>
      </w:r>
      <w:r w:rsidRPr="00167CA2">
        <w:t>This was following a s</w:t>
      </w:r>
      <w:r w:rsidR="008C59BE">
        <w:t xml:space="preserve">uggestion from the 2018 IRRS </w:t>
      </w:r>
      <w:r w:rsidR="000D01E2">
        <w:t>m</w:t>
      </w:r>
      <w:r w:rsidR="008C59BE">
        <w:t>ission.</w:t>
      </w:r>
    </w:p>
    <w:p w14:paraId="7A31BB88" w14:textId="77777777" w:rsidR="00193D3A" w:rsidRPr="00DB0994" w:rsidRDefault="00193D3A" w:rsidP="00B70DA0">
      <w:pPr>
        <w:pStyle w:val="Heading2"/>
      </w:pPr>
      <w:r w:rsidRPr="00DB0994">
        <w:t xml:space="preserve">Periodic Safety </w:t>
      </w:r>
      <w:r w:rsidR="00F04827">
        <w:t xml:space="preserve">and Security </w:t>
      </w:r>
      <w:r w:rsidRPr="00DB0994">
        <w:t>Review</w:t>
      </w:r>
    </w:p>
    <w:p w14:paraId="60F44225" w14:textId="5D34C346" w:rsidR="00193D3A" w:rsidRPr="005C4906" w:rsidRDefault="00193D3A" w:rsidP="00AB09EF">
      <w:pPr>
        <w:pStyle w:val="140list"/>
        <w:spacing w:before="120"/>
      </w:pPr>
      <w:r w:rsidRPr="00DB0994">
        <w:t>The OPAL operating licence requires ANSTO to undertake periodic safety</w:t>
      </w:r>
      <w:r w:rsidR="00F04827">
        <w:t xml:space="preserve"> and security</w:t>
      </w:r>
      <w:r w:rsidRPr="00DB0994">
        <w:t xml:space="preserve"> reviews (P</w:t>
      </w:r>
      <w:r w:rsidR="00F04827">
        <w:t>S</w:t>
      </w:r>
      <w:r w:rsidRPr="00DB0994">
        <w:t>SR).</w:t>
      </w:r>
      <w:r w:rsidR="00B36A53">
        <w:t xml:space="preserve"> </w:t>
      </w:r>
      <w:r w:rsidRPr="00DB0994">
        <w:t xml:space="preserve">The first </w:t>
      </w:r>
      <w:r w:rsidR="002C04F7">
        <w:t>p</w:t>
      </w:r>
      <w:r w:rsidR="00F04827">
        <w:t xml:space="preserve">eriodic </w:t>
      </w:r>
      <w:r w:rsidR="002C04F7">
        <w:t>s</w:t>
      </w:r>
      <w:r w:rsidR="00F04827">
        <w:t xml:space="preserve">afety </w:t>
      </w:r>
      <w:r w:rsidR="002C04F7">
        <w:t>r</w:t>
      </w:r>
      <w:r w:rsidR="00F04827">
        <w:t>eview</w:t>
      </w:r>
      <w:r w:rsidRPr="00DB0994">
        <w:t xml:space="preserve"> </w:t>
      </w:r>
      <w:r w:rsidR="00B70DA0">
        <w:t xml:space="preserve">(PSR) </w:t>
      </w:r>
      <w:r w:rsidRPr="00DB0994">
        <w:t>report was submitted to ARPANSA in December 2011 and a supplementary PSR report was submitted in June 2013. ARPANSA reviewed and accepted the PSR in October 2014.</w:t>
      </w:r>
      <w:r w:rsidR="00B36A53">
        <w:t xml:space="preserve"> </w:t>
      </w:r>
      <w:r w:rsidR="005C4906">
        <w:t xml:space="preserve"> </w:t>
      </w:r>
      <w:r w:rsidR="005C4906" w:rsidRPr="005C4906">
        <w:t xml:space="preserve">The first </w:t>
      </w:r>
      <w:r w:rsidR="002C04F7">
        <w:t>p</w:t>
      </w:r>
      <w:r w:rsidR="005C4906" w:rsidRPr="005C4906">
        <w:t xml:space="preserve">eriodic </w:t>
      </w:r>
      <w:r w:rsidR="002C04F7">
        <w:t>s</w:t>
      </w:r>
      <w:r w:rsidR="005C4906" w:rsidRPr="005C4906">
        <w:t xml:space="preserve">ecurity </w:t>
      </w:r>
      <w:r w:rsidR="002C04F7">
        <w:t>r</w:t>
      </w:r>
      <w:r w:rsidR="005C4906" w:rsidRPr="005C4906">
        <w:t xml:space="preserve">eview was submitted in 2014 and approved by ARPANSA in 2015. </w:t>
      </w:r>
      <w:r w:rsidRPr="005C4906">
        <w:t xml:space="preserve">The reviews identified a high degree of conformity by ANSTO with the current international safety </w:t>
      </w:r>
      <w:r w:rsidR="005C4906">
        <w:t xml:space="preserve">and security </w:t>
      </w:r>
      <w:r w:rsidRPr="005C4906">
        <w:t>standards and practices.</w:t>
      </w:r>
      <w:r w:rsidR="00B36A53">
        <w:t xml:space="preserve"> </w:t>
      </w:r>
      <w:r w:rsidRPr="005C4906">
        <w:t>The licensing basis was found to be valid.</w:t>
      </w:r>
      <w:r w:rsidR="00F04827" w:rsidRPr="005C4906">
        <w:t xml:space="preserve"> </w:t>
      </w:r>
      <w:r w:rsidR="00D07916">
        <w:t xml:space="preserve">The new ANM facility also has a licence condition requiring a full PSSR within 5 years. </w:t>
      </w:r>
    </w:p>
    <w:p w14:paraId="46334665" w14:textId="70173705" w:rsidR="00D07916" w:rsidRDefault="00D8586A" w:rsidP="00CA7EA9">
      <w:pPr>
        <w:pStyle w:val="140list"/>
      </w:pPr>
      <w:r>
        <w:t xml:space="preserve">A licence condition on the OPAL licence requires the </w:t>
      </w:r>
      <w:r w:rsidR="00F04827" w:rsidRPr="005C4906">
        <w:t xml:space="preserve">next </w:t>
      </w:r>
      <w:r>
        <w:t>combined p</w:t>
      </w:r>
      <w:r w:rsidR="00F04827" w:rsidRPr="005C4906">
        <w:t xml:space="preserve">eriodic </w:t>
      </w:r>
      <w:r>
        <w:t>s</w:t>
      </w:r>
      <w:r w:rsidR="00F04827" w:rsidRPr="005C4906">
        <w:t xml:space="preserve">afety and </w:t>
      </w:r>
      <w:r>
        <w:t>s</w:t>
      </w:r>
      <w:r w:rsidR="00F04827" w:rsidRPr="005C4906">
        <w:t xml:space="preserve">ecurity </w:t>
      </w:r>
      <w:r>
        <w:t>r</w:t>
      </w:r>
      <w:r w:rsidR="00F04827" w:rsidRPr="005C4906">
        <w:t xml:space="preserve">eview </w:t>
      </w:r>
      <w:r>
        <w:t xml:space="preserve">to be conducted </w:t>
      </w:r>
      <w:r w:rsidR="005C4906">
        <w:t>in 2021</w:t>
      </w:r>
      <w:r w:rsidR="00167CA2">
        <w:t>. A detailed OPAL PSSR plan was submitted to ARPANSA for approval in May 2019.</w:t>
      </w:r>
    </w:p>
    <w:p w14:paraId="45A6AB0F" w14:textId="1AB03758" w:rsidR="00D66E1B" w:rsidRPr="00971641" w:rsidRDefault="00D66E1B" w:rsidP="00D66E1B">
      <w:pPr>
        <w:pStyle w:val="140list"/>
        <w:numPr>
          <w:ilvl w:val="0"/>
          <w:numId w:val="0"/>
        </w:numPr>
      </w:pPr>
    </w:p>
    <w:tbl>
      <w:tblPr>
        <w:tblStyle w:val="GenericARPANSA"/>
        <w:tblW w:w="0" w:type="auto"/>
        <w:tblInd w:w="0" w:type="dxa"/>
        <w:shd w:val="clear" w:color="auto" w:fill="E7F9E7"/>
        <w:tblCellMar>
          <w:top w:w="57" w:type="dxa"/>
          <w:left w:w="170" w:type="dxa"/>
          <w:bottom w:w="57" w:type="dxa"/>
          <w:right w:w="170" w:type="dxa"/>
        </w:tblCellMar>
        <w:tblLook w:val="0480" w:firstRow="0" w:lastRow="0" w:firstColumn="1" w:lastColumn="0" w:noHBand="0" w:noVBand="1"/>
      </w:tblPr>
      <w:tblGrid>
        <w:gridCol w:w="9628"/>
      </w:tblGrid>
      <w:tr w:rsidR="00971641" w14:paraId="6C9CBE21" w14:textId="77777777" w:rsidTr="0010421E">
        <w:tc>
          <w:tcPr>
            <w:tcW w:w="9628" w:type="dxa"/>
            <w:shd w:val="clear" w:color="auto" w:fill="E7F9E7"/>
          </w:tcPr>
          <w:p w14:paraId="386345EB" w14:textId="1A8AF0B0" w:rsidR="00971641" w:rsidRDefault="00971641" w:rsidP="00971641">
            <w:pPr>
              <w:keepNext/>
              <w:keepLines/>
              <w:jc w:val="left"/>
              <w:outlineLvl w:val="1"/>
              <w:rPr>
                <w:rFonts w:ascii="Calibri" w:eastAsiaTheme="majorEastAsia" w:hAnsi="Calibri" w:cstheme="majorBidi"/>
                <w:b/>
                <w:bCs/>
                <w:color w:val="4E1A74"/>
                <w:sz w:val="26"/>
                <w:szCs w:val="26"/>
              </w:rPr>
            </w:pPr>
            <w:r w:rsidRPr="003C494B">
              <w:rPr>
                <w:rFonts w:ascii="Calibri" w:eastAsiaTheme="majorEastAsia" w:hAnsi="Calibri" w:cstheme="majorBidi"/>
                <w:b/>
                <w:bCs/>
                <w:color w:val="4E1A74"/>
                <w:sz w:val="26"/>
                <w:szCs w:val="26"/>
              </w:rPr>
              <w:lastRenderedPageBreak/>
              <w:t>Summary of how Australia meets the</w:t>
            </w:r>
            <w:r w:rsidRPr="00075DFE">
              <w:rPr>
                <w:rFonts w:ascii="Calibri" w:eastAsiaTheme="majorEastAsia" w:hAnsi="Calibri" w:cstheme="majorBidi"/>
                <w:b/>
                <w:bCs/>
                <w:color w:val="4E1A74"/>
                <w:sz w:val="26"/>
                <w:szCs w:val="26"/>
              </w:rPr>
              <w:t xml:space="preserve"> Vienna Declaration on Nuclear Safety Principle</w:t>
            </w:r>
            <w:r>
              <w:rPr>
                <w:rFonts w:ascii="Calibri" w:eastAsiaTheme="majorEastAsia" w:hAnsi="Calibri" w:cstheme="majorBidi"/>
                <w:b/>
                <w:bCs/>
                <w:color w:val="4E1A74"/>
                <w:sz w:val="26"/>
                <w:szCs w:val="26"/>
              </w:rPr>
              <w:t> </w:t>
            </w:r>
            <w:r w:rsidRPr="00075DFE">
              <w:rPr>
                <w:rFonts w:ascii="Calibri" w:eastAsiaTheme="majorEastAsia" w:hAnsi="Calibri" w:cstheme="majorBidi"/>
                <w:b/>
                <w:bCs/>
                <w:color w:val="4E1A74"/>
                <w:sz w:val="26"/>
                <w:szCs w:val="26"/>
              </w:rPr>
              <w:t xml:space="preserve">2 </w:t>
            </w:r>
          </w:p>
          <w:p w14:paraId="537E1C97" w14:textId="7D4E0261" w:rsidR="00971641" w:rsidRPr="00075DFE" w:rsidRDefault="00971641" w:rsidP="00BD3F24">
            <w:pPr>
              <w:pStyle w:val="140list"/>
              <w:numPr>
                <w:ilvl w:val="0"/>
                <w:numId w:val="0"/>
              </w:numPr>
              <w:ind w:left="284"/>
              <w:jc w:val="left"/>
            </w:pPr>
            <w:r w:rsidRPr="00075DFE">
              <w:t>Australia meets the Vienna Declaration Principle 2 in r</w:t>
            </w:r>
            <w:r>
              <w:t xml:space="preserve">elation to Research Reactors: </w:t>
            </w:r>
            <w:r w:rsidRPr="00AB09EF">
              <w:rPr>
                <w:i/>
              </w:rPr>
              <w:t>Comprehensive and systematic safety assessments are to be carried out periodically and regularly for existing installations throughout their lifetime in order to identify safety improvements that are oriented to meet the above objective. Reasonably practicable or achievable safety improvements are</w:t>
            </w:r>
            <w:r w:rsidR="00BD3F24" w:rsidRPr="00AB09EF">
              <w:rPr>
                <w:i/>
              </w:rPr>
              <w:t xml:space="preserve"> implemented in a timely manner</w:t>
            </w:r>
            <w:r w:rsidR="00A22E9E">
              <w:t xml:space="preserve">. </w:t>
            </w:r>
          </w:p>
          <w:p w14:paraId="3DEF2175" w14:textId="77777777" w:rsidR="00BD3F24" w:rsidRDefault="00971641" w:rsidP="00BD3F24">
            <w:pPr>
              <w:pStyle w:val="140list"/>
              <w:numPr>
                <w:ilvl w:val="0"/>
                <w:numId w:val="0"/>
              </w:numPr>
              <w:ind w:left="284"/>
              <w:jc w:val="left"/>
            </w:pPr>
            <w:r>
              <w:t>This is achieved through</w:t>
            </w:r>
            <w:r w:rsidR="00BD3F24">
              <w:t>:</w:t>
            </w:r>
          </w:p>
          <w:p w14:paraId="281BACFE" w14:textId="43577C4A" w:rsidR="00971641" w:rsidRDefault="00AB09EF" w:rsidP="00A22E9E">
            <w:pPr>
              <w:pStyle w:val="ListParagraph"/>
              <w:numPr>
                <w:ilvl w:val="0"/>
                <w:numId w:val="29"/>
              </w:numPr>
              <w:jc w:val="left"/>
            </w:pPr>
            <w:r>
              <w:t>R</w:t>
            </w:r>
            <w:r w:rsidR="00971641">
              <w:t xml:space="preserve">equiring </w:t>
            </w:r>
            <w:r w:rsidR="00971641" w:rsidRPr="00D6272F">
              <w:t>a licen</w:t>
            </w:r>
            <w:r w:rsidR="00971641">
              <w:t>c</w:t>
            </w:r>
            <w:r w:rsidR="00971641" w:rsidRPr="00D6272F">
              <w:t>e holder to take all reasonably practicable measures to implement its plans and arrangements for managing safety. The licen</w:t>
            </w:r>
            <w:r w:rsidR="00971641">
              <w:t>c</w:t>
            </w:r>
            <w:r w:rsidR="00971641" w:rsidRPr="00D6272F">
              <w:t xml:space="preserve">e holder is also required to review those plans and arrangements at least once every three years. Any change to plans and arrangements that may have significant implications for safety must be approved </w:t>
            </w:r>
            <w:r w:rsidR="00764B09">
              <w:t xml:space="preserve">by ARPANSA </w:t>
            </w:r>
            <w:r w:rsidR="00971641" w:rsidRPr="00D6272F">
              <w:t xml:space="preserve">prior to implementation. </w:t>
            </w:r>
          </w:p>
          <w:p w14:paraId="48C84179" w14:textId="66A7C3A7" w:rsidR="00971641" w:rsidRDefault="00A22E9E" w:rsidP="00A22E9E">
            <w:pPr>
              <w:pStyle w:val="ListParagraph"/>
              <w:numPr>
                <w:ilvl w:val="0"/>
                <w:numId w:val="29"/>
              </w:numPr>
              <w:jc w:val="left"/>
            </w:pPr>
            <w:r>
              <w:t>OPAL is</w:t>
            </w:r>
            <w:r w:rsidR="00971641">
              <w:t xml:space="preserve"> required to undertake </w:t>
            </w:r>
            <w:r w:rsidR="005C61AB">
              <w:t>p</w:t>
            </w:r>
            <w:r w:rsidR="00971641">
              <w:t xml:space="preserve">eriodic </w:t>
            </w:r>
            <w:r w:rsidR="005C61AB">
              <w:t>s</w:t>
            </w:r>
            <w:r w:rsidR="00971641">
              <w:t xml:space="preserve">afety and </w:t>
            </w:r>
            <w:r w:rsidR="005C61AB">
              <w:t>s</w:t>
            </w:r>
            <w:r w:rsidR="00971641">
              <w:t xml:space="preserve">ecurity </w:t>
            </w:r>
            <w:r w:rsidR="005C61AB">
              <w:t>r</w:t>
            </w:r>
            <w:r w:rsidR="00971641">
              <w:t>eviews (PSSR)</w:t>
            </w:r>
            <w:r w:rsidR="00CF506A">
              <w:t>.</w:t>
            </w:r>
            <w:r w:rsidR="00971641">
              <w:t xml:space="preserve"> </w:t>
            </w:r>
          </w:p>
          <w:p w14:paraId="45849773" w14:textId="74171ABE" w:rsidR="00971641" w:rsidRDefault="00971641" w:rsidP="00A22E9E">
            <w:pPr>
              <w:pStyle w:val="ListParagraph"/>
              <w:numPr>
                <w:ilvl w:val="0"/>
                <w:numId w:val="29"/>
              </w:numPr>
              <w:jc w:val="left"/>
            </w:pPr>
            <w:r>
              <w:t xml:space="preserve">From May 2019, OPAL is required to assess and report on applicable </w:t>
            </w:r>
            <w:r w:rsidR="005C61AB">
              <w:t>d</w:t>
            </w:r>
            <w:r>
              <w:t xml:space="preserve">esign </w:t>
            </w:r>
            <w:r w:rsidR="005C61AB">
              <w:t>e</w:t>
            </w:r>
            <w:r>
              <w:t xml:space="preserve">xtension </w:t>
            </w:r>
            <w:r w:rsidR="005C61AB">
              <w:t>c</w:t>
            </w:r>
            <w:r>
              <w:t>onditions</w:t>
            </w:r>
            <w:r w:rsidR="00CF506A">
              <w:t>.</w:t>
            </w:r>
            <w:r>
              <w:t xml:space="preserve"> </w:t>
            </w:r>
          </w:p>
          <w:p w14:paraId="0AB2DE1D" w14:textId="0A245FF1" w:rsidR="00971641" w:rsidRPr="00D6272F" w:rsidRDefault="00971641" w:rsidP="00A22E9E">
            <w:pPr>
              <w:pStyle w:val="ListParagraph"/>
              <w:numPr>
                <w:ilvl w:val="0"/>
                <w:numId w:val="29"/>
              </w:numPr>
              <w:jc w:val="left"/>
            </w:pPr>
            <w:r>
              <w:t xml:space="preserve">The requirement to undertake PSSR and assess and report on the </w:t>
            </w:r>
            <w:r w:rsidR="005C61AB">
              <w:t>d</w:t>
            </w:r>
            <w:r>
              <w:t xml:space="preserve">esign </w:t>
            </w:r>
            <w:r w:rsidR="005C61AB">
              <w:t>e</w:t>
            </w:r>
            <w:r>
              <w:t xml:space="preserve">xtension </w:t>
            </w:r>
            <w:r w:rsidR="005C61AB">
              <w:t>c</w:t>
            </w:r>
            <w:r>
              <w:t>onditions also applies to the ANM Facility which was issued a full operating licence in May 2019</w:t>
            </w:r>
            <w:r w:rsidR="00CF506A">
              <w:t>.</w:t>
            </w:r>
            <w:r>
              <w:t xml:space="preserve"> </w:t>
            </w:r>
          </w:p>
          <w:p w14:paraId="0DE9F3F0" w14:textId="7DAC227A" w:rsidR="00971641" w:rsidRDefault="00971641" w:rsidP="00A22E9E">
            <w:pPr>
              <w:pStyle w:val="ListParagraph"/>
              <w:numPr>
                <w:ilvl w:val="0"/>
                <w:numId w:val="29"/>
              </w:numPr>
              <w:jc w:val="left"/>
            </w:pPr>
            <w:r>
              <w:t>R</w:t>
            </w:r>
            <w:r w:rsidRPr="00D6272F">
              <w:t xml:space="preserve">easonably practicable/achievable </w:t>
            </w:r>
            <w:r>
              <w:t xml:space="preserve">safety improvements arising </w:t>
            </w:r>
            <w:r w:rsidRPr="00D6272F">
              <w:t>from these reviews are required to be</w:t>
            </w:r>
            <w:r w:rsidR="00D00195">
              <w:t xml:space="preserve"> implemented in a timely manner</w:t>
            </w:r>
            <w:r w:rsidR="00CF506A">
              <w:t>.</w:t>
            </w:r>
          </w:p>
          <w:p w14:paraId="4AAA863B" w14:textId="77777777" w:rsidR="00A22E9E" w:rsidRPr="00D00195" w:rsidRDefault="00A22E9E" w:rsidP="00A22E9E">
            <w:pPr>
              <w:pStyle w:val="ListParagraph"/>
              <w:ind w:left="720"/>
              <w:jc w:val="left"/>
            </w:pPr>
          </w:p>
          <w:p w14:paraId="633FFC9A" w14:textId="7179C77E" w:rsidR="00971641" w:rsidRPr="003C494B" w:rsidRDefault="00971641" w:rsidP="00971641">
            <w:pPr>
              <w:keepNext/>
              <w:keepLines/>
              <w:jc w:val="left"/>
              <w:outlineLvl w:val="1"/>
              <w:rPr>
                <w:rFonts w:ascii="Calibri" w:eastAsiaTheme="majorEastAsia" w:hAnsi="Calibri" w:cstheme="majorBidi"/>
                <w:b/>
                <w:bCs/>
                <w:color w:val="4E1A74"/>
                <w:sz w:val="26"/>
                <w:szCs w:val="26"/>
              </w:rPr>
            </w:pPr>
            <w:r w:rsidRPr="003C494B">
              <w:rPr>
                <w:rFonts w:ascii="Calibri" w:eastAsiaTheme="majorEastAsia" w:hAnsi="Calibri" w:cstheme="majorBidi"/>
                <w:b/>
                <w:bCs/>
                <w:color w:val="4E1A74"/>
                <w:sz w:val="26"/>
                <w:szCs w:val="26"/>
              </w:rPr>
              <w:t>Summary of how Australia meets the Vienna Declaration on Nuclear Safety Principle</w:t>
            </w:r>
            <w:r w:rsidR="008A4045">
              <w:rPr>
                <w:rFonts w:ascii="Calibri" w:eastAsiaTheme="majorEastAsia" w:hAnsi="Calibri" w:cstheme="majorBidi"/>
                <w:b/>
                <w:bCs/>
                <w:color w:val="4E1A74"/>
                <w:sz w:val="26"/>
                <w:szCs w:val="26"/>
              </w:rPr>
              <w:t> </w:t>
            </w:r>
            <w:r w:rsidRPr="003C494B">
              <w:rPr>
                <w:rFonts w:ascii="Calibri" w:eastAsiaTheme="majorEastAsia" w:hAnsi="Calibri" w:cstheme="majorBidi"/>
                <w:b/>
                <w:bCs/>
                <w:color w:val="4E1A74"/>
                <w:sz w:val="26"/>
                <w:szCs w:val="26"/>
              </w:rPr>
              <w:t>3</w:t>
            </w:r>
            <w:r>
              <w:rPr>
                <w:rFonts w:ascii="Calibri" w:eastAsiaTheme="majorEastAsia" w:hAnsi="Calibri" w:cstheme="majorBidi"/>
                <w:b/>
                <w:bCs/>
                <w:color w:val="4E1A74"/>
                <w:sz w:val="26"/>
                <w:szCs w:val="26"/>
              </w:rPr>
              <w:t xml:space="preserve"> (</w:t>
            </w:r>
            <w:r w:rsidR="0041647B">
              <w:rPr>
                <w:rFonts w:ascii="Calibri" w:eastAsiaTheme="majorEastAsia" w:hAnsi="Calibri" w:cstheme="majorBidi"/>
                <w:b/>
                <w:bCs/>
                <w:color w:val="4E1A74"/>
                <w:sz w:val="26"/>
                <w:szCs w:val="26"/>
              </w:rPr>
              <w:t>s</w:t>
            </w:r>
            <w:r>
              <w:rPr>
                <w:rFonts w:ascii="Calibri" w:eastAsiaTheme="majorEastAsia" w:hAnsi="Calibri" w:cstheme="majorBidi"/>
                <w:b/>
                <w:bCs/>
                <w:color w:val="4E1A74"/>
                <w:sz w:val="26"/>
                <w:szCs w:val="26"/>
              </w:rPr>
              <w:t xml:space="preserve">ee </w:t>
            </w:r>
            <w:r w:rsidR="00764B09">
              <w:rPr>
                <w:rFonts w:ascii="Calibri" w:eastAsiaTheme="majorEastAsia" w:hAnsi="Calibri" w:cstheme="majorBidi"/>
                <w:b/>
                <w:bCs/>
                <w:color w:val="4E1A74"/>
                <w:sz w:val="26"/>
                <w:szCs w:val="26"/>
              </w:rPr>
              <w:t xml:space="preserve">also </w:t>
            </w:r>
            <w:r>
              <w:rPr>
                <w:rFonts w:ascii="Calibri" w:eastAsiaTheme="majorEastAsia" w:hAnsi="Calibri" w:cstheme="majorBidi"/>
                <w:b/>
                <w:bCs/>
                <w:color w:val="4E1A74"/>
                <w:sz w:val="26"/>
                <w:szCs w:val="26"/>
              </w:rPr>
              <w:t>Article</w:t>
            </w:r>
            <w:r w:rsidR="00764B09">
              <w:rPr>
                <w:rFonts w:ascii="Calibri" w:eastAsiaTheme="majorEastAsia" w:hAnsi="Calibri" w:cstheme="majorBidi"/>
                <w:b/>
                <w:bCs/>
                <w:color w:val="4E1A74"/>
                <w:sz w:val="26"/>
                <w:szCs w:val="26"/>
              </w:rPr>
              <w:t>s</w:t>
            </w:r>
            <w:r>
              <w:rPr>
                <w:rFonts w:ascii="Calibri" w:eastAsiaTheme="majorEastAsia" w:hAnsi="Calibri" w:cstheme="majorBidi"/>
                <w:b/>
                <w:bCs/>
                <w:color w:val="4E1A74"/>
                <w:sz w:val="26"/>
                <w:szCs w:val="26"/>
              </w:rPr>
              <w:t xml:space="preserve"> 7 and 10)</w:t>
            </w:r>
          </w:p>
          <w:p w14:paraId="7C723162" w14:textId="6CD4BE76" w:rsidR="00971641" w:rsidRPr="00D00195" w:rsidRDefault="00971641" w:rsidP="00A22E9E">
            <w:pPr>
              <w:pStyle w:val="140list"/>
              <w:numPr>
                <w:ilvl w:val="0"/>
                <w:numId w:val="0"/>
              </w:numPr>
              <w:ind w:left="284"/>
              <w:jc w:val="left"/>
            </w:pPr>
            <w:r w:rsidRPr="003C494B">
              <w:t>Australia meets the Vienna Declaration Principle 3 in relation to Research Reactors:</w:t>
            </w:r>
            <w:r w:rsidR="00B36A53">
              <w:t xml:space="preserve"> </w:t>
            </w:r>
            <w:r w:rsidRPr="00AB09EF">
              <w:rPr>
                <w:i/>
              </w:rPr>
              <w:t>taking into account IAEA Safety Standards and other good practises identifie</w:t>
            </w:r>
            <w:r w:rsidR="00A22E9E" w:rsidRPr="00AB09EF">
              <w:rPr>
                <w:i/>
              </w:rPr>
              <w:t>d in Review Meetings of the CNS</w:t>
            </w:r>
            <w:r w:rsidRPr="003C494B">
              <w:t xml:space="preserve"> </w:t>
            </w:r>
            <w:r>
              <w:t>in the following ways</w:t>
            </w:r>
            <w:r w:rsidR="007241DA">
              <w:t>:</w:t>
            </w:r>
            <w:r>
              <w:t xml:space="preserve"> (summary from Articles 7,10 and 14)</w:t>
            </w:r>
          </w:p>
          <w:p w14:paraId="23BED483" w14:textId="32B04B8E" w:rsidR="00971641" w:rsidRPr="008A291F" w:rsidRDefault="00971641" w:rsidP="00A22E9E">
            <w:pPr>
              <w:pStyle w:val="ListParagraph"/>
              <w:numPr>
                <w:ilvl w:val="0"/>
                <w:numId w:val="29"/>
              </w:numPr>
              <w:jc w:val="left"/>
            </w:pPr>
            <w:r w:rsidRPr="008A291F">
              <w:t>In assessing a licence application, ARPANSA must, under the Act, take into account international best practice in radiation protection and nuclear safety.</w:t>
            </w:r>
            <w:r w:rsidR="00B36A53">
              <w:t xml:space="preserve"> </w:t>
            </w:r>
            <w:r w:rsidRPr="008A291F">
              <w:t xml:space="preserve">The relevant international best practice documents </w:t>
            </w:r>
            <w:r w:rsidR="007241DA">
              <w:t>(</w:t>
            </w:r>
            <w:r w:rsidRPr="008A291F">
              <w:t>primarily IAEA Safety Standards</w:t>
            </w:r>
            <w:r w:rsidR="007241DA">
              <w:t>)</w:t>
            </w:r>
            <w:r w:rsidRPr="008A291F">
              <w:t xml:space="preserve"> are listed on the ARPANSA website</w:t>
            </w:r>
            <w:r w:rsidR="007241DA">
              <w:t>.</w:t>
            </w:r>
          </w:p>
          <w:p w14:paraId="298029D4" w14:textId="304F51D1" w:rsidR="00A22E9E" w:rsidRPr="00A22E9E" w:rsidRDefault="00971641" w:rsidP="00A22E9E">
            <w:pPr>
              <w:pStyle w:val="ListParagraph"/>
              <w:numPr>
                <w:ilvl w:val="0"/>
                <w:numId w:val="29"/>
              </w:numPr>
              <w:spacing w:after="0" w:line="264" w:lineRule="auto"/>
              <w:jc w:val="left"/>
            </w:pPr>
            <w:r w:rsidRPr="008A291F">
              <w:t xml:space="preserve">Publishing of ARPANSA </w:t>
            </w:r>
            <w:r w:rsidRPr="00A22E9E">
              <w:rPr>
                <w:iCs/>
                <w:lang w:val="en"/>
              </w:rPr>
              <w:t>Regulatory Guide:</w:t>
            </w:r>
            <w:r w:rsidRPr="005C0959">
              <w:rPr>
                <w:i/>
                <w:iCs/>
                <w:lang w:val="en"/>
              </w:rPr>
              <w:t xml:space="preserve"> Periodic Safety and Security Review for Research Reactors</w:t>
            </w:r>
            <w:r w:rsidRPr="005C0959">
              <w:rPr>
                <w:lang w:val="en"/>
              </w:rPr>
              <w:t xml:space="preserve"> (based on IAEA SSG-10) in 2016 and </w:t>
            </w:r>
            <w:r w:rsidRPr="00A22E9E">
              <w:t>Regulatory Guide</w:t>
            </w:r>
            <w:r w:rsidRPr="005C0959">
              <w:rPr>
                <w:i/>
              </w:rPr>
              <w:t xml:space="preserve">: Decommissioning of Controlled Facilities </w:t>
            </w:r>
            <w:r w:rsidRPr="00AB09EF">
              <w:t>published in 2018 based on IAEA SSG-47</w:t>
            </w:r>
            <w:r w:rsidR="00A22E9E" w:rsidRPr="00AB09EF">
              <w:t xml:space="preserve">. In addition publishing of </w:t>
            </w:r>
            <w:r w:rsidR="00A22E9E" w:rsidRPr="00A22E9E">
              <w:t>Regulatory Guide:</w:t>
            </w:r>
            <w:r w:rsidR="00A22E9E" w:rsidRPr="00215F35">
              <w:t xml:space="preserve"> </w:t>
            </w:r>
            <w:r w:rsidR="00A22E9E" w:rsidRPr="00A22E9E">
              <w:rPr>
                <w:i/>
              </w:rPr>
              <w:t xml:space="preserve">Applying for a licence for radioactive waste storage or disposal facility </w:t>
            </w:r>
            <w:r w:rsidR="00A22E9E" w:rsidRPr="00A22E9E">
              <w:t>based on the</w:t>
            </w:r>
            <w:r w:rsidR="00A22E9E">
              <w:rPr>
                <w:i/>
              </w:rPr>
              <w:t xml:space="preserve"> </w:t>
            </w:r>
            <w:r w:rsidR="00A22E9E" w:rsidRPr="00215F35">
              <w:t>IAEA Safety Series</w:t>
            </w:r>
            <w:r w:rsidR="00A22E9E">
              <w:t xml:space="preserve"> including</w:t>
            </w:r>
            <w:r w:rsidR="00A22E9E" w:rsidRPr="00215F35">
              <w:t xml:space="preserve"> GSG-1 </w:t>
            </w:r>
            <w:r w:rsidR="00A22E9E" w:rsidRPr="00AB09EF">
              <w:rPr>
                <w:i/>
              </w:rPr>
              <w:t>Classification of Radioactive Waste</w:t>
            </w:r>
            <w:r w:rsidR="00A22E9E">
              <w:t xml:space="preserve"> and </w:t>
            </w:r>
            <w:r w:rsidR="00A22E9E" w:rsidRPr="001D1CDB">
              <w:t xml:space="preserve">SSR-5 </w:t>
            </w:r>
            <w:r w:rsidR="00A22E9E" w:rsidRPr="00AB09EF">
              <w:rPr>
                <w:i/>
              </w:rPr>
              <w:t>Disposal of Radioactive Waste</w:t>
            </w:r>
            <w:r w:rsidR="007241DA">
              <w:t>.</w:t>
            </w:r>
          </w:p>
          <w:p w14:paraId="6AEB6F78" w14:textId="708F958C" w:rsidR="00971641" w:rsidRPr="008A291F" w:rsidRDefault="00971641" w:rsidP="00A22E9E">
            <w:pPr>
              <w:pStyle w:val="ListParagraph"/>
              <w:numPr>
                <w:ilvl w:val="0"/>
                <w:numId w:val="29"/>
              </w:numPr>
              <w:jc w:val="left"/>
            </w:pPr>
            <w:r w:rsidRPr="008A291F">
              <w:t xml:space="preserve">A set of </w:t>
            </w:r>
            <w:r w:rsidR="007241DA">
              <w:t>p</w:t>
            </w:r>
            <w:r w:rsidRPr="008A291F">
              <w:t xml:space="preserve">erformance </w:t>
            </w:r>
            <w:r w:rsidR="007241DA">
              <w:t>o</w:t>
            </w:r>
            <w:r w:rsidRPr="008A291F">
              <w:t xml:space="preserve">bjectives and </w:t>
            </w:r>
            <w:r w:rsidR="007241DA">
              <w:t>c</w:t>
            </w:r>
            <w:r w:rsidRPr="008A291F">
              <w:t>riteria (PO&amp;C) are used by inspectors for a transparent and graded approach to assess licence holders’ practices and is consistent with the risk of the facility.</w:t>
            </w:r>
            <w:r w:rsidR="00B36A53">
              <w:t xml:space="preserve"> </w:t>
            </w:r>
            <w:r w:rsidRPr="008A291F">
              <w:t>The PO&amp;Cs reflect international best practice</w:t>
            </w:r>
            <w:r w:rsidR="00764B09">
              <w:t>.</w:t>
            </w:r>
          </w:p>
          <w:p w14:paraId="65202C2D" w14:textId="4F6902CF" w:rsidR="00971641" w:rsidRPr="005C0959" w:rsidRDefault="00971641" w:rsidP="00A22E9E">
            <w:pPr>
              <w:pStyle w:val="ListParagraph"/>
              <w:numPr>
                <w:ilvl w:val="0"/>
                <w:numId w:val="29"/>
              </w:numPr>
              <w:jc w:val="left"/>
              <w:rPr>
                <w:color w:val="000000"/>
              </w:rPr>
            </w:pPr>
            <w:r w:rsidRPr="008A291F">
              <w:t xml:space="preserve">Hosting of a full scope IRRS </w:t>
            </w:r>
            <w:r w:rsidR="007241DA">
              <w:t>m</w:t>
            </w:r>
            <w:r w:rsidRPr="008A291F">
              <w:t xml:space="preserve">ission in 2018 which reviewed Australia’s national, legal and governmental framework for nuclear and radiation safety against the IAEA’s Safety Standards. </w:t>
            </w:r>
          </w:p>
          <w:p w14:paraId="1E4BB59B" w14:textId="0BBF4818" w:rsidR="00971641" w:rsidRPr="005C0959" w:rsidRDefault="00971641" w:rsidP="00A22E9E">
            <w:pPr>
              <w:pStyle w:val="ListParagraph"/>
              <w:numPr>
                <w:ilvl w:val="0"/>
                <w:numId w:val="29"/>
              </w:numPr>
              <w:jc w:val="left"/>
              <w:rPr>
                <w:color w:val="000000"/>
              </w:rPr>
            </w:pPr>
            <w:r w:rsidRPr="0064675E">
              <w:t>Imp</w:t>
            </w:r>
            <w:r w:rsidR="007241DA">
              <w:t>osing</w:t>
            </w:r>
            <w:r w:rsidRPr="0064675E">
              <w:t xml:space="preserve"> a </w:t>
            </w:r>
            <w:r w:rsidR="007241DA">
              <w:t>l</w:t>
            </w:r>
            <w:r w:rsidRPr="0064675E">
              <w:t xml:space="preserve">icence </w:t>
            </w:r>
            <w:r w:rsidR="007241DA">
              <w:t>c</w:t>
            </w:r>
            <w:r w:rsidRPr="0064675E">
              <w:t xml:space="preserve">ondition to require OPAL to assess and report on </w:t>
            </w:r>
            <w:r w:rsidR="00F52B95">
              <w:t>d</w:t>
            </w:r>
            <w:r w:rsidRPr="0064675E">
              <w:t xml:space="preserve">esign </w:t>
            </w:r>
            <w:r w:rsidR="00F52B95">
              <w:t>e</w:t>
            </w:r>
            <w:r w:rsidRPr="0064675E">
              <w:t xml:space="preserve">xtension </w:t>
            </w:r>
            <w:r w:rsidR="00F52B95">
              <w:t>c</w:t>
            </w:r>
            <w:r w:rsidRPr="0064675E">
              <w:t xml:space="preserve">onditions as per the </w:t>
            </w:r>
            <w:r w:rsidR="007241DA">
              <w:t>IAEA</w:t>
            </w:r>
            <w:r w:rsidRPr="0064675E">
              <w:t xml:space="preserve"> SSR-3 </w:t>
            </w:r>
            <w:r w:rsidRPr="00AB09EF">
              <w:rPr>
                <w:i/>
              </w:rPr>
              <w:t>Safety of Research Reactors</w:t>
            </w:r>
            <w:r w:rsidRPr="0064675E">
              <w:t xml:space="preserve"> Requirement 22. </w:t>
            </w:r>
          </w:p>
          <w:p w14:paraId="3B2DF1A9" w14:textId="36FD9B86" w:rsidR="00971641" w:rsidRDefault="00971641" w:rsidP="00F52B95">
            <w:pPr>
              <w:pStyle w:val="ListParagraph"/>
              <w:numPr>
                <w:ilvl w:val="0"/>
                <w:numId w:val="29"/>
              </w:numPr>
              <w:jc w:val="left"/>
            </w:pPr>
            <w:r w:rsidRPr="0064675E">
              <w:t xml:space="preserve">Implementing a </w:t>
            </w:r>
            <w:r w:rsidR="00F52B95">
              <w:t>l</w:t>
            </w:r>
            <w:r w:rsidRPr="0064675E">
              <w:t xml:space="preserve">icence </w:t>
            </w:r>
            <w:r w:rsidR="00F52B95">
              <w:t>c</w:t>
            </w:r>
            <w:r w:rsidRPr="0064675E">
              <w:t>ondition on the new ANSTO ANM Facil</w:t>
            </w:r>
            <w:r w:rsidR="00A22E9E">
              <w:t xml:space="preserve">ity to produce </w:t>
            </w:r>
            <w:r w:rsidR="00F52B95">
              <w:t>d</w:t>
            </w:r>
            <w:r w:rsidR="00A22E9E">
              <w:t xml:space="preserve">esign </w:t>
            </w:r>
            <w:r w:rsidR="00F52B95">
              <w:t>e</w:t>
            </w:r>
            <w:r w:rsidR="00A22E9E">
              <w:t xml:space="preserve">xtension </w:t>
            </w:r>
            <w:r w:rsidR="00F52B95">
              <w:t>c</w:t>
            </w:r>
            <w:r w:rsidRPr="0064675E">
              <w:t>onditions as related to SSR-3 above.</w:t>
            </w:r>
          </w:p>
        </w:tc>
      </w:tr>
    </w:tbl>
    <w:p w14:paraId="35C1FC0F" w14:textId="07F3FF3E" w:rsidR="007F07AA" w:rsidRDefault="007F07AA" w:rsidP="00AB09EF">
      <w:pPr>
        <w:pStyle w:val="Heading1"/>
        <w:numPr>
          <w:ilvl w:val="0"/>
          <w:numId w:val="0"/>
        </w:numPr>
        <w:spacing w:before="120" w:after="120"/>
      </w:pPr>
      <w:bookmarkStart w:id="112" w:name="_Toc12537951"/>
      <w:r>
        <w:lastRenderedPageBreak/>
        <w:t>Article 15 – Radiation Protection</w:t>
      </w:r>
      <w:bookmarkEnd w:id="112"/>
    </w:p>
    <w:tbl>
      <w:tblPr>
        <w:tblStyle w:val="GenericARPANSA"/>
        <w:tblW w:w="9639" w:type="dxa"/>
        <w:tblInd w:w="0" w:type="dxa"/>
        <w:shd w:val="clear" w:color="auto" w:fill="F3EAFA"/>
        <w:tblLook w:val="0480" w:firstRow="0" w:lastRow="0" w:firstColumn="1" w:lastColumn="0" w:noHBand="0" w:noVBand="1"/>
      </w:tblPr>
      <w:tblGrid>
        <w:gridCol w:w="9639"/>
      </w:tblGrid>
      <w:tr w:rsidR="0057230E" w14:paraId="6BF54E1D" w14:textId="77777777" w:rsidTr="00FD7DD3">
        <w:tc>
          <w:tcPr>
            <w:tcW w:w="9639" w:type="dxa"/>
            <w:shd w:val="clear" w:color="auto" w:fill="F3EAFA"/>
          </w:tcPr>
          <w:p w14:paraId="12E1653B" w14:textId="5402ABCD" w:rsidR="0057230E" w:rsidRPr="008F08C7" w:rsidRDefault="0057230E" w:rsidP="00FD7DD3">
            <w:pPr>
              <w:jc w:val="left"/>
              <w:rPr>
                <w:rStyle w:val="Normalbold"/>
                <w:b w:val="0"/>
                <w:i/>
              </w:rPr>
            </w:pPr>
            <w:r w:rsidRPr="0057230E">
              <w:rPr>
                <w:rStyle w:val="Normalbold"/>
                <w:b w:val="0"/>
                <w:i/>
              </w:rPr>
              <w:t>Each Contracting Party shall take the appropriate steps to ensure that in all operational states the radiation exposure to the workers and the public caused by a nuclear installation shall be kept as low as reasonably achievable and that no individual shall be exposed to radiation doses which exceed prescribed national dose limits.</w:t>
            </w:r>
          </w:p>
        </w:tc>
      </w:tr>
    </w:tbl>
    <w:p w14:paraId="19DC2524" w14:textId="0CF4DF2A" w:rsidR="00757AAD" w:rsidRPr="005A5870" w:rsidRDefault="00757AAD" w:rsidP="00AB09EF">
      <w:pPr>
        <w:pStyle w:val="150list"/>
        <w:spacing w:before="120" w:after="0"/>
      </w:pPr>
      <w:bookmarkStart w:id="113" w:name="_Ref176946737"/>
      <w:r w:rsidRPr="005A5870">
        <w:t xml:space="preserve">The Regulations require ARPANSA to </w:t>
      </w:r>
      <w:bookmarkStart w:id="114" w:name="_Ref176946738"/>
      <w:bookmarkEnd w:id="113"/>
      <w:r w:rsidRPr="005A5870">
        <w:t>be satisfied that licence holders optimise radiation protection.</w:t>
      </w:r>
      <w:r w:rsidR="00B36A53">
        <w:t xml:space="preserve"> </w:t>
      </w:r>
      <w:bookmarkEnd w:id="114"/>
      <w:r w:rsidRPr="005A5870">
        <w:t>The Regulations also set out statutory effective dose limits</w:t>
      </w:r>
      <w:r w:rsidR="00765294" w:rsidRPr="005A5870">
        <w:t>, as well as equivalent dose limits for the skin, extremities and eye</w:t>
      </w:r>
      <w:r w:rsidRPr="005A5870">
        <w:t>.</w:t>
      </w:r>
      <w:r w:rsidR="00B36A53">
        <w:t xml:space="preserve"> </w:t>
      </w:r>
      <w:r w:rsidR="00765294" w:rsidRPr="005A5870">
        <w:t>The dose limits to the lens of the ey</w:t>
      </w:r>
      <w:r w:rsidR="008A291F" w:rsidRPr="005A5870">
        <w:t xml:space="preserve">e specified in the Regulations </w:t>
      </w:r>
      <w:r w:rsidR="00765294" w:rsidRPr="005A5870">
        <w:t>implement</w:t>
      </w:r>
      <w:r w:rsidR="00313E97" w:rsidRPr="005A5870">
        <w:t>s</w:t>
      </w:r>
      <w:r w:rsidR="00765294" w:rsidRPr="005A5870">
        <w:t xml:space="preserve"> the most recent recommendations from the International Commission on Radiological Protection. </w:t>
      </w:r>
      <w:r w:rsidRPr="005A5870">
        <w:t xml:space="preserve">ARPANSA monitors whether ANSTO ensures that radiation doses arising from normal operation and anticipated operational occurrences throughout the life of the reactor are optimised and do not exceed the dose </w:t>
      </w:r>
      <w:r w:rsidR="00313E97" w:rsidRPr="005A5870">
        <w:t>limi</w:t>
      </w:r>
      <w:r w:rsidRPr="005A5870">
        <w:t xml:space="preserve">ts. </w:t>
      </w:r>
    </w:p>
    <w:p w14:paraId="2D8990E6" w14:textId="77777777" w:rsidR="00757AAD" w:rsidRDefault="00757AAD" w:rsidP="00AB09EF">
      <w:pPr>
        <w:pStyle w:val="Heading2"/>
        <w:spacing w:before="120"/>
      </w:pPr>
      <w:r w:rsidRPr="00FD5BE4">
        <w:t>OPAL Reactor</w:t>
      </w:r>
    </w:p>
    <w:p w14:paraId="11889196" w14:textId="362F31A3" w:rsidR="00757AAD" w:rsidRPr="00FD5BE4" w:rsidRDefault="00757AAD" w:rsidP="00AB09EF">
      <w:pPr>
        <w:pStyle w:val="150list"/>
        <w:spacing w:before="120"/>
      </w:pPr>
      <w:r>
        <w:t xml:space="preserve">ANSTO’s plans and arrangements for OPAL include a </w:t>
      </w:r>
      <w:r w:rsidR="002C1FC7">
        <w:t>r</w:t>
      </w:r>
      <w:r w:rsidRPr="00FD5BE4">
        <w:t xml:space="preserve">adiation </w:t>
      </w:r>
      <w:r w:rsidR="002C1FC7">
        <w:t>p</w:t>
      </w:r>
      <w:r w:rsidRPr="00FD5BE4">
        <w:t xml:space="preserve">rotection </w:t>
      </w:r>
      <w:r w:rsidR="002C1FC7">
        <w:t>p</w:t>
      </w:r>
      <w:r w:rsidRPr="00FD5BE4">
        <w:t>lan</w:t>
      </w:r>
      <w:r w:rsidR="00765294">
        <w:t xml:space="preserve">, as required by the Regulations and further elaborated in ARPANSA’s Regulatory Guide: </w:t>
      </w:r>
      <w:r w:rsidR="00765294" w:rsidRPr="00AB09EF">
        <w:rPr>
          <w:i/>
        </w:rPr>
        <w:t>Plans and Arrangements for Safety</w:t>
      </w:r>
      <w:r>
        <w:t xml:space="preserve"> which covers the following</w:t>
      </w:r>
      <w:r w:rsidRPr="00FD5BE4">
        <w:t>:</w:t>
      </w:r>
    </w:p>
    <w:p w14:paraId="3F45ECA7" w14:textId="4B901361" w:rsidR="00757AAD" w:rsidRPr="00FD5BE4" w:rsidRDefault="00757AAD" w:rsidP="00A22E9E">
      <w:pPr>
        <w:pStyle w:val="ListParagraph"/>
        <w:numPr>
          <w:ilvl w:val="0"/>
          <w:numId w:val="30"/>
        </w:numPr>
        <w:ind w:left="1701" w:hanging="283"/>
      </w:pPr>
      <w:r w:rsidRPr="00FD5BE4">
        <w:t>roles and responsibilities for radiation protection</w:t>
      </w:r>
    </w:p>
    <w:p w14:paraId="78948F3E" w14:textId="71444FEB" w:rsidR="00757AAD" w:rsidRPr="00FD5BE4" w:rsidRDefault="00757AAD" w:rsidP="00A22E9E">
      <w:pPr>
        <w:pStyle w:val="ListParagraph"/>
        <w:numPr>
          <w:ilvl w:val="0"/>
          <w:numId w:val="30"/>
        </w:numPr>
        <w:ind w:left="1701" w:hanging="283"/>
      </w:pPr>
      <w:r w:rsidRPr="00FD5BE4">
        <w:t>an evaluation and safety assessment of the main radiological hazards in OPAL</w:t>
      </w:r>
    </w:p>
    <w:p w14:paraId="76482FC9" w14:textId="64BAE8D9" w:rsidR="00757AAD" w:rsidRPr="00FD5BE4" w:rsidRDefault="00757AAD" w:rsidP="00A22E9E">
      <w:pPr>
        <w:pStyle w:val="ListParagraph"/>
        <w:numPr>
          <w:ilvl w:val="0"/>
          <w:numId w:val="30"/>
        </w:numPr>
        <w:ind w:left="1701" w:hanging="283"/>
      </w:pPr>
      <w:r w:rsidRPr="00FD5BE4">
        <w:t xml:space="preserve">access </w:t>
      </w:r>
      <w:r>
        <w:t xml:space="preserve">control </w:t>
      </w:r>
      <w:r w:rsidRPr="00FD5BE4">
        <w:t>to areas with radiological hazards</w:t>
      </w:r>
    </w:p>
    <w:p w14:paraId="4A5E325F" w14:textId="7183BE0C" w:rsidR="00757AAD" w:rsidRPr="00FD5BE4" w:rsidRDefault="00757AAD" w:rsidP="00A22E9E">
      <w:pPr>
        <w:pStyle w:val="ListParagraph"/>
        <w:numPr>
          <w:ilvl w:val="0"/>
          <w:numId w:val="30"/>
        </w:numPr>
        <w:ind w:left="1701" w:hanging="283"/>
      </w:pPr>
      <w:r w:rsidRPr="00FD5BE4">
        <w:t>administrative controls for management of radiological hazards</w:t>
      </w:r>
    </w:p>
    <w:p w14:paraId="1ABF4633" w14:textId="661EBDCE" w:rsidR="00757AAD" w:rsidRPr="00FD5BE4" w:rsidRDefault="00757AAD" w:rsidP="00A22E9E">
      <w:pPr>
        <w:pStyle w:val="ListParagraph"/>
        <w:numPr>
          <w:ilvl w:val="0"/>
          <w:numId w:val="30"/>
        </w:numPr>
        <w:ind w:left="1701" w:hanging="283"/>
      </w:pPr>
      <w:r w:rsidRPr="00FD5BE4">
        <w:t xml:space="preserve">radiological monitoring programs </w:t>
      </w:r>
      <w:r>
        <w:t xml:space="preserve">for </w:t>
      </w:r>
      <w:r w:rsidRPr="00FD5BE4">
        <w:t>plant, individuals and the environment</w:t>
      </w:r>
    </w:p>
    <w:p w14:paraId="36F4C448" w14:textId="446473F5" w:rsidR="00757AAD" w:rsidRDefault="00757AAD" w:rsidP="00A22E9E">
      <w:pPr>
        <w:pStyle w:val="ListParagraph"/>
        <w:numPr>
          <w:ilvl w:val="0"/>
          <w:numId w:val="30"/>
        </w:numPr>
        <w:ind w:left="1701" w:hanging="283"/>
      </w:pPr>
      <w:r>
        <w:t xml:space="preserve">transportation of </w:t>
      </w:r>
      <w:r w:rsidRPr="00FD5BE4">
        <w:t>radioactive materials</w:t>
      </w:r>
    </w:p>
    <w:p w14:paraId="671AC902" w14:textId="00F1E408" w:rsidR="00757AAD" w:rsidRPr="00FD5BE4" w:rsidRDefault="00757AAD" w:rsidP="00A22E9E">
      <w:pPr>
        <w:pStyle w:val="ListParagraph"/>
        <w:numPr>
          <w:ilvl w:val="0"/>
          <w:numId w:val="30"/>
        </w:numPr>
        <w:ind w:left="1701" w:hanging="283"/>
      </w:pPr>
      <w:r w:rsidRPr="00FD5BE4">
        <w:t>training requirements for radiation protection</w:t>
      </w:r>
    </w:p>
    <w:p w14:paraId="099E3D2D" w14:textId="5AC5BD74" w:rsidR="00757AAD" w:rsidRPr="00FD5BE4" w:rsidRDefault="00757AAD" w:rsidP="00A22E9E">
      <w:pPr>
        <w:pStyle w:val="ListParagraph"/>
        <w:numPr>
          <w:ilvl w:val="0"/>
          <w:numId w:val="30"/>
        </w:numPr>
        <w:spacing w:after="120"/>
        <w:ind w:left="1702" w:hanging="284"/>
      </w:pPr>
      <w:r w:rsidRPr="00FD5BE4">
        <w:t>arrangements for reviewing the radiation protection plan</w:t>
      </w:r>
    </w:p>
    <w:p w14:paraId="169DACF5" w14:textId="555D141D" w:rsidR="00757AAD" w:rsidRPr="005A5870" w:rsidRDefault="00757AAD" w:rsidP="005A5870">
      <w:pPr>
        <w:pStyle w:val="150list"/>
      </w:pPr>
      <w:r w:rsidRPr="002F13BD">
        <w:t>Rad</w:t>
      </w:r>
      <w:r w:rsidRPr="005A5870">
        <w:t xml:space="preserve">iation protection in OPAL is managed with advice from a dedicated </w:t>
      </w:r>
      <w:r w:rsidR="002C1FC7">
        <w:t>r</w:t>
      </w:r>
      <w:r w:rsidRPr="005A5870">
        <w:t xml:space="preserve">adiation </w:t>
      </w:r>
      <w:r w:rsidR="002C1FC7">
        <w:t>p</w:t>
      </w:r>
      <w:r w:rsidRPr="005A5870">
        <w:t xml:space="preserve">rotection </w:t>
      </w:r>
      <w:r w:rsidR="002C1FC7">
        <w:t>a</w:t>
      </w:r>
      <w:r w:rsidRPr="005A5870">
        <w:t>dviser (RPA).</w:t>
      </w:r>
      <w:r w:rsidR="00B36A53">
        <w:t xml:space="preserve"> </w:t>
      </w:r>
      <w:r w:rsidRPr="005A5870">
        <w:t>The RPA is supported by a group of radiation protection personnel working in OPAL, including health physics surveyors.</w:t>
      </w:r>
      <w:r w:rsidR="00B36A53">
        <w:t xml:space="preserve"> </w:t>
      </w:r>
      <w:r w:rsidRPr="005A5870">
        <w:t>The RPA advises on the continuing effectiveness of controls against identified radiological hazards within OPAL and co-ordinates radiation monitoring programs.</w:t>
      </w:r>
    </w:p>
    <w:p w14:paraId="26C2A5CE" w14:textId="6ED98DF9" w:rsidR="008A291F" w:rsidRPr="005A5870" w:rsidRDefault="008A291F" w:rsidP="005A5870">
      <w:pPr>
        <w:pStyle w:val="150list"/>
        <w:rPr>
          <w:spacing w:val="-2"/>
        </w:rPr>
      </w:pPr>
      <w:r w:rsidRPr="005A5870">
        <w:rPr>
          <w:spacing w:val="-2"/>
        </w:rPr>
        <w:t>Doses associated with OPAL are typically low, due to design features which limit operational exposure.</w:t>
      </w:r>
      <w:r w:rsidR="00B36A53">
        <w:rPr>
          <w:spacing w:val="-2"/>
        </w:rPr>
        <w:t xml:space="preserve"> </w:t>
      </w:r>
      <w:r w:rsidRPr="005A5870">
        <w:rPr>
          <w:spacing w:val="-2"/>
        </w:rPr>
        <w:t>These features include a reactor pool incorporating a hot water layer which reduces ambient dose-rates associated with activation and contamination products.</w:t>
      </w:r>
      <w:r w:rsidR="00B36A53">
        <w:rPr>
          <w:spacing w:val="-2"/>
        </w:rPr>
        <w:t xml:space="preserve"> </w:t>
      </w:r>
      <w:r w:rsidRPr="005A5870">
        <w:rPr>
          <w:spacing w:val="-2"/>
        </w:rPr>
        <w:t>Other features include dedicated hot cells for handling irradiated materials and the demarcation of areas of restricted access during reactor operation.</w:t>
      </w:r>
      <w:r w:rsidR="00B36A53">
        <w:rPr>
          <w:spacing w:val="-2"/>
        </w:rPr>
        <w:t xml:space="preserve"> </w:t>
      </w:r>
    </w:p>
    <w:p w14:paraId="3A010307" w14:textId="2B2889D0" w:rsidR="00757AAD" w:rsidRPr="005A5870" w:rsidRDefault="00765294" w:rsidP="005A5870">
      <w:pPr>
        <w:pStyle w:val="150list"/>
        <w:rPr>
          <w:spacing w:val="-2"/>
        </w:rPr>
      </w:pPr>
      <w:r w:rsidRPr="005A5870">
        <w:rPr>
          <w:spacing w:val="-2"/>
        </w:rPr>
        <w:t>Dose records are submitted quarterly to ARPANSA and recorded in the Australian National Radiation Dose Register maintained by ARPANSA.</w:t>
      </w:r>
      <w:r w:rsidR="00757AAD" w:rsidRPr="005A5870">
        <w:rPr>
          <w:spacing w:val="-2"/>
        </w:rPr>
        <w:t xml:space="preserve"> </w:t>
      </w:r>
    </w:p>
    <w:p w14:paraId="53DDFD15" w14:textId="30ADFE33" w:rsidR="007D375D" w:rsidRPr="005A5870" w:rsidRDefault="001F35E9" w:rsidP="005A5870">
      <w:pPr>
        <w:pStyle w:val="150list"/>
      </w:pPr>
      <w:r w:rsidRPr="005A5870">
        <w:t>The</w:t>
      </w:r>
      <w:r w:rsidR="008C59BE" w:rsidRPr="005A5870">
        <w:t xml:space="preserve"> 2018</w:t>
      </w:r>
      <w:r w:rsidRPr="005A5870">
        <w:t xml:space="preserve"> IRRS </w:t>
      </w:r>
      <w:r w:rsidR="006F3484">
        <w:t>m</w:t>
      </w:r>
      <w:r w:rsidRPr="005A5870">
        <w:t xml:space="preserve">ission made the following </w:t>
      </w:r>
      <w:r w:rsidR="008C59BE" w:rsidRPr="005A5870">
        <w:t>r</w:t>
      </w:r>
      <w:r w:rsidRPr="005A5870">
        <w:t>ecommendation</w:t>
      </w:r>
      <w:r w:rsidR="006F3484">
        <w:rPr>
          <w:i/>
        </w:rPr>
        <w:t>:</w:t>
      </w:r>
      <w:r w:rsidR="007D375D" w:rsidRPr="005A5870">
        <w:rPr>
          <w:i/>
        </w:rPr>
        <w:t xml:space="preserve"> ARPANSA should make provision for an independent monitoring programme to confirm the monitoring results submitted by licensees and should consider basing the programme on an assessment of the nuclides that make a ma</w:t>
      </w:r>
      <w:r w:rsidR="00757AAD" w:rsidRPr="005A5870">
        <w:rPr>
          <w:i/>
        </w:rPr>
        <w:t>jor contribution to public dose</w:t>
      </w:r>
      <w:r w:rsidR="00757AAD" w:rsidRPr="005A5870">
        <w:rPr>
          <w:b/>
          <w:i/>
        </w:rPr>
        <w:t>.</w:t>
      </w:r>
      <w:r w:rsidR="00757AAD" w:rsidRPr="005A5870">
        <w:t xml:space="preserve"> ARPANSA is addressing this recommendation as part of the response to the IRRS </w:t>
      </w:r>
      <w:r w:rsidR="006F3484">
        <w:t>m</w:t>
      </w:r>
      <w:r w:rsidR="00757AAD" w:rsidRPr="005A5870">
        <w:t>ission</w:t>
      </w:r>
      <w:r w:rsidR="00764B09">
        <w:t>.</w:t>
      </w:r>
    </w:p>
    <w:p w14:paraId="5C3F3C3A" w14:textId="40630E56" w:rsidR="007F07AA" w:rsidRDefault="007F07AA" w:rsidP="00980796">
      <w:pPr>
        <w:pStyle w:val="Heading1"/>
        <w:numPr>
          <w:ilvl w:val="0"/>
          <w:numId w:val="0"/>
        </w:numPr>
        <w:spacing w:after="120"/>
      </w:pPr>
      <w:bookmarkStart w:id="115" w:name="_Ref516304025"/>
      <w:bookmarkStart w:id="116" w:name="_Toc527512568"/>
      <w:bookmarkStart w:id="117" w:name="_Toc81816911"/>
      <w:bookmarkStart w:id="118" w:name="_Toc81816966"/>
      <w:bookmarkStart w:id="119" w:name="_Toc81891570"/>
      <w:bookmarkStart w:id="120" w:name="_Toc81893636"/>
      <w:bookmarkStart w:id="121" w:name="_Toc81896905"/>
      <w:bookmarkStart w:id="122" w:name="_Toc457392315"/>
      <w:bookmarkStart w:id="123" w:name="_Toc12537952"/>
      <w:r w:rsidRPr="00FD5BE4">
        <w:lastRenderedPageBreak/>
        <w:t>Article 16 – Emergency Preparednes</w:t>
      </w:r>
      <w:bookmarkEnd w:id="115"/>
      <w:bookmarkEnd w:id="116"/>
      <w:bookmarkEnd w:id="117"/>
      <w:bookmarkEnd w:id="118"/>
      <w:bookmarkEnd w:id="119"/>
      <w:bookmarkEnd w:id="120"/>
      <w:bookmarkEnd w:id="121"/>
      <w:bookmarkEnd w:id="122"/>
      <w:r w:rsidR="005277A8">
        <w:t>s</w:t>
      </w:r>
      <w:bookmarkEnd w:id="123"/>
    </w:p>
    <w:tbl>
      <w:tblPr>
        <w:tblStyle w:val="GenericARPANSA"/>
        <w:tblW w:w="9639" w:type="dxa"/>
        <w:tblInd w:w="0" w:type="dxa"/>
        <w:shd w:val="clear" w:color="auto" w:fill="F3EAFA"/>
        <w:tblLook w:val="0480" w:firstRow="0" w:lastRow="0" w:firstColumn="1" w:lastColumn="0" w:noHBand="0" w:noVBand="1"/>
      </w:tblPr>
      <w:tblGrid>
        <w:gridCol w:w="9639"/>
      </w:tblGrid>
      <w:tr w:rsidR="003F4C23" w14:paraId="7DBC1B1E" w14:textId="77777777" w:rsidTr="00FD7DD3">
        <w:tc>
          <w:tcPr>
            <w:tcW w:w="9639" w:type="dxa"/>
            <w:shd w:val="clear" w:color="auto" w:fill="F3EAFA"/>
          </w:tcPr>
          <w:p w14:paraId="2DC51B7B" w14:textId="4C2E4900" w:rsidR="003F4C23" w:rsidRPr="008F08C7" w:rsidRDefault="003F4C23" w:rsidP="00FD7DD3">
            <w:pPr>
              <w:jc w:val="left"/>
              <w:rPr>
                <w:rStyle w:val="Normalbold"/>
                <w:b w:val="0"/>
                <w:i/>
              </w:rPr>
            </w:pPr>
            <w:r w:rsidRPr="003F4C23">
              <w:rPr>
                <w:rStyle w:val="Normalbold"/>
                <w:b w:val="0"/>
                <w:i/>
              </w:rPr>
              <w:t>Each Contracting Party shall take the appropriate steps to ensure that there are on-site and off-site emergency plans that are routinely tested for nuclear installations and cover the activities to be carried out in the event of an emergency.</w:t>
            </w:r>
            <w:r w:rsidR="00B36A53">
              <w:rPr>
                <w:rStyle w:val="Normalbold"/>
                <w:b w:val="0"/>
                <w:i/>
              </w:rPr>
              <w:t xml:space="preserve"> </w:t>
            </w:r>
            <w:r w:rsidRPr="003F4C23">
              <w:rPr>
                <w:rStyle w:val="Normalbold"/>
                <w:b w:val="0"/>
                <w:i/>
              </w:rPr>
              <w:t>For any new nuclear installation, such plans shall be prepared and tested before it commences operation above a low power level agreed by the regulatory body.</w:t>
            </w:r>
          </w:p>
        </w:tc>
      </w:tr>
    </w:tbl>
    <w:p w14:paraId="5A2F2679" w14:textId="0889AAA5" w:rsidR="002F13BD" w:rsidRPr="00AB1094" w:rsidRDefault="002F13BD" w:rsidP="002F13BD">
      <w:pPr>
        <w:pStyle w:val="160list"/>
        <w:spacing w:before="120"/>
      </w:pPr>
      <w:bookmarkStart w:id="124" w:name="_Ref176665585"/>
      <w:r w:rsidRPr="00AB1094">
        <w:t>The Regulations require a licence applicant to include its emergency plans in its submissions that support a licence application.</w:t>
      </w:r>
      <w:r>
        <w:t xml:space="preserve"> </w:t>
      </w:r>
      <w:r w:rsidRPr="00AB1094">
        <w:t>The Regulations also require the plans and arrangements to be reviewed at least once every three years.</w:t>
      </w:r>
      <w:r>
        <w:t xml:space="preserve"> </w:t>
      </w:r>
      <w:r w:rsidRPr="00AB1094">
        <w:t xml:space="preserve">Under the </w:t>
      </w:r>
      <w:r w:rsidR="00B96BE5">
        <w:t>r</w:t>
      </w:r>
      <w:r w:rsidRPr="00AB1094">
        <w:t xml:space="preserve">egulatory </w:t>
      </w:r>
      <w:r w:rsidR="00B96BE5">
        <w:t>g</w:t>
      </w:r>
      <w:r w:rsidRPr="00AB1094">
        <w:t xml:space="preserve">uide on </w:t>
      </w:r>
      <w:r w:rsidR="00B96BE5">
        <w:t>r</w:t>
      </w:r>
      <w:r w:rsidRPr="00AB1094">
        <w:t xml:space="preserve">eview of </w:t>
      </w:r>
      <w:r w:rsidR="00B96BE5">
        <w:t>p</w:t>
      </w:r>
      <w:r w:rsidRPr="00AB1094">
        <w:t xml:space="preserve">lans and </w:t>
      </w:r>
      <w:r w:rsidR="00B96BE5">
        <w:t>a</w:t>
      </w:r>
      <w:r w:rsidRPr="00AB1094">
        <w:t>rrangements, ARPANSA expects emergency plans to be in place for any action that could give rise to a need for urgent protective measures or other actions and be based on an assessment of the consequences of reasonably foreseeable accidents including those with off-site consequences.</w:t>
      </w:r>
      <w:r>
        <w:t xml:space="preserve"> </w:t>
      </w:r>
    </w:p>
    <w:p w14:paraId="5DE3E79E" w14:textId="77777777" w:rsidR="002F13BD" w:rsidRDefault="002F13BD" w:rsidP="002F13BD">
      <w:pPr>
        <w:pStyle w:val="160list"/>
      </w:pPr>
      <w:r w:rsidRPr="007F07AA">
        <w:t>Emergency plans must also aim to minimise consequences and ensure protection of on-site personnel, the public and the environment; have comprehensive procedures, and require all external organisations identified in the emergency plan to be prepared for emergencies with adequate and well-maintained facilities and equipment.</w:t>
      </w:r>
    </w:p>
    <w:p w14:paraId="0B397550" w14:textId="06A86F11" w:rsidR="002F13BD" w:rsidRPr="00126446" w:rsidRDefault="002F13BD" w:rsidP="002F13BD">
      <w:pPr>
        <w:pStyle w:val="160list"/>
      </w:pPr>
      <w:r w:rsidRPr="00943841">
        <w:t xml:space="preserve">The </w:t>
      </w:r>
      <w:r>
        <w:t xml:space="preserve">2018 </w:t>
      </w:r>
      <w:r w:rsidR="00B96BE5">
        <w:t>IRRS mission</w:t>
      </w:r>
      <w:r w:rsidRPr="00943841">
        <w:t xml:space="preserve"> made the following recommendation which ARPANSA is addressing as part of the response to the IRRS </w:t>
      </w:r>
      <w:r w:rsidR="00975C9B">
        <w:t>r</w:t>
      </w:r>
      <w:r w:rsidRPr="00943841">
        <w:t xml:space="preserve">eport - </w:t>
      </w:r>
      <w:r w:rsidRPr="008C59BE">
        <w:rPr>
          <w:i/>
        </w:rPr>
        <w:t>ARPANSA should develop criteria for evaluation of licensee exercises, to include the observation of exercises as part of the inspection process and ensure that licensees exercise all aspects of their emergency plan over an agreed time period and in line with a graded approach.</w:t>
      </w:r>
      <w:r>
        <w:rPr>
          <w:i/>
        </w:rPr>
        <w:t xml:space="preserve"> </w:t>
      </w:r>
      <w:r w:rsidRPr="005A5870">
        <w:t xml:space="preserve">ARPANSA is addressing this recommendation as part of the response to the </w:t>
      </w:r>
      <w:r w:rsidR="00B96BE5">
        <w:t>IRRS mission</w:t>
      </w:r>
      <w:r>
        <w:t>.</w:t>
      </w:r>
    </w:p>
    <w:p w14:paraId="7AB4C101" w14:textId="194A1630" w:rsidR="002F13BD" w:rsidRPr="008C59BE" w:rsidRDefault="002F13BD" w:rsidP="002F13BD">
      <w:pPr>
        <w:pStyle w:val="160list"/>
      </w:pPr>
      <w:r>
        <w:t xml:space="preserve">ARPANSA has published </w:t>
      </w:r>
      <w:r w:rsidR="00975C9B">
        <w:t>a</w:t>
      </w:r>
      <w:r>
        <w:t xml:space="preserve"> </w:t>
      </w:r>
      <w:r w:rsidRPr="00AB09EF">
        <w:rPr>
          <w:i/>
        </w:rPr>
        <w:t>Guide for Radiation Protection in Emergency Exposure Situations</w:t>
      </w:r>
      <w:r w:rsidRPr="00B7616F">
        <w:t xml:space="preserve"> (RPS G-3, Parts 1 and 2, 2019)</w:t>
      </w:r>
      <w:r>
        <w:t xml:space="preserve">.  </w:t>
      </w:r>
      <w:r w:rsidRPr="00B7616F">
        <w:t xml:space="preserve">This </w:t>
      </w:r>
      <w:r w:rsidR="00975C9B">
        <w:t>g</w:t>
      </w:r>
      <w:r w:rsidRPr="00B7616F">
        <w:t>uide provides the framework in Australia for the protection of emergency workers, helpers, the public and the environment in emergency exposure situations as well as providing guidance for the planning, preparedness, response and transition required to effectively respond to an emergency</w:t>
      </w:r>
    </w:p>
    <w:p w14:paraId="4D93A72C" w14:textId="77777777" w:rsidR="00EC2AC1" w:rsidRPr="00DC727D" w:rsidRDefault="00EC2AC1" w:rsidP="00943841">
      <w:pPr>
        <w:pStyle w:val="Heading2"/>
      </w:pPr>
      <w:r w:rsidRPr="00FD5BE4">
        <w:t>OPAL</w:t>
      </w:r>
    </w:p>
    <w:p w14:paraId="20F547E4" w14:textId="6D4ADF3D" w:rsidR="007F07AA" w:rsidRDefault="007F07AA" w:rsidP="00AB09EF">
      <w:pPr>
        <w:pStyle w:val="160list"/>
        <w:spacing w:before="120"/>
      </w:pPr>
      <w:r w:rsidRPr="00D530C6">
        <w:t xml:space="preserve">ANSTO has an </w:t>
      </w:r>
      <w:r w:rsidR="004B4F35">
        <w:t>e</w:t>
      </w:r>
      <w:r w:rsidRPr="00D530C6">
        <w:t xml:space="preserve">mergency </w:t>
      </w:r>
      <w:r w:rsidR="004B4F35">
        <w:t>r</w:t>
      </w:r>
      <w:r w:rsidRPr="00D530C6">
        <w:t xml:space="preserve">esponse </w:t>
      </w:r>
      <w:r w:rsidR="004B4F35">
        <w:t>p</w:t>
      </w:r>
      <w:r w:rsidRPr="00D530C6">
        <w:t>lan for its entire site, which is integrated with the emergency plans of the State of New South Wales.</w:t>
      </w:r>
      <w:r w:rsidR="00B36A53">
        <w:t xml:space="preserve"> </w:t>
      </w:r>
      <w:r w:rsidRPr="00D530C6">
        <w:t>There is a sub-plan covering a major incident at ANSTO which may involve local evacuations.</w:t>
      </w:r>
      <w:r w:rsidR="00B36A53">
        <w:t xml:space="preserve"> </w:t>
      </w:r>
      <w:r w:rsidRPr="00D530C6">
        <w:t>An emergency plan exists for OPAL</w:t>
      </w:r>
      <w:r>
        <w:t xml:space="preserve">, with the requirement for </w:t>
      </w:r>
      <w:r w:rsidRPr="00D530C6">
        <w:t>a major exercise every two years</w:t>
      </w:r>
      <w:r>
        <w:t xml:space="preserve"> and </w:t>
      </w:r>
      <w:r w:rsidRPr="00D530C6">
        <w:t>more frequent drills on particular aspects of the plan.</w:t>
      </w:r>
      <w:bookmarkEnd w:id="124"/>
      <w:r w:rsidR="00B36A53">
        <w:t xml:space="preserve"> </w:t>
      </w:r>
      <w:r w:rsidRPr="00D530C6">
        <w:t>Major exercises have been held regularly in accordance with the plan.</w:t>
      </w:r>
      <w:r w:rsidR="00B36A53">
        <w:t xml:space="preserve"> </w:t>
      </w:r>
      <w:r w:rsidRPr="00D530C6">
        <w:t>These exercises were witnessed by ARPANSA inspectors.</w:t>
      </w:r>
      <w:r w:rsidR="00B36A53">
        <w:t xml:space="preserve"> </w:t>
      </w:r>
      <w:r w:rsidRPr="00D530C6">
        <w:t>In addition, desktop drills are performed once a week by the duty shift, such that every shift completes a drill once every four to six weeks.</w:t>
      </w:r>
    </w:p>
    <w:p w14:paraId="2088090D" w14:textId="312575B0" w:rsidR="007F07AA" w:rsidRDefault="007F07AA" w:rsidP="00AB1094">
      <w:pPr>
        <w:pStyle w:val="160list"/>
      </w:pPr>
      <w:bookmarkStart w:id="125" w:name="_Ref176667561"/>
      <w:r w:rsidRPr="001A794A">
        <w:t xml:space="preserve">The </w:t>
      </w:r>
      <w:r>
        <w:t>implementation of these emergency plans</w:t>
      </w:r>
      <w:r w:rsidRPr="001A794A">
        <w:t xml:space="preserve"> </w:t>
      </w:r>
      <w:r>
        <w:t xml:space="preserve">for the ANSTO site </w:t>
      </w:r>
      <w:r w:rsidRPr="001A794A">
        <w:t xml:space="preserve">is </w:t>
      </w:r>
      <w:r>
        <w:t>regularly</w:t>
      </w:r>
      <w:r w:rsidRPr="001A794A">
        <w:t xml:space="preserve"> discussed with </w:t>
      </w:r>
      <w:r>
        <w:t xml:space="preserve">emergency response </w:t>
      </w:r>
      <w:r w:rsidRPr="001A794A">
        <w:t>agencies</w:t>
      </w:r>
      <w:r>
        <w:t xml:space="preserve">, local council and others </w:t>
      </w:r>
      <w:r w:rsidRPr="001A794A">
        <w:t>at the ANSTO Local Liaison Working Party</w:t>
      </w:r>
      <w:r>
        <w:t>, in which ARPANSA is an observer.</w:t>
      </w:r>
      <w:r w:rsidR="00B36A53">
        <w:t xml:space="preserve"> </w:t>
      </w:r>
      <w:r w:rsidRPr="001A794A">
        <w:t xml:space="preserve">The plans are </w:t>
      </w:r>
      <w:r>
        <w:t xml:space="preserve">also </w:t>
      </w:r>
      <w:r w:rsidRPr="001A794A">
        <w:t>available in local public libraries.</w:t>
      </w:r>
    </w:p>
    <w:p w14:paraId="1DD0068D" w14:textId="53CF6217" w:rsidR="007F07AA" w:rsidRPr="00D07916" w:rsidRDefault="007F07AA" w:rsidP="00AB1094">
      <w:pPr>
        <w:pStyle w:val="160list"/>
      </w:pPr>
      <w:r w:rsidRPr="00943841">
        <w:t>The OPAL reactor conducted three major emergency exercises in the last three years. All exercises involved external organisations and response teams.</w:t>
      </w:r>
      <w:r w:rsidR="00B36A53">
        <w:t xml:space="preserve"> </w:t>
      </w:r>
      <w:r w:rsidRPr="00943841">
        <w:t>Two scenarios included evacuation of the reactor building (different triggers) and the treatment of contaminated or injured personnel.</w:t>
      </w:r>
      <w:r w:rsidR="00B36A53">
        <w:t xml:space="preserve"> </w:t>
      </w:r>
      <w:r w:rsidRPr="00943841">
        <w:t xml:space="preserve">The third exercise was a site-wide evacuation that included </w:t>
      </w:r>
      <w:r w:rsidR="004B4F35">
        <w:t xml:space="preserve">the </w:t>
      </w:r>
      <w:r w:rsidRPr="00943841">
        <w:t>OPAL reactor.</w:t>
      </w:r>
      <w:r w:rsidR="00B36A53">
        <w:t xml:space="preserve"> </w:t>
      </w:r>
      <w:r w:rsidRPr="00943841">
        <w:t xml:space="preserve">The exercises targeted effectiveness of the interfaces between ANSTO and external responders, adequacy of the processes at the OPAL reactor and site-wide protocols, and capabilities of personnel and </w:t>
      </w:r>
      <w:r w:rsidRPr="00943841">
        <w:lastRenderedPageBreak/>
        <w:t>equipment.</w:t>
      </w:r>
      <w:r w:rsidR="00B36A53">
        <w:t xml:space="preserve"> </w:t>
      </w:r>
      <w:r w:rsidRPr="00943841">
        <w:t>The lessons learnt identified improvements in a number of areas, such as communications, coordination of responding teams, personnel decontamination process, and emergency management.</w:t>
      </w:r>
    </w:p>
    <w:p w14:paraId="509805FF" w14:textId="73D30977" w:rsidR="007F07AA" w:rsidRDefault="007F07AA" w:rsidP="00AB1094">
      <w:pPr>
        <w:pStyle w:val="160list"/>
      </w:pPr>
      <w:r w:rsidRPr="00DC727D">
        <w:t>Assessments of the radiological consequences of acts of sabotage and terrorism in relation to OPAL have been undertaken by ANSTO and reviewed by ARPANSA.</w:t>
      </w:r>
      <w:r w:rsidR="00B36A53">
        <w:t xml:space="preserve"> </w:t>
      </w:r>
      <w:r w:rsidR="008C59BE">
        <w:t>Both ANSTO and ARPANSA</w:t>
      </w:r>
      <w:r w:rsidRPr="00DC727D">
        <w:t xml:space="preserve"> concluded that the current emergency plans and arrangements, including adoption of the </w:t>
      </w:r>
      <w:r w:rsidRPr="00943841">
        <w:t>World Health Organisation</w:t>
      </w:r>
      <w:r w:rsidRPr="00DC727D">
        <w:t xml:space="preserve"> (WHO) guidelines for the dissemination of iodine tablets, provide adequate protection of the public for such events.</w:t>
      </w:r>
    </w:p>
    <w:p w14:paraId="4710CC62" w14:textId="6C6326FC" w:rsidR="002F13BD" w:rsidRDefault="002F13BD" w:rsidP="002F13BD">
      <w:pPr>
        <w:pStyle w:val="160list"/>
      </w:pPr>
      <w:r w:rsidRPr="002F13BD">
        <w:t xml:space="preserve">A licence condition for moving to routine operations of the new ANM Facility required ANSTO to conduct an emergency response exercise following a scenario agreed by ARPANSA. ARPANSA observed this scenario and were satisfied that the emergency plan had been successfully implemented. </w:t>
      </w:r>
    </w:p>
    <w:tbl>
      <w:tblPr>
        <w:tblStyle w:val="GenericARPANSA"/>
        <w:tblW w:w="9639" w:type="dxa"/>
        <w:tblInd w:w="0" w:type="dxa"/>
        <w:shd w:val="clear" w:color="auto" w:fill="F3EAFA"/>
        <w:tblLook w:val="0480" w:firstRow="0" w:lastRow="0" w:firstColumn="1" w:lastColumn="0" w:noHBand="0" w:noVBand="1"/>
      </w:tblPr>
      <w:tblGrid>
        <w:gridCol w:w="9639"/>
      </w:tblGrid>
      <w:tr w:rsidR="005B2E28" w14:paraId="013CFEB6" w14:textId="77777777" w:rsidTr="00FD7DD3">
        <w:tc>
          <w:tcPr>
            <w:tcW w:w="9639" w:type="dxa"/>
            <w:shd w:val="clear" w:color="auto" w:fill="F3EAFA"/>
          </w:tcPr>
          <w:p w14:paraId="2AD9D13E" w14:textId="311DA653" w:rsidR="005B2E28" w:rsidRPr="008F08C7" w:rsidRDefault="005B2E28" w:rsidP="00FD7DD3">
            <w:pPr>
              <w:jc w:val="left"/>
              <w:rPr>
                <w:rStyle w:val="Normalbold"/>
                <w:b w:val="0"/>
                <w:i/>
              </w:rPr>
            </w:pPr>
            <w:r w:rsidRPr="005B2E28">
              <w:rPr>
                <w:rStyle w:val="Normalbold"/>
                <w:b w:val="0"/>
                <w:i/>
              </w:rPr>
              <w:t>Each Contracting Party shall take the appropriate steps to ensure that, in</w:t>
            </w:r>
            <w:r w:rsidR="00AB4BC4">
              <w:rPr>
                <w:rStyle w:val="Normalbold"/>
                <w:b w:val="0"/>
                <w:i/>
              </w:rPr>
              <w:t xml:space="preserve"> </w:t>
            </w:r>
            <w:r w:rsidRPr="005B2E28">
              <w:rPr>
                <w:rStyle w:val="Normalbold"/>
                <w:b w:val="0"/>
                <w:i/>
              </w:rPr>
              <w:t>sofar as they are likely to be affected by a radiological emergency, its own population and the competent authorities of the States in the vicinity of the nuclear installation are provided with appropriate information for emergency planning and response.</w:t>
            </w:r>
          </w:p>
        </w:tc>
      </w:tr>
    </w:tbl>
    <w:p w14:paraId="3693839A" w14:textId="2E253F3B" w:rsidR="002F13BD" w:rsidRDefault="002F13BD" w:rsidP="002F13BD">
      <w:pPr>
        <w:pStyle w:val="160list"/>
        <w:spacing w:before="120"/>
      </w:pPr>
      <w:r>
        <w:t>T</w:t>
      </w:r>
      <w:r w:rsidRPr="00FD5BE4">
        <w:t xml:space="preserve">he geographical </w:t>
      </w:r>
      <w:r>
        <w:t>location</w:t>
      </w:r>
      <w:r w:rsidRPr="00FD5BE4">
        <w:t xml:space="preserve"> of Australia </w:t>
      </w:r>
      <w:r>
        <w:t>means</w:t>
      </w:r>
      <w:r w:rsidRPr="00FD5BE4">
        <w:t xml:space="preserve"> that an emergency in OPAL </w:t>
      </w:r>
      <w:r>
        <w:t>is unlikely to result in a transboundary release but could result in a transnational emergency</w:t>
      </w:r>
      <w:r w:rsidRPr="00FD5BE4">
        <w:t xml:space="preserve">. Australia is a </w:t>
      </w:r>
      <w:r w:rsidR="004B4F35">
        <w:t>p</w:t>
      </w:r>
      <w:r w:rsidRPr="00FD5BE4">
        <w:t xml:space="preserve">arty to the </w:t>
      </w:r>
      <w:r w:rsidRPr="00FB229C">
        <w:rPr>
          <w:i/>
        </w:rPr>
        <w:t>Convention on the Early Notification of a Nuclear Accident</w:t>
      </w:r>
      <w:r w:rsidRPr="00FD5BE4">
        <w:t xml:space="preserve"> and the </w:t>
      </w:r>
      <w:r w:rsidRPr="00FB229C">
        <w:rPr>
          <w:i/>
        </w:rPr>
        <w:t>Convention on Assistance in the Case of a Nuclear Accident or Radiological Emergency</w:t>
      </w:r>
      <w:r w:rsidRPr="00FD5BE4">
        <w:t>.</w:t>
      </w:r>
      <w:r>
        <w:t xml:space="preserve"> </w:t>
      </w:r>
      <w:r w:rsidRPr="00FD5BE4">
        <w:t xml:space="preserve">ARPANSA is the designated </w:t>
      </w:r>
      <w:r w:rsidR="004B4F35">
        <w:t>n</w:t>
      </w:r>
      <w:r w:rsidRPr="00FD5BE4">
        <w:t xml:space="preserve">ational </w:t>
      </w:r>
      <w:r w:rsidR="004B4F35">
        <w:t>c</w:t>
      </w:r>
      <w:r w:rsidRPr="00FD5BE4">
        <w:t xml:space="preserve">ompetent </w:t>
      </w:r>
      <w:r w:rsidR="004B4F35">
        <w:t>a</w:t>
      </w:r>
      <w:r w:rsidRPr="00FD5BE4">
        <w:t xml:space="preserve">uthority for these </w:t>
      </w:r>
      <w:r w:rsidR="004B4F35">
        <w:t>c</w:t>
      </w:r>
      <w:r w:rsidRPr="00FD5BE4">
        <w:t xml:space="preserve">onventions and the </w:t>
      </w:r>
      <w:r>
        <w:t xml:space="preserve">Australian Government Crisis </w:t>
      </w:r>
      <w:r w:rsidRPr="00FD5BE4">
        <w:t>Coordination Centre</w:t>
      </w:r>
      <w:r>
        <w:t xml:space="preserve">, operated by </w:t>
      </w:r>
      <w:r w:rsidRPr="008945FE">
        <w:t>Emergency Managemen</w:t>
      </w:r>
      <w:r>
        <w:t>t Australia a Division of the</w:t>
      </w:r>
      <w:r w:rsidRPr="008945FE">
        <w:t xml:space="preserve"> Department of Home Affairs</w:t>
      </w:r>
      <w:r>
        <w:t>,</w:t>
      </w:r>
      <w:r w:rsidRPr="00FD5BE4">
        <w:t xml:space="preserve"> is the designated </w:t>
      </w:r>
      <w:r w:rsidR="004B4F35">
        <w:t>n</w:t>
      </w:r>
      <w:r w:rsidRPr="00FD5BE4">
        <w:t xml:space="preserve">ational </w:t>
      </w:r>
      <w:r w:rsidR="004B4F35">
        <w:t>w</w:t>
      </w:r>
      <w:r w:rsidRPr="00FD5BE4">
        <w:t xml:space="preserve">arning </w:t>
      </w:r>
      <w:r w:rsidR="004B4F35">
        <w:t>p</w:t>
      </w:r>
      <w:r w:rsidRPr="00FD5BE4">
        <w:t>oint.</w:t>
      </w:r>
      <w:r>
        <w:t xml:space="preserve"> ARPANSA maintains capabilities registered in RANET that can be deployed to other countries under the Assistance Convention.</w:t>
      </w:r>
      <w:r w:rsidRPr="007F0308">
        <w:t xml:space="preserve"> </w:t>
      </w:r>
    </w:p>
    <w:p w14:paraId="04AD9AD9" w14:textId="40C3DE04" w:rsidR="005A45A1" w:rsidRDefault="002F13BD" w:rsidP="005F6BE4">
      <w:pPr>
        <w:pStyle w:val="160list"/>
      </w:pPr>
      <w:r w:rsidRPr="005E5E73">
        <w:t>The ARPANSA Emergency Operations Centre can be activated in response to a radiological or nuclear emergency and provides 24 hour access to expert radiation protection and nuclear safety advice.  The operations centre maintains communication links with the Australian Government Crisis Coordination Centre ensuring the Australian Government and public are provided with appropriate and timely information during an emergency.  This information would also be sent to the IAEA Incident and Emergency Centre as required to inform affected Member States on the situation</w:t>
      </w:r>
      <w:r w:rsidR="004B4F35">
        <w:t>.</w:t>
      </w:r>
    </w:p>
    <w:tbl>
      <w:tblPr>
        <w:tblStyle w:val="GenericARPANSA"/>
        <w:tblW w:w="9639" w:type="dxa"/>
        <w:tblInd w:w="0" w:type="dxa"/>
        <w:shd w:val="clear" w:color="auto" w:fill="F3EAFA"/>
        <w:tblLook w:val="0480" w:firstRow="0" w:lastRow="0" w:firstColumn="1" w:lastColumn="0" w:noHBand="0" w:noVBand="1"/>
      </w:tblPr>
      <w:tblGrid>
        <w:gridCol w:w="9639"/>
      </w:tblGrid>
      <w:tr w:rsidR="005A45A1" w14:paraId="6E996193" w14:textId="77777777" w:rsidTr="00FD7DD3">
        <w:tc>
          <w:tcPr>
            <w:tcW w:w="9639" w:type="dxa"/>
            <w:shd w:val="clear" w:color="auto" w:fill="F3EAFA"/>
          </w:tcPr>
          <w:p w14:paraId="131A2F68" w14:textId="4FD4C23D" w:rsidR="005A45A1" w:rsidRPr="0038355F" w:rsidRDefault="005A45A1" w:rsidP="0038355F">
            <w:pPr>
              <w:jc w:val="left"/>
              <w:rPr>
                <w:rStyle w:val="Normalbold"/>
                <w:b w:val="0"/>
                <w:i/>
              </w:rPr>
            </w:pPr>
            <w:r w:rsidRPr="0038355F">
              <w:rPr>
                <w:rStyle w:val="Normalbold"/>
                <w:b w:val="0"/>
                <w:i/>
              </w:rPr>
              <w:t>Contracting Parties which do not have a nuclear installation on their territory, insofar as they are likely to be affected in the event of a radiological emergency at a nuclear installation in the vicinity, shall take the appropriate steps for the preparation and testing of emergency plans for their territory that cover the activities to be carried out in the event of such an emergency.</w:t>
            </w:r>
          </w:p>
        </w:tc>
      </w:tr>
    </w:tbl>
    <w:p w14:paraId="310C6BF1" w14:textId="77777777" w:rsidR="00542D5C" w:rsidRPr="00542D5C" w:rsidRDefault="00542D5C" w:rsidP="00542D5C">
      <w:pPr>
        <w:pStyle w:val="ListParagraph"/>
        <w:spacing w:before="0" w:after="120" w:line="240" w:lineRule="auto"/>
        <w:ind w:left="851"/>
        <w:jc w:val="both"/>
        <w:rPr>
          <w:color w:val="000000"/>
        </w:rPr>
      </w:pPr>
    </w:p>
    <w:p w14:paraId="124354D2" w14:textId="0F264CE9" w:rsidR="002F13BD" w:rsidRPr="002F13BD" w:rsidRDefault="007F07AA" w:rsidP="00A22E9E">
      <w:pPr>
        <w:pStyle w:val="160list"/>
        <w:rPr>
          <w:color w:val="000000"/>
        </w:rPr>
      </w:pPr>
      <w:r w:rsidRPr="000528C9">
        <w:t>Australia is not geographically close to any State operating a nuclear installation</w:t>
      </w:r>
      <w:r w:rsidR="007678A0">
        <w:t xml:space="preserve"> as defined under the CNS</w:t>
      </w:r>
      <w:r w:rsidRPr="000528C9">
        <w:t>.</w:t>
      </w:r>
      <w:r w:rsidR="00B36A53">
        <w:t xml:space="preserve"> </w:t>
      </w:r>
      <w:r w:rsidRPr="000528C9">
        <w:t>Nevertheless, Australia has appropriate precautions in place in relation to radiation emergencies in other countries, including the provision of information to the public and decision makers and the monitoring of imported foodstuffs.</w:t>
      </w:r>
      <w:r w:rsidR="00B36A53">
        <w:t xml:space="preserve"> </w:t>
      </w:r>
      <w:r w:rsidRPr="000528C9">
        <w:t xml:space="preserve">For example, during the Fukushima nuclear emergency, ARPANSA provided </w:t>
      </w:r>
      <w:r w:rsidR="008C59BE">
        <w:t>continuo</w:t>
      </w:r>
      <w:r w:rsidR="00980796">
        <w:t>u</w:t>
      </w:r>
      <w:r w:rsidR="008C59BE">
        <w:t>s</w:t>
      </w:r>
      <w:r w:rsidRPr="000528C9">
        <w:t xml:space="preserve"> technical advice to the Australian Government.</w:t>
      </w:r>
      <w:r w:rsidR="00B36A53">
        <w:t xml:space="preserve"> </w:t>
      </w:r>
      <w:r w:rsidRPr="000528C9">
        <w:t>Using weather prediction data, ARPANSA modelled the movement of airborne radioactive plumes, both potential and real, on a daily basis to ensure that Australians were given adequate advice while in Japan.</w:t>
      </w:r>
      <w:r w:rsidR="00B36A53">
        <w:t xml:space="preserve"> </w:t>
      </w:r>
      <w:r w:rsidRPr="000528C9">
        <w:t xml:space="preserve">ARPANSA also worked with Australia’s food standards regulator to assess the available </w:t>
      </w:r>
      <w:r w:rsidRPr="000528C9">
        <w:lastRenderedPageBreak/>
        <w:t xml:space="preserve">information on contamination levels in water, milk and foodstuffs in Japan and to screen foodstuffs </w:t>
      </w:r>
      <w:r w:rsidR="00764B09">
        <w:t xml:space="preserve">imported to Australia </w:t>
      </w:r>
      <w:r w:rsidRPr="000528C9">
        <w:t>from Japan and made the information available publicly.</w:t>
      </w:r>
    </w:p>
    <w:p w14:paraId="1A6AEEC3" w14:textId="77777777" w:rsidR="002F13BD" w:rsidRPr="000528C9" w:rsidRDefault="002F13BD" w:rsidP="002F13BD">
      <w:pPr>
        <w:pStyle w:val="160list"/>
      </w:pPr>
      <w:r w:rsidRPr="00A41C29">
        <w:t xml:space="preserve">Whilst not a nuclear installation as defined under the CNS, Australia does receive visits by foreign nuclear powered warships and </w:t>
      </w:r>
      <w:r>
        <w:t xml:space="preserve">arrangements </w:t>
      </w:r>
      <w:r w:rsidRPr="00A41C29">
        <w:t xml:space="preserve">have been </w:t>
      </w:r>
      <w:r>
        <w:t>established</w:t>
      </w:r>
      <w:r w:rsidRPr="00A41C29">
        <w:t xml:space="preserve"> includ</w:t>
      </w:r>
      <w:r>
        <w:t>ing conditions of e</w:t>
      </w:r>
      <w:r w:rsidRPr="00A41C29">
        <w:t xml:space="preserve">ntry to ensure that the safety of the general public is maintained </w:t>
      </w:r>
      <w:r>
        <w:t xml:space="preserve">during visits by such vessels. </w:t>
      </w:r>
      <w:r w:rsidRPr="00A41C29">
        <w:t xml:space="preserve">The Australian Government requires emergency arrangements to be in place at all Australian ports visited by NPW in the unlikely event of a radiological emergency, including a requirement that there be the capability to undertake radiation monitoring of the port environment. The responsibility for the conduct of these procedures is shared between </w:t>
      </w:r>
      <w:r>
        <w:t xml:space="preserve">the </w:t>
      </w:r>
      <w:r w:rsidRPr="00A41C29">
        <w:t>Australian Government and State/Territory Governments.</w:t>
      </w:r>
    </w:p>
    <w:p w14:paraId="7E0A507A" w14:textId="77777777" w:rsidR="006269DC" w:rsidRPr="000528C9" w:rsidRDefault="006269DC" w:rsidP="006269DC">
      <w:pPr>
        <w:pStyle w:val="160list"/>
        <w:numPr>
          <w:ilvl w:val="0"/>
          <w:numId w:val="0"/>
        </w:numPr>
        <w:ind w:left="993" w:hanging="709"/>
        <w:rPr>
          <w:color w:val="000000"/>
        </w:rPr>
      </w:pPr>
    </w:p>
    <w:tbl>
      <w:tblPr>
        <w:tblStyle w:val="GenericARPANSA"/>
        <w:tblpPr w:leftFromText="180" w:rightFromText="180" w:vertAnchor="text" w:horzAnchor="margin" w:tblpY="210"/>
        <w:tblW w:w="0" w:type="auto"/>
        <w:tblInd w:w="0" w:type="dxa"/>
        <w:shd w:val="clear" w:color="auto" w:fill="E7F9E7"/>
        <w:tblCellMar>
          <w:top w:w="57" w:type="dxa"/>
          <w:left w:w="170" w:type="dxa"/>
          <w:bottom w:w="57" w:type="dxa"/>
          <w:right w:w="170" w:type="dxa"/>
        </w:tblCellMar>
        <w:tblLook w:val="0480" w:firstRow="0" w:lastRow="0" w:firstColumn="1" w:lastColumn="0" w:noHBand="0" w:noVBand="1"/>
      </w:tblPr>
      <w:tblGrid>
        <w:gridCol w:w="9628"/>
      </w:tblGrid>
      <w:tr w:rsidR="00BD3F24" w14:paraId="0533A7A1" w14:textId="77777777" w:rsidTr="00BD3F24">
        <w:tc>
          <w:tcPr>
            <w:tcW w:w="9628" w:type="dxa"/>
            <w:shd w:val="clear" w:color="auto" w:fill="E7F9E7"/>
          </w:tcPr>
          <w:p w14:paraId="2892A0B7" w14:textId="77777777" w:rsidR="00BD3F24" w:rsidRDefault="00BD3F24" w:rsidP="00BD3F24">
            <w:pPr>
              <w:keepNext/>
              <w:keepLines/>
              <w:jc w:val="left"/>
              <w:outlineLvl w:val="1"/>
              <w:rPr>
                <w:rFonts w:ascii="Calibri" w:eastAsiaTheme="majorEastAsia" w:hAnsi="Calibri" w:cstheme="majorBidi"/>
                <w:b/>
                <w:bCs/>
                <w:color w:val="4E1A74"/>
                <w:sz w:val="26"/>
                <w:szCs w:val="26"/>
              </w:rPr>
            </w:pPr>
            <w:bookmarkStart w:id="126" w:name="_Toc5807508"/>
            <w:r w:rsidRPr="006269DC">
              <w:rPr>
                <w:rFonts w:ascii="Calibri" w:eastAsiaTheme="majorEastAsia" w:hAnsi="Calibri" w:cstheme="majorBidi"/>
                <w:b/>
                <w:bCs/>
                <w:color w:val="4E1A74"/>
                <w:sz w:val="26"/>
                <w:szCs w:val="26"/>
              </w:rPr>
              <w:t>Lessons learnt from the Fukushima Daiichi accident</w:t>
            </w:r>
            <w:r>
              <w:rPr>
                <w:rFonts w:ascii="Calibri" w:eastAsiaTheme="majorEastAsia" w:hAnsi="Calibri" w:cstheme="majorBidi"/>
                <w:b/>
                <w:bCs/>
                <w:color w:val="4E1A74"/>
                <w:sz w:val="26"/>
                <w:szCs w:val="26"/>
              </w:rPr>
              <w:t xml:space="preserve"> </w:t>
            </w:r>
          </w:p>
          <w:p w14:paraId="1C2C64F9" w14:textId="26B16E13" w:rsidR="00BD3F24" w:rsidRPr="00BC1221" w:rsidRDefault="00BD3F24" w:rsidP="00A22E9E">
            <w:pPr>
              <w:pStyle w:val="160list"/>
              <w:numPr>
                <w:ilvl w:val="0"/>
                <w:numId w:val="50"/>
              </w:numPr>
              <w:jc w:val="left"/>
            </w:pPr>
            <w:r w:rsidRPr="00BC1221">
              <w:t>A preliminary assessment of the implications of the accident for the OPAL reactor identified minor areas for improvement.</w:t>
            </w:r>
            <w:r>
              <w:t xml:space="preserve"> </w:t>
            </w:r>
            <w:r w:rsidRPr="00BC1221">
              <w:t xml:space="preserve">These were reported after the first </w:t>
            </w:r>
            <w:r w:rsidR="004B4F35">
              <w:t>p</w:t>
            </w:r>
            <w:r w:rsidRPr="00BC1221">
              <w:t xml:space="preserve">eriodic </w:t>
            </w:r>
            <w:r w:rsidR="004B4F35">
              <w:t>s</w:t>
            </w:r>
            <w:r w:rsidRPr="00BC1221">
              <w:t xml:space="preserve">afety </w:t>
            </w:r>
            <w:r w:rsidR="004B4F35">
              <w:t>r</w:t>
            </w:r>
            <w:r w:rsidRPr="00BC1221">
              <w:t>eview between December 2011 and June 2013.</w:t>
            </w:r>
            <w:r>
              <w:t xml:space="preserve"> </w:t>
            </w:r>
            <w:r w:rsidRPr="00BC1221">
              <w:t>An example is the installation of a quick connector to provide emergency water supply to the OPAL reactor.</w:t>
            </w:r>
          </w:p>
          <w:p w14:paraId="6E2A6BC9" w14:textId="1C383347" w:rsidR="00BD3F24" w:rsidRDefault="00BD3F24" w:rsidP="00A22E9E">
            <w:pPr>
              <w:pStyle w:val="160list"/>
              <w:numPr>
                <w:ilvl w:val="0"/>
                <w:numId w:val="50"/>
              </w:numPr>
              <w:jc w:val="left"/>
            </w:pPr>
            <w:r w:rsidRPr="00EC2AC1">
              <w:t xml:space="preserve">ANSTO has since undertaken a formal safety reassessment in accordance with IAEA Safety Report Series No. 80 </w:t>
            </w:r>
            <w:r w:rsidRPr="00AB09EF">
              <w:rPr>
                <w:i/>
              </w:rPr>
              <w:t>Safety Reassessment for Research Reactors</w:t>
            </w:r>
            <w:r w:rsidRPr="00EC2AC1">
              <w:t xml:space="preserve"> in the light of the accident at the Fukushima Daiichi Nuclear Power Plant.</w:t>
            </w:r>
            <w:r>
              <w:t xml:space="preserve"> </w:t>
            </w:r>
            <w:r w:rsidRPr="00EC2AC1">
              <w:t xml:space="preserve">A number of recommendations were made, none of which require immediate corrective action but </w:t>
            </w:r>
            <w:r>
              <w:t xml:space="preserve">all of which </w:t>
            </w:r>
            <w:r w:rsidRPr="00EC2AC1">
              <w:t>are opportunities for improvement.</w:t>
            </w:r>
            <w:r>
              <w:t xml:space="preserve"> </w:t>
            </w:r>
            <w:r w:rsidRPr="00EC2AC1">
              <w:t>Examples include extension of the existing design basis and beyond design basis accident analyses in the SAR to explicitly consider combinations of events and to improve emergency response and management.</w:t>
            </w:r>
            <w:r>
              <w:t xml:space="preserve"> </w:t>
            </w:r>
            <w:r w:rsidRPr="00EC2AC1">
              <w:t xml:space="preserve">ANSTO has also reviewed its </w:t>
            </w:r>
            <w:r w:rsidR="00DE3A79">
              <w:t>e</w:t>
            </w:r>
            <w:r w:rsidRPr="00EC2AC1">
              <w:t xml:space="preserve">mergency </w:t>
            </w:r>
            <w:r w:rsidR="00DE3A79">
              <w:t>o</w:t>
            </w:r>
            <w:r w:rsidRPr="00EC2AC1">
              <w:t xml:space="preserve">perating </w:t>
            </w:r>
            <w:r w:rsidR="00DE3A79">
              <w:t>i</w:t>
            </w:r>
            <w:r w:rsidRPr="00EC2AC1">
              <w:t>nstructions to ensure they cover the additional fault scenarios identified.</w:t>
            </w:r>
            <w:r>
              <w:t xml:space="preserve"> </w:t>
            </w:r>
            <w:r w:rsidRPr="00EC2AC1">
              <w:t xml:space="preserve">At the time of writing this report the majority of actions are complete. </w:t>
            </w:r>
          </w:p>
          <w:p w14:paraId="6C75FB39" w14:textId="3ABA926F" w:rsidR="00BD3F24" w:rsidRDefault="00BD3F24" w:rsidP="00DE3A79">
            <w:pPr>
              <w:pStyle w:val="160list"/>
              <w:numPr>
                <w:ilvl w:val="0"/>
                <w:numId w:val="50"/>
              </w:numPr>
              <w:jc w:val="left"/>
            </w:pPr>
            <w:r>
              <w:t>In addition</w:t>
            </w:r>
            <w:r w:rsidR="00AB4BC4">
              <w:t>,</w:t>
            </w:r>
            <w:r>
              <w:t xml:space="preserve"> OPAL and the new ANM facility have been issued licence requirements to assess and report on applicable </w:t>
            </w:r>
            <w:r w:rsidR="00DE3A79">
              <w:t>d</w:t>
            </w:r>
            <w:r>
              <w:t xml:space="preserve">esign </w:t>
            </w:r>
            <w:r w:rsidR="00DE3A79">
              <w:t>e</w:t>
            </w:r>
            <w:r>
              <w:t xml:space="preserve">xtension </w:t>
            </w:r>
            <w:r w:rsidR="00DE3A79">
              <w:t>c</w:t>
            </w:r>
            <w:r>
              <w:t xml:space="preserve">onditions as result of lessons learnt from the Fukushima Daiichi accident. </w:t>
            </w:r>
          </w:p>
        </w:tc>
      </w:tr>
    </w:tbl>
    <w:p w14:paraId="4CD43DBE" w14:textId="77777777" w:rsidR="00A22E9E" w:rsidRDefault="00A22E9E" w:rsidP="00A22E9E">
      <w:bookmarkStart w:id="127" w:name="_Toc457392316"/>
      <w:bookmarkEnd w:id="125"/>
      <w:bookmarkEnd w:id="126"/>
    </w:p>
    <w:p w14:paraId="482F9B14" w14:textId="77777777" w:rsidR="00A22E9E" w:rsidRDefault="00A22E9E" w:rsidP="00A22E9E"/>
    <w:p w14:paraId="40470347" w14:textId="77777777" w:rsidR="00A22E9E" w:rsidRDefault="00A22E9E" w:rsidP="00A22E9E"/>
    <w:p w14:paraId="7774DEBF" w14:textId="77777777" w:rsidR="00A22E9E" w:rsidRDefault="00A22E9E" w:rsidP="00A22E9E"/>
    <w:p w14:paraId="155951E5" w14:textId="77777777" w:rsidR="00A22E9E" w:rsidRDefault="00A22E9E" w:rsidP="00A22E9E"/>
    <w:p w14:paraId="72957E76" w14:textId="77777777" w:rsidR="00A22E9E" w:rsidRDefault="00A22E9E" w:rsidP="00A22E9E"/>
    <w:p w14:paraId="50FC2F6B" w14:textId="77777777" w:rsidR="00A22E9E" w:rsidRDefault="00A22E9E" w:rsidP="00A22E9E"/>
    <w:p w14:paraId="1438BD34" w14:textId="77777777" w:rsidR="00A22E9E" w:rsidRDefault="00A22E9E" w:rsidP="00A22E9E"/>
    <w:p w14:paraId="5581AEB2" w14:textId="77777777" w:rsidR="00A22E9E" w:rsidRDefault="00A22E9E" w:rsidP="00A22E9E"/>
    <w:p w14:paraId="25709A1C" w14:textId="3F9BC281" w:rsidR="00C143CF" w:rsidRPr="00A22E9E" w:rsidRDefault="00DE2635" w:rsidP="00A22E9E">
      <w:pPr>
        <w:pStyle w:val="Heading1"/>
        <w:numPr>
          <w:ilvl w:val="0"/>
          <w:numId w:val="0"/>
        </w:numPr>
        <w:spacing w:after="120"/>
      </w:pPr>
      <w:bookmarkStart w:id="128" w:name="_Toc12537953"/>
      <w:r w:rsidRPr="00FD5BE4">
        <w:lastRenderedPageBreak/>
        <w:t>Article 17 – Siting</w:t>
      </w:r>
      <w:bookmarkEnd w:id="127"/>
      <w:bookmarkEnd w:id="128"/>
      <w:r w:rsidR="00C143CF" w:rsidRPr="00C143CF">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C143CF" w14:paraId="3C21A0A5" w14:textId="77777777" w:rsidTr="00FD7DD3">
        <w:tc>
          <w:tcPr>
            <w:tcW w:w="9639" w:type="dxa"/>
            <w:shd w:val="clear" w:color="auto" w:fill="F3EAFA"/>
          </w:tcPr>
          <w:p w14:paraId="6BD4D8C5" w14:textId="26382A30" w:rsidR="00C143CF" w:rsidRPr="001F3F4D" w:rsidRDefault="00C11440" w:rsidP="00FD7DD3">
            <w:pPr>
              <w:jc w:val="left"/>
              <w:rPr>
                <w:rStyle w:val="Normalbold"/>
                <w:b w:val="0"/>
                <w:i/>
              </w:rPr>
            </w:pPr>
            <w:r w:rsidRPr="00C11440">
              <w:rPr>
                <w:rStyle w:val="Normalbold"/>
                <w:b w:val="0"/>
                <w:i/>
              </w:rPr>
              <w:t>Each Contracting Party shall take the appropriate steps to ensure that appropriate procedures are established and implemented:</w:t>
            </w:r>
            <w:r w:rsidR="00B36A53">
              <w:rPr>
                <w:rStyle w:val="Normalbold"/>
                <w:b w:val="0"/>
                <w:i/>
              </w:rPr>
              <w:t xml:space="preserve"> </w:t>
            </w:r>
          </w:p>
          <w:p w14:paraId="62A9C794" w14:textId="77777777" w:rsidR="00C11440" w:rsidRPr="00C11440" w:rsidRDefault="00C11440" w:rsidP="00C11440">
            <w:pPr>
              <w:ind w:left="734" w:hanging="425"/>
              <w:jc w:val="left"/>
              <w:rPr>
                <w:rStyle w:val="Normalbold"/>
                <w:b w:val="0"/>
                <w:i/>
              </w:rPr>
            </w:pPr>
            <w:r w:rsidRPr="00C11440">
              <w:rPr>
                <w:rStyle w:val="Normalbold"/>
                <w:b w:val="0"/>
                <w:i/>
              </w:rPr>
              <w:t>i.</w:t>
            </w:r>
            <w:r w:rsidRPr="00C11440">
              <w:rPr>
                <w:rStyle w:val="Normalbold"/>
                <w:b w:val="0"/>
                <w:i/>
              </w:rPr>
              <w:tab/>
              <w:t xml:space="preserve">for evaluating all relevant site-related factors likely to affect the safety of a nuclear installation for its projected lifetime; </w:t>
            </w:r>
          </w:p>
          <w:p w14:paraId="265A7479" w14:textId="77777777" w:rsidR="00C11440" w:rsidRPr="00C11440" w:rsidRDefault="00C11440" w:rsidP="00C11440">
            <w:pPr>
              <w:ind w:left="734" w:hanging="425"/>
              <w:jc w:val="left"/>
              <w:rPr>
                <w:rStyle w:val="Normalbold"/>
                <w:b w:val="0"/>
                <w:i/>
              </w:rPr>
            </w:pPr>
            <w:r w:rsidRPr="00C11440">
              <w:rPr>
                <w:rStyle w:val="Normalbold"/>
                <w:b w:val="0"/>
                <w:i/>
              </w:rPr>
              <w:t>ii.</w:t>
            </w:r>
            <w:r w:rsidRPr="00C11440">
              <w:rPr>
                <w:rStyle w:val="Normalbold"/>
                <w:b w:val="0"/>
                <w:i/>
              </w:rPr>
              <w:tab/>
              <w:t xml:space="preserve">for evaluating the likely safety impact of a proposed nuclear installation on individuals, society and the environment; </w:t>
            </w:r>
          </w:p>
          <w:p w14:paraId="5F8CEB09" w14:textId="77331B86" w:rsidR="00C143CF" w:rsidRPr="008F08C7" w:rsidRDefault="00C11440" w:rsidP="00C11440">
            <w:pPr>
              <w:ind w:left="734" w:hanging="425"/>
              <w:jc w:val="left"/>
              <w:rPr>
                <w:rStyle w:val="Normalbold"/>
                <w:b w:val="0"/>
                <w:i/>
              </w:rPr>
            </w:pPr>
            <w:r w:rsidRPr="00C11440">
              <w:rPr>
                <w:rStyle w:val="Normalbold"/>
                <w:b w:val="0"/>
                <w:i/>
              </w:rPr>
              <w:t>iii.</w:t>
            </w:r>
            <w:r w:rsidRPr="00C11440">
              <w:rPr>
                <w:rStyle w:val="Normalbold"/>
                <w:b w:val="0"/>
                <w:i/>
              </w:rPr>
              <w:tab/>
              <w:t>for re-evaluating as necessary all relevant factors referred to in sub-paragraphs (i) and (ii) so as to ensure the continued safety acceptability of the nuclear installation;</w:t>
            </w:r>
          </w:p>
        </w:tc>
      </w:tr>
    </w:tbl>
    <w:p w14:paraId="7AA77A5D" w14:textId="35BE40C6" w:rsidR="00DE2635" w:rsidRPr="00AB1094" w:rsidRDefault="00DE2635" w:rsidP="00C11440">
      <w:pPr>
        <w:pStyle w:val="170list"/>
        <w:spacing w:before="120"/>
      </w:pPr>
      <w:r w:rsidRPr="00AB1094">
        <w:t>In addition to the general requirements for licensing (see Article 7), the Regulations provide that an application for a siting licence must contain:</w:t>
      </w:r>
      <w:r w:rsidR="00B36A53">
        <w:t xml:space="preserve"> </w:t>
      </w:r>
    </w:p>
    <w:p w14:paraId="060E3DA5" w14:textId="6001170E" w:rsidR="00DE2635" w:rsidRPr="00AB1094" w:rsidRDefault="00DE2635" w:rsidP="00A22E9E">
      <w:pPr>
        <w:pStyle w:val="ListParagraph"/>
        <w:numPr>
          <w:ilvl w:val="0"/>
          <w:numId w:val="32"/>
        </w:numPr>
        <w:ind w:left="1701" w:hanging="283"/>
      </w:pPr>
      <w:r>
        <w:t>A detailed s</w:t>
      </w:r>
      <w:r w:rsidRPr="00AB1094">
        <w:t>ite evaluation establishing the suitability of the site</w:t>
      </w:r>
    </w:p>
    <w:p w14:paraId="6B5FA028" w14:textId="24DE6D8C" w:rsidR="00DE2635" w:rsidRPr="00AB1094" w:rsidRDefault="00DE2635" w:rsidP="00A22E9E">
      <w:pPr>
        <w:pStyle w:val="ListParagraph"/>
        <w:numPr>
          <w:ilvl w:val="0"/>
          <w:numId w:val="32"/>
        </w:numPr>
        <w:ind w:left="1701" w:hanging="283"/>
      </w:pPr>
      <w:r w:rsidRPr="00AB1094">
        <w:t>The characteristic of the site, including the extent to which the site may be affected by natural and man-made events</w:t>
      </w:r>
    </w:p>
    <w:p w14:paraId="4E9007BB" w14:textId="041D5833" w:rsidR="00DE2635" w:rsidRDefault="00DE2635" w:rsidP="00A22E9E">
      <w:pPr>
        <w:pStyle w:val="ListParagraph"/>
        <w:numPr>
          <w:ilvl w:val="0"/>
          <w:numId w:val="32"/>
        </w:numPr>
        <w:spacing w:after="120"/>
        <w:ind w:left="1702" w:hanging="284"/>
      </w:pPr>
      <w:r w:rsidRPr="00AB1094">
        <w:t>Any environment</w:t>
      </w:r>
      <w:r>
        <w:t>al impact statement prepared for the site</w:t>
      </w:r>
      <w:r>
        <w:rPr>
          <w:rStyle w:val="FootnoteReference"/>
        </w:rPr>
        <w:footnoteReference w:id="34"/>
      </w:r>
    </w:p>
    <w:p w14:paraId="06856BAD" w14:textId="74CD42D0" w:rsidR="00DE2635" w:rsidRPr="004259F0" w:rsidRDefault="00DE2635" w:rsidP="00AB1094">
      <w:pPr>
        <w:pStyle w:val="170list"/>
        <w:rPr>
          <w:color w:val="000000"/>
          <w:szCs w:val="24"/>
        </w:rPr>
      </w:pPr>
      <w:r>
        <w:t xml:space="preserve">The </w:t>
      </w:r>
      <w:r w:rsidRPr="004259F0">
        <w:rPr>
          <w:lang w:val="en"/>
        </w:rPr>
        <w:t xml:space="preserve">regulatory guide, </w:t>
      </w:r>
      <w:r w:rsidRPr="004259F0">
        <w:rPr>
          <w:i/>
          <w:lang w:val="en"/>
        </w:rPr>
        <w:t>Siting of Controlled Facilities</w:t>
      </w:r>
      <w:r w:rsidR="00EA21DA">
        <w:rPr>
          <w:rStyle w:val="FootnoteReference"/>
        </w:rPr>
        <w:footnoteReference w:id="35"/>
      </w:r>
      <w:r w:rsidRPr="004259F0">
        <w:rPr>
          <w:lang w:val="en"/>
        </w:rPr>
        <w:t>provides detailed guidance on meeting the requirement of the Regulations</w:t>
      </w:r>
      <w:r w:rsidR="00567156">
        <w:t xml:space="preserve"> </w:t>
      </w:r>
      <w:r w:rsidR="00EA21DA">
        <w:t xml:space="preserve">and </w:t>
      </w:r>
      <w:r w:rsidR="00567156">
        <w:t xml:space="preserve">relevant IAEA guidelines including the requirement to </w:t>
      </w:r>
      <w:r w:rsidR="00EA21DA">
        <w:t>provide detailed information on:</w:t>
      </w:r>
      <w:r>
        <w:t xml:space="preserve"> </w:t>
      </w:r>
    </w:p>
    <w:p w14:paraId="47807E0D" w14:textId="01891ECD" w:rsidR="00DE2635" w:rsidRPr="00810C6E" w:rsidRDefault="00DE2635" w:rsidP="00A22E9E">
      <w:pPr>
        <w:pStyle w:val="ListParagraph"/>
        <w:numPr>
          <w:ilvl w:val="0"/>
          <w:numId w:val="33"/>
        </w:numPr>
        <w:ind w:left="1701" w:hanging="283"/>
      </w:pPr>
      <w:r w:rsidRPr="00810C6E">
        <w:t xml:space="preserve">The site's seismology, geology, topography, demography, ecology, hydrology, and meteorology </w:t>
      </w:r>
    </w:p>
    <w:p w14:paraId="27708706" w14:textId="046F4E0E" w:rsidR="00DE2635" w:rsidRPr="00810C6E" w:rsidRDefault="00DE2635" w:rsidP="00A22E9E">
      <w:pPr>
        <w:pStyle w:val="ListParagraph"/>
        <w:numPr>
          <w:ilvl w:val="0"/>
          <w:numId w:val="33"/>
        </w:numPr>
        <w:ind w:left="1701" w:hanging="283"/>
      </w:pPr>
      <w:r w:rsidRPr="00810C6E">
        <w:t>The effect of nearby facilities and land usage</w:t>
      </w:r>
    </w:p>
    <w:p w14:paraId="22F8C3E7" w14:textId="3D122FAD" w:rsidR="00DE2635" w:rsidRPr="00810C6E" w:rsidRDefault="00DE2635" w:rsidP="00A22E9E">
      <w:pPr>
        <w:pStyle w:val="ListParagraph"/>
        <w:numPr>
          <w:ilvl w:val="0"/>
          <w:numId w:val="33"/>
        </w:numPr>
        <w:ind w:left="1701" w:hanging="283"/>
      </w:pPr>
      <w:r w:rsidRPr="00810C6E">
        <w:t xml:space="preserve">The availability and reliability of off-site services such as electricity, water, transportation, and communication systems </w:t>
      </w:r>
    </w:p>
    <w:p w14:paraId="3C803CC6" w14:textId="7DBBD4D8" w:rsidR="0002250E" w:rsidRPr="00810C6E" w:rsidRDefault="00DE2635" w:rsidP="00A22E9E">
      <w:pPr>
        <w:pStyle w:val="ListParagraph"/>
        <w:numPr>
          <w:ilvl w:val="0"/>
          <w:numId w:val="33"/>
        </w:numPr>
        <w:ind w:left="1701" w:hanging="283"/>
      </w:pPr>
      <w:r w:rsidRPr="00810C6E">
        <w:t>The feasibility of emergency response</w:t>
      </w:r>
    </w:p>
    <w:p w14:paraId="1EA85930" w14:textId="77777777" w:rsidR="00DE2635" w:rsidRPr="00FD5BE4" w:rsidRDefault="00DE2635" w:rsidP="00810C6E">
      <w:pPr>
        <w:pStyle w:val="Heading2"/>
      </w:pPr>
      <w:r w:rsidRPr="00FD5BE4">
        <w:t>OPAL</w:t>
      </w:r>
    </w:p>
    <w:p w14:paraId="3B725770" w14:textId="29E170FC" w:rsidR="00DE2635" w:rsidRPr="00FD5BE4" w:rsidRDefault="00DE2635" w:rsidP="00AB09EF">
      <w:pPr>
        <w:pStyle w:val="170list"/>
        <w:spacing w:before="240"/>
        <w:rPr>
          <w:snapToGrid w:val="0"/>
        </w:rPr>
      </w:pPr>
      <w:r>
        <w:t xml:space="preserve">The ANSTO site was authorised for the construction of OPAL only after ANSTO </w:t>
      </w:r>
      <w:r w:rsidRPr="00FD5BE4">
        <w:t>demonstrated to ARPANSA’s satisfaction</w:t>
      </w:r>
      <w:r w:rsidR="00980796">
        <w:rPr>
          <w:color w:val="000000"/>
        </w:rPr>
        <w:t xml:space="preserve"> </w:t>
      </w:r>
      <w:r w:rsidRPr="00FD5BE4">
        <w:t xml:space="preserve">that </w:t>
      </w:r>
      <w:r w:rsidRPr="00FD5BE4">
        <w:rPr>
          <w:snapToGrid w:val="0"/>
        </w:rPr>
        <w:t xml:space="preserve">the site </w:t>
      </w:r>
      <w:r>
        <w:rPr>
          <w:snapToGrid w:val="0"/>
        </w:rPr>
        <w:t xml:space="preserve">is </w:t>
      </w:r>
      <w:r w:rsidRPr="00FD5BE4">
        <w:rPr>
          <w:snapToGrid w:val="0"/>
        </w:rPr>
        <w:t>suitable for the construction and operation of a reactor while providing adequate protection of the health and safety of people and the environment.</w:t>
      </w:r>
      <w:r w:rsidR="00B36A53">
        <w:rPr>
          <w:snapToGrid w:val="0"/>
        </w:rPr>
        <w:t xml:space="preserve"> </w:t>
      </w:r>
      <w:r w:rsidRPr="00FD5BE4">
        <w:rPr>
          <w:snapToGrid w:val="0"/>
        </w:rPr>
        <w:t>ANSTO demonstrated that:</w:t>
      </w:r>
    </w:p>
    <w:p w14:paraId="2C9124BA" w14:textId="48B8399B" w:rsidR="00DE2635" w:rsidRPr="00032CE6" w:rsidRDefault="00DE2635" w:rsidP="00A22E9E">
      <w:pPr>
        <w:pStyle w:val="ListParagraph"/>
        <w:numPr>
          <w:ilvl w:val="0"/>
          <w:numId w:val="34"/>
        </w:numPr>
        <w:ind w:left="1701" w:hanging="283"/>
      </w:pPr>
      <w:r w:rsidRPr="00032CE6">
        <w:t>the site provides acceptable radiological protection during normal operation and in the event of severe accidents, through the evaluation of a Reference Accident</w:t>
      </w:r>
    </w:p>
    <w:p w14:paraId="573AC085" w14:textId="5E86C2C7" w:rsidR="00DE2635" w:rsidRDefault="00DE2635" w:rsidP="00A22E9E">
      <w:pPr>
        <w:pStyle w:val="ListParagraph"/>
        <w:numPr>
          <w:ilvl w:val="0"/>
          <w:numId w:val="34"/>
        </w:numPr>
        <w:ind w:left="1701" w:hanging="283"/>
      </w:pPr>
      <w:r w:rsidRPr="00032CE6">
        <w:t>the natural characteristics of the site and man-induced phenomena can be accommodated safely in the design bases of the reactor</w:t>
      </w:r>
    </w:p>
    <w:tbl>
      <w:tblPr>
        <w:tblStyle w:val="GenericARPANSA"/>
        <w:tblW w:w="9639" w:type="dxa"/>
        <w:tblInd w:w="0" w:type="dxa"/>
        <w:shd w:val="clear" w:color="auto" w:fill="F3EAFA"/>
        <w:tblLook w:val="0480" w:firstRow="0" w:lastRow="0" w:firstColumn="1" w:lastColumn="0" w:noHBand="0" w:noVBand="1"/>
      </w:tblPr>
      <w:tblGrid>
        <w:gridCol w:w="9639"/>
      </w:tblGrid>
      <w:tr w:rsidR="007E1BCB" w14:paraId="11D93EE3" w14:textId="77777777" w:rsidTr="00FD7DD3">
        <w:tc>
          <w:tcPr>
            <w:tcW w:w="9639" w:type="dxa"/>
            <w:shd w:val="clear" w:color="auto" w:fill="F3EAFA"/>
          </w:tcPr>
          <w:p w14:paraId="5326C826" w14:textId="511E8E55" w:rsidR="007E1BCB" w:rsidRPr="008F08C7" w:rsidRDefault="007E1BCB" w:rsidP="007E1BCB">
            <w:pPr>
              <w:ind w:left="734" w:hanging="425"/>
              <w:jc w:val="left"/>
              <w:rPr>
                <w:rStyle w:val="Normalbold"/>
                <w:b w:val="0"/>
                <w:i/>
              </w:rPr>
            </w:pPr>
            <w:r w:rsidRPr="00C11440">
              <w:rPr>
                <w:rStyle w:val="Normalbold"/>
                <w:b w:val="0"/>
                <w:i/>
              </w:rPr>
              <w:lastRenderedPageBreak/>
              <w:t>i</w:t>
            </w:r>
            <w:r>
              <w:rPr>
                <w:rStyle w:val="Normalbold"/>
                <w:b w:val="0"/>
                <w:i/>
              </w:rPr>
              <w:t>v</w:t>
            </w:r>
            <w:r w:rsidRPr="00C11440">
              <w:rPr>
                <w:rStyle w:val="Normalbold"/>
                <w:b w:val="0"/>
                <w:i/>
              </w:rPr>
              <w:t>.</w:t>
            </w:r>
            <w:r w:rsidRPr="00C11440">
              <w:rPr>
                <w:rStyle w:val="Normalbold"/>
                <w:b w:val="0"/>
                <w:i/>
              </w:rPr>
              <w:tab/>
            </w:r>
            <w:r w:rsidRPr="007E1BCB">
              <w:rPr>
                <w:rStyle w:val="Normalbold"/>
                <w:b w:val="0"/>
                <w:i/>
              </w:rPr>
              <w:t>for consulting Contracting Parties in the vicinity of a proposed nuclear installation, insofar as they are likely to be affected by that installation and, upon request providing the necessary information to such Contracting Parties, in order to enable them to evaluate and make their own assessment of the likely safety impact on their own territory of the nuclear installation.</w:t>
            </w:r>
          </w:p>
        </w:tc>
      </w:tr>
    </w:tbl>
    <w:p w14:paraId="73AE341E" w14:textId="1BA54E5C" w:rsidR="00DE2635" w:rsidRDefault="00DE2635" w:rsidP="007E1BCB">
      <w:pPr>
        <w:pStyle w:val="170list"/>
        <w:spacing w:before="120"/>
      </w:pPr>
      <w:r w:rsidRPr="00FD5BE4">
        <w:t xml:space="preserve">Due to Australia’s geographical </w:t>
      </w:r>
      <w:r>
        <w:t>location</w:t>
      </w:r>
      <w:r w:rsidRPr="00FD5BE4">
        <w:t xml:space="preserve"> and the </w:t>
      </w:r>
      <w:r>
        <w:t>low</w:t>
      </w:r>
      <w:r w:rsidRPr="00FD5BE4">
        <w:t xml:space="preserve"> power level of the </w:t>
      </w:r>
      <w:r>
        <w:t xml:space="preserve">OPAL </w:t>
      </w:r>
      <w:r w:rsidRPr="00FD5BE4">
        <w:t xml:space="preserve">reactor </w:t>
      </w:r>
      <w:r>
        <w:t xml:space="preserve">its </w:t>
      </w:r>
      <w:r w:rsidRPr="00FD5BE4">
        <w:t xml:space="preserve">operation </w:t>
      </w:r>
      <w:r w:rsidR="001909DB">
        <w:t>has a very low likelihood of</w:t>
      </w:r>
      <w:r w:rsidRPr="00FD5BE4">
        <w:t xml:space="preserve"> affect</w:t>
      </w:r>
      <w:r w:rsidR="001909DB">
        <w:t>ing</w:t>
      </w:r>
      <w:r w:rsidRPr="00FD5BE4">
        <w:t xml:space="preserve"> any other </w:t>
      </w:r>
      <w:r w:rsidR="002432B7">
        <w:t>c</w:t>
      </w:r>
      <w:r w:rsidRPr="00FD5BE4">
        <w:t xml:space="preserve">ontracting </w:t>
      </w:r>
      <w:r w:rsidR="002432B7">
        <w:t>p</w:t>
      </w:r>
      <w:r w:rsidRPr="00FD5BE4">
        <w:t>arties.</w:t>
      </w:r>
      <w:r w:rsidR="00B36A53">
        <w:t xml:space="preserve"> </w:t>
      </w:r>
      <w:r>
        <w:t>A</w:t>
      </w:r>
      <w:r w:rsidRPr="00FD5BE4">
        <w:t xml:space="preserve">s stated above, Australia is a </w:t>
      </w:r>
      <w:r w:rsidR="002432B7">
        <w:t>p</w:t>
      </w:r>
      <w:r w:rsidRPr="00FD5BE4">
        <w:t xml:space="preserve">arty to the </w:t>
      </w:r>
      <w:r w:rsidRPr="00B93C28">
        <w:rPr>
          <w:i/>
        </w:rPr>
        <w:t xml:space="preserve">Convention on the Early Notification of a Nuclear Accident </w:t>
      </w:r>
      <w:r w:rsidRPr="00B93C28">
        <w:t>and the</w:t>
      </w:r>
      <w:r w:rsidRPr="00B93C28">
        <w:rPr>
          <w:i/>
        </w:rPr>
        <w:t xml:space="preserve"> Convention on Assistance in the Case of a Nuclear Accident or Radiological Emergency</w:t>
      </w:r>
      <w:r>
        <w:t>.</w:t>
      </w:r>
    </w:p>
    <w:p w14:paraId="49C570DE" w14:textId="3C80AA25" w:rsidR="00EA21DA" w:rsidRDefault="00DE2635" w:rsidP="00810C6E">
      <w:pPr>
        <w:pStyle w:val="170list"/>
      </w:pPr>
      <w:r>
        <w:t xml:space="preserve">The </w:t>
      </w:r>
      <w:r w:rsidRPr="001A54D2">
        <w:t xml:space="preserve">Lucas Heights site was reassessed in 2013 </w:t>
      </w:r>
      <w:r>
        <w:t>as part of the OPAL Periodic Safety Review.</w:t>
      </w:r>
      <w:r w:rsidR="00B36A53">
        <w:t xml:space="preserve"> </w:t>
      </w:r>
      <w:r>
        <w:t xml:space="preserve">The site was also reassessed when </w:t>
      </w:r>
      <w:r w:rsidRPr="001A54D2">
        <w:t xml:space="preserve">ANSTO </w:t>
      </w:r>
      <w:r>
        <w:t xml:space="preserve">applied for a licence </w:t>
      </w:r>
      <w:r w:rsidR="00EC2AC1">
        <w:t xml:space="preserve">for the </w:t>
      </w:r>
      <w:r w:rsidRPr="001A54D2">
        <w:t>Interim Waste Store (IWS) to house reprocessed waste product</w:t>
      </w:r>
      <w:r>
        <w:t>s</w:t>
      </w:r>
      <w:r w:rsidRPr="001A54D2">
        <w:t xml:space="preserve"> from HIFAR operations</w:t>
      </w:r>
      <w:r w:rsidR="00EC2AC1">
        <w:t xml:space="preserve"> and the ANSTO ANM Facility. The assessment </w:t>
      </w:r>
      <w:r w:rsidRPr="001A54D2">
        <w:t xml:space="preserve">by ARPANSA </w:t>
      </w:r>
      <w:r w:rsidR="00EA21DA">
        <w:t>was conducted against the</w:t>
      </w:r>
      <w:r w:rsidRPr="001A54D2">
        <w:t xml:space="preserve"> latest IAEA requirements for siting nuclear installations</w:t>
      </w:r>
      <w:r>
        <w:t>.</w:t>
      </w:r>
    </w:p>
    <w:p w14:paraId="7D1263C6" w14:textId="53763005" w:rsidR="00DE2635" w:rsidRPr="00150581" w:rsidRDefault="00EA21DA" w:rsidP="0060775C">
      <w:pPr>
        <w:spacing w:before="0" w:after="120" w:line="240" w:lineRule="auto"/>
        <w:ind w:left="1"/>
        <w:jc w:val="both"/>
        <w:rPr>
          <w:b/>
          <w:i/>
          <w:color w:val="4E1A74"/>
        </w:rPr>
      </w:pPr>
      <w:r w:rsidRPr="00150581">
        <w:rPr>
          <w:b/>
          <w:i/>
          <w:color w:val="4E1A74"/>
        </w:rPr>
        <w:t>See Article 18 for a Summary of how the Vienna Declaration on Nuclear Safety Principle 1 is met</w:t>
      </w:r>
    </w:p>
    <w:p w14:paraId="5D22A411" w14:textId="77777777" w:rsidR="00C12577" w:rsidRDefault="00C12577">
      <w:pPr>
        <w:rPr>
          <w:rFonts w:ascii="Calibri" w:eastAsiaTheme="majorEastAsia" w:hAnsi="Calibri" w:cstheme="majorBidi"/>
          <w:b/>
          <w:bCs/>
          <w:color w:val="4E1A74"/>
          <w:sz w:val="32"/>
          <w:szCs w:val="28"/>
        </w:rPr>
      </w:pPr>
      <w:bookmarkStart w:id="129" w:name="_Ref516304124"/>
      <w:bookmarkStart w:id="130" w:name="_Toc527512570"/>
      <w:bookmarkStart w:id="131" w:name="_Toc81816913"/>
      <w:bookmarkStart w:id="132" w:name="_Toc81816968"/>
      <w:bookmarkStart w:id="133" w:name="_Toc81891572"/>
      <w:bookmarkStart w:id="134" w:name="_Toc81893638"/>
      <w:bookmarkStart w:id="135" w:name="_Toc81896907"/>
      <w:bookmarkStart w:id="136" w:name="_Toc457392317"/>
      <w:r>
        <w:br w:type="page"/>
      </w:r>
    </w:p>
    <w:p w14:paraId="5DCBE178" w14:textId="66CEA6E7" w:rsidR="0069737B" w:rsidRDefault="00C724FE" w:rsidP="0069737B">
      <w:pPr>
        <w:pStyle w:val="Heading1"/>
        <w:numPr>
          <w:ilvl w:val="0"/>
          <w:numId w:val="0"/>
        </w:numPr>
        <w:spacing w:after="120"/>
        <w:ind w:left="680" w:hanging="680"/>
      </w:pPr>
      <w:bookmarkStart w:id="137" w:name="_Toc12537954"/>
      <w:r w:rsidRPr="00FD5BE4">
        <w:lastRenderedPageBreak/>
        <w:t xml:space="preserve">Article </w:t>
      </w:r>
      <w:bookmarkStart w:id="138" w:name="OLE_LINK2"/>
      <w:bookmarkStart w:id="139" w:name="OLE_LINK3"/>
      <w:r w:rsidRPr="00FD5BE4">
        <w:t>18 – Design and Construction</w:t>
      </w:r>
      <w:bookmarkEnd w:id="129"/>
      <w:bookmarkEnd w:id="130"/>
      <w:bookmarkEnd w:id="131"/>
      <w:bookmarkEnd w:id="132"/>
      <w:bookmarkEnd w:id="133"/>
      <w:bookmarkEnd w:id="134"/>
      <w:bookmarkEnd w:id="135"/>
      <w:bookmarkEnd w:id="136"/>
      <w:bookmarkEnd w:id="138"/>
      <w:bookmarkEnd w:id="139"/>
      <w:bookmarkEnd w:id="137"/>
      <w:r w:rsidR="0069737B" w:rsidRPr="0069737B">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69737B" w14:paraId="3903EE02" w14:textId="77777777" w:rsidTr="00FD7DD3">
        <w:tc>
          <w:tcPr>
            <w:tcW w:w="9639" w:type="dxa"/>
            <w:shd w:val="clear" w:color="auto" w:fill="F3EAFA"/>
          </w:tcPr>
          <w:p w14:paraId="7195932E" w14:textId="7DD36347" w:rsidR="0069737B" w:rsidRPr="001F3F4D" w:rsidRDefault="0069737B" w:rsidP="00FD7DD3">
            <w:pPr>
              <w:jc w:val="left"/>
              <w:rPr>
                <w:rStyle w:val="Normalbold"/>
                <w:b w:val="0"/>
                <w:i/>
              </w:rPr>
            </w:pPr>
            <w:r w:rsidRPr="0069737B">
              <w:rPr>
                <w:rStyle w:val="Normalbold"/>
                <w:b w:val="0"/>
                <w:i/>
              </w:rPr>
              <w:t>Each Contracting Party shall take the appropriate steps to ensure that:</w:t>
            </w:r>
            <w:r w:rsidR="00B36A53">
              <w:rPr>
                <w:rStyle w:val="Normalbold"/>
                <w:b w:val="0"/>
                <w:i/>
              </w:rPr>
              <w:t xml:space="preserve"> </w:t>
            </w:r>
            <w:r w:rsidRPr="001F3F4D">
              <w:rPr>
                <w:rStyle w:val="Normalbold"/>
                <w:b w:val="0"/>
                <w:i/>
              </w:rPr>
              <w:t xml:space="preserve"> </w:t>
            </w:r>
          </w:p>
          <w:p w14:paraId="5C9D958C" w14:textId="77777777" w:rsidR="0069737B" w:rsidRPr="0069737B" w:rsidRDefault="0069737B" w:rsidP="0069737B">
            <w:pPr>
              <w:ind w:left="734" w:hanging="425"/>
              <w:jc w:val="left"/>
              <w:rPr>
                <w:rStyle w:val="Normalbold"/>
                <w:b w:val="0"/>
                <w:i/>
              </w:rPr>
            </w:pPr>
            <w:r w:rsidRPr="0069737B">
              <w:rPr>
                <w:rStyle w:val="Normalbold"/>
                <w:b w:val="0"/>
                <w:i/>
              </w:rPr>
              <w:t>i.</w:t>
            </w:r>
            <w:r w:rsidRPr="0069737B">
              <w:rPr>
                <w:rStyle w:val="Normalbold"/>
                <w:b w:val="0"/>
                <w:i/>
              </w:rPr>
              <w:tab/>
              <w:t>the design and construction of a nuclear installation provides for several reliable levels and methods of protection (defence in depth) against the release of radioactive materials, with a view to preventing the occurrence of accidents and to mitigating their radiological consequences should they occur;</w:t>
            </w:r>
          </w:p>
          <w:p w14:paraId="247F0F37" w14:textId="77777777" w:rsidR="0069737B" w:rsidRPr="0069737B" w:rsidRDefault="0069737B" w:rsidP="0069737B">
            <w:pPr>
              <w:ind w:left="734" w:hanging="425"/>
              <w:jc w:val="left"/>
              <w:rPr>
                <w:rStyle w:val="Normalbold"/>
                <w:b w:val="0"/>
                <w:i/>
              </w:rPr>
            </w:pPr>
            <w:r w:rsidRPr="0069737B">
              <w:rPr>
                <w:rStyle w:val="Normalbold"/>
                <w:b w:val="0"/>
                <w:i/>
              </w:rPr>
              <w:t>ii.</w:t>
            </w:r>
            <w:r w:rsidRPr="0069737B">
              <w:rPr>
                <w:rStyle w:val="Normalbold"/>
                <w:b w:val="0"/>
                <w:i/>
              </w:rPr>
              <w:tab/>
              <w:t>the technologies incorporated in the design and construction of a nuclear installation are proven by experience or qualified by testing or analysis;</w:t>
            </w:r>
          </w:p>
          <w:p w14:paraId="6EF7F1CB" w14:textId="397769A1" w:rsidR="0069737B" w:rsidRPr="008F08C7" w:rsidRDefault="0069737B" w:rsidP="0069737B">
            <w:pPr>
              <w:ind w:left="734" w:hanging="425"/>
              <w:jc w:val="left"/>
              <w:rPr>
                <w:rStyle w:val="Normalbold"/>
                <w:b w:val="0"/>
                <w:i/>
              </w:rPr>
            </w:pPr>
            <w:r w:rsidRPr="0069737B">
              <w:rPr>
                <w:rStyle w:val="Normalbold"/>
                <w:b w:val="0"/>
                <w:i/>
              </w:rPr>
              <w:t>iii.</w:t>
            </w:r>
            <w:r w:rsidRPr="0069737B">
              <w:rPr>
                <w:rStyle w:val="Normalbold"/>
                <w:b w:val="0"/>
                <w:i/>
              </w:rPr>
              <w:tab/>
              <w:t>the design of a nuclear installation allows for reliable, stable and easily manageable operation, with specific consideration of human factors and the man-machine interface.</w:t>
            </w:r>
          </w:p>
        </w:tc>
      </w:tr>
    </w:tbl>
    <w:p w14:paraId="7A070588" w14:textId="6BB0C8D6" w:rsidR="00C724FE" w:rsidRPr="00C12577" w:rsidRDefault="00C724FE" w:rsidP="00AB09EF">
      <w:pPr>
        <w:pStyle w:val="180list"/>
        <w:spacing w:before="240"/>
      </w:pPr>
      <w:r w:rsidRPr="00C12577">
        <w:t xml:space="preserve">ARPANSA’s </w:t>
      </w:r>
      <w:r w:rsidRPr="00C12577">
        <w:rPr>
          <w:i/>
        </w:rPr>
        <w:t>Regulatory Assessment Criteria for the Design of New Facilities</w:t>
      </w:r>
      <w:r w:rsidRPr="00C12577">
        <w:t xml:space="preserve"> </w:t>
      </w:r>
      <w:r w:rsidR="0011198E" w:rsidRPr="00C12577">
        <w:t xml:space="preserve">is </w:t>
      </w:r>
      <w:r w:rsidRPr="00C12577">
        <w:t>structured to reflect internationally accepted principles of defence in depth</w:t>
      </w:r>
      <w:r w:rsidRPr="00C12577">
        <w:rPr>
          <w:snapToGrid w:val="0"/>
        </w:rPr>
        <w:t>.</w:t>
      </w:r>
      <w:r w:rsidR="00B36A53">
        <w:t xml:space="preserve"> </w:t>
      </w:r>
      <w:r w:rsidR="0011198E" w:rsidRPr="00C12577">
        <w:rPr>
          <w:snapToGrid w:val="0"/>
        </w:rPr>
        <w:t>The</w:t>
      </w:r>
      <w:r w:rsidR="00154B14" w:rsidRPr="00C12577">
        <w:rPr>
          <w:i/>
          <w:snapToGrid w:val="0"/>
        </w:rPr>
        <w:t xml:space="preserve"> </w:t>
      </w:r>
      <w:r w:rsidR="00154B14" w:rsidRPr="00C12577">
        <w:rPr>
          <w:snapToGrid w:val="0"/>
        </w:rPr>
        <w:t xml:space="preserve">criteria </w:t>
      </w:r>
      <w:r w:rsidRPr="00C12577">
        <w:rPr>
          <w:snapToGrid w:val="0"/>
        </w:rPr>
        <w:t>state</w:t>
      </w:r>
      <w:r w:rsidR="00EA21DA" w:rsidRPr="00C12577">
        <w:rPr>
          <w:snapToGrid w:val="0"/>
        </w:rPr>
        <w:t>s</w:t>
      </w:r>
      <w:r w:rsidRPr="00C12577">
        <w:rPr>
          <w:snapToGrid w:val="0"/>
        </w:rPr>
        <w:t xml:space="preserve"> the need for proven engineering practice and standards in the siting, design, manufacture, construction, installation, and commissioning of a reactor.</w:t>
      </w:r>
      <w:r w:rsidR="00B36A53">
        <w:rPr>
          <w:snapToGrid w:val="0"/>
        </w:rPr>
        <w:t xml:space="preserve"> </w:t>
      </w:r>
      <w:r w:rsidR="00154B14" w:rsidRPr="00C12577">
        <w:rPr>
          <w:snapToGrid w:val="0"/>
        </w:rPr>
        <w:t xml:space="preserve">The </w:t>
      </w:r>
      <w:r w:rsidR="00EA21DA" w:rsidRPr="00C12577">
        <w:rPr>
          <w:snapToGrid w:val="0"/>
        </w:rPr>
        <w:t xml:space="preserve">OPAL </w:t>
      </w:r>
      <w:r w:rsidR="00154B14" w:rsidRPr="00C12577">
        <w:rPr>
          <w:snapToGrid w:val="0"/>
        </w:rPr>
        <w:t xml:space="preserve">licence application </w:t>
      </w:r>
      <w:r w:rsidR="00EA21DA" w:rsidRPr="00C12577">
        <w:rPr>
          <w:snapToGrid w:val="0"/>
        </w:rPr>
        <w:t xml:space="preserve">was assessed </w:t>
      </w:r>
      <w:r w:rsidR="00154B14" w:rsidRPr="00C12577">
        <w:rPr>
          <w:snapToGrid w:val="0"/>
        </w:rPr>
        <w:t xml:space="preserve">also </w:t>
      </w:r>
      <w:r w:rsidR="00EA21DA" w:rsidRPr="00C12577">
        <w:rPr>
          <w:snapToGrid w:val="0"/>
        </w:rPr>
        <w:t xml:space="preserve">against the ARPANSA Regulatory Assessment </w:t>
      </w:r>
      <w:r w:rsidR="00764B09">
        <w:rPr>
          <w:snapToGrid w:val="0"/>
        </w:rPr>
        <w:t>Principles</w:t>
      </w:r>
      <w:r w:rsidR="00764B09" w:rsidRPr="00C12577">
        <w:rPr>
          <w:snapToGrid w:val="0"/>
        </w:rPr>
        <w:t xml:space="preserve"> </w:t>
      </w:r>
      <w:r w:rsidR="00EA21DA" w:rsidRPr="00C12577">
        <w:rPr>
          <w:snapToGrid w:val="0"/>
        </w:rPr>
        <w:t>(</w:t>
      </w:r>
      <w:r w:rsidR="0060775C" w:rsidRPr="00C12577">
        <w:rPr>
          <w:snapToGrid w:val="0"/>
        </w:rPr>
        <w:t xml:space="preserve">now </w:t>
      </w:r>
      <w:r w:rsidR="00C862EC" w:rsidRPr="00C12577">
        <w:rPr>
          <w:snapToGrid w:val="0"/>
        </w:rPr>
        <w:t xml:space="preserve">retired and </w:t>
      </w:r>
      <w:r w:rsidR="0060775C" w:rsidRPr="00C12577">
        <w:rPr>
          <w:snapToGrid w:val="0"/>
        </w:rPr>
        <w:t xml:space="preserve">under </w:t>
      </w:r>
      <w:r w:rsidR="00EA21DA" w:rsidRPr="00C12577">
        <w:rPr>
          <w:snapToGrid w:val="0"/>
        </w:rPr>
        <w:t xml:space="preserve">revision). </w:t>
      </w:r>
      <w:r w:rsidRPr="00C12577">
        <w:rPr>
          <w:snapToGrid w:val="0"/>
        </w:rPr>
        <w:t xml:space="preserve">The </w:t>
      </w:r>
      <w:r w:rsidR="0011198E" w:rsidRPr="00C12577">
        <w:rPr>
          <w:snapToGrid w:val="0"/>
        </w:rPr>
        <w:t>criteria</w:t>
      </w:r>
      <w:r w:rsidR="00B36A53">
        <w:rPr>
          <w:snapToGrid w:val="0"/>
        </w:rPr>
        <w:t xml:space="preserve"> </w:t>
      </w:r>
      <w:r w:rsidR="00EA21DA" w:rsidRPr="00C12577">
        <w:rPr>
          <w:snapToGrid w:val="0"/>
        </w:rPr>
        <w:t xml:space="preserve">and the retired principles </w:t>
      </w:r>
      <w:r w:rsidRPr="00C12577">
        <w:t>set the following expectations for human factors at the design stage:</w:t>
      </w:r>
    </w:p>
    <w:p w14:paraId="7A6C202C" w14:textId="77777777" w:rsidR="00C724FE" w:rsidRPr="00C12577" w:rsidRDefault="00C724FE" w:rsidP="00A22E9E">
      <w:pPr>
        <w:pStyle w:val="ListParagraph"/>
        <w:numPr>
          <w:ilvl w:val="0"/>
          <w:numId w:val="35"/>
        </w:numPr>
        <w:ind w:left="1701" w:hanging="283"/>
        <w:rPr>
          <w:snapToGrid w:val="0"/>
        </w:rPr>
      </w:pPr>
      <w:r w:rsidRPr="00C12577">
        <w:rPr>
          <w:snapToGrid w:val="0"/>
        </w:rPr>
        <w:t>facilities are designed with systematic consideration of human factors and ergonomic principles to reduce the potential for human error, facilitate correct actions by operators, and reduce operator stress</w:t>
      </w:r>
    </w:p>
    <w:p w14:paraId="211B3C3C" w14:textId="77777777" w:rsidR="00C724FE" w:rsidRPr="00C12577" w:rsidRDefault="00C724FE" w:rsidP="00A22E9E">
      <w:pPr>
        <w:pStyle w:val="ListParagraph"/>
        <w:numPr>
          <w:ilvl w:val="0"/>
          <w:numId w:val="35"/>
        </w:numPr>
        <w:ind w:left="1701" w:hanging="283"/>
        <w:rPr>
          <w:snapToGrid w:val="0"/>
        </w:rPr>
      </w:pPr>
      <w:r w:rsidRPr="00C12577">
        <w:rPr>
          <w:snapToGrid w:val="0"/>
          <w:spacing w:val="-2"/>
        </w:rPr>
        <w:t>safety systems at nuclear reactors are designed to be automatically initiated and to require no immediate operator action within 30 minutes, while permitting operator initiation or action where necessary to ensure or enhance safety</w:t>
      </w:r>
    </w:p>
    <w:p w14:paraId="2CE29434" w14:textId="77777777" w:rsidR="00C724FE" w:rsidRPr="00C12577" w:rsidRDefault="00C724FE" w:rsidP="00A22E9E">
      <w:pPr>
        <w:pStyle w:val="ListParagraph"/>
        <w:numPr>
          <w:ilvl w:val="0"/>
          <w:numId w:val="35"/>
        </w:numPr>
        <w:ind w:left="1701" w:hanging="283"/>
        <w:rPr>
          <w:snapToGrid w:val="0"/>
        </w:rPr>
      </w:pPr>
      <w:r w:rsidRPr="00C12577">
        <w:rPr>
          <w:snapToGrid w:val="0"/>
        </w:rPr>
        <w:t xml:space="preserve">control and control room layout provides ergonomic disposition of data and controls for actions important to safety, including accident management </w:t>
      </w:r>
    </w:p>
    <w:p w14:paraId="0B5C5088" w14:textId="1107E38F" w:rsidR="00C724FE" w:rsidRPr="00C12577" w:rsidRDefault="00C724FE" w:rsidP="00A22E9E">
      <w:pPr>
        <w:pStyle w:val="ListParagraph"/>
        <w:numPr>
          <w:ilvl w:val="0"/>
          <w:numId w:val="35"/>
        </w:numPr>
        <w:ind w:left="1701" w:hanging="283"/>
        <w:rPr>
          <w:snapToGrid w:val="0"/>
        </w:rPr>
      </w:pPr>
      <w:r w:rsidRPr="00C12577">
        <w:rPr>
          <w:snapToGrid w:val="0"/>
        </w:rPr>
        <w:t>diagnostic aids are provided to speedily resolve questions important to safety and to monitor the status of the reactor</w:t>
      </w:r>
    </w:p>
    <w:p w14:paraId="76B1AD54" w14:textId="2FBBDE4A" w:rsidR="0060775C" w:rsidRPr="00C12577" w:rsidRDefault="0060775C" w:rsidP="00A22E9E">
      <w:pPr>
        <w:pStyle w:val="ListParagraph"/>
        <w:numPr>
          <w:ilvl w:val="0"/>
          <w:numId w:val="35"/>
        </w:numPr>
        <w:ind w:left="1701" w:hanging="283"/>
        <w:rPr>
          <w:snapToGrid w:val="0"/>
        </w:rPr>
      </w:pPr>
      <w:r w:rsidRPr="00C12577">
        <w:rPr>
          <w:snapToGrid w:val="0"/>
        </w:rPr>
        <w:t>maintenance and inspection aspects such as access are considered in the design</w:t>
      </w:r>
      <w:r w:rsidR="00C862EC" w:rsidRPr="00C12577">
        <w:rPr>
          <w:snapToGrid w:val="0"/>
        </w:rPr>
        <w:t xml:space="preserve"> of equipment and systems</w:t>
      </w:r>
    </w:p>
    <w:p w14:paraId="70C5C6CA" w14:textId="239B4027" w:rsidR="0060775C" w:rsidRPr="00C12577" w:rsidRDefault="00C724FE" w:rsidP="00A22E9E">
      <w:pPr>
        <w:pStyle w:val="ListParagraph"/>
        <w:numPr>
          <w:ilvl w:val="0"/>
          <w:numId w:val="35"/>
        </w:numPr>
        <w:ind w:left="1701" w:hanging="283"/>
        <w:rPr>
          <w:snapToGrid w:val="0"/>
        </w:rPr>
      </w:pPr>
      <w:r w:rsidRPr="00C12577">
        <w:rPr>
          <w:snapToGrid w:val="0"/>
        </w:rPr>
        <w:t>reliable and redundant communications systems are provided for all operations staff</w:t>
      </w:r>
    </w:p>
    <w:p w14:paraId="2DA52DE9" w14:textId="77777777" w:rsidR="006F544B" w:rsidRPr="00FD5BE4" w:rsidRDefault="006F544B" w:rsidP="00AB09EF">
      <w:pPr>
        <w:pStyle w:val="Heading2"/>
        <w:spacing w:before="120"/>
      </w:pPr>
      <w:r w:rsidRPr="00FD5BE4">
        <w:t xml:space="preserve">OPAL </w:t>
      </w:r>
    </w:p>
    <w:p w14:paraId="16E60B59" w14:textId="36A94A66" w:rsidR="00AB18E0" w:rsidRPr="006869AC" w:rsidRDefault="006F544B" w:rsidP="006869AC">
      <w:pPr>
        <w:pStyle w:val="180list"/>
      </w:pPr>
      <w:r w:rsidRPr="0060775C">
        <w:t>A significant change to design reported at the 7</w:t>
      </w:r>
      <w:r w:rsidRPr="0060775C">
        <w:rPr>
          <w:vertAlign w:val="superscript"/>
        </w:rPr>
        <w:t>th</w:t>
      </w:r>
      <w:r w:rsidRPr="0060775C">
        <w:t xml:space="preserve"> CNS Review meeting was the addition of a Heavy Water Upgrade System to remove light water from the heavy water in the reflector vessel</w:t>
      </w:r>
      <w:r w:rsidRPr="0060775C">
        <w:rPr>
          <w:b/>
          <w:i/>
        </w:rPr>
        <w:t>.</w:t>
      </w:r>
      <w:r w:rsidR="00B36A53">
        <w:rPr>
          <w:b/>
          <w:i/>
        </w:rPr>
        <w:t xml:space="preserve"> </w:t>
      </w:r>
      <w:r w:rsidRPr="0060775C">
        <w:t>Although the operation of the reactor was adapted to the modification, the safety effect was demonstrated to be minimal and fully within the safety design capabilities.</w:t>
      </w:r>
    </w:p>
    <w:tbl>
      <w:tblPr>
        <w:tblStyle w:val="GenericARPANSA"/>
        <w:tblW w:w="0" w:type="auto"/>
        <w:tblInd w:w="0" w:type="dxa"/>
        <w:shd w:val="clear" w:color="auto" w:fill="E7F9E7"/>
        <w:tblCellMar>
          <w:top w:w="57" w:type="dxa"/>
          <w:left w:w="170" w:type="dxa"/>
          <w:bottom w:w="57" w:type="dxa"/>
          <w:right w:w="170" w:type="dxa"/>
        </w:tblCellMar>
        <w:tblLook w:val="0480" w:firstRow="0" w:lastRow="0" w:firstColumn="1" w:lastColumn="0" w:noHBand="0" w:noVBand="1"/>
      </w:tblPr>
      <w:tblGrid>
        <w:gridCol w:w="9628"/>
      </w:tblGrid>
      <w:tr w:rsidR="00AB18E0" w14:paraId="1BDEB962" w14:textId="77777777" w:rsidTr="00FD7DD3">
        <w:tc>
          <w:tcPr>
            <w:tcW w:w="9628" w:type="dxa"/>
            <w:shd w:val="clear" w:color="auto" w:fill="E7F9E7"/>
          </w:tcPr>
          <w:p w14:paraId="124E17F2" w14:textId="66568B8D" w:rsidR="00AB18E0" w:rsidRDefault="00A22E9E" w:rsidP="00FD7DD3">
            <w:pPr>
              <w:keepNext/>
              <w:keepLines/>
              <w:jc w:val="left"/>
              <w:outlineLvl w:val="1"/>
              <w:rPr>
                <w:rFonts w:ascii="Calibri" w:eastAsiaTheme="majorEastAsia" w:hAnsi="Calibri" w:cstheme="majorBidi"/>
                <w:b/>
                <w:bCs/>
                <w:color w:val="4E1A74"/>
                <w:sz w:val="26"/>
                <w:szCs w:val="26"/>
              </w:rPr>
            </w:pPr>
            <w:r>
              <w:rPr>
                <w:rFonts w:ascii="Calibri" w:eastAsiaTheme="majorEastAsia" w:hAnsi="Calibri" w:cstheme="majorBidi"/>
                <w:b/>
                <w:bCs/>
                <w:color w:val="4E1A74"/>
                <w:sz w:val="26"/>
                <w:szCs w:val="26"/>
              </w:rPr>
              <w:lastRenderedPageBreak/>
              <w:t xml:space="preserve">Summary of how Australia meets the </w:t>
            </w:r>
            <w:r w:rsidR="00AB18E0" w:rsidRPr="00AB18E0">
              <w:rPr>
                <w:rFonts w:ascii="Calibri" w:eastAsiaTheme="majorEastAsia" w:hAnsi="Calibri" w:cstheme="majorBidi"/>
                <w:b/>
                <w:bCs/>
                <w:color w:val="4E1A74"/>
                <w:sz w:val="26"/>
                <w:szCs w:val="26"/>
              </w:rPr>
              <w:t>Vienna Declarati</w:t>
            </w:r>
            <w:r>
              <w:rPr>
                <w:rFonts w:ascii="Calibri" w:eastAsiaTheme="majorEastAsia" w:hAnsi="Calibri" w:cstheme="majorBidi"/>
                <w:b/>
                <w:bCs/>
                <w:color w:val="4E1A74"/>
                <w:sz w:val="26"/>
                <w:szCs w:val="26"/>
              </w:rPr>
              <w:t>on on Nuclear Safety Principle (see Article 17 also)</w:t>
            </w:r>
          </w:p>
          <w:p w14:paraId="7BE648CF" w14:textId="4C69D0D7" w:rsidR="00AB18E0" w:rsidRPr="007121EC" w:rsidRDefault="00AB18E0" w:rsidP="00A22E9E">
            <w:pPr>
              <w:pStyle w:val="140list"/>
              <w:numPr>
                <w:ilvl w:val="0"/>
                <w:numId w:val="0"/>
              </w:numPr>
              <w:ind w:left="284"/>
              <w:jc w:val="left"/>
            </w:pPr>
            <w:r w:rsidRPr="00A22E9E">
              <w:t>Australia meets the Vienna Declaration Principle 1 in relation to Research Reactors:</w:t>
            </w:r>
            <w:r w:rsidRPr="007121EC">
              <w:t xml:space="preserve"> </w:t>
            </w:r>
            <w:r w:rsidRPr="00AB09EF">
              <w:rPr>
                <w:i/>
              </w:rPr>
              <w:t>New nuclear power plants are to be designed, sited, and constructed, consistent with the objective of preventing accidents in the commissioning and operation and, should an accident occur, mitigating possible releases of radionuclides causing long-term off site contamination and avoiding early radioactive releases or radioactive releases large enough to require long-term protective measures and actions.</w:t>
            </w:r>
          </w:p>
          <w:p w14:paraId="4C842DB3" w14:textId="73DBF29F" w:rsidR="00AB18E0" w:rsidRPr="007121EC" w:rsidRDefault="00AB18E0" w:rsidP="00314D1D">
            <w:pPr>
              <w:pStyle w:val="180list"/>
              <w:numPr>
                <w:ilvl w:val="0"/>
                <w:numId w:val="49"/>
              </w:numPr>
              <w:ind w:left="966" w:hanging="425"/>
              <w:jc w:val="left"/>
            </w:pPr>
            <w:r w:rsidRPr="007121EC">
              <w:t>The siting of OPAL took into account the elements covered by Principle 1 of the Vienna Declaration, namely, the prevention of accidents during the commissioning and operations phase</w:t>
            </w:r>
            <w:r w:rsidR="0041647B">
              <w:t xml:space="preserve">. </w:t>
            </w:r>
          </w:p>
          <w:p w14:paraId="05DA19A7" w14:textId="77777777" w:rsidR="00AB18E0" w:rsidRPr="007121EC" w:rsidRDefault="00AB18E0" w:rsidP="00314D1D">
            <w:pPr>
              <w:pStyle w:val="180list"/>
              <w:numPr>
                <w:ilvl w:val="0"/>
                <w:numId w:val="49"/>
              </w:numPr>
              <w:ind w:left="966" w:hanging="425"/>
              <w:jc w:val="left"/>
            </w:pPr>
            <w:r w:rsidRPr="007121EC">
              <w:t xml:space="preserve">ARPANSA’s Regulatory Assessment Criteria for the Design of New Facilities is structured to reflect internationally accepted principles of defence in depth. The criteria state the need for proven engineering practice and standards in the siting, design, manufacture, construction, installation, and commissioning of a reactor. </w:t>
            </w:r>
          </w:p>
          <w:p w14:paraId="3969689A" w14:textId="67CE8D39" w:rsidR="00AB18E0" w:rsidRPr="00AB18E0" w:rsidRDefault="00AB18E0" w:rsidP="00314D1D">
            <w:pPr>
              <w:pStyle w:val="180list"/>
              <w:numPr>
                <w:ilvl w:val="0"/>
                <w:numId w:val="49"/>
              </w:numPr>
              <w:ind w:left="966" w:hanging="425"/>
              <w:jc w:val="left"/>
              <w:rPr>
                <w:color w:val="000000"/>
              </w:rPr>
            </w:pPr>
            <w:r w:rsidRPr="007121EC">
              <w:t>ARPANSA’s Regulatory Guide</w:t>
            </w:r>
            <w:r w:rsidR="0065381F">
              <w:t>:</w:t>
            </w:r>
            <w:r w:rsidRPr="007121EC">
              <w:t xml:space="preserve"> Siting of Controlled Facilities</w:t>
            </w:r>
            <w:r w:rsidRPr="002F13BD">
              <w:rPr>
                <w:vertAlign w:val="superscript"/>
              </w:rPr>
              <w:footnoteReference w:id="36"/>
            </w:r>
            <w:r w:rsidRPr="007121EC">
              <w:t xml:space="preserve"> sets out international best practice applicable to siting of nuclear installations. The siting of OPAL took into account the elements covered by Principle 1 of the Vienna Declaration, namely, the prevention of accidents during the commissioning and operations phase - ARPANSA’s Regulatory Assessment Principles (now retired in anticipation of an updated version) and Regulatory Assessment Criteria for the Design of New F</w:t>
            </w:r>
            <w:r w:rsidRPr="002F13BD">
              <w:t>acilities are structured to reflect internationally accepted principles of defence in depth. The criteria state the need for proven engineering practice and standards in the siting, design, manufacture, construction, installation, and commissioning of a reactor.</w:t>
            </w:r>
          </w:p>
        </w:tc>
      </w:tr>
    </w:tbl>
    <w:p w14:paraId="498B9D2F" w14:textId="77777777" w:rsidR="00AB18E0" w:rsidRPr="007121EC" w:rsidRDefault="00AB18E0" w:rsidP="00AB18E0">
      <w:pPr>
        <w:pStyle w:val="180list"/>
        <w:numPr>
          <w:ilvl w:val="0"/>
          <w:numId w:val="0"/>
        </w:numPr>
        <w:ind w:left="284"/>
        <w:rPr>
          <w:color w:val="000000"/>
        </w:rPr>
      </w:pPr>
    </w:p>
    <w:p w14:paraId="2849568B" w14:textId="2F1DAAF2" w:rsidR="007121EC" w:rsidRDefault="007121EC" w:rsidP="00D66E1B">
      <w:pPr>
        <w:jc w:val="center"/>
        <w:rPr>
          <w:rFonts w:ascii="Calibri" w:eastAsiaTheme="majorEastAsia" w:hAnsi="Calibri" w:cstheme="majorBidi"/>
          <w:b/>
          <w:bCs/>
          <w:color w:val="4E1A74"/>
          <w:sz w:val="32"/>
          <w:szCs w:val="28"/>
        </w:rPr>
      </w:pPr>
      <w:bookmarkStart w:id="140" w:name="_Toc457392318"/>
      <w:r>
        <w:br w:type="page"/>
      </w:r>
    </w:p>
    <w:p w14:paraId="3BB988C9" w14:textId="7EE49983" w:rsidR="00C735CA" w:rsidRDefault="00BC55F5" w:rsidP="00C735CA">
      <w:pPr>
        <w:pStyle w:val="Heading1"/>
        <w:numPr>
          <w:ilvl w:val="0"/>
          <w:numId w:val="0"/>
        </w:numPr>
        <w:spacing w:after="120"/>
        <w:ind w:left="680" w:hanging="680"/>
      </w:pPr>
      <w:bookmarkStart w:id="141" w:name="_Toc12537955"/>
      <w:r w:rsidRPr="008F0DB2">
        <w:lastRenderedPageBreak/>
        <w:t>Article 19 – Operation</w:t>
      </w:r>
      <w:bookmarkEnd w:id="140"/>
      <w:bookmarkEnd w:id="141"/>
      <w:r w:rsidR="00C735CA" w:rsidRPr="00C735CA">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C735CA" w14:paraId="1B17E623" w14:textId="77777777" w:rsidTr="00FD7DD3">
        <w:tc>
          <w:tcPr>
            <w:tcW w:w="9639" w:type="dxa"/>
            <w:shd w:val="clear" w:color="auto" w:fill="F3EAFA"/>
          </w:tcPr>
          <w:p w14:paraId="57C15C23" w14:textId="3AB93CA1" w:rsidR="00C735CA" w:rsidRPr="001F3F4D" w:rsidRDefault="00C735CA" w:rsidP="00FD7DD3">
            <w:pPr>
              <w:jc w:val="left"/>
              <w:rPr>
                <w:rStyle w:val="Normalbold"/>
                <w:b w:val="0"/>
                <w:i/>
              </w:rPr>
            </w:pPr>
            <w:r w:rsidRPr="0069737B">
              <w:rPr>
                <w:rStyle w:val="Normalbold"/>
                <w:b w:val="0"/>
                <w:i/>
              </w:rPr>
              <w:t>Each Contracting Party shall take the appropriate steps to ensure that:</w:t>
            </w:r>
            <w:r w:rsidR="00B36A53">
              <w:rPr>
                <w:rStyle w:val="Normalbold"/>
                <w:b w:val="0"/>
                <w:i/>
              </w:rPr>
              <w:t xml:space="preserve"> </w:t>
            </w:r>
            <w:r w:rsidRPr="001F3F4D">
              <w:rPr>
                <w:rStyle w:val="Normalbold"/>
                <w:b w:val="0"/>
                <w:i/>
              </w:rPr>
              <w:t xml:space="preserve"> </w:t>
            </w:r>
          </w:p>
          <w:p w14:paraId="762C431F" w14:textId="5EFCD825" w:rsidR="00C735CA" w:rsidRPr="008F08C7" w:rsidRDefault="00C735CA" w:rsidP="00FD7DD3">
            <w:pPr>
              <w:ind w:left="734" w:hanging="425"/>
              <w:jc w:val="left"/>
              <w:rPr>
                <w:rStyle w:val="Normalbold"/>
                <w:b w:val="0"/>
                <w:i/>
              </w:rPr>
            </w:pPr>
            <w:r w:rsidRPr="0069737B">
              <w:rPr>
                <w:rStyle w:val="Normalbold"/>
                <w:b w:val="0"/>
                <w:i/>
              </w:rPr>
              <w:t>i.</w:t>
            </w:r>
            <w:r w:rsidRPr="0069737B">
              <w:rPr>
                <w:rStyle w:val="Normalbold"/>
                <w:b w:val="0"/>
                <w:i/>
              </w:rPr>
              <w:tab/>
            </w:r>
            <w:r w:rsidRPr="00C735CA">
              <w:rPr>
                <w:rStyle w:val="Normalbold"/>
                <w:b w:val="0"/>
                <w:i/>
              </w:rPr>
              <w:t>the initial authorization to operate a nuclear installation is based upon an appropriate safety analysis and a commissioning programme demonstrating that the installation, as constructed, is consistent with design and safety requirements;</w:t>
            </w:r>
          </w:p>
        </w:tc>
      </w:tr>
    </w:tbl>
    <w:p w14:paraId="5E3495C9" w14:textId="11ABC0DE" w:rsidR="00BC55F5" w:rsidRPr="009E7C03" w:rsidRDefault="00BC55F5" w:rsidP="00C735CA">
      <w:pPr>
        <w:pStyle w:val="190list"/>
        <w:spacing w:before="120"/>
      </w:pPr>
      <w:r w:rsidRPr="009E7C03">
        <w:t>The ARPANSA licensing process requires the applicant to furnish specific information when applying for a licence to operate a nuclear research reactor.</w:t>
      </w:r>
      <w:r w:rsidR="00B36A53">
        <w:t xml:space="preserve"> </w:t>
      </w:r>
      <w:r w:rsidRPr="009E7C03">
        <w:t>These include:</w:t>
      </w:r>
    </w:p>
    <w:p w14:paraId="22631A16" w14:textId="77777777" w:rsidR="00BC55F5" w:rsidRDefault="00BC55F5" w:rsidP="00A22E9E">
      <w:pPr>
        <w:pStyle w:val="ListParagraph"/>
        <w:numPr>
          <w:ilvl w:val="0"/>
          <w:numId w:val="36"/>
        </w:numPr>
        <w:ind w:left="1701" w:hanging="283"/>
      </w:pPr>
      <w:r>
        <w:t>A</w:t>
      </w:r>
      <w:r w:rsidRPr="006310AD">
        <w:t>rrangements for maintaining criticality safety during loading, moving or storing nuclear fuel and other fissile materials</w:t>
      </w:r>
      <w:r>
        <w:t>.</w:t>
      </w:r>
    </w:p>
    <w:p w14:paraId="4EEC7E35" w14:textId="77777777" w:rsidR="00BC55F5" w:rsidRDefault="00BC55F5" w:rsidP="00A22E9E">
      <w:pPr>
        <w:pStyle w:val="ListParagraph"/>
        <w:numPr>
          <w:ilvl w:val="0"/>
          <w:numId w:val="36"/>
        </w:numPr>
        <w:ind w:left="1701" w:hanging="283"/>
      </w:pPr>
      <w:r w:rsidRPr="005F5A26">
        <w:t xml:space="preserve">A description of the structures, components, systems and equipment of the </w:t>
      </w:r>
      <w:r>
        <w:t>reactor</w:t>
      </w:r>
      <w:r w:rsidRPr="005F5A26">
        <w:t xml:space="preserve"> as they have been constructed</w:t>
      </w:r>
      <w:r>
        <w:t>.</w:t>
      </w:r>
    </w:p>
    <w:p w14:paraId="61B28447" w14:textId="5E559855" w:rsidR="00BC55F5" w:rsidRPr="009E7C03" w:rsidRDefault="00BC55F5" w:rsidP="00A22E9E">
      <w:pPr>
        <w:pStyle w:val="ListParagraph"/>
        <w:numPr>
          <w:ilvl w:val="0"/>
          <w:numId w:val="36"/>
        </w:numPr>
        <w:spacing w:after="120"/>
        <w:ind w:left="1702" w:hanging="284"/>
        <w:rPr>
          <w:spacing w:val="-4"/>
        </w:rPr>
      </w:pPr>
      <w:r w:rsidRPr="009E7C03">
        <w:rPr>
          <w:spacing w:val="-4"/>
        </w:rPr>
        <w:t xml:space="preserve">A </w:t>
      </w:r>
      <w:r w:rsidR="001B2FDD">
        <w:rPr>
          <w:spacing w:val="-4"/>
        </w:rPr>
        <w:t>f</w:t>
      </w:r>
      <w:r w:rsidRPr="009E7C03">
        <w:rPr>
          <w:spacing w:val="-4"/>
        </w:rPr>
        <w:t xml:space="preserve">inal </w:t>
      </w:r>
      <w:r w:rsidR="001B2FDD">
        <w:rPr>
          <w:spacing w:val="-4"/>
        </w:rPr>
        <w:t>s</w:t>
      </w:r>
      <w:r w:rsidRPr="009E7C03">
        <w:rPr>
          <w:spacing w:val="-4"/>
        </w:rPr>
        <w:t xml:space="preserve">afety </w:t>
      </w:r>
      <w:r w:rsidR="001B2FDD">
        <w:rPr>
          <w:spacing w:val="-4"/>
        </w:rPr>
        <w:t>a</w:t>
      </w:r>
      <w:r w:rsidRPr="009E7C03">
        <w:rPr>
          <w:spacing w:val="-4"/>
        </w:rPr>
        <w:t xml:space="preserve">nalysis </w:t>
      </w:r>
      <w:r w:rsidR="001B2FDD">
        <w:rPr>
          <w:spacing w:val="-4"/>
        </w:rPr>
        <w:t>r</w:t>
      </w:r>
      <w:r w:rsidRPr="009E7C03">
        <w:rPr>
          <w:spacing w:val="-4"/>
        </w:rPr>
        <w:t>eport that demonstrates the adequacy of the design, the operating limits and conditions, and arrangements for commissioning and operations.</w:t>
      </w:r>
    </w:p>
    <w:p w14:paraId="18898D82" w14:textId="3CB25854" w:rsidR="00BC55F5" w:rsidRDefault="00BC55F5" w:rsidP="009E7C03">
      <w:pPr>
        <w:pStyle w:val="190list"/>
      </w:pPr>
      <w:r w:rsidRPr="00546FB3">
        <w:t>In assessing a licence application for a nuclear research reactor, ARPANSA must, under the Act, take into account international best practice in radiation protection and nuclear safety.</w:t>
      </w:r>
      <w:r w:rsidR="00B36A53">
        <w:t xml:space="preserve"> </w:t>
      </w:r>
      <w:r w:rsidRPr="00546FB3">
        <w:t>The relevant international best practice documents comprising primarily IAEA Safety Standards are listed on the ARPANSA website</w:t>
      </w:r>
      <w:r w:rsidR="006F544B">
        <w:t>.</w:t>
      </w:r>
    </w:p>
    <w:tbl>
      <w:tblPr>
        <w:tblStyle w:val="GenericARPANSA"/>
        <w:tblW w:w="9639" w:type="dxa"/>
        <w:tblInd w:w="0" w:type="dxa"/>
        <w:shd w:val="clear" w:color="auto" w:fill="F3EAFA"/>
        <w:tblLook w:val="0480" w:firstRow="0" w:lastRow="0" w:firstColumn="1" w:lastColumn="0" w:noHBand="0" w:noVBand="1"/>
      </w:tblPr>
      <w:tblGrid>
        <w:gridCol w:w="9639"/>
      </w:tblGrid>
      <w:tr w:rsidR="00700451" w14:paraId="464F06A3" w14:textId="77777777" w:rsidTr="00FD7DD3">
        <w:tc>
          <w:tcPr>
            <w:tcW w:w="9639" w:type="dxa"/>
            <w:shd w:val="clear" w:color="auto" w:fill="F3EAFA"/>
          </w:tcPr>
          <w:p w14:paraId="29088124" w14:textId="5CE6D8DF" w:rsidR="00700451" w:rsidRPr="008F08C7" w:rsidRDefault="00700451" w:rsidP="00FD7DD3">
            <w:pPr>
              <w:ind w:left="734" w:hanging="425"/>
              <w:jc w:val="left"/>
              <w:rPr>
                <w:rStyle w:val="Normalbold"/>
                <w:b w:val="0"/>
                <w:i/>
              </w:rPr>
            </w:pPr>
            <w:r w:rsidRPr="0069737B">
              <w:rPr>
                <w:rStyle w:val="Normalbold"/>
                <w:b w:val="0"/>
                <w:i/>
              </w:rPr>
              <w:t>i</w:t>
            </w:r>
            <w:r>
              <w:rPr>
                <w:rStyle w:val="Normalbold"/>
                <w:b w:val="0"/>
                <w:i/>
              </w:rPr>
              <w:t>i</w:t>
            </w:r>
            <w:r w:rsidRPr="0069737B">
              <w:rPr>
                <w:rStyle w:val="Normalbold"/>
                <w:b w:val="0"/>
                <w:i/>
              </w:rPr>
              <w:t>.</w:t>
            </w:r>
            <w:r w:rsidRPr="0069737B">
              <w:rPr>
                <w:rStyle w:val="Normalbold"/>
                <w:b w:val="0"/>
                <w:i/>
              </w:rPr>
              <w:tab/>
            </w:r>
            <w:r w:rsidRPr="00700451">
              <w:rPr>
                <w:rStyle w:val="Normalbold"/>
                <w:b w:val="0"/>
                <w:i/>
              </w:rPr>
              <w:t>operational limits and conditions derived from the safety analysis, tests and operational experience are defined and revised as necessary for identifying safe boundaries for operation;</w:t>
            </w:r>
          </w:p>
        </w:tc>
      </w:tr>
    </w:tbl>
    <w:p w14:paraId="42D33E65" w14:textId="690276E1" w:rsidR="00BC55F5" w:rsidRPr="00137C59" w:rsidRDefault="00BC55F5" w:rsidP="00700451">
      <w:pPr>
        <w:pStyle w:val="190list"/>
        <w:spacing w:before="120"/>
      </w:pPr>
      <w:bookmarkStart w:id="142" w:name="_Ref176599686"/>
      <w:r w:rsidRPr="00137C59">
        <w:t>The Regulations require an applicant for an operating licence to specify the operational limits and conditions (OLC).</w:t>
      </w:r>
      <w:r w:rsidR="00B36A53">
        <w:t xml:space="preserve"> </w:t>
      </w:r>
      <w:r w:rsidRPr="00137C59">
        <w:t>Failure to comply with an OLC may be a breach of a condition of licence.</w:t>
      </w:r>
      <w:r w:rsidR="00B36A53">
        <w:t xml:space="preserve"> </w:t>
      </w:r>
      <w:r w:rsidRPr="00137C59">
        <w:t xml:space="preserve">ARPANSA </w:t>
      </w:r>
      <w:r>
        <w:t xml:space="preserve">continues to monitor that </w:t>
      </w:r>
      <w:r w:rsidRPr="00137C59">
        <w:t>OLCs</w:t>
      </w:r>
      <w:r>
        <w:t xml:space="preserve"> are derived from the SAR</w:t>
      </w:r>
      <w:r w:rsidRPr="00137C59">
        <w:t>.</w:t>
      </w:r>
      <w:bookmarkEnd w:id="142"/>
      <w:r w:rsidR="00B36A53">
        <w:t xml:space="preserve"> </w:t>
      </w:r>
      <w:r>
        <w:t>T</w:t>
      </w:r>
      <w:r w:rsidRPr="00137C59">
        <w:t>he licence holder may not make</w:t>
      </w:r>
      <w:r w:rsidRPr="00137C59">
        <w:rPr>
          <w:i/>
        </w:rPr>
        <w:t xml:space="preserve"> </w:t>
      </w:r>
      <w:r w:rsidRPr="00137C59">
        <w:t xml:space="preserve">any change to the design or operation of the reactor that would invalidate the assumptions and conditions on which the current </w:t>
      </w:r>
      <w:r>
        <w:t xml:space="preserve">SAR </w:t>
      </w:r>
      <w:r w:rsidRPr="00137C59">
        <w:t>is based without prior approval from ARPANSA.</w:t>
      </w:r>
    </w:p>
    <w:p w14:paraId="3D0D8F45" w14:textId="6CC7BC1F" w:rsidR="00555B2A" w:rsidRPr="006B37D1" w:rsidRDefault="00BC55F5" w:rsidP="00121192">
      <w:pPr>
        <w:pStyle w:val="190list"/>
      </w:pPr>
      <w:bookmarkStart w:id="143" w:name="_Hlt519563056"/>
      <w:bookmarkEnd w:id="143"/>
      <w:r w:rsidRPr="006B37D1">
        <w:t xml:space="preserve">Recent amendments to the OPAL OLCs include </w:t>
      </w:r>
      <w:r w:rsidR="006B37D1" w:rsidRPr="006B37D1">
        <w:t xml:space="preserve">a </w:t>
      </w:r>
      <w:r w:rsidR="00C862EC" w:rsidRPr="006B37D1">
        <w:t xml:space="preserve">change to </w:t>
      </w:r>
      <w:r w:rsidR="00555B2A" w:rsidRPr="006B37D1">
        <w:t>the</w:t>
      </w:r>
      <w:r w:rsidRPr="006B37D1">
        <w:t xml:space="preserve"> </w:t>
      </w:r>
      <w:r w:rsidR="00555B2A" w:rsidRPr="006B37D1">
        <w:t xml:space="preserve">allowable </w:t>
      </w:r>
      <w:r w:rsidR="001B2FDD">
        <w:t>deuterium</w:t>
      </w:r>
      <w:r w:rsidR="00555B2A" w:rsidRPr="006B37D1">
        <w:t xml:space="preserve"> concentration in the heavy water systems and </w:t>
      </w:r>
      <w:r w:rsidR="00C862EC" w:rsidRPr="006B37D1">
        <w:t xml:space="preserve">an </w:t>
      </w:r>
      <w:r w:rsidR="00555B2A" w:rsidRPr="006B37D1">
        <w:t xml:space="preserve">amendment of </w:t>
      </w:r>
      <w:r w:rsidR="00F5157B" w:rsidRPr="006B37D1">
        <w:t>the instrumentation OLCs t</w:t>
      </w:r>
      <w:r w:rsidR="00555B2A" w:rsidRPr="006B37D1">
        <w:t>o align with a revised Instrument Calibration Methodology.</w:t>
      </w:r>
      <w:r w:rsidR="00B36A53">
        <w:t xml:space="preserve"> </w:t>
      </w:r>
    </w:p>
    <w:p w14:paraId="4C3E1718" w14:textId="2059279B" w:rsidR="00BC55F5" w:rsidRPr="00FD5BE4" w:rsidRDefault="00BC55F5" w:rsidP="00121192">
      <w:pPr>
        <w:pStyle w:val="190list"/>
      </w:pPr>
      <w:r w:rsidRPr="00F2548F">
        <w:t>The Regulations require licence applications to contain plans and arrangements to ensure the safety of a reactor throughout all stages of its life.</w:t>
      </w:r>
      <w:r w:rsidR="00B36A53">
        <w:t xml:space="preserve"> </w:t>
      </w:r>
      <w:r w:rsidRPr="00F2548F">
        <w:t>Procedures and instructions for operation, maintenance, inspection and testing of the reactor must form part of these plans and arrangements and are reviewed and approved by ARPANSA before a licence is issued.</w:t>
      </w:r>
      <w:r w:rsidR="00B36A53">
        <w:t xml:space="preserve"> </w:t>
      </w:r>
      <w:r w:rsidRPr="00F2548F">
        <w:t>Details of what is expected in the plans and arrangements are provided in regulatory guidelines</w:t>
      </w:r>
      <w:r w:rsidRPr="00FD5BE4">
        <w:t>.</w:t>
      </w:r>
    </w:p>
    <w:p w14:paraId="0508C312" w14:textId="3A3AD836" w:rsidR="00BC55F5" w:rsidRPr="00FD5BE4" w:rsidRDefault="00154B14" w:rsidP="00121192">
      <w:pPr>
        <w:pStyle w:val="190list"/>
        <w:rPr>
          <w:i/>
        </w:rPr>
      </w:pPr>
      <w:r>
        <w:t xml:space="preserve">ARPANSA’s Regulatory Guide </w:t>
      </w:r>
      <w:r w:rsidRPr="00AB09EF">
        <w:rPr>
          <w:i/>
        </w:rPr>
        <w:t>Plans &amp; Arrangements for managing safety</w:t>
      </w:r>
      <w:r>
        <w:t xml:space="preserve"> </w:t>
      </w:r>
      <w:r w:rsidR="00BC55F5">
        <w:t xml:space="preserve">set </w:t>
      </w:r>
      <w:r w:rsidR="00AF0388">
        <w:t>expectations</w:t>
      </w:r>
      <w:r w:rsidR="00C862EC">
        <w:t xml:space="preserve"> </w:t>
      </w:r>
      <w:r w:rsidR="00BC55F5">
        <w:t xml:space="preserve">on how </w:t>
      </w:r>
      <w:r w:rsidR="00BC55F5" w:rsidRPr="00FD5BE4">
        <w:t xml:space="preserve">to demonstrate that </w:t>
      </w:r>
      <w:r w:rsidR="00BC55F5">
        <w:t xml:space="preserve">procedures for </w:t>
      </w:r>
      <w:r w:rsidR="00BC55F5" w:rsidRPr="00FD5BE4">
        <w:t>inspection, testing and maintenance are documented and implemented</w:t>
      </w:r>
      <w:r w:rsidR="00C862EC">
        <w:t>.</w:t>
      </w:r>
      <w:r w:rsidR="006B37D1">
        <w:t xml:space="preserve"> </w:t>
      </w:r>
      <w:r w:rsidR="00BC55F5">
        <w:t xml:space="preserve">The licence holder should also demonstrate that </w:t>
      </w:r>
      <w:r w:rsidR="00BC55F5" w:rsidRPr="00FD5BE4">
        <w:t>inspection, testing and maintenance</w:t>
      </w:r>
      <w:r w:rsidR="00BC55F5">
        <w:t xml:space="preserve"> </w:t>
      </w:r>
      <w:r w:rsidR="00BC55F5" w:rsidRPr="00767604">
        <w:t>throughout the life of the facility</w:t>
      </w:r>
      <w:r w:rsidR="00BC55F5">
        <w:t xml:space="preserve"> </w:t>
      </w:r>
      <w:r w:rsidR="00BC55F5" w:rsidRPr="00FD5BE4">
        <w:t xml:space="preserve">ensure the availability and reliability of systems at the levels </w:t>
      </w:r>
      <w:r w:rsidR="00BC55F5">
        <w:t xml:space="preserve">mentioned in </w:t>
      </w:r>
      <w:r w:rsidR="00BC55F5" w:rsidRPr="00FD5BE4">
        <w:t xml:space="preserve">the </w:t>
      </w:r>
      <w:r w:rsidR="00BC55F5">
        <w:t xml:space="preserve">SAR </w:t>
      </w:r>
      <w:r w:rsidR="00BC55F5" w:rsidRPr="00FD5BE4">
        <w:t>and avoid common cause failure</w:t>
      </w:r>
      <w:r w:rsidR="00BC55F5">
        <w:t>s</w:t>
      </w:r>
      <w:r w:rsidR="00BC55F5" w:rsidRPr="00FD5BE4">
        <w:t>.</w:t>
      </w:r>
      <w:r w:rsidR="00580778">
        <w:t xml:space="preserve"> </w:t>
      </w:r>
    </w:p>
    <w:p w14:paraId="3C304ABA" w14:textId="2038C5C7" w:rsidR="00BC55F5" w:rsidRDefault="00BC55F5" w:rsidP="00121192">
      <w:pPr>
        <w:pStyle w:val="190list"/>
      </w:pPr>
      <w:r>
        <w:t xml:space="preserve">Approved procedures for the </w:t>
      </w:r>
      <w:r w:rsidRPr="00EF4CC2">
        <w:t>operation, maintenance, inspection and testing of</w:t>
      </w:r>
      <w:r w:rsidRPr="00FD5BE4">
        <w:t xml:space="preserve"> OPAL is undertaken in accordance with the </w:t>
      </w:r>
      <w:r>
        <w:t>Nuclear Operations</w:t>
      </w:r>
      <w:r w:rsidRPr="00FD5BE4">
        <w:t xml:space="preserve"> Business Management System (BMS).</w:t>
      </w:r>
      <w:r w:rsidR="00B36A53">
        <w:t xml:space="preserve"> </w:t>
      </w:r>
      <w:r w:rsidRPr="00FD5BE4">
        <w:t xml:space="preserve">The head document of the BMS is the </w:t>
      </w:r>
      <w:r>
        <w:rPr>
          <w:i/>
        </w:rPr>
        <w:t>Nuclear</w:t>
      </w:r>
      <w:r w:rsidRPr="00FD5BE4">
        <w:rPr>
          <w:i/>
        </w:rPr>
        <w:t xml:space="preserve"> Operations Business Management System Manual,</w:t>
      </w:r>
      <w:r w:rsidRPr="00FD5BE4">
        <w:t xml:space="preserve"> and below this lies the range of manuals, procedures, instructions, and forms for all operations, maintenance, testing and inspection activities.</w:t>
      </w:r>
    </w:p>
    <w:tbl>
      <w:tblPr>
        <w:tblStyle w:val="GenericARPANSA"/>
        <w:tblW w:w="9639" w:type="dxa"/>
        <w:tblInd w:w="0" w:type="dxa"/>
        <w:shd w:val="clear" w:color="auto" w:fill="F3EAFA"/>
        <w:tblLook w:val="0480" w:firstRow="0" w:lastRow="0" w:firstColumn="1" w:lastColumn="0" w:noHBand="0" w:noVBand="1"/>
      </w:tblPr>
      <w:tblGrid>
        <w:gridCol w:w="9639"/>
      </w:tblGrid>
      <w:tr w:rsidR="007D1CB6" w14:paraId="68CACEB2" w14:textId="77777777" w:rsidTr="00FD7DD3">
        <w:tc>
          <w:tcPr>
            <w:tcW w:w="9639" w:type="dxa"/>
            <w:shd w:val="clear" w:color="auto" w:fill="F3EAFA"/>
          </w:tcPr>
          <w:p w14:paraId="4B17BD6D" w14:textId="31F54C2D" w:rsidR="007D1CB6" w:rsidRPr="008F08C7" w:rsidRDefault="007D1CB6" w:rsidP="00FD7DD3">
            <w:pPr>
              <w:ind w:left="734" w:hanging="425"/>
              <w:jc w:val="left"/>
              <w:rPr>
                <w:rStyle w:val="Normalbold"/>
                <w:b w:val="0"/>
                <w:i/>
              </w:rPr>
            </w:pPr>
            <w:r w:rsidRPr="0069737B">
              <w:rPr>
                <w:rStyle w:val="Normalbold"/>
                <w:b w:val="0"/>
                <w:i/>
              </w:rPr>
              <w:lastRenderedPageBreak/>
              <w:t>i</w:t>
            </w:r>
            <w:r>
              <w:rPr>
                <w:rStyle w:val="Normalbold"/>
                <w:b w:val="0"/>
                <w:i/>
              </w:rPr>
              <w:t>ii</w:t>
            </w:r>
            <w:r w:rsidRPr="0069737B">
              <w:rPr>
                <w:rStyle w:val="Normalbold"/>
                <w:b w:val="0"/>
                <w:i/>
              </w:rPr>
              <w:t>.</w:t>
            </w:r>
            <w:r w:rsidRPr="0069737B">
              <w:rPr>
                <w:rStyle w:val="Normalbold"/>
                <w:b w:val="0"/>
                <w:i/>
              </w:rPr>
              <w:tab/>
            </w:r>
            <w:r w:rsidRPr="007D1CB6">
              <w:rPr>
                <w:rStyle w:val="Normalbold"/>
                <w:b w:val="0"/>
                <w:i/>
              </w:rPr>
              <w:t>procedures are established for responding to anticipated operational occurrences and to accidents;</w:t>
            </w:r>
          </w:p>
        </w:tc>
      </w:tr>
    </w:tbl>
    <w:p w14:paraId="23121B02" w14:textId="7A475645" w:rsidR="00BC55F5" w:rsidRPr="00F2548F" w:rsidRDefault="00BC55F5" w:rsidP="007D1CB6">
      <w:pPr>
        <w:pStyle w:val="190list"/>
        <w:spacing w:before="120"/>
      </w:pPr>
      <w:r w:rsidRPr="00F2548F">
        <w:t xml:space="preserve">ARPANSA’s </w:t>
      </w:r>
      <w:r w:rsidRPr="00AB09EF">
        <w:rPr>
          <w:i/>
        </w:rPr>
        <w:t>Regulatory Assessment Principles</w:t>
      </w:r>
      <w:r w:rsidRPr="00F2548F">
        <w:t xml:space="preserve"> </w:t>
      </w:r>
      <w:r w:rsidR="009B57B6">
        <w:t xml:space="preserve">(now retired in anticipation of an </w:t>
      </w:r>
      <w:r w:rsidR="00C862EC">
        <w:t xml:space="preserve">upcoming </w:t>
      </w:r>
      <w:r w:rsidR="009B57B6">
        <w:t xml:space="preserve">revision) </w:t>
      </w:r>
      <w:r w:rsidR="005759E9">
        <w:t xml:space="preserve">and the </w:t>
      </w:r>
      <w:r w:rsidR="005759E9" w:rsidRPr="00AB09EF">
        <w:rPr>
          <w:i/>
        </w:rPr>
        <w:t>Regulatory Assessment Criteria for the Design of New Facilities</w:t>
      </w:r>
      <w:r w:rsidR="005759E9" w:rsidRPr="00C862EC">
        <w:rPr>
          <w:vertAlign w:val="superscript"/>
        </w:rPr>
        <w:footnoteReference w:id="37"/>
      </w:r>
      <w:r w:rsidR="005759E9" w:rsidRPr="00C862EC">
        <w:rPr>
          <w:vertAlign w:val="superscript"/>
        </w:rPr>
        <w:t xml:space="preserve"> </w:t>
      </w:r>
      <w:r w:rsidRPr="00F2548F">
        <w:t>set the expectation</w:t>
      </w:r>
      <w:r w:rsidR="005759E9">
        <w:t>s</w:t>
      </w:r>
      <w:r w:rsidRPr="00F2548F">
        <w:t xml:space="preserve"> on how an applicant should demonstrate that limits of normal operation and anticipated operational occurrences and safety systems settings, including the minimum plant configuration</w:t>
      </w:r>
      <w:r w:rsidR="00F2548F" w:rsidRPr="00F2548F">
        <w:t>,</w:t>
      </w:r>
      <w:r w:rsidRPr="00F2548F">
        <w:t xml:space="preserve"> are derived from safety analyses.</w:t>
      </w:r>
      <w:r w:rsidR="00B36A53">
        <w:t xml:space="preserve"> </w:t>
      </w:r>
      <w:r w:rsidRPr="00F2548F">
        <w:t xml:space="preserve">The applicant is expected to demonstrate that the operation of the reactor will be constrained by the safety settings. </w:t>
      </w:r>
    </w:p>
    <w:p w14:paraId="08A2E1CA" w14:textId="788C0805" w:rsidR="00BC55F5" w:rsidRPr="00F2548F" w:rsidRDefault="00BC55F5" w:rsidP="000B3214">
      <w:pPr>
        <w:pStyle w:val="190list"/>
      </w:pPr>
      <w:r w:rsidRPr="00F2548F">
        <w:t>The applicant must also demonstrate how, at defence in depth level 4, it is possible for operators to diagnose the status of the reactor and to make accident management arrangements.</w:t>
      </w:r>
      <w:r w:rsidR="00B36A53">
        <w:t xml:space="preserve"> </w:t>
      </w:r>
      <w:r w:rsidRPr="00F2548F">
        <w:t>Accident management arrangements may include maintaining or restoring at least one barrier for the confinement of radioactive material and should be based on the outcomes of the safety analysis.</w:t>
      </w:r>
      <w:r w:rsidR="00B36A53">
        <w:t xml:space="preserve"> </w:t>
      </w:r>
      <w:r w:rsidRPr="00F2548F">
        <w:t>The instrumentation important for monitoring the status of the reactor and to undertake effective accident management arrangements is regularly inspected, tested and maintained.</w:t>
      </w:r>
    </w:p>
    <w:p w14:paraId="6BBCAF7D" w14:textId="77777777" w:rsidR="00BC55F5" w:rsidRPr="00FD5BE4" w:rsidRDefault="00BC55F5" w:rsidP="000B3214">
      <w:pPr>
        <w:pStyle w:val="190list"/>
      </w:pPr>
      <w:r w:rsidRPr="00FD5BE4">
        <w:t>As with other plans and arrangements that form part of the application, the measures relating to the procedures for responding to anticipated operational occurrences and accidents become mandatory upon issue of licence</w:t>
      </w:r>
      <w:r>
        <w:t>.</w:t>
      </w:r>
    </w:p>
    <w:p w14:paraId="1FA9126D" w14:textId="784446B2" w:rsidR="003A3037" w:rsidRDefault="00BC55F5" w:rsidP="003A3037">
      <w:pPr>
        <w:pStyle w:val="190list"/>
      </w:pPr>
      <w:r>
        <w:t>T</w:t>
      </w:r>
      <w:r w:rsidRPr="00FD5BE4">
        <w:t xml:space="preserve">he </w:t>
      </w:r>
      <w:r>
        <w:t>Nuclear Operations</w:t>
      </w:r>
      <w:r w:rsidRPr="00FD5BE4">
        <w:t xml:space="preserve"> BMS</w:t>
      </w:r>
      <w:r>
        <w:t xml:space="preserve"> has 17 </w:t>
      </w:r>
      <w:r w:rsidRPr="00FD5BE4">
        <w:t xml:space="preserve">procedures dealing with arrangements for </w:t>
      </w:r>
      <w:r>
        <w:t>symptom-based</w:t>
      </w:r>
      <w:r w:rsidRPr="00FD5BE4">
        <w:t xml:space="preserve"> incidents/emergencies ranging from minor abnormal occurrences to major events</w:t>
      </w:r>
      <w:r>
        <w:t>,</w:t>
      </w:r>
      <w:r w:rsidRPr="00FD5BE4">
        <w:t xml:space="preserve"> including reactor transients, water leaks and radiation events such as airborne releases or the failure of fuel cladding.</w:t>
      </w:r>
      <w:r w:rsidR="00B36A53">
        <w:t xml:space="preserve"> </w:t>
      </w:r>
      <w:r w:rsidRPr="00FD5BE4">
        <w:t>These procedures provide guidance on actions which should be taken within the OPAL operations environment and the circumstances under which a wider ANSTO site response is required.</w:t>
      </w:r>
    </w:p>
    <w:tbl>
      <w:tblPr>
        <w:tblStyle w:val="GenericARPANSA"/>
        <w:tblW w:w="9639" w:type="dxa"/>
        <w:tblInd w:w="0" w:type="dxa"/>
        <w:shd w:val="clear" w:color="auto" w:fill="F3EAFA"/>
        <w:tblLook w:val="0480" w:firstRow="0" w:lastRow="0" w:firstColumn="1" w:lastColumn="0" w:noHBand="0" w:noVBand="1"/>
      </w:tblPr>
      <w:tblGrid>
        <w:gridCol w:w="9639"/>
      </w:tblGrid>
      <w:tr w:rsidR="003A3037" w14:paraId="64873D32" w14:textId="77777777" w:rsidTr="00FD7DD3">
        <w:tc>
          <w:tcPr>
            <w:tcW w:w="9639" w:type="dxa"/>
            <w:shd w:val="clear" w:color="auto" w:fill="F3EAFA"/>
          </w:tcPr>
          <w:p w14:paraId="3434B16C" w14:textId="5790F54A" w:rsidR="003A3037" w:rsidRPr="008F08C7" w:rsidRDefault="003A3037" w:rsidP="00FD7DD3">
            <w:pPr>
              <w:ind w:left="734" w:hanging="425"/>
              <w:jc w:val="left"/>
              <w:rPr>
                <w:rStyle w:val="Normalbold"/>
                <w:b w:val="0"/>
                <w:i/>
              </w:rPr>
            </w:pPr>
            <w:r>
              <w:rPr>
                <w:rStyle w:val="Normalbold"/>
                <w:b w:val="0"/>
                <w:i/>
              </w:rPr>
              <w:t>i</w:t>
            </w:r>
            <w:r w:rsidR="00FC0A5E">
              <w:rPr>
                <w:rStyle w:val="Normalbold"/>
                <w:b w:val="0"/>
                <w:i/>
              </w:rPr>
              <w:t>v</w:t>
            </w:r>
            <w:r w:rsidRPr="0069737B">
              <w:rPr>
                <w:rStyle w:val="Normalbold"/>
                <w:b w:val="0"/>
                <w:i/>
              </w:rPr>
              <w:t>.</w:t>
            </w:r>
            <w:r w:rsidRPr="0069737B">
              <w:rPr>
                <w:rStyle w:val="Normalbold"/>
                <w:b w:val="0"/>
                <w:i/>
              </w:rPr>
              <w:tab/>
            </w:r>
            <w:r w:rsidRPr="003A3037">
              <w:rPr>
                <w:rStyle w:val="Normalbold"/>
                <w:b w:val="0"/>
                <w:i/>
              </w:rPr>
              <w:t>necessary engineering and technical support in all safety-related fields is available throughout the lifetime of a nuclear installation;</w:t>
            </w:r>
          </w:p>
        </w:tc>
      </w:tr>
    </w:tbl>
    <w:p w14:paraId="7AF0E787" w14:textId="367247BA" w:rsidR="00BC55F5" w:rsidRPr="00FD5BE4" w:rsidRDefault="00BC55F5" w:rsidP="003A3037">
      <w:pPr>
        <w:pStyle w:val="190list"/>
        <w:spacing w:before="120"/>
      </w:pPr>
      <w:r w:rsidRPr="00FD5BE4">
        <w:t xml:space="preserve">In determining whether to issue a licence to an applicant, the </w:t>
      </w:r>
      <w:r>
        <w:t>Regulations</w:t>
      </w:r>
      <w:r w:rsidRPr="00FD5BE4">
        <w:t xml:space="preserve"> require ARPANSA to consider whether the applicant has </w:t>
      </w:r>
      <w:r>
        <w:t xml:space="preserve">the </w:t>
      </w:r>
      <w:r w:rsidRPr="00FD5BE4">
        <w:t xml:space="preserve">capacity </w:t>
      </w:r>
      <w:r>
        <w:t xml:space="preserve">to </w:t>
      </w:r>
      <w:r w:rsidRPr="00FD5BE4">
        <w:t>comply</w:t>
      </w:r>
      <w:r>
        <w:t xml:space="preserve"> </w:t>
      </w:r>
      <w:r w:rsidRPr="00FD5BE4">
        <w:t xml:space="preserve">with the </w:t>
      </w:r>
      <w:r>
        <w:t>Regulations</w:t>
      </w:r>
      <w:r w:rsidRPr="00FD5BE4">
        <w:t xml:space="preserve"> and </w:t>
      </w:r>
      <w:r>
        <w:t xml:space="preserve">any </w:t>
      </w:r>
      <w:r w:rsidRPr="00FD5BE4">
        <w:t>licence condition.</w:t>
      </w:r>
      <w:r w:rsidR="00B36A53">
        <w:t xml:space="preserve"> </w:t>
      </w:r>
      <w:r>
        <w:t>ARP</w:t>
      </w:r>
      <w:r w:rsidRPr="00741FA4">
        <w:t xml:space="preserve">ANSA’s </w:t>
      </w:r>
      <w:r w:rsidR="005759E9" w:rsidRPr="00741FA4">
        <w:rPr>
          <w:i/>
        </w:rPr>
        <w:t>Siting of Controlled Facilities</w:t>
      </w:r>
      <w:r w:rsidR="006B37D1" w:rsidRPr="00741FA4">
        <w:rPr>
          <w:i/>
        </w:rPr>
        <w:t xml:space="preserve"> </w:t>
      </w:r>
      <w:r w:rsidRPr="00741FA4">
        <w:t>set expectations on what an applicant should consider when developing appropriate managerial structure and resources.</w:t>
      </w:r>
      <w:r w:rsidR="00B36A53">
        <w:t xml:space="preserve"> </w:t>
      </w:r>
      <w:r w:rsidRPr="00741FA4">
        <w:t xml:space="preserve">The regulatory guideline on </w:t>
      </w:r>
      <w:r w:rsidRPr="00741FA4">
        <w:rPr>
          <w:i/>
        </w:rPr>
        <w:t>Plans and Arrangements</w:t>
      </w:r>
      <w:r w:rsidRPr="00741FA4">
        <w:t xml:space="preserve"> provides guidance on how to demonstrate effective control and management of safety under normal operation, incidents, and accident conditions.</w:t>
      </w:r>
      <w:r w:rsidR="00B36A53">
        <w:t xml:space="preserve"> </w:t>
      </w:r>
      <w:r w:rsidRPr="00741FA4">
        <w:t xml:space="preserve">To demonstrate this, the licence holder should show the availability of all necessary </w:t>
      </w:r>
      <w:r w:rsidRPr="00FD5BE4">
        <w:t>engineering and technical support resources in all safety-related fields</w:t>
      </w:r>
      <w:r>
        <w:t>.</w:t>
      </w:r>
    </w:p>
    <w:p w14:paraId="06EF32D6" w14:textId="1A7A0DB8" w:rsidR="00BC55F5" w:rsidRDefault="00BC55F5" w:rsidP="000B3214">
      <w:pPr>
        <w:pStyle w:val="190list"/>
      </w:pPr>
      <w:r w:rsidRPr="000B3214">
        <w:t>ANSTO has a corporate plan which identifies the development and retention of technical and engineering skills in its human resources, which will support safe operation of all its facilities.</w:t>
      </w:r>
      <w:r w:rsidR="00B36A53">
        <w:t xml:space="preserve"> </w:t>
      </w:r>
      <w:r w:rsidRPr="000B3214">
        <w:t xml:space="preserve">There is a human resource plan for Nuclear Operations, which is reviewed annually. </w:t>
      </w:r>
    </w:p>
    <w:tbl>
      <w:tblPr>
        <w:tblStyle w:val="GenericARPANSA"/>
        <w:tblW w:w="9639" w:type="dxa"/>
        <w:tblInd w:w="0" w:type="dxa"/>
        <w:shd w:val="clear" w:color="auto" w:fill="F3EAFA"/>
        <w:tblLook w:val="0480" w:firstRow="0" w:lastRow="0" w:firstColumn="1" w:lastColumn="0" w:noHBand="0" w:noVBand="1"/>
      </w:tblPr>
      <w:tblGrid>
        <w:gridCol w:w="9639"/>
      </w:tblGrid>
      <w:tr w:rsidR="00A10A12" w14:paraId="00AA301C" w14:textId="77777777" w:rsidTr="00FD7DD3">
        <w:tc>
          <w:tcPr>
            <w:tcW w:w="9639" w:type="dxa"/>
            <w:shd w:val="clear" w:color="auto" w:fill="F3EAFA"/>
          </w:tcPr>
          <w:p w14:paraId="5780BB9C" w14:textId="334D49D4" w:rsidR="00A10A12" w:rsidRPr="008F08C7" w:rsidRDefault="00A10A12" w:rsidP="00FD7DD3">
            <w:pPr>
              <w:ind w:left="734" w:hanging="425"/>
              <w:jc w:val="left"/>
              <w:rPr>
                <w:rStyle w:val="Normalbold"/>
                <w:b w:val="0"/>
                <w:i/>
              </w:rPr>
            </w:pPr>
            <w:r>
              <w:rPr>
                <w:rStyle w:val="Normalbold"/>
                <w:b w:val="0"/>
                <w:i/>
              </w:rPr>
              <w:t>v</w:t>
            </w:r>
            <w:r w:rsidRPr="0069737B">
              <w:rPr>
                <w:rStyle w:val="Normalbold"/>
                <w:b w:val="0"/>
                <w:i/>
              </w:rPr>
              <w:t>.</w:t>
            </w:r>
            <w:r w:rsidRPr="0069737B">
              <w:rPr>
                <w:rStyle w:val="Normalbold"/>
                <w:b w:val="0"/>
                <w:i/>
              </w:rPr>
              <w:tab/>
            </w:r>
            <w:r w:rsidRPr="00A10A12">
              <w:rPr>
                <w:rStyle w:val="Normalbold"/>
                <w:b w:val="0"/>
                <w:i/>
              </w:rPr>
              <w:t>incidents significant to safety are reported in a timely manner by the holder of the relevant licence to the regulatory body;</w:t>
            </w:r>
          </w:p>
        </w:tc>
      </w:tr>
    </w:tbl>
    <w:p w14:paraId="790F74D6" w14:textId="21AF9AD2" w:rsidR="00BC55F5" w:rsidRPr="003A5451" w:rsidRDefault="00BC55F5" w:rsidP="00A10A12">
      <w:pPr>
        <w:pStyle w:val="190list"/>
        <w:spacing w:before="120"/>
      </w:pPr>
      <w:r>
        <w:t>T</w:t>
      </w:r>
      <w:r w:rsidRPr="00FD5BE4">
        <w:t>he Regulations requires every licence holder to report any accident to ARPANSA within 24 hours of its occurrence.</w:t>
      </w:r>
      <w:r w:rsidR="00B36A53">
        <w:t xml:space="preserve"> </w:t>
      </w:r>
      <w:r>
        <w:t>G</w:t>
      </w:r>
      <w:r w:rsidRPr="003A5451">
        <w:t>uidance on reporting accidents is provided in the ARPANSA website</w:t>
      </w:r>
      <w:r w:rsidRPr="00FD5BE4">
        <w:rPr>
          <w:rStyle w:val="FootnoteReference"/>
          <w:color w:val="000000"/>
        </w:rPr>
        <w:footnoteReference w:id="38"/>
      </w:r>
      <w:r w:rsidR="006B37D1">
        <w:t xml:space="preserve">, including </w:t>
      </w:r>
      <w:r w:rsidR="006B37D1">
        <w:lastRenderedPageBreak/>
        <w:t>what constitutes a reportable accident.</w:t>
      </w:r>
      <w:r w:rsidR="00B36A53">
        <w:t xml:space="preserve"> </w:t>
      </w:r>
      <w:r w:rsidRPr="003A5451">
        <w:t>In addition, a licence holder is required to report</w:t>
      </w:r>
      <w:r>
        <w:t xml:space="preserve"> </w:t>
      </w:r>
      <w:r w:rsidRPr="00FD5BE4">
        <w:t>the breach of any licence condition to ARPANSA within a reasonable time after the breach is first discovered</w:t>
      </w:r>
      <w:r>
        <w:t>.</w:t>
      </w:r>
    </w:p>
    <w:p w14:paraId="5532B443" w14:textId="0A234C19" w:rsidR="00BA03FB" w:rsidRDefault="00BC55F5" w:rsidP="00BA03FB">
      <w:pPr>
        <w:pStyle w:val="190list"/>
      </w:pPr>
      <w:r w:rsidRPr="00FD5BE4">
        <w:t xml:space="preserve">Under the </w:t>
      </w:r>
      <w:r>
        <w:t>Nuclear Operations</w:t>
      </w:r>
      <w:r w:rsidRPr="00FD5BE4">
        <w:t xml:space="preserve"> </w:t>
      </w:r>
      <w:r>
        <w:t>BMS</w:t>
      </w:r>
      <w:r w:rsidRPr="00FD5BE4">
        <w:t>, ANSTO implements a process for identifying, recording, analysing and reporting abnormal occurrences and accidents to ARPANSA within appropriate timeframes.</w:t>
      </w:r>
      <w:r w:rsidR="00B36A53">
        <w:t xml:space="preserve"> </w:t>
      </w:r>
    </w:p>
    <w:tbl>
      <w:tblPr>
        <w:tblStyle w:val="GenericARPANSA"/>
        <w:tblW w:w="9639" w:type="dxa"/>
        <w:tblInd w:w="0" w:type="dxa"/>
        <w:shd w:val="clear" w:color="auto" w:fill="F3EAFA"/>
        <w:tblLook w:val="0480" w:firstRow="0" w:lastRow="0" w:firstColumn="1" w:lastColumn="0" w:noHBand="0" w:noVBand="1"/>
      </w:tblPr>
      <w:tblGrid>
        <w:gridCol w:w="9639"/>
      </w:tblGrid>
      <w:tr w:rsidR="00BA03FB" w14:paraId="79ECA77D" w14:textId="77777777" w:rsidTr="00FD7DD3">
        <w:tc>
          <w:tcPr>
            <w:tcW w:w="9639" w:type="dxa"/>
            <w:shd w:val="clear" w:color="auto" w:fill="F3EAFA"/>
          </w:tcPr>
          <w:p w14:paraId="153A5572" w14:textId="654EE5D8" w:rsidR="00BA03FB" w:rsidRPr="008F08C7" w:rsidRDefault="00BA03FB" w:rsidP="00FD7DD3">
            <w:pPr>
              <w:ind w:left="734" w:hanging="425"/>
              <w:jc w:val="left"/>
              <w:rPr>
                <w:rStyle w:val="Normalbold"/>
                <w:b w:val="0"/>
                <w:i/>
              </w:rPr>
            </w:pPr>
            <w:r>
              <w:rPr>
                <w:rStyle w:val="Normalbold"/>
                <w:b w:val="0"/>
                <w:i/>
              </w:rPr>
              <w:t>vi</w:t>
            </w:r>
            <w:r w:rsidRPr="0069737B">
              <w:rPr>
                <w:rStyle w:val="Normalbold"/>
                <w:b w:val="0"/>
                <w:i/>
              </w:rPr>
              <w:t>.</w:t>
            </w:r>
            <w:r w:rsidRPr="0069737B">
              <w:rPr>
                <w:rStyle w:val="Normalbold"/>
                <w:b w:val="0"/>
                <w:i/>
              </w:rPr>
              <w:tab/>
            </w:r>
            <w:r w:rsidRPr="00BA03FB">
              <w:rPr>
                <w:rStyle w:val="Normalbold"/>
                <w:b w:val="0"/>
                <w:i/>
              </w:rPr>
              <w:t>programmes to collect and analyse operating experience are established, the results obtained and the conclusions drawn are acted upon and that existing mechanisms are used to share important experience with international bodies and with other operating organizations and regulatory bodies;</w:t>
            </w:r>
          </w:p>
        </w:tc>
      </w:tr>
    </w:tbl>
    <w:p w14:paraId="706A40D9" w14:textId="0DC98803" w:rsidR="00BC55F5" w:rsidRPr="00FD5BE4" w:rsidRDefault="00AF0388" w:rsidP="00BA03FB">
      <w:pPr>
        <w:pStyle w:val="190list"/>
        <w:spacing w:before="120"/>
      </w:pPr>
      <w:r>
        <w:t xml:space="preserve">ARPANSA’s Regulatory Guide </w:t>
      </w:r>
      <w:r w:rsidRPr="00AB09EF">
        <w:rPr>
          <w:i/>
        </w:rPr>
        <w:t>Plans &amp; Arrangements for managing safety</w:t>
      </w:r>
      <w:r>
        <w:t xml:space="preserve"> </w:t>
      </w:r>
      <w:r w:rsidR="00BC55F5">
        <w:t xml:space="preserve">set expectations for an operating organisation to have mechanisms </w:t>
      </w:r>
      <w:r w:rsidR="00BC55F5" w:rsidRPr="00FD5BE4">
        <w:t>:</w:t>
      </w:r>
    </w:p>
    <w:p w14:paraId="3746BB25" w14:textId="4588E7A6" w:rsidR="00BC55F5" w:rsidRPr="000B3214" w:rsidRDefault="00BC55F5" w:rsidP="00A22E9E">
      <w:pPr>
        <w:pStyle w:val="ListParagraph"/>
        <w:numPr>
          <w:ilvl w:val="0"/>
          <w:numId w:val="37"/>
        </w:numPr>
        <w:ind w:left="1701" w:hanging="283"/>
        <w:rPr>
          <w:color w:val="000000"/>
        </w:rPr>
      </w:pPr>
      <w:r>
        <w:t xml:space="preserve">for </w:t>
      </w:r>
      <w:r w:rsidRPr="00FD5BE4">
        <w:t xml:space="preserve">assessment, verification and feedback, including </w:t>
      </w:r>
      <w:r>
        <w:t xml:space="preserve">through utilisation of </w:t>
      </w:r>
      <w:r w:rsidRPr="00FD5BE4">
        <w:t>independent reviews</w:t>
      </w:r>
      <w:r w:rsidR="00B36A53">
        <w:t xml:space="preserve"> </w:t>
      </w:r>
    </w:p>
    <w:p w14:paraId="2F864D17" w14:textId="302BA4D8" w:rsidR="00BC55F5" w:rsidRPr="000B3214" w:rsidRDefault="00BC55F5" w:rsidP="00A22E9E">
      <w:pPr>
        <w:pStyle w:val="ListParagraph"/>
        <w:numPr>
          <w:ilvl w:val="0"/>
          <w:numId w:val="37"/>
        </w:numPr>
        <w:ind w:left="1701" w:hanging="283"/>
        <w:rPr>
          <w:color w:val="000000"/>
        </w:rPr>
      </w:pPr>
      <w:r>
        <w:t>to re</w:t>
      </w:r>
      <w:r w:rsidRPr="00FD5BE4">
        <w:t xml:space="preserve">view and </w:t>
      </w:r>
      <w:r>
        <w:t xml:space="preserve">audit </w:t>
      </w:r>
      <w:r w:rsidRPr="00FD5BE4">
        <w:t xml:space="preserve">all activities important to safety and </w:t>
      </w:r>
      <w:r>
        <w:t xml:space="preserve">establish </w:t>
      </w:r>
      <w:r w:rsidRPr="00FD5BE4">
        <w:t>an ongoing safety assessment program</w:t>
      </w:r>
      <w:r w:rsidR="00B36A53">
        <w:t xml:space="preserve"> </w:t>
      </w:r>
    </w:p>
    <w:p w14:paraId="4E482C3E" w14:textId="155FCEA2" w:rsidR="00BC55F5" w:rsidRPr="000B3214" w:rsidRDefault="00BC55F5" w:rsidP="00A22E9E">
      <w:pPr>
        <w:pStyle w:val="ListParagraph"/>
        <w:numPr>
          <w:ilvl w:val="0"/>
          <w:numId w:val="37"/>
        </w:numPr>
        <w:ind w:left="1701" w:hanging="283"/>
        <w:rPr>
          <w:color w:val="000000"/>
        </w:rPr>
      </w:pPr>
      <w:r>
        <w:t>to learn l</w:t>
      </w:r>
      <w:r w:rsidRPr="00FD5BE4">
        <w:t>essons from operating experience and safety research</w:t>
      </w:r>
      <w:r>
        <w:t xml:space="preserve"> from </w:t>
      </w:r>
      <w:r w:rsidRPr="00FD5BE4">
        <w:t xml:space="preserve">within the organisation and internationally </w:t>
      </w:r>
    </w:p>
    <w:p w14:paraId="41D62BE7" w14:textId="77777777" w:rsidR="00BC55F5" w:rsidRPr="000B3214" w:rsidRDefault="00BC55F5" w:rsidP="00A22E9E">
      <w:pPr>
        <w:pStyle w:val="ListParagraph"/>
        <w:numPr>
          <w:ilvl w:val="0"/>
          <w:numId w:val="37"/>
        </w:numPr>
        <w:ind w:left="1701" w:hanging="283"/>
        <w:rPr>
          <w:color w:val="000000"/>
        </w:rPr>
      </w:pPr>
      <w:bookmarkStart w:id="144" w:name="_Hlt519498782"/>
      <w:bookmarkEnd w:id="144"/>
      <w:r>
        <w:t xml:space="preserve">to analyse </w:t>
      </w:r>
      <w:r w:rsidRPr="00FD5BE4">
        <w:t xml:space="preserve">abnormal occurrences, incidents and safety performance of similar </w:t>
      </w:r>
      <w:r>
        <w:t>reactor</w:t>
      </w:r>
      <w:r w:rsidRPr="00FD5BE4">
        <w:t>s worldwide</w:t>
      </w:r>
    </w:p>
    <w:p w14:paraId="505F0D8A" w14:textId="1786E05D" w:rsidR="00BC55F5" w:rsidRPr="00741FA4" w:rsidRDefault="00BC55F5" w:rsidP="00A22E9E">
      <w:pPr>
        <w:pStyle w:val="ListParagraph"/>
        <w:numPr>
          <w:ilvl w:val="0"/>
          <w:numId w:val="37"/>
        </w:numPr>
        <w:spacing w:after="120"/>
        <w:ind w:left="1702" w:hanging="284"/>
      </w:pPr>
      <w:r>
        <w:t xml:space="preserve">to ensure that </w:t>
      </w:r>
      <w:r w:rsidRPr="00FD5BE4">
        <w:t>results of periodic testing, maintenance and modifications, and emergency preparedness exerc</w:t>
      </w:r>
      <w:r w:rsidRPr="00741FA4">
        <w:t>ises are fed back into safety analyses, design modifications, procedures and quality assurance systems</w:t>
      </w:r>
    </w:p>
    <w:p w14:paraId="6997520E" w14:textId="2C5A1C83" w:rsidR="00BC55F5" w:rsidRPr="006B37D1" w:rsidRDefault="006B37D1" w:rsidP="000B3214">
      <w:pPr>
        <w:pStyle w:val="190list"/>
      </w:pPr>
      <w:r w:rsidRPr="006B37D1">
        <w:t>ANSTO uses a Governance Risk and Compliance (GRC) system for incident management.</w:t>
      </w:r>
      <w:r w:rsidR="00B36A53">
        <w:t xml:space="preserve"> </w:t>
      </w:r>
      <w:r w:rsidRPr="006B37D1">
        <w:t>The system is used to manage and record all incidents, including abnormal occurrences, accidents and near misses.</w:t>
      </w:r>
      <w:r w:rsidR="00B36A53">
        <w:t xml:space="preserve"> </w:t>
      </w:r>
      <w:r w:rsidRPr="006B37D1">
        <w:t>The system is also used to detail the investigations and analyses related to those events.</w:t>
      </w:r>
      <w:r w:rsidR="00B36A53">
        <w:t xml:space="preserve"> </w:t>
      </w:r>
      <w:r w:rsidRPr="006B37D1">
        <w:t xml:space="preserve">ANSTO is required to report to ARPANSA within 24 hours all events at (or </w:t>
      </w:r>
      <w:r w:rsidR="00764B09">
        <w:t>potentially</w:t>
      </w:r>
      <w:r w:rsidR="00764B09" w:rsidRPr="006B37D1">
        <w:t xml:space="preserve"> </w:t>
      </w:r>
      <w:r w:rsidRPr="006B37D1">
        <w:t>at) INES Level 2 and above.</w:t>
      </w:r>
      <w:r w:rsidR="00B36A53">
        <w:t xml:space="preserve"> </w:t>
      </w:r>
      <w:r w:rsidRPr="006B37D1">
        <w:t>However, ANSTO also voluntarily sends quarterly reports to ARPANSA on all nuclear safety-related events at INES level 1.</w:t>
      </w:r>
      <w:r w:rsidR="00B36A53">
        <w:t xml:space="preserve"> </w:t>
      </w:r>
      <w:r w:rsidRPr="006B37D1">
        <w:t>Australia supports the IAEA Incident Reporting System for Research Reactors (IRSRR).</w:t>
      </w:r>
      <w:r w:rsidR="00B36A53">
        <w:t xml:space="preserve"> </w:t>
      </w:r>
      <w:r w:rsidRPr="006B37D1">
        <w:t>Programs for corrective actions and learning lessons from incidents are integral to ANSTO’s Event Management System.</w:t>
      </w:r>
    </w:p>
    <w:p w14:paraId="39A7595C" w14:textId="5F380CC6" w:rsidR="00E363CB" w:rsidRDefault="00BC55F5" w:rsidP="00E363CB">
      <w:pPr>
        <w:pStyle w:val="190list"/>
      </w:pPr>
      <w:r w:rsidRPr="006B37D1">
        <w:t>ANSTO has, since 2006, taken part in a collaboration agreement with operators of the SAFARI-1 reactor (South Africa) and High Flux Reactor (HFR - The Netherlands). The aim of the agreement is to work together to increase safety and reliability through cooperation as OPAL, SAFARI-1 and HFR are similar reactors.</w:t>
      </w:r>
      <w:r w:rsidR="00B36A53">
        <w:t xml:space="preserve"> </w:t>
      </w:r>
      <w:r w:rsidRPr="006B37D1">
        <w:t xml:space="preserve">Meetings are held every 12 to 18 months to exchange ideas, experiences and good practices. </w:t>
      </w:r>
    </w:p>
    <w:tbl>
      <w:tblPr>
        <w:tblStyle w:val="GenericARPANSA"/>
        <w:tblW w:w="9639" w:type="dxa"/>
        <w:tblInd w:w="0" w:type="dxa"/>
        <w:shd w:val="clear" w:color="auto" w:fill="F3EAFA"/>
        <w:tblLook w:val="0480" w:firstRow="0" w:lastRow="0" w:firstColumn="1" w:lastColumn="0" w:noHBand="0" w:noVBand="1"/>
      </w:tblPr>
      <w:tblGrid>
        <w:gridCol w:w="9639"/>
      </w:tblGrid>
      <w:tr w:rsidR="00E363CB" w14:paraId="1D04F710" w14:textId="77777777" w:rsidTr="00FD7DD3">
        <w:tc>
          <w:tcPr>
            <w:tcW w:w="9639" w:type="dxa"/>
            <w:shd w:val="clear" w:color="auto" w:fill="F3EAFA"/>
          </w:tcPr>
          <w:p w14:paraId="641BE3F4" w14:textId="1E3971AF" w:rsidR="00E363CB" w:rsidRPr="008F08C7" w:rsidRDefault="00E363CB" w:rsidP="00FD7DD3">
            <w:pPr>
              <w:ind w:left="734" w:hanging="425"/>
              <w:jc w:val="left"/>
              <w:rPr>
                <w:rStyle w:val="Normalbold"/>
                <w:b w:val="0"/>
                <w:i/>
              </w:rPr>
            </w:pPr>
            <w:r>
              <w:rPr>
                <w:rStyle w:val="Normalbold"/>
                <w:b w:val="0"/>
                <w:i/>
              </w:rPr>
              <w:t>vii</w:t>
            </w:r>
            <w:r w:rsidRPr="0069737B">
              <w:rPr>
                <w:rStyle w:val="Normalbold"/>
                <w:b w:val="0"/>
                <w:i/>
              </w:rPr>
              <w:t>.</w:t>
            </w:r>
            <w:r w:rsidRPr="0069737B">
              <w:rPr>
                <w:rStyle w:val="Normalbold"/>
                <w:b w:val="0"/>
                <w:i/>
              </w:rPr>
              <w:tab/>
            </w:r>
            <w:r w:rsidRPr="00E363CB">
              <w:rPr>
                <w:rStyle w:val="Normalbold"/>
                <w:b w:val="0"/>
                <w:i/>
              </w:rPr>
              <w:t>the generation of radioactive waste resulting from the operation of a nuclear installation is kept to the minimum practicable for the process concerned, both in activity and in volume, and any necessary treatment and storage of spent fuel and waste directly related to the operation and on the same site as that of the nuclear installation take into consideration conditioning and disposal.</w:t>
            </w:r>
          </w:p>
        </w:tc>
      </w:tr>
    </w:tbl>
    <w:p w14:paraId="7DB4D7F3" w14:textId="77777777" w:rsidR="00BC55F5" w:rsidRPr="00FD5BE4" w:rsidRDefault="00BC55F5" w:rsidP="00E363CB">
      <w:pPr>
        <w:pStyle w:val="190list"/>
        <w:spacing w:before="120"/>
      </w:pPr>
      <w:r w:rsidRPr="00374B8A">
        <w:t>In relation to</w:t>
      </w:r>
      <w:r>
        <w:t xml:space="preserve"> the </w:t>
      </w:r>
      <w:r w:rsidRPr="00FD5BE4">
        <w:t xml:space="preserve">handling, storage, transport, discharge and disposal of any radioactive waste attributable to </w:t>
      </w:r>
      <w:r>
        <w:t>a nuclear reactor,</w:t>
      </w:r>
      <w:r w:rsidRPr="00FD5BE4">
        <w:t xml:space="preserve"> ARPANSA’s </w:t>
      </w:r>
      <w:r w:rsidRPr="00426EC8">
        <w:t>guidelines</w:t>
      </w:r>
      <w:r>
        <w:t xml:space="preserve"> set expectations that</w:t>
      </w:r>
      <w:r w:rsidRPr="00FD5BE4">
        <w:t>:</w:t>
      </w:r>
    </w:p>
    <w:p w14:paraId="1DCD8DE0" w14:textId="1804A76E" w:rsidR="00BC55F5" w:rsidRPr="00FD5BE4" w:rsidRDefault="00BC55F5" w:rsidP="00A22E9E">
      <w:pPr>
        <w:pStyle w:val="ListParagraph"/>
        <w:numPr>
          <w:ilvl w:val="0"/>
          <w:numId w:val="38"/>
        </w:numPr>
        <w:ind w:left="1701" w:hanging="283"/>
      </w:pPr>
      <w:r w:rsidRPr="00FD5BE4">
        <w:t>suitable provisions, including waste management facilities, must exist for radioactive waste arising from operations</w:t>
      </w:r>
    </w:p>
    <w:p w14:paraId="71C882F1" w14:textId="0597F8A3" w:rsidR="00BC55F5" w:rsidRPr="00FD5BE4" w:rsidRDefault="00BC55F5" w:rsidP="00A22E9E">
      <w:pPr>
        <w:pStyle w:val="ListParagraph"/>
        <w:numPr>
          <w:ilvl w:val="0"/>
          <w:numId w:val="38"/>
        </w:numPr>
        <w:ind w:left="1701" w:hanging="283"/>
      </w:pPr>
      <w:r w:rsidRPr="00FD5BE4">
        <w:lastRenderedPageBreak/>
        <w:t>where radioactive waste is stored prior to being discharged or disposed of, there are to be suitable provisions for its interim containment</w:t>
      </w:r>
    </w:p>
    <w:p w14:paraId="34545D13" w14:textId="322A383E" w:rsidR="00BC55F5" w:rsidRPr="00FD5BE4" w:rsidRDefault="00BC55F5" w:rsidP="00A22E9E">
      <w:pPr>
        <w:pStyle w:val="ListParagraph"/>
        <w:numPr>
          <w:ilvl w:val="0"/>
          <w:numId w:val="38"/>
        </w:numPr>
        <w:ind w:left="1701" w:hanging="283"/>
      </w:pPr>
      <w:r w:rsidRPr="00FD5BE4">
        <w:t>handling facilities for radioactive waste are to be sufficiently flexible to cope with faulty containers, and radioactive waste of non-standard physical or chemical composition</w:t>
      </w:r>
    </w:p>
    <w:p w14:paraId="23836FC1" w14:textId="18BC70C0" w:rsidR="00BC55F5" w:rsidRPr="00FD5BE4" w:rsidRDefault="00BC55F5" w:rsidP="00A22E9E">
      <w:pPr>
        <w:pStyle w:val="ListParagraph"/>
        <w:numPr>
          <w:ilvl w:val="0"/>
          <w:numId w:val="38"/>
        </w:numPr>
        <w:ind w:left="1701" w:hanging="283"/>
      </w:pPr>
      <w:r w:rsidRPr="00FD5BE4">
        <w:t>the form, locations and quantities of any radioactive waste or discharges, are to be specified, monitored and recorded</w:t>
      </w:r>
    </w:p>
    <w:p w14:paraId="04630E64" w14:textId="103E4181" w:rsidR="00BC55F5" w:rsidRPr="00FD5BE4" w:rsidRDefault="00BC55F5" w:rsidP="00A22E9E">
      <w:pPr>
        <w:pStyle w:val="ListParagraph"/>
        <w:numPr>
          <w:ilvl w:val="0"/>
          <w:numId w:val="38"/>
        </w:numPr>
        <w:ind w:left="1701" w:hanging="283"/>
      </w:pPr>
      <w:r w:rsidRPr="00FD5BE4">
        <w:t>where relevant, the safety analysis is to include consideration of radioactive waste and to confirm compliance with the radiation dose limits</w:t>
      </w:r>
    </w:p>
    <w:p w14:paraId="672BCC8C" w14:textId="65A4A148" w:rsidR="00BC55F5" w:rsidRPr="00FD5BE4" w:rsidRDefault="00BC55F5" w:rsidP="00AB09EF">
      <w:pPr>
        <w:pStyle w:val="190list"/>
        <w:spacing w:before="120"/>
      </w:pPr>
      <w:r>
        <w:t>ARPANSA provides g</w:t>
      </w:r>
      <w:r w:rsidRPr="00FD5BE4">
        <w:t>uidance on a range of radioactive waste and disposal matters, drawing on IAEA guidance.</w:t>
      </w:r>
      <w:r w:rsidR="00B36A53">
        <w:t xml:space="preserve"> </w:t>
      </w:r>
      <w:r w:rsidRPr="00FD5BE4">
        <w:t>It includes a requirement for the applicant to provide documentation detailing procedures for the minimisation of the generation of radioactive waste.</w:t>
      </w:r>
    </w:p>
    <w:p w14:paraId="1652F5DF" w14:textId="77777777" w:rsidR="00BC55F5" w:rsidRPr="00FD5BE4" w:rsidRDefault="00BC55F5" w:rsidP="00E942AE">
      <w:pPr>
        <w:pStyle w:val="Heading2"/>
      </w:pPr>
      <w:bookmarkStart w:id="145" w:name="_Ref514733749"/>
      <w:bookmarkStart w:id="146" w:name="_Ref514733817"/>
      <w:bookmarkStart w:id="147" w:name="_Toc516540527"/>
      <w:r w:rsidRPr="00FD5BE4">
        <w:t>Management of spent fuel and radioactive waste</w:t>
      </w:r>
      <w:bookmarkEnd w:id="145"/>
      <w:bookmarkEnd w:id="146"/>
      <w:bookmarkEnd w:id="147"/>
    </w:p>
    <w:p w14:paraId="07AF2BC8" w14:textId="70EBFC56" w:rsidR="00BC55F5" w:rsidRPr="00FD5BE4" w:rsidRDefault="00BC55F5" w:rsidP="00AB09EF">
      <w:pPr>
        <w:pStyle w:val="190list"/>
        <w:spacing w:before="120"/>
      </w:pPr>
      <w:r w:rsidRPr="00FD5BE4">
        <w:t xml:space="preserve">Detailed procedures for waste management </w:t>
      </w:r>
      <w:r>
        <w:t xml:space="preserve">at OPAL </w:t>
      </w:r>
      <w:r w:rsidRPr="00FD5BE4">
        <w:t xml:space="preserve">are included in the </w:t>
      </w:r>
      <w:r>
        <w:t>Nuclear Operations</w:t>
      </w:r>
      <w:r w:rsidRPr="00FD5BE4">
        <w:t xml:space="preserve"> BMS.</w:t>
      </w:r>
      <w:r w:rsidR="00B36A53">
        <w:t xml:space="preserve"> </w:t>
      </w:r>
      <w:r>
        <w:t>S</w:t>
      </w:r>
      <w:r w:rsidRPr="00FD5BE4">
        <w:t>olid and liquid radioactive waste</w:t>
      </w:r>
      <w:r>
        <w:t xml:space="preserve">s are managed across the whole of the ANSTO site by ANSTO’s </w:t>
      </w:r>
      <w:r w:rsidRPr="00FD5BE4">
        <w:t xml:space="preserve">Waste </w:t>
      </w:r>
      <w:r>
        <w:t>Management Services within Nuclear Services</w:t>
      </w:r>
      <w:r w:rsidRPr="00FD5BE4">
        <w:t xml:space="preserve"> </w:t>
      </w:r>
      <w:r>
        <w:t>Group of the Nuclear Operations Division.</w:t>
      </w:r>
    </w:p>
    <w:p w14:paraId="2FC0A3E3" w14:textId="2E7E5D57" w:rsidR="00F00C8D" w:rsidRDefault="00BC55F5" w:rsidP="00214F49">
      <w:pPr>
        <w:pStyle w:val="190list"/>
      </w:pPr>
      <w:bookmarkStart w:id="148" w:name="_Ref269984814"/>
      <w:r w:rsidRPr="00FD5BE4">
        <w:t>OPAL</w:t>
      </w:r>
      <w:r>
        <w:t>’s</w:t>
      </w:r>
      <w:r w:rsidRPr="00FD5BE4">
        <w:t xml:space="preserve"> radioactive waste management plan address</w:t>
      </w:r>
      <w:r>
        <w:t>es</w:t>
      </w:r>
      <w:r w:rsidRPr="00FD5BE4">
        <w:t xml:space="preserve"> waste minimisation, segregation and classification of the different waste types and waste streams.</w:t>
      </w:r>
      <w:r w:rsidR="00B36A53">
        <w:t xml:space="preserve"> </w:t>
      </w:r>
      <w:r w:rsidRPr="00FD5BE4">
        <w:t>Intermediate level solid waste is s</w:t>
      </w:r>
      <w:r w:rsidR="00F00C8D">
        <w:t xml:space="preserve">tored in the OPAL service pool and then transported to France for reprocessing. </w:t>
      </w:r>
    </w:p>
    <w:p w14:paraId="662F3ADF" w14:textId="4A9C9A5C" w:rsidR="00BC55F5" w:rsidRPr="00FD5BE4" w:rsidRDefault="00BC55F5" w:rsidP="00214F49">
      <w:pPr>
        <w:pStyle w:val="190list"/>
      </w:pPr>
      <w:r w:rsidRPr="00FD5BE4">
        <w:t xml:space="preserve">The </w:t>
      </w:r>
      <w:r>
        <w:t xml:space="preserve">low-level </w:t>
      </w:r>
      <w:r w:rsidRPr="00FD5BE4">
        <w:t xml:space="preserve">liquid waste is managed under the existing Waste </w:t>
      </w:r>
      <w:r>
        <w:t>Management Services</w:t>
      </w:r>
      <w:r w:rsidRPr="00FD5BE4">
        <w:t xml:space="preserve"> arrangements for discharge to the sewer under the trade waste agreement (TWA) with Sydney Water as approved by ARPANSA.</w:t>
      </w:r>
      <w:r w:rsidR="00B36A53">
        <w:t xml:space="preserve"> </w:t>
      </w:r>
      <w:bookmarkStart w:id="149" w:name="_Ref176332385"/>
      <w:r w:rsidRPr="00FD5BE4">
        <w:t>The TWA requires that, by the time discharges from Lucas Heights reach the sewage treatment plant, the levels of radioactivity comply with the WHO derived concentration limits for drinking water.</w:t>
      </w:r>
      <w:r w:rsidR="00B36A53">
        <w:t xml:space="preserve"> </w:t>
      </w:r>
      <w:r w:rsidRPr="00FD5BE4">
        <w:t>OPAL liquid discharges are part of the site general discharges</w:t>
      </w:r>
      <w:bookmarkEnd w:id="149"/>
      <w:r w:rsidRPr="00FD5BE4">
        <w:t>.</w:t>
      </w:r>
      <w:bookmarkEnd w:id="148"/>
      <w:r w:rsidRPr="00FD5BE4">
        <w:t xml:space="preserve"> </w:t>
      </w:r>
    </w:p>
    <w:p w14:paraId="3CF26516" w14:textId="77777777" w:rsidR="00BC55F5" w:rsidRPr="00FD5BE4" w:rsidRDefault="00BC55F5" w:rsidP="00E942AE">
      <w:pPr>
        <w:pStyle w:val="Heading2"/>
      </w:pPr>
      <w:bookmarkStart w:id="150" w:name="_Ref515438163"/>
      <w:bookmarkStart w:id="151" w:name="_Toc516540528"/>
      <w:r w:rsidRPr="00FD5BE4">
        <w:t>Limiting exposure during handling, treatment, transport, storage and transfer or ultimate disposal of spent fuel and radioactive waste</w:t>
      </w:r>
      <w:bookmarkEnd w:id="150"/>
      <w:bookmarkEnd w:id="151"/>
    </w:p>
    <w:p w14:paraId="3A1CE24C" w14:textId="02B684D5" w:rsidR="00BC55F5" w:rsidRPr="00FD5BE4" w:rsidRDefault="00BC55F5" w:rsidP="00AB09EF">
      <w:pPr>
        <w:pStyle w:val="190list"/>
        <w:spacing w:before="120"/>
        <w:rPr>
          <w:color w:val="000000"/>
        </w:rPr>
      </w:pPr>
      <w:r>
        <w:t>Limitation of exposure</w:t>
      </w:r>
      <w:r w:rsidRPr="00FD5BE4">
        <w:t xml:space="preserve"> is implemented </w:t>
      </w:r>
      <w:r>
        <w:t xml:space="preserve">by ANSTO </w:t>
      </w:r>
      <w:r w:rsidRPr="00FD5BE4">
        <w:t xml:space="preserve">through guidance documents and work instructions in the </w:t>
      </w:r>
      <w:r>
        <w:t>WHS</w:t>
      </w:r>
      <w:r w:rsidRPr="00FD5BE4">
        <w:t xml:space="preserve"> management system and the </w:t>
      </w:r>
      <w:r>
        <w:t>Nuclear Operations</w:t>
      </w:r>
      <w:r w:rsidRPr="00FD5BE4">
        <w:t xml:space="preserve"> BMS</w:t>
      </w:r>
      <w:r>
        <w:t>.</w:t>
      </w:r>
      <w:r w:rsidR="00B36A53">
        <w:t xml:space="preserve"> </w:t>
      </w:r>
      <w:r>
        <w:t>The guidance and instructions comply with all applicable ARPANSA and international codes and standards</w:t>
      </w:r>
      <w:r w:rsidRPr="00FD5BE4">
        <w:t>.</w:t>
      </w:r>
      <w:bookmarkStart w:id="152" w:name="OnSave"/>
      <w:bookmarkEnd w:id="152"/>
    </w:p>
    <w:p w14:paraId="01224745" w14:textId="77777777" w:rsidR="00BC55F5" w:rsidRPr="00FD5BE4" w:rsidRDefault="00BC55F5" w:rsidP="00E942AE">
      <w:pPr>
        <w:pStyle w:val="Heading2"/>
      </w:pPr>
      <w:bookmarkStart w:id="153" w:name="_Toc516540529"/>
      <w:r w:rsidRPr="00FD5BE4">
        <w:t>Packaging and containment of radioactive waste</w:t>
      </w:r>
      <w:bookmarkEnd w:id="153"/>
    </w:p>
    <w:p w14:paraId="3555B99B" w14:textId="7608F3B2" w:rsidR="00F00C8D" w:rsidRDefault="00BC55F5" w:rsidP="00AB09EF">
      <w:pPr>
        <w:pStyle w:val="190list"/>
        <w:spacing w:before="120"/>
      </w:pPr>
      <w:bookmarkStart w:id="154" w:name="_Ref269985559"/>
      <w:r w:rsidRPr="00FD5BE4">
        <w:t>All solid waste is stored on-site</w:t>
      </w:r>
      <w:r>
        <w:t xml:space="preserve"> in approved packaging in facilities specifically designed and licensed for </w:t>
      </w:r>
      <w:r w:rsidRPr="006B37D1">
        <w:t>this purpose.</w:t>
      </w:r>
      <w:r w:rsidR="00B36A53">
        <w:t xml:space="preserve"> </w:t>
      </w:r>
      <w:bookmarkEnd w:id="154"/>
      <w:r w:rsidRPr="006B37D1">
        <w:t xml:space="preserve">Prior to discharge, all radioactive liquid waste is stored in appropriate containment vessels and subject to appropriate treatment methods. </w:t>
      </w:r>
    </w:p>
    <w:p w14:paraId="06BEC4CA" w14:textId="6CE8AF9D" w:rsidR="006F544B" w:rsidRPr="00F00C8D" w:rsidRDefault="00BC55F5" w:rsidP="00214F49">
      <w:pPr>
        <w:pStyle w:val="190list"/>
      </w:pPr>
      <w:r w:rsidRPr="006B37D1">
        <w:t>A program is</w:t>
      </w:r>
      <w:r w:rsidR="00F00C8D">
        <w:t xml:space="preserve"> also</w:t>
      </w:r>
      <w:r w:rsidRPr="006B37D1">
        <w:t xml:space="preserve"> in place for the solidification of intermediate level radioactive liquid wastes from molybdenum-99 production using ANSTO’s patented SYNROC process at the proposed </w:t>
      </w:r>
      <w:r w:rsidRPr="006B37D1">
        <w:rPr>
          <w:lang w:val="en"/>
        </w:rPr>
        <w:t>ANSTO SyMo Facility</w:t>
      </w:r>
      <w:r w:rsidRPr="006B37D1">
        <w:t>.</w:t>
      </w:r>
      <w:r w:rsidR="00B36A53">
        <w:t xml:space="preserve"> </w:t>
      </w:r>
      <w:r w:rsidRPr="006B37D1">
        <w:t>A siting and construction licence for this facility was issued in 2014.</w:t>
      </w:r>
      <w:r w:rsidR="00B36A53">
        <w:t xml:space="preserve"> </w:t>
      </w:r>
      <w:r w:rsidRPr="006B37D1">
        <w:t>The plant is currently under construction as of the time of writing this report.</w:t>
      </w:r>
      <w:r w:rsidR="00B36A53">
        <w:t xml:space="preserve"> </w:t>
      </w:r>
      <w:r w:rsidR="006F544B" w:rsidRPr="00F00C8D">
        <w:t>The waste from the ANSTO SyMo facility will primarily be from the AN</w:t>
      </w:r>
      <w:r w:rsidR="00E92884" w:rsidRPr="00F00C8D">
        <w:t xml:space="preserve">M </w:t>
      </w:r>
      <w:r w:rsidR="006B37D1" w:rsidRPr="00F00C8D">
        <w:t>Facility</w:t>
      </w:r>
      <w:r w:rsidR="00E92884" w:rsidRPr="00F00C8D">
        <w:t xml:space="preserve"> </w:t>
      </w:r>
      <w:r w:rsidR="006F544B" w:rsidRPr="00F00C8D">
        <w:t xml:space="preserve">which </w:t>
      </w:r>
      <w:r w:rsidR="006B37D1" w:rsidRPr="00F00C8D">
        <w:t>was licensed for operations in May 2019.</w:t>
      </w:r>
    </w:p>
    <w:p w14:paraId="4E7968EF" w14:textId="77777777" w:rsidR="00BC55F5" w:rsidRPr="00FD5BE4" w:rsidRDefault="00BC55F5" w:rsidP="00E942AE">
      <w:pPr>
        <w:pStyle w:val="Heading2"/>
      </w:pPr>
      <w:r w:rsidRPr="00FD5BE4">
        <w:t>Discharge reports</w:t>
      </w:r>
    </w:p>
    <w:p w14:paraId="0A98478A" w14:textId="43659972" w:rsidR="00BC55F5" w:rsidRPr="00A82004" w:rsidRDefault="00BC55F5" w:rsidP="00AB09EF">
      <w:pPr>
        <w:pStyle w:val="190list"/>
        <w:spacing w:before="120"/>
        <w:rPr>
          <w:b/>
          <w:i/>
        </w:rPr>
      </w:pPr>
      <w:r w:rsidRPr="00A82004">
        <w:t>The OPAL operating licence has conditions requiring quarterly and annual reports to ARPANSA on airborne radioactiv</w:t>
      </w:r>
      <w:r w:rsidR="00467152">
        <w:t>e</w:t>
      </w:r>
      <w:r w:rsidRPr="00A82004">
        <w:t xml:space="preserve"> discharges arising from all of ANSTO’s activities. The existing stack monitoring </w:t>
      </w:r>
      <w:r w:rsidRPr="00A82004">
        <w:lastRenderedPageBreak/>
        <w:t xml:space="preserve">equipment continuously sample gaseous discharges using </w:t>
      </w:r>
      <w:r w:rsidRPr="00254E5E">
        <w:t>TC45 cartridges</w:t>
      </w:r>
      <w:r w:rsidRPr="00A82004">
        <w:t>.</w:t>
      </w:r>
      <w:r w:rsidR="00B36A53">
        <w:t xml:space="preserve"> </w:t>
      </w:r>
      <w:r w:rsidRPr="00A82004">
        <w:t xml:space="preserve">The filters are measured weekly </w:t>
      </w:r>
      <w:r>
        <w:t xml:space="preserve">by ANSTO’s Nuclear Assurance Group </w:t>
      </w:r>
      <w:r w:rsidRPr="00A82004">
        <w:t>to provide information on gaseous discharges.</w:t>
      </w:r>
      <w:r w:rsidR="00B36A53">
        <w:t xml:space="preserve"> </w:t>
      </w:r>
      <w:r w:rsidRPr="00A82004">
        <w:t xml:space="preserve">Notification and </w:t>
      </w:r>
      <w:r w:rsidR="00E218EF">
        <w:t>c</w:t>
      </w:r>
      <w:r w:rsidRPr="00A82004">
        <w:t xml:space="preserve">orrection </w:t>
      </w:r>
      <w:r w:rsidR="00E218EF">
        <w:t>l</w:t>
      </w:r>
      <w:r w:rsidRPr="00A82004">
        <w:t xml:space="preserve">evels </w:t>
      </w:r>
      <w:r>
        <w:t xml:space="preserve">are set </w:t>
      </w:r>
      <w:r w:rsidRPr="00A82004">
        <w:t>by ARPANSA</w:t>
      </w:r>
      <w:r>
        <w:t>.</w:t>
      </w:r>
      <w:r w:rsidR="00B36A53">
        <w:t xml:space="preserve"> </w:t>
      </w:r>
      <w:r w:rsidRPr="00A82004">
        <w:t xml:space="preserve">Currently, discharges are well within the </w:t>
      </w:r>
      <w:r w:rsidR="00E218EF">
        <w:t>n</w:t>
      </w:r>
      <w:r w:rsidRPr="00A82004">
        <w:t xml:space="preserve">otification </w:t>
      </w:r>
      <w:r w:rsidR="00E218EF">
        <w:t>l</w:t>
      </w:r>
      <w:r w:rsidRPr="00A82004">
        <w:t>evels</w:t>
      </w:r>
      <w:r>
        <w:t xml:space="preserve"> set by ARPANSA in the licence</w:t>
      </w:r>
      <w:r w:rsidRPr="00A82004">
        <w:t>.</w:t>
      </w:r>
    </w:p>
    <w:p w14:paraId="0EFD2DA9" w14:textId="77777777" w:rsidR="00BC55F5" w:rsidRPr="00FD5BE4" w:rsidRDefault="00BC55F5" w:rsidP="00805AF8">
      <w:pPr>
        <w:pStyle w:val="Heading2"/>
      </w:pPr>
      <w:bookmarkStart w:id="155" w:name="_Toc516540539"/>
      <w:r w:rsidRPr="00FD5BE4">
        <w:t>Management of ultimate disposal or transfer</w:t>
      </w:r>
      <w:bookmarkEnd w:id="155"/>
      <w:r w:rsidRPr="00FD5BE4">
        <w:t xml:space="preserve"> of radioactive wastes</w:t>
      </w:r>
    </w:p>
    <w:p w14:paraId="21CD6C89" w14:textId="296FAEF3" w:rsidR="00BC55F5" w:rsidRPr="00FD5BE4" w:rsidRDefault="00BC55F5" w:rsidP="00AB09EF">
      <w:pPr>
        <w:pStyle w:val="190list"/>
        <w:spacing w:before="120"/>
        <w:rPr>
          <w:color w:val="000000"/>
        </w:rPr>
      </w:pPr>
      <w:r w:rsidRPr="00FD5BE4">
        <w:t xml:space="preserve">In accordance with its Radioactive Waste Management Policy, ANSTO stores its radioactive wastes on site until suitable disposal routes are available. There </w:t>
      </w:r>
      <w:r>
        <w:t>is</w:t>
      </w:r>
      <w:r w:rsidRPr="00FD5BE4">
        <w:t xml:space="preserve"> </w:t>
      </w:r>
      <w:r w:rsidR="00C75E52">
        <w:t>currently</w:t>
      </w:r>
      <w:r>
        <w:t xml:space="preserve"> </w:t>
      </w:r>
      <w:r w:rsidRPr="00FD5BE4">
        <w:t>no disposal route for radioactive waste within Australia and this limits the options to on-site storage</w:t>
      </w:r>
      <w:r>
        <w:t xml:space="preserve"> or</w:t>
      </w:r>
      <w:r w:rsidRPr="00FD5BE4">
        <w:t xml:space="preserve"> return to manufacturer.</w:t>
      </w:r>
      <w:r w:rsidR="003548FB">
        <w:t xml:space="preserve"> See Introduction section for more information on the NRWMF. </w:t>
      </w:r>
    </w:p>
    <w:p w14:paraId="60C989D3" w14:textId="77777777" w:rsidR="00BC55F5" w:rsidRPr="00F00C8D" w:rsidRDefault="00BC55F5" w:rsidP="00805AF8">
      <w:pPr>
        <w:pStyle w:val="Heading2"/>
      </w:pPr>
      <w:r w:rsidRPr="00F00C8D">
        <w:t xml:space="preserve">Spent fuel management strategy </w:t>
      </w:r>
    </w:p>
    <w:p w14:paraId="2EB95D7D" w14:textId="0C33F62E" w:rsidR="00BC55F5" w:rsidRPr="006B37D1" w:rsidRDefault="00BC55F5" w:rsidP="00AB09EF">
      <w:pPr>
        <w:pStyle w:val="190list"/>
        <w:spacing w:before="120"/>
      </w:pPr>
      <w:r w:rsidRPr="006B37D1">
        <w:t>The Australian Government decided in 1997 that an appropriate management strategy for HIFAR spent fuel was to ship it overseas and store any resulting long-lived intermediate level wastes in Australia in a form suitable for acceptance into a national storage facility.</w:t>
      </w:r>
      <w:r w:rsidR="00B36A53">
        <w:t xml:space="preserve"> </w:t>
      </w:r>
      <w:r w:rsidRPr="006B37D1">
        <w:t>Reprocessed wastes from those shipments were returned to Australia in 2015 to an Interim Waste Store (IWS) at ANSTO’s Lucas Heights site to temporarily store these wastes until establishment of a centralised national storage facility.</w:t>
      </w:r>
      <w:r w:rsidR="00B36A53">
        <w:t xml:space="preserve"> </w:t>
      </w:r>
      <w:r w:rsidRPr="006B37D1">
        <w:t xml:space="preserve">(See </w:t>
      </w:r>
      <w:r w:rsidR="006B37D1" w:rsidRPr="006B37D1">
        <w:t>Summary section above)</w:t>
      </w:r>
    </w:p>
    <w:p w14:paraId="27947897" w14:textId="7DC2CCFB" w:rsidR="00AF0388" w:rsidRPr="006B37D1" w:rsidRDefault="00A336F3" w:rsidP="00805AF8">
      <w:pPr>
        <w:pStyle w:val="190list"/>
      </w:pPr>
      <w:r w:rsidRPr="006B37D1">
        <w:t xml:space="preserve">In 2018, the first shipment of spent fuel assemblies from the OPAL reactor were shipped to the AREVA La Hague facility in France for reprocessing in 4 TN-MTR casks (236 spent fuel assemblies). Residual waste from the reprocessing will be returned to Australia in around 2035-2040 as per the waste from HIFAR. </w:t>
      </w:r>
    </w:p>
    <w:p w14:paraId="4B2D6175" w14:textId="1C57A235" w:rsidR="00AF0388" w:rsidRPr="00F00C8D" w:rsidRDefault="00AF0388" w:rsidP="00805AF8">
      <w:pPr>
        <w:pStyle w:val="190list"/>
      </w:pPr>
      <w:r w:rsidRPr="006B37D1">
        <w:t xml:space="preserve">The Australian Government continues to seek an appropriate site for Australia’s National Radioactive Waste Management Facility (NRWMF) in order to provide a single purpose built facility to permanently store low level waste and temporarily store intermediate level waste. See Summary of this report for more information. </w:t>
      </w:r>
    </w:p>
    <w:p w14:paraId="0E207A1F" w14:textId="77777777" w:rsidR="00BC55F5" w:rsidRDefault="00BC55F5" w:rsidP="00BC55F5">
      <w:pPr>
        <w:pStyle w:val="Heading2"/>
      </w:pPr>
      <w:r w:rsidRPr="00307909">
        <w:t>Action taken from lessons learnt from the Fukushima Daiichi accident</w:t>
      </w:r>
    </w:p>
    <w:p w14:paraId="0EF9A5A5" w14:textId="01032AF3" w:rsidR="00BC55F5" w:rsidRPr="00ED0476" w:rsidRDefault="00BC55F5" w:rsidP="00AB09EF">
      <w:pPr>
        <w:pStyle w:val="190list"/>
        <w:spacing w:before="120"/>
        <w:rPr>
          <w:b/>
          <w:i/>
        </w:rPr>
      </w:pPr>
      <w:r w:rsidRPr="00683399">
        <w:t xml:space="preserve">ANSTO </w:t>
      </w:r>
      <w:r>
        <w:t>undertook</w:t>
      </w:r>
      <w:r w:rsidRPr="00683399">
        <w:t xml:space="preserve"> self-assessment against the lessons learnt from Fukushima accident</w:t>
      </w:r>
      <w:r>
        <w:t>.</w:t>
      </w:r>
      <w:r w:rsidR="00B36A53">
        <w:t xml:space="preserve"> </w:t>
      </w:r>
      <w:r>
        <w:t>The actions arising from the self-assessment, which coincided with the OPAL PSR, were not significant for safety and did not require immediate action.</w:t>
      </w:r>
      <w:r w:rsidR="00B36A53">
        <w:t xml:space="preserve"> </w:t>
      </w:r>
    </w:p>
    <w:p w14:paraId="3AA16427" w14:textId="3841657A" w:rsidR="00F00C8D" w:rsidRPr="00527F10" w:rsidRDefault="00BC55F5" w:rsidP="00BC55F5">
      <w:pPr>
        <w:pStyle w:val="190list"/>
        <w:rPr>
          <w:b/>
        </w:rPr>
      </w:pPr>
      <w:r w:rsidRPr="00F00C8D">
        <w:t xml:space="preserve">The self-assessment was revised </w:t>
      </w:r>
      <w:r w:rsidR="00A336F3" w:rsidRPr="00F00C8D">
        <w:t>in 2014 in line with the</w:t>
      </w:r>
      <w:r w:rsidRPr="00F00C8D">
        <w:t xml:space="preserve"> IAEA Safety Reports Series No. 80 </w:t>
      </w:r>
      <w:r w:rsidRPr="00F00C8D">
        <w:rPr>
          <w:i/>
        </w:rPr>
        <w:t xml:space="preserve">Guidance </w:t>
      </w:r>
      <w:r w:rsidR="00764B09">
        <w:rPr>
          <w:i/>
        </w:rPr>
        <w:t>on</w:t>
      </w:r>
      <w:r w:rsidR="0041647B">
        <w:rPr>
          <w:i/>
        </w:rPr>
        <w:t xml:space="preserve"> </w:t>
      </w:r>
      <w:r w:rsidRPr="00F00C8D">
        <w:rPr>
          <w:i/>
        </w:rPr>
        <w:t>Safety Reassessment for Research Reactors in the Light of Accident at the Fukushima Daiichi NPP</w:t>
      </w:r>
      <w:r w:rsidRPr="00F00C8D">
        <w:t>.</w:t>
      </w:r>
      <w:r w:rsidR="00B36A53">
        <w:t xml:space="preserve"> </w:t>
      </w:r>
      <w:r w:rsidRPr="00F00C8D">
        <w:t xml:space="preserve">This review </w:t>
      </w:r>
      <w:r w:rsidR="00A336F3" w:rsidRPr="00F00C8D">
        <w:t xml:space="preserve">is complete and it was concluded that the actions were not significant for safety and did not require immediate action. </w:t>
      </w:r>
      <w:r w:rsidR="003548FB" w:rsidRPr="00F00C8D">
        <w:t xml:space="preserve">At the time of this report the majority of the actions are completed. </w:t>
      </w:r>
    </w:p>
    <w:p w14:paraId="0DAC00B0" w14:textId="77777777" w:rsidR="00527F10" w:rsidRDefault="00527F10">
      <w:pPr>
        <w:rPr>
          <w:rFonts w:ascii="Calibri" w:eastAsiaTheme="majorEastAsia" w:hAnsi="Calibri" w:cstheme="majorBidi"/>
          <w:b/>
          <w:bCs/>
          <w:color w:val="4E1A74"/>
          <w:sz w:val="32"/>
          <w:szCs w:val="28"/>
        </w:rPr>
      </w:pPr>
      <w:bookmarkStart w:id="156" w:name="_Toc457392319"/>
      <w:r>
        <w:br w:type="page"/>
      </w:r>
    </w:p>
    <w:p w14:paraId="794188E7" w14:textId="43F44947" w:rsidR="00C638B9" w:rsidRDefault="00C638B9" w:rsidP="00C31997">
      <w:pPr>
        <w:pStyle w:val="Heading1"/>
        <w:numPr>
          <w:ilvl w:val="0"/>
          <w:numId w:val="0"/>
        </w:numPr>
        <w:ind w:left="680" w:hanging="680"/>
      </w:pPr>
      <w:bookmarkStart w:id="157" w:name="_Toc12537956"/>
      <w:r w:rsidRPr="00FD5BE4">
        <w:lastRenderedPageBreak/>
        <w:t xml:space="preserve">Glossary and </w:t>
      </w:r>
      <w:r>
        <w:t>a</w:t>
      </w:r>
      <w:r w:rsidRPr="00FD5BE4">
        <w:t>cronyms</w:t>
      </w:r>
      <w:bookmarkEnd w:id="156"/>
      <w:bookmarkEnd w:id="157"/>
    </w:p>
    <w:tbl>
      <w:tblPr>
        <w:tblStyle w:val="GenericARPANSA"/>
        <w:tblW w:w="9639" w:type="dxa"/>
        <w:tblInd w:w="0" w:type="dxa"/>
        <w:tblLayout w:type="fixed"/>
        <w:tblLook w:val="0020" w:firstRow="1" w:lastRow="0" w:firstColumn="0" w:lastColumn="0" w:noHBand="0" w:noVBand="0"/>
      </w:tblPr>
      <w:tblGrid>
        <w:gridCol w:w="2183"/>
        <w:gridCol w:w="7456"/>
      </w:tblGrid>
      <w:tr w:rsidR="00527F10" w:rsidRPr="00FD5BE4" w14:paraId="2543C724" w14:textId="77777777" w:rsidTr="000417BA">
        <w:trPr>
          <w:cnfStyle w:val="100000000000" w:firstRow="1" w:lastRow="0" w:firstColumn="0" w:lastColumn="0" w:oddVBand="0" w:evenVBand="0" w:oddHBand="0" w:evenHBand="0" w:firstRowFirstColumn="0" w:firstRowLastColumn="0" w:lastRowFirstColumn="0" w:lastRowLastColumn="0"/>
        </w:trPr>
        <w:tc>
          <w:tcPr>
            <w:tcW w:w="2183" w:type="dxa"/>
          </w:tcPr>
          <w:p w14:paraId="6B4F14BD" w14:textId="6D2010B4" w:rsidR="00527F10" w:rsidRPr="00527F10" w:rsidRDefault="00527F10" w:rsidP="005757FA">
            <w:pPr>
              <w:jc w:val="left"/>
            </w:pPr>
            <w:r w:rsidRPr="00527F10">
              <w:t>Term</w:t>
            </w:r>
          </w:p>
        </w:tc>
        <w:tc>
          <w:tcPr>
            <w:tcW w:w="7456" w:type="dxa"/>
          </w:tcPr>
          <w:p w14:paraId="53DB75D1" w14:textId="1D356BAF" w:rsidR="00527F10" w:rsidRPr="00527F10" w:rsidRDefault="00527F10" w:rsidP="005757FA">
            <w:pPr>
              <w:jc w:val="left"/>
            </w:pPr>
            <w:r w:rsidRPr="00527F10">
              <w:t>Definition</w:t>
            </w:r>
          </w:p>
        </w:tc>
      </w:tr>
      <w:tr w:rsidR="00C638B9" w:rsidRPr="00FD5BE4" w14:paraId="537752E1" w14:textId="77777777" w:rsidTr="000417BA">
        <w:tc>
          <w:tcPr>
            <w:tcW w:w="2183" w:type="dxa"/>
          </w:tcPr>
          <w:p w14:paraId="622E0C56" w14:textId="77777777" w:rsidR="00C638B9" w:rsidRPr="003B069A" w:rsidRDefault="00C638B9" w:rsidP="005757FA">
            <w:pPr>
              <w:jc w:val="left"/>
            </w:pPr>
            <w:r w:rsidRPr="003B069A">
              <w:t>ABMS</w:t>
            </w:r>
          </w:p>
        </w:tc>
        <w:tc>
          <w:tcPr>
            <w:tcW w:w="7456" w:type="dxa"/>
          </w:tcPr>
          <w:p w14:paraId="1B9C3A5A" w14:textId="66037FC5" w:rsidR="006B37D1" w:rsidRPr="003B069A" w:rsidRDefault="00C638B9" w:rsidP="005757FA">
            <w:pPr>
              <w:jc w:val="left"/>
            </w:pPr>
            <w:r w:rsidRPr="003B069A">
              <w:t>ANSTO Business Management System</w:t>
            </w:r>
          </w:p>
        </w:tc>
      </w:tr>
      <w:tr w:rsidR="006B37D1" w:rsidRPr="00FD5BE4" w14:paraId="4C075CFF"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4511BB48" w14:textId="67DBBC3F" w:rsidR="006B37D1" w:rsidRPr="003B069A" w:rsidRDefault="006B37D1" w:rsidP="005757FA">
            <w:pPr>
              <w:jc w:val="left"/>
            </w:pPr>
            <w:r w:rsidRPr="003B069A">
              <w:t>ANM</w:t>
            </w:r>
          </w:p>
        </w:tc>
        <w:tc>
          <w:tcPr>
            <w:tcW w:w="7456" w:type="dxa"/>
          </w:tcPr>
          <w:p w14:paraId="544A9372" w14:textId="2FBAFD11" w:rsidR="006B37D1" w:rsidRPr="003B069A" w:rsidRDefault="006B37D1" w:rsidP="005757FA">
            <w:pPr>
              <w:jc w:val="left"/>
            </w:pPr>
            <w:r w:rsidRPr="003B069A">
              <w:t xml:space="preserve">ANSTO </w:t>
            </w:r>
            <w:r w:rsidR="00F00C8D" w:rsidRPr="003B069A">
              <w:t>Nuclear Medicine</w:t>
            </w:r>
          </w:p>
        </w:tc>
      </w:tr>
      <w:tr w:rsidR="00C638B9" w:rsidRPr="00FD5BE4" w14:paraId="1CF1C3AE" w14:textId="77777777" w:rsidTr="000417BA">
        <w:tc>
          <w:tcPr>
            <w:tcW w:w="2183" w:type="dxa"/>
          </w:tcPr>
          <w:p w14:paraId="23B366D2" w14:textId="77777777" w:rsidR="00C638B9" w:rsidRPr="003B069A" w:rsidRDefault="00C638B9" w:rsidP="005757FA">
            <w:pPr>
              <w:jc w:val="left"/>
            </w:pPr>
            <w:r w:rsidRPr="003B069A">
              <w:t>ANSTO</w:t>
            </w:r>
          </w:p>
        </w:tc>
        <w:tc>
          <w:tcPr>
            <w:tcW w:w="7456" w:type="dxa"/>
          </w:tcPr>
          <w:p w14:paraId="347C3B0A" w14:textId="77777777" w:rsidR="00C638B9" w:rsidRPr="003B069A" w:rsidRDefault="00C638B9" w:rsidP="005757FA">
            <w:pPr>
              <w:jc w:val="left"/>
            </w:pPr>
            <w:r w:rsidRPr="003B069A">
              <w:t>Australian Nuclear Science and Technology Organisation</w:t>
            </w:r>
          </w:p>
        </w:tc>
      </w:tr>
      <w:tr w:rsidR="00C638B9" w:rsidRPr="00FD5BE4" w14:paraId="602BA0FD"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1ECA3E9" w14:textId="77777777" w:rsidR="00C638B9" w:rsidRPr="003B069A" w:rsidRDefault="00C638B9" w:rsidP="005757FA">
            <w:pPr>
              <w:jc w:val="left"/>
            </w:pPr>
            <w:r w:rsidRPr="003B069A">
              <w:t>ARPANSA</w:t>
            </w:r>
          </w:p>
        </w:tc>
        <w:tc>
          <w:tcPr>
            <w:tcW w:w="7456" w:type="dxa"/>
          </w:tcPr>
          <w:p w14:paraId="6E58CFDF" w14:textId="77777777" w:rsidR="00C638B9" w:rsidRPr="003B069A" w:rsidRDefault="00C638B9" w:rsidP="005757FA">
            <w:pPr>
              <w:jc w:val="left"/>
            </w:pPr>
            <w:r w:rsidRPr="003B069A">
              <w:t>Australian Radiation Protection and Nuclear Safety Agency</w:t>
            </w:r>
          </w:p>
        </w:tc>
      </w:tr>
      <w:tr w:rsidR="00C638B9" w:rsidRPr="00FD5BE4" w14:paraId="6CB64880" w14:textId="77777777" w:rsidTr="000417BA">
        <w:tc>
          <w:tcPr>
            <w:tcW w:w="2183" w:type="dxa"/>
          </w:tcPr>
          <w:p w14:paraId="04CBE7F3" w14:textId="77777777" w:rsidR="00C638B9" w:rsidRPr="003B069A" w:rsidRDefault="00C638B9" w:rsidP="005757FA">
            <w:pPr>
              <w:jc w:val="left"/>
            </w:pPr>
            <w:r w:rsidRPr="003B069A">
              <w:t>BMS</w:t>
            </w:r>
          </w:p>
        </w:tc>
        <w:tc>
          <w:tcPr>
            <w:tcW w:w="7456" w:type="dxa"/>
          </w:tcPr>
          <w:p w14:paraId="1D8E072F" w14:textId="77777777" w:rsidR="00C638B9" w:rsidRPr="003B069A" w:rsidRDefault="00C638B9" w:rsidP="005757FA">
            <w:pPr>
              <w:jc w:val="left"/>
            </w:pPr>
            <w:r w:rsidRPr="003B069A">
              <w:t>Business Management System</w:t>
            </w:r>
          </w:p>
        </w:tc>
      </w:tr>
      <w:tr w:rsidR="00C638B9" w:rsidRPr="00FD5BE4" w14:paraId="6C3D7083"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280839B5" w14:textId="77777777" w:rsidR="00C638B9" w:rsidRPr="003B069A" w:rsidRDefault="00C638B9" w:rsidP="005757FA">
            <w:pPr>
              <w:jc w:val="left"/>
            </w:pPr>
            <w:r w:rsidRPr="003B069A">
              <w:t>CEO</w:t>
            </w:r>
          </w:p>
        </w:tc>
        <w:tc>
          <w:tcPr>
            <w:tcW w:w="7456" w:type="dxa"/>
          </w:tcPr>
          <w:p w14:paraId="5E9A9B1C" w14:textId="77777777" w:rsidR="00C638B9" w:rsidRPr="003B069A" w:rsidRDefault="00C638B9" w:rsidP="005757FA">
            <w:pPr>
              <w:jc w:val="left"/>
            </w:pPr>
            <w:r w:rsidRPr="003B069A">
              <w:t>Chief Executive Officer</w:t>
            </w:r>
          </w:p>
        </w:tc>
      </w:tr>
      <w:tr w:rsidR="00C638B9" w:rsidRPr="00FD5BE4" w14:paraId="3C8424B9" w14:textId="77777777" w:rsidTr="000417BA">
        <w:tc>
          <w:tcPr>
            <w:tcW w:w="2183" w:type="dxa"/>
          </w:tcPr>
          <w:p w14:paraId="0C124EA6" w14:textId="77777777" w:rsidR="00C638B9" w:rsidRPr="003B069A" w:rsidRDefault="00C638B9" w:rsidP="005757FA">
            <w:pPr>
              <w:jc w:val="left"/>
            </w:pPr>
            <w:r w:rsidRPr="003B069A">
              <w:t>CNS</w:t>
            </w:r>
          </w:p>
        </w:tc>
        <w:tc>
          <w:tcPr>
            <w:tcW w:w="7456" w:type="dxa"/>
          </w:tcPr>
          <w:p w14:paraId="355FEFED" w14:textId="77777777" w:rsidR="00C638B9" w:rsidRPr="003B069A" w:rsidRDefault="00C638B9" w:rsidP="005757FA">
            <w:pPr>
              <w:jc w:val="left"/>
            </w:pPr>
            <w:r w:rsidRPr="003B069A">
              <w:t>Convention on Nuclear Safety</w:t>
            </w:r>
          </w:p>
        </w:tc>
      </w:tr>
      <w:tr w:rsidR="00C638B9" w:rsidRPr="00FD5BE4" w14:paraId="47369F3D"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3481ADF1" w14:textId="77777777" w:rsidR="00C638B9" w:rsidRPr="003B069A" w:rsidRDefault="00C638B9" w:rsidP="005757FA">
            <w:pPr>
              <w:jc w:val="left"/>
            </w:pPr>
            <w:r w:rsidRPr="003B069A">
              <w:t>FSAR</w:t>
            </w:r>
          </w:p>
        </w:tc>
        <w:tc>
          <w:tcPr>
            <w:tcW w:w="7456" w:type="dxa"/>
          </w:tcPr>
          <w:p w14:paraId="6DFABD21" w14:textId="77777777" w:rsidR="00C638B9" w:rsidRPr="003B069A" w:rsidRDefault="00C638B9" w:rsidP="005757FA">
            <w:pPr>
              <w:jc w:val="left"/>
            </w:pPr>
            <w:r w:rsidRPr="003B069A">
              <w:t>Final Safety Analysis Report</w:t>
            </w:r>
          </w:p>
        </w:tc>
      </w:tr>
      <w:tr w:rsidR="00C638B9" w:rsidRPr="00FD5BE4" w14:paraId="393EE066" w14:textId="77777777" w:rsidTr="000417BA">
        <w:tc>
          <w:tcPr>
            <w:tcW w:w="2183" w:type="dxa"/>
          </w:tcPr>
          <w:p w14:paraId="1587B191" w14:textId="77777777" w:rsidR="00C638B9" w:rsidRPr="003B069A" w:rsidRDefault="00C638B9" w:rsidP="005757FA">
            <w:pPr>
              <w:jc w:val="left"/>
            </w:pPr>
            <w:r w:rsidRPr="003B069A">
              <w:t>GIF</w:t>
            </w:r>
          </w:p>
        </w:tc>
        <w:tc>
          <w:tcPr>
            <w:tcW w:w="7456" w:type="dxa"/>
          </w:tcPr>
          <w:p w14:paraId="11B3C951" w14:textId="77777777" w:rsidR="00C638B9" w:rsidRPr="003B069A" w:rsidRDefault="00C638B9" w:rsidP="005757FA">
            <w:pPr>
              <w:jc w:val="left"/>
            </w:pPr>
            <w:r w:rsidRPr="003B069A">
              <w:t>Generation IV International Forum</w:t>
            </w:r>
          </w:p>
        </w:tc>
      </w:tr>
      <w:tr w:rsidR="00C638B9" w:rsidRPr="00FD5BE4" w14:paraId="697BCB47"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3C3376D5" w14:textId="77777777" w:rsidR="00C638B9" w:rsidRPr="003B069A" w:rsidRDefault="00C638B9" w:rsidP="005757FA">
            <w:pPr>
              <w:jc w:val="left"/>
            </w:pPr>
            <w:r w:rsidRPr="003B069A">
              <w:t>GRS</w:t>
            </w:r>
          </w:p>
        </w:tc>
        <w:tc>
          <w:tcPr>
            <w:tcW w:w="7456" w:type="dxa"/>
          </w:tcPr>
          <w:p w14:paraId="1D6291B0" w14:textId="77777777" w:rsidR="00C638B9" w:rsidRPr="003B069A" w:rsidRDefault="00C638B9" w:rsidP="005757FA">
            <w:pPr>
              <w:jc w:val="left"/>
            </w:pPr>
            <w:r w:rsidRPr="003B069A">
              <w:t>ANSTO’s Governance Risk and Compliance system</w:t>
            </w:r>
          </w:p>
        </w:tc>
      </w:tr>
      <w:tr w:rsidR="00C638B9" w:rsidRPr="00FD5BE4" w14:paraId="01823B13" w14:textId="77777777" w:rsidTr="000417BA">
        <w:tc>
          <w:tcPr>
            <w:tcW w:w="2183" w:type="dxa"/>
          </w:tcPr>
          <w:p w14:paraId="4D32416D" w14:textId="77777777" w:rsidR="00C638B9" w:rsidRPr="003B069A" w:rsidRDefault="00C638B9" w:rsidP="005757FA">
            <w:pPr>
              <w:jc w:val="left"/>
            </w:pPr>
            <w:r w:rsidRPr="003B069A">
              <w:t>HF</w:t>
            </w:r>
          </w:p>
        </w:tc>
        <w:tc>
          <w:tcPr>
            <w:tcW w:w="7456" w:type="dxa"/>
          </w:tcPr>
          <w:p w14:paraId="1C04DC40" w14:textId="77777777" w:rsidR="00C638B9" w:rsidRPr="003B069A" w:rsidRDefault="00C638B9" w:rsidP="005757FA">
            <w:pPr>
              <w:jc w:val="left"/>
            </w:pPr>
            <w:r w:rsidRPr="003B069A">
              <w:t xml:space="preserve">Human Factors </w:t>
            </w:r>
          </w:p>
        </w:tc>
      </w:tr>
      <w:tr w:rsidR="00C638B9" w:rsidRPr="00FD5BE4" w14:paraId="2B11D49C"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7C2107BD" w14:textId="77777777" w:rsidR="00C638B9" w:rsidRPr="003B069A" w:rsidRDefault="00C638B9" w:rsidP="005757FA">
            <w:pPr>
              <w:jc w:val="left"/>
            </w:pPr>
            <w:r w:rsidRPr="003B069A">
              <w:t>HIFAR</w:t>
            </w:r>
          </w:p>
        </w:tc>
        <w:tc>
          <w:tcPr>
            <w:tcW w:w="7456" w:type="dxa"/>
          </w:tcPr>
          <w:p w14:paraId="1A32D493" w14:textId="77777777" w:rsidR="00C638B9" w:rsidRPr="003B069A" w:rsidRDefault="00C638B9" w:rsidP="005757FA">
            <w:pPr>
              <w:jc w:val="left"/>
            </w:pPr>
            <w:r w:rsidRPr="003B069A">
              <w:t>High Flux Australian Reactor</w:t>
            </w:r>
          </w:p>
        </w:tc>
      </w:tr>
      <w:tr w:rsidR="00C638B9" w:rsidRPr="00FD5BE4" w14:paraId="268B98CC" w14:textId="77777777" w:rsidTr="000417BA">
        <w:tc>
          <w:tcPr>
            <w:tcW w:w="2183" w:type="dxa"/>
          </w:tcPr>
          <w:p w14:paraId="661629E7" w14:textId="77777777" w:rsidR="00C638B9" w:rsidRPr="003B069A" w:rsidRDefault="00C638B9" w:rsidP="005757FA">
            <w:pPr>
              <w:jc w:val="left"/>
            </w:pPr>
            <w:r w:rsidRPr="003B069A">
              <w:t>IAEA</w:t>
            </w:r>
          </w:p>
        </w:tc>
        <w:tc>
          <w:tcPr>
            <w:tcW w:w="7456" w:type="dxa"/>
          </w:tcPr>
          <w:p w14:paraId="7B527CD3" w14:textId="77777777" w:rsidR="00C638B9" w:rsidRPr="003B069A" w:rsidRDefault="00C638B9" w:rsidP="005757FA">
            <w:pPr>
              <w:jc w:val="left"/>
            </w:pPr>
            <w:r w:rsidRPr="003B069A">
              <w:t>International Atomic Energy Agency</w:t>
            </w:r>
          </w:p>
        </w:tc>
      </w:tr>
      <w:tr w:rsidR="00C638B9" w:rsidRPr="00FD5BE4" w14:paraId="0C98FCCC"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5471A48C" w14:textId="77777777" w:rsidR="00C638B9" w:rsidRPr="003B069A" w:rsidRDefault="00C638B9" w:rsidP="005757FA">
            <w:pPr>
              <w:jc w:val="left"/>
            </w:pPr>
            <w:r w:rsidRPr="003B069A">
              <w:t>INES</w:t>
            </w:r>
          </w:p>
        </w:tc>
        <w:tc>
          <w:tcPr>
            <w:tcW w:w="7456" w:type="dxa"/>
          </w:tcPr>
          <w:p w14:paraId="26C271EB" w14:textId="754A4819" w:rsidR="00C638B9" w:rsidRPr="003B069A" w:rsidRDefault="00C638B9" w:rsidP="005757FA">
            <w:pPr>
              <w:jc w:val="left"/>
            </w:pPr>
            <w:r w:rsidRPr="003B069A">
              <w:t xml:space="preserve">International Nuclear </w:t>
            </w:r>
            <w:r w:rsidR="00764B09">
              <w:t xml:space="preserve">and Radiological </w:t>
            </w:r>
            <w:r w:rsidRPr="003B069A">
              <w:t>Event Scale</w:t>
            </w:r>
          </w:p>
        </w:tc>
      </w:tr>
      <w:tr w:rsidR="001909DB" w:rsidRPr="00FD5BE4" w14:paraId="2A712783" w14:textId="77777777" w:rsidTr="000417BA">
        <w:tc>
          <w:tcPr>
            <w:tcW w:w="2183" w:type="dxa"/>
          </w:tcPr>
          <w:p w14:paraId="68F756E4" w14:textId="11A9B38A" w:rsidR="001909DB" w:rsidRPr="003B069A" w:rsidRDefault="001909DB" w:rsidP="005757FA">
            <w:pPr>
              <w:jc w:val="left"/>
            </w:pPr>
            <w:r w:rsidRPr="003B069A">
              <w:t>IRRS</w:t>
            </w:r>
          </w:p>
        </w:tc>
        <w:tc>
          <w:tcPr>
            <w:tcW w:w="7456" w:type="dxa"/>
          </w:tcPr>
          <w:p w14:paraId="73CD6A3A" w14:textId="76B5D871" w:rsidR="001909DB" w:rsidRPr="003B069A" w:rsidRDefault="001909DB" w:rsidP="005757FA">
            <w:pPr>
              <w:jc w:val="left"/>
            </w:pPr>
            <w:r w:rsidRPr="003B069A">
              <w:t>Integrated Regulatory Review Service</w:t>
            </w:r>
          </w:p>
        </w:tc>
      </w:tr>
      <w:tr w:rsidR="00C638B9" w:rsidRPr="00FD5BE4" w14:paraId="64534838"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6426C8F7" w14:textId="77777777" w:rsidR="00C638B9" w:rsidRPr="003B069A" w:rsidRDefault="00C638B9" w:rsidP="005757FA">
            <w:pPr>
              <w:jc w:val="left"/>
            </w:pPr>
            <w:r w:rsidRPr="003B069A">
              <w:t>IRSRR</w:t>
            </w:r>
          </w:p>
        </w:tc>
        <w:tc>
          <w:tcPr>
            <w:tcW w:w="7456" w:type="dxa"/>
          </w:tcPr>
          <w:p w14:paraId="3EF8A809" w14:textId="10F94996" w:rsidR="00C638B9" w:rsidRPr="003B069A" w:rsidRDefault="00C638B9" w:rsidP="005757FA">
            <w:pPr>
              <w:jc w:val="left"/>
            </w:pPr>
            <w:r w:rsidRPr="003B069A">
              <w:t>Incident Reporting System for Research Reactors</w:t>
            </w:r>
          </w:p>
        </w:tc>
      </w:tr>
      <w:tr w:rsidR="00C638B9" w:rsidRPr="00FD5BE4" w14:paraId="1B3A16A2" w14:textId="77777777" w:rsidTr="000417BA">
        <w:tc>
          <w:tcPr>
            <w:tcW w:w="2183" w:type="dxa"/>
          </w:tcPr>
          <w:p w14:paraId="6A067C36" w14:textId="77777777" w:rsidR="00C638B9" w:rsidRPr="003B069A" w:rsidRDefault="00C638B9" w:rsidP="005757FA">
            <w:pPr>
              <w:jc w:val="left"/>
            </w:pPr>
            <w:r w:rsidRPr="003B069A">
              <w:t>ISO</w:t>
            </w:r>
          </w:p>
        </w:tc>
        <w:tc>
          <w:tcPr>
            <w:tcW w:w="7456" w:type="dxa"/>
          </w:tcPr>
          <w:p w14:paraId="15D804BA" w14:textId="77777777" w:rsidR="00C638B9" w:rsidRPr="003B069A" w:rsidRDefault="00C638B9" w:rsidP="005757FA">
            <w:pPr>
              <w:jc w:val="left"/>
            </w:pPr>
            <w:r w:rsidRPr="003B069A">
              <w:t>International Organization for Standardization</w:t>
            </w:r>
          </w:p>
        </w:tc>
      </w:tr>
      <w:tr w:rsidR="00C638B9" w:rsidRPr="00FD5BE4" w14:paraId="40B5E903"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1E830E22" w14:textId="77777777" w:rsidR="00C638B9" w:rsidRPr="003B069A" w:rsidRDefault="00C638B9" w:rsidP="005757FA">
            <w:pPr>
              <w:jc w:val="left"/>
            </w:pPr>
            <w:r w:rsidRPr="003B069A">
              <w:t>IWS</w:t>
            </w:r>
          </w:p>
        </w:tc>
        <w:tc>
          <w:tcPr>
            <w:tcW w:w="7456" w:type="dxa"/>
          </w:tcPr>
          <w:p w14:paraId="24C1FA8E" w14:textId="77777777" w:rsidR="00C638B9" w:rsidRPr="003B069A" w:rsidRDefault="00C638B9" w:rsidP="005757FA">
            <w:pPr>
              <w:jc w:val="left"/>
            </w:pPr>
            <w:r w:rsidRPr="003B069A">
              <w:t>Interim Waste Store</w:t>
            </w:r>
          </w:p>
        </w:tc>
      </w:tr>
      <w:tr w:rsidR="00C638B9" w:rsidRPr="00FD5BE4" w14:paraId="344F988C" w14:textId="77777777" w:rsidTr="000417BA">
        <w:tc>
          <w:tcPr>
            <w:tcW w:w="2183" w:type="dxa"/>
          </w:tcPr>
          <w:p w14:paraId="1DB8E040" w14:textId="77777777" w:rsidR="00C638B9" w:rsidRPr="003B069A" w:rsidRDefault="00C638B9" w:rsidP="005757FA">
            <w:pPr>
              <w:jc w:val="left"/>
            </w:pPr>
            <w:r w:rsidRPr="003B069A">
              <w:t>LEU</w:t>
            </w:r>
          </w:p>
        </w:tc>
        <w:tc>
          <w:tcPr>
            <w:tcW w:w="7456" w:type="dxa"/>
          </w:tcPr>
          <w:p w14:paraId="587FA7A7" w14:textId="473280DC" w:rsidR="00C638B9" w:rsidRPr="003B069A" w:rsidRDefault="00764B09" w:rsidP="00764B09">
            <w:pPr>
              <w:jc w:val="left"/>
            </w:pPr>
            <w:r>
              <w:t>L</w:t>
            </w:r>
            <w:r w:rsidR="00C638B9" w:rsidRPr="003B069A">
              <w:t xml:space="preserve">ow </w:t>
            </w:r>
            <w:r>
              <w:t>E</w:t>
            </w:r>
            <w:r w:rsidR="00C638B9" w:rsidRPr="003B069A">
              <w:t xml:space="preserve">nriched </w:t>
            </w:r>
            <w:r>
              <w:t>U</w:t>
            </w:r>
            <w:r w:rsidR="00C638B9" w:rsidRPr="003B069A">
              <w:t>ranium</w:t>
            </w:r>
          </w:p>
        </w:tc>
      </w:tr>
      <w:tr w:rsidR="00C638B9" w:rsidRPr="00FD5BE4" w14:paraId="52BD087F"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6C9BF565" w14:textId="77777777" w:rsidR="00C638B9" w:rsidRPr="003B069A" w:rsidRDefault="00C638B9" w:rsidP="005757FA">
            <w:pPr>
              <w:jc w:val="left"/>
            </w:pPr>
            <w:r w:rsidRPr="003B069A">
              <w:t>Licence</w:t>
            </w:r>
          </w:p>
        </w:tc>
        <w:tc>
          <w:tcPr>
            <w:tcW w:w="7456" w:type="dxa"/>
          </w:tcPr>
          <w:p w14:paraId="362208EC" w14:textId="77777777" w:rsidR="00C638B9" w:rsidRPr="003B069A" w:rsidRDefault="00C638B9" w:rsidP="005757FA">
            <w:pPr>
              <w:jc w:val="left"/>
            </w:pPr>
            <w:r w:rsidRPr="003B069A">
              <w:t>A legal authorisation issued to an applicant by ARPANSA to site, construct, operate, decommission, dispose of or abandon a nuclear research reactor or other radiation facilities or sources.</w:t>
            </w:r>
          </w:p>
        </w:tc>
      </w:tr>
      <w:tr w:rsidR="00C638B9" w:rsidRPr="00FD5BE4" w14:paraId="26E23305" w14:textId="77777777" w:rsidTr="000417BA">
        <w:tc>
          <w:tcPr>
            <w:tcW w:w="2183" w:type="dxa"/>
          </w:tcPr>
          <w:p w14:paraId="38FBC3E8" w14:textId="77777777" w:rsidR="00C638B9" w:rsidRPr="003B069A" w:rsidRDefault="00C638B9" w:rsidP="005757FA">
            <w:pPr>
              <w:jc w:val="left"/>
            </w:pPr>
            <w:r w:rsidRPr="003B069A">
              <w:t>MW</w:t>
            </w:r>
          </w:p>
        </w:tc>
        <w:tc>
          <w:tcPr>
            <w:tcW w:w="7456" w:type="dxa"/>
          </w:tcPr>
          <w:p w14:paraId="2D9777F8" w14:textId="77864F83" w:rsidR="00C638B9" w:rsidRPr="003B069A" w:rsidRDefault="00764B09" w:rsidP="00764B09">
            <w:pPr>
              <w:jc w:val="left"/>
            </w:pPr>
            <w:r>
              <w:t>M</w:t>
            </w:r>
            <w:r w:rsidR="00C638B9" w:rsidRPr="003B069A">
              <w:t>egawatt</w:t>
            </w:r>
          </w:p>
        </w:tc>
      </w:tr>
      <w:tr w:rsidR="00C638B9" w:rsidRPr="00FD5BE4" w14:paraId="7F550506"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5D61527" w14:textId="77777777" w:rsidR="00C638B9" w:rsidRPr="003B069A" w:rsidRDefault="00C638B9" w:rsidP="005757FA">
            <w:pPr>
              <w:jc w:val="left"/>
            </w:pPr>
            <w:r w:rsidRPr="003B069A">
              <w:t>NRWMF</w:t>
            </w:r>
          </w:p>
        </w:tc>
        <w:tc>
          <w:tcPr>
            <w:tcW w:w="7456" w:type="dxa"/>
          </w:tcPr>
          <w:p w14:paraId="00F62E25" w14:textId="77777777" w:rsidR="00C638B9" w:rsidRPr="003B069A" w:rsidRDefault="00C638B9" w:rsidP="005757FA">
            <w:pPr>
              <w:jc w:val="left"/>
            </w:pPr>
            <w:r w:rsidRPr="003B069A">
              <w:t>National Radioactive Waste Management Facility</w:t>
            </w:r>
          </w:p>
        </w:tc>
      </w:tr>
      <w:tr w:rsidR="00C638B9" w:rsidRPr="00FD5BE4" w14:paraId="33D4ACE3" w14:textId="77777777" w:rsidTr="000417BA">
        <w:tc>
          <w:tcPr>
            <w:tcW w:w="2183" w:type="dxa"/>
          </w:tcPr>
          <w:p w14:paraId="7BAEB13C" w14:textId="77777777" w:rsidR="00C638B9" w:rsidRPr="003B069A" w:rsidRDefault="00C638B9" w:rsidP="005757FA">
            <w:pPr>
              <w:jc w:val="left"/>
            </w:pPr>
            <w:r w:rsidRPr="003B069A">
              <w:t>Nuclear installation</w:t>
            </w:r>
          </w:p>
        </w:tc>
        <w:tc>
          <w:tcPr>
            <w:tcW w:w="7456" w:type="dxa"/>
          </w:tcPr>
          <w:p w14:paraId="77D2527D" w14:textId="0F32D5AF" w:rsidR="00C638B9" w:rsidRPr="003B069A" w:rsidRDefault="00C638B9" w:rsidP="005757FA">
            <w:pPr>
              <w:jc w:val="left"/>
            </w:pPr>
            <w:r w:rsidRPr="003B069A">
              <w:t>‘Nuclear installation’ is defined in the CNS as any land-based civil nuclear power plant under the jurisdiction of the Contracting Party including such storage, handling and treatment facilities for radioactive materials as are on the same site and are directly related to the operation of the nuclear power plant.</w:t>
            </w:r>
            <w:r w:rsidR="00B36A53">
              <w:t xml:space="preserve"> </w:t>
            </w:r>
            <w:r w:rsidRPr="003B069A">
              <w:t>Such a plant ceases to be a nuclear installation when all nuclear fuel elements have been removed permanently from the reactor core and have been stored safely in accordance with approved procedures, and a decommissioning program has been agreed by the regulatory body.</w:t>
            </w:r>
          </w:p>
          <w:p w14:paraId="5AB383D0" w14:textId="1F5A681B" w:rsidR="00C638B9" w:rsidRPr="003B069A" w:rsidRDefault="00C638B9" w:rsidP="005757FA">
            <w:pPr>
              <w:jc w:val="left"/>
            </w:pPr>
            <w:r w:rsidRPr="003B069A">
              <w:t>Australia has no nuclear power plant, and none are planned.</w:t>
            </w:r>
            <w:r w:rsidR="00B36A53">
              <w:t xml:space="preserve"> </w:t>
            </w:r>
            <w:r w:rsidRPr="003B069A">
              <w:t>This report</w:t>
            </w:r>
            <w:r w:rsidR="009646BE" w:rsidRPr="003B069A">
              <w:t xml:space="preserve"> mainly</w:t>
            </w:r>
            <w:r w:rsidRPr="003B069A">
              <w:t xml:space="preserve"> addresses Australia’s only operating nuclear research reactor.</w:t>
            </w:r>
          </w:p>
        </w:tc>
      </w:tr>
      <w:tr w:rsidR="00C638B9" w:rsidRPr="00FD5BE4" w14:paraId="05FEAE3A"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0F950A4" w14:textId="77777777" w:rsidR="00C638B9" w:rsidRPr="003B069A" w:rsidRDefault="00C638B9" w:rsidP="005757FA">
            <w:pPr>
              <w:jc w:val="left"/>
            </w:pPr>
            <w:r w:rsidRPr="003B069A">
              <w:t>OLC</w:t>
            </w:r>
          </w:p>
        </w:tc>
        <w:tc>
          <w:tcPr>
            <w:tcW w:w="7456" w:type="dxa"/>
          </w:tcPr>
          <w:p w14:paraId="779764B0" w14:textId="77777777" w:rsidR="00C638B9" w:rsidRPr="003B069A" w:rsidRDefault="00C638B9" w:rsidP="005757FA">
            <w:pPr>
              <w:jc w:val="left"/>
            </w:pPr>
            <w:r w:rsidRPr="003B069A">
              <w:t>Operational Limits and Conditions</w:t>
            </w:r>
          </w:p>
        </w:tc>
      </w:tr>
      <w:tr w:rsidR="00C638B9" w:rsidRPr="00FD5BE4" w14:paraId="6C5DD372" w14:textId="77777777" w:rsidTr="000417BA">
        <w:tc>
          <w:tcPr>
            <w:tcW w:w="2183" w:type="dxa"/>
          </w:tcPr>
          <w:p w14:paraId="166E9082" w14:textId="77777777" w:rsidR="00C638B9" w:rsidRPr="003B069A" w:rsidRDefault="00C638B9" w:rsidP="005757FA">
            <w:pPr>
              <w:jc w:val="left"/>
            </w:pPr>
            <w:r w:rsidRPr="003B069A">
              <w:t>OPAL</w:t>
            </w:r>
          </w:p>
        </w:tc>
        <w:tc>
          <w:tcPr>
            <w:tcW w:w="7456" w:type="dxa"/>
          </w:tcPr>
          <w:p w14:paraId="2AAA8FDD" w14:textId="77777777" w:rsidR="00C638B9" w:rsidRPr="003B069A" w:rsidRDefault="00C638B9" w:rsidP="005757FA">
            <w:pPr>
              <w:jc w:val="left"/>
            </w:pPr>
            <w:r w:rsidRPr="003B069A">
              <w:t>Open Pool Australia Light-water reactor</w:t>
            </w:r>
          </w:p>
        </w:tc>
      </w:tr>
      <w:tr w:rsidR="00C638B9" w:rsidRPr="00FD5BE4" w14:paraId="0CE692E5"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6685A529" w14:textId="5EF9ADE9" w:rsidR="00C638B9" w:rsidRPr="003B069A" w:rsidRDefault="00B51E8E" w:rsidP="005757FA">
            <w:pPr>
              <w:jc w:val="left"/>
            </w:pPr>
            <w:r>
              <w:t>PO</w:t>
            </w:r>
            <w:r w:rsidR="00C638B9" w:rsidRPr="003B069A">
              <w:t>C</w:t>
            </w:r>
          </w:p>
        </w:tc>
        <w:tc>
          <w:tcPr>
            <w:tcW w:w="7456" w:type="dxa"/>
          </w:tcPr>
          <w:p w14:paraId="301E13B3" w14:textId="77777777" w:rsidR="00C638B9" w:rsidRPr="003B069A" w:rsidRDefault="00C638B9" w:rsidP="005757FA">
            <w:pPr>
              <w:jc w:val="left"/>
            </w:pPr>
            <w:r w:rsidRPr="003B069A">
              <w:t>Performance Objectives and Criteria</w:t>
            </w:r>
          </w:p>
        </w:tc>
      </w:tr>
      <w:tr w:rsidR="00C638B9" w:rsidRPr="00FD5BE4" w14:paraId="574D7C4D" w14:textId="77777777" w:rsidTr="000417BA">
        <w:tc>
          <w:tcPr>
            <w:tcW w:w="2183" w:type="dxa"/>
          </w:tcPr>
          <w:p w14:paraId="049E1F01" w14:textId="44C63058" w:rsidR="00C638B9" w:rsidRPr="003B069A" w:rsidRDefault="00C638B9" w:rsidP="005757FA">
            <w:pPr>
              <w:jc w:val="left"/>
            </w:pPr>
            <w:r w:rsidRPr="003B069A">
              <w:lastRenderedPageBreak/>
              <w:t>PS</w:t>
            </w:r>
            <w:r w:rsidR="00B51E8E">
              <w:t>S</w:t>
            </w:r>
            <w:r w:rsidRPr="003B069A">
              <w:t>R</w:t>
            </w:r>
          </w:p>
        </w:tc>
        <w:tc>
          <w:tcPr>
            <w:tcW w:w="7456" w:type="dxa"/>
          </w:tcPr>
          <w:p w14:paraId="41182B9A" w14:textId="77777777" w:rsidR="00C638B9" w:rsidRPr="003B069A" w:rsidRDefault="00C638B9" w:rsidP="005757FA">
            <w:pPr>
              <w:jc w:val="left"/>
            </w:pPr>
            <w:r w:rsidRPr="003B069A">
              <w:t>Periodic Safety Review</w:t>
            </w:r>
          </w:p>
        </w:tc>
      </w:tr>
      <w:tr w:rsidR="00C638B9" w:rsidRPr="00FD5BE4" w14:paraId="40C416EB"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52A66924" w14:textId="77777777" w:rsidR="00C638B9" w:rsidRPr="003B069A" w:rsidRDefault="00C638B9" w:rsidP="005757FA">
            <w:pPr>
              <w:jc w:val="left"/>
            </w:pPr>
            <w:r w:rsidRPr="003B069A">
              <w:t>PSAR</w:t>
            </w:r>
          </w:p>
        </w:tc>
        <w:tc>
          <w:tcPr>
            <w:tcW w:w="7456" w:type="dxa"/>
          </w:tcPr>
          <w:p w14:paraId="551C7BBE" w14:textId="77777777" w:rsidR="00C638B9" w:rsidRPr="003B069A" w:rsidRDefault="00C638B9" w:rsidP="005757FA">
            <w:pPr>
              <w:jc w:val="left"/>
            </w:pPr>
            <w:r w:rsidRPr="003B069A">
              <w:t>Preliminary Safety Analysis Report</w:t>
            </w:r>
          </w:p>
        </w:tc>
      </w:tr>
      <w:tr w:rsidR="00C638B9" w:rsidRPr="00FD5BE4" w14:paraId="3F60F5E5" w14:textId="77777777" w:rsidTr="000417BA">
        <w:tc>
          <w:tcPr>
            <w:tcW w:w="2183" w:type="dxa"/>
          </w:tcPr>
          <w:p w14:paraId="3DB0089E" w14:textId="77777777" w:rsidR="00C638B9" w:rsidRPr="003B069A" w:rsidRDefault="00C638B9" w:rsidP="005757FA">
            <w:pPr>
              <w:jc w:val="left"/>
            </w:pPr>
            <w:r w:rsidRPr="003B069A">
              <w:t>PSSR</w:t>
            </w:r>
          </w:p>
        </w:tc>
        <w:tc>
          <w:tcPr>
            <w:tcW w:w="7456" w:type="dxa"/>
          </w:tcPr>
          <w:p w14:paraId="254767AC" w14:textId="77777777" w:rsidR="00C638B9" w:rsidRPr="003B069A" w:rsidRDefault="00C638B9" w:rsidP="005757FA">
            <w:pPr>
              <w:jc w:val="left"/>
            </w:pPr>
            <w:r w:rsidRPr="003B069A">
              <w:t>Periodic Safety and Security Review</w:t>
            </w:r>
          </w:p>
        </w:tc>
      </w:tr>
      <w:tr w:rsidR="00C638B9" w:rsidRPr="00FD5BE4" w14:paraId="6E12B23A"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5C625D1" w14:textId="77777777" w:rsidR="00C638B9" w:rsidRPr="003B069A" w:rsidRDefault="00C638B9" w:rsidP="005757FA">
            <w:pPr>
              <w:jc w:val="left"/>
            </w:pPr>
            <w:r w:rsidRPr="003B069A">
              <w:t>QA</w:t>
            </w:r>
          </w:p>
        </w:tc>
        <w:tc>
          <w:tcPr>
            <w:tcW w:w="7456" w:type="dxa"/>
          </w:tcPr>
          <w:p w14:paraId="1DA56B51" w14:textId="77777777" w:rsidR="00C638B9" w:rsidRPr="003B069A" w:rsidRDefault="00C638B9" w:rsidP="005757FA">
            <w:pPr>
              <w:jc w:val="left"/>
            </w:pPr>
            <w:r w:rsidRPr="003B069A">
              <w:t>Quality Assurance</w:t>
            </w:r>
          </w:p>
        </w:tc>
      </w:tr>
      <w:tr w:rsidR="00C638B9" w:rsidRPr="00FD5BE4" w14:paraId="3A73C70C" w14:textId="77777777" w:rsidTr="000417BA">
        <w:tc>
          <w:tcPr>
            <w:tcW w:w="2183" w:type="dxa"/>
          </w:tcPr>
          <w:p w14:paraId="5E4C56ED" w14:textId="77777777" w:rsidR="00C638B9" w:rsidRPr="003B069A" w:rsidRDefault="00C638B9" w:rsidP="005757FA">
            <w:pPr>
              <w:jc w:val="left"/>
            </w:pPr>
            <w:r w:rsidRPr="003B069A">
              <w:t>QMS</w:t>
            </w:r>
          </w:p>
        </w:tc>
        <w:tc>
          <w:tcPr>
            <w:tcW w:w="7456" w:type="dxa"/>
          </w:tcPr>
          <w:p w14:paraId="31AFA5AE" w14:textId="77777777" w:rsidR="00C638B9" w:rsidRPr="003B069A" w:rsidRDefault="00C638B9" w:rsidP="005757FA">
            <w:pPr>
              <w:jc w:val="left"/>
            </w:pPr>
            <w:r w:rsidRPr="003B069A">
              <w:t>Quality Management System</w:t>
            </w:r>
          </w:p>
        </w:tc>
      </w:tr>
      <w:tr w:rsidR="00C638B9" w:rsidRPr="00FD5BE4" w14:paraId="2C1D8B9B"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6A7F21A" w14:textId="77777777" w:rsidR="00C638B9" w:rsidRPr="003B069A" w:rsidRDefault="00C638B9" w:rsidP="005757FA">
            <w:pPr>
              <w:jc w:val="left"/>
            </w:pPr>
            <w:r w:rsidRPr="003B069A">
              <w:t>RAC</w:t>
            </w:r>
          </w:p>
        </w:tc>
        <w:tc>
          <w:tcPr>
            <w:tcW w:w="7456" w:type="dxa"/>
          </w:tcPr>
          <w:p w14:paraId="73FF81A5" w14:textId="77777777" w:rsidR="00C638B9" w:rsidRPr="003B069A" w:rsidRDefault="00C638B9" w:rsidP="005757FA">
            <w:pPr>
              <w:jc w:val="left"/>
            </w:pPr>
            <w:r w:rsidRPr="003B069A">
              <w:t>ANSTO’s Reactor Assessment Committee</w:t>
            </w:r>
          </w:p>
        </w:tc>
      </w:tr>
      <w:tr w:rsidR="00C638B9" w:rsidRPr="00FD5BE4" w14:paraId="12B341FE" w14:textId="77777777" w:rsidTr="000417BA">
        <w:tc>
          <w:tcPr>
            <w:tcW w:w="2183" w:type="dxa"/>
          </w:tcPr>
          <w:p w14:paraId="04818C1C" w14:textId="77777777" w:rsidR="00C638B9" w:rsidRPr="003B069A" w:rsidRDefault="00C638B9" w:rsidP="005757FA">
            <w:pPr>
              <w:jc w:val="left"/>
            </w:pPr>
            <w:r w:rsidRPr="003B069A">
              <w:t>Regulatory body</w:t>
            </w:r>
          </w:p>
        </w:tc>
        <w:tc>
          <w:tcPr>
            <w:tcW w:w="7456" w:type="dxa"/>
          </w:tcPr>
          <w:p w14:paraId="78E8B6A1" w14:textId="7CFEA226" w:rsidR="00C638B9" w:rsidRPr="003B069A" w:rsidRDefault="00C638B9" w:rsidP="005757FA">
            <w:pPr>
              <w:jc w:val="left"/>
            </w:pPr>
            <w:r w:rsidRPr="003B069A">
              <w:t>‘Regulatory bod</w:t>
            </w:r>
            <w:r w:rsidR="00980796">
              <w:t>y’ is defined in the CNS as any</w:t>
            </w:r>
            <w:r w:rsidRPr="003B069A">
              <w:t>body or bodies given the legal authority by the Contracting Party to grant licences and to regulate the siting, design, construction, commissioning, operation or decommissioning of nuclear installations</w:t>
            </w:r>
          </w:p>
        </w:tc>
      </w:tr>
      <w:tr w:rsidR="00C638B9" w:rsidRPr="00FD5BE4" w14:paraId="33EEEFDF"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1F7585C" w14:textId="77777777" w:rsidR="00C638B9" w:rsidRPr="003B069A" w:rsidRDefault="00C638B9" w:rsidP="005757FA">
            <w:pPr>
              <w:jc w:val="left"/>
            </w:pPr>
            <w:r w:rsidRPr="003B069A">
              <w:t>ROEMS</w:t>
            </w:r>
          </w:p>
        </w:tc>
        <w:tc>
          <w:tcPr>
            <w:tcW w:w="7456" w:type="dxa"/>
          </w:tcPr>
          <w:p w14:paraId="090585E9" w14:textId="77777777" w:rsidR="00C638B9" w:rsidRPr="003B069A" w:rsidRDefault="00C638B9" w:rsidP="005757FA">
            <w:pPr>
              <w:jc w:val="left"/>
            </w:pPr>
            <w:r w:rsidRPr="003B069A">
              <w:rPr>
                <w:szCs w:val="24"/>
              </w:rPr>
              <w:t xml:space="preserve">ANSTO’s </w:t>
            </w:r>
            <w:r w:rsidRPr="003B069A">
              <w:t>Reactor Operations Event Management System</w:t>
            </w:r>
          </w:p>
        </w:tc>
      </w:tr>
      <w:tr w:rsidR="00C638B9" w:rsidRPr="00FD5BE4" w14:paraId="60D8CC86" w14:textId="77777777" w:rsidTr="000417BA">
        <w:tc>
          <w:tcPr>
            <w:tcW w:w="2183" w:type="dxa"/>
          </w:tcPr>
          <w:p w14:paraId="70751FA2" w14:textId="77777777" w:rsidR="00C638B9" w:rsidRPr="003B069A" w:rsidRDefault="00C638B9" w:rsidP="005757FA">
            <w:pPr>
              <w:jc w:val="left"/>
            </w:pPr>
            <w:r w:rsidRPr="003B069A">
              <w:t>RPA</w:t>
            </w:r>
          </w:p>
        </w:tc>
        <w:tc>
          <w:tcPr>
            <w:tcW w:w="7456" w:type="dxa"/>
          </w:tcPr>
          <w:p w14:paraId="584B6E71" w14:textId="77777777" w:rsidR="00C638B9" w:rsidRPr="003B069A" w:rsidRDefault="00C638B9" w:rsidP="005757FA">
            <w:pPr>
              <w:jc w:val="left"/>
            </w:pPr>
            <w:r w:rsidRPr="003B069A">
              <w:t>Radiation Protection Adviser</w:t>
            </w:r>
          </w:p>
        </w:tc>
      </w:tr>
      <w:tr w:rsidR="00C638B9" w:rsidRPr="00FD5BE4" w14:paraId="6DB81B07"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782B2AF6" w14:textId="77777777" w:rsidR="00C638B9" w:rsidRPr="003B069A" w:rsidRDefault="00C638B9" w:rsidP="005757FA">
            <w:pPr>
              <w:jc w:val="left"/>
            </w:pPr>
            <w:r w:rsidRPr="003B069A">
              <w:t>RSB</w:t>
            </w:r>
          </w:p>
        </w:tc>
        <w:tc>
          <w:tcPr>
            <w:tcW w:w="7456" w:type="dxa"/>
          </w:tcPr>
          <w:p w14:paraId="2B1C09FE" w14:textId="77777777" w:rsidR="00C638B9" w:rsidRPr="003B069A" w:rsidRDefault="00C638B9" w:rsidP="005757FA">
            <w:pPr>
              <w:jc w:val="left"/>
            </w:pPr>
            <w:r w:rsidRPr="003B069A">
              <w:t>ARPANSA’s Regulatory Services Branch</w:t>
            </w:r>
          </w:p>
        </w:tc>
      </w:tr>
      <w:tr w:rsidR="00B51E8E" w:rsidRPr="00FD5BE4" w14:paraId="44BF4A08" w14:textId="77777777" w:rsidTr="000417BA">
        <w:tc>
          <w:tcPr>
            <w:tcW w:w="2183" w:type="dxa"/>
          </w:tcPr>
          <w:p w14:paraId="34E3D392" w14:textId="74B7AA38" w:rsidR="00B51E8E" w:rsidRPr="003B069A" w:rsidRDefault="00B51E8E" w:rsidP="00B51E8E">
            <w:pPr>
              <w:jc w:val="left"/>
            </w:pPr>
            <w:r>
              <w:t>SAC</w:t>
            </w:r>
          </w:p>
        </w:tc>
        <w:tc>
          <w:tcPr>
            <w:tcW w:w="7456" w:type="dxa"/>
          </w:tcPr>
          <w:p w14:paraId="23385FC8" w14:textId="78279649" w:rsidR="00B51E8E" w:rsidRPr="003B069A" w:rsidRDefault="00B51E8E" w:rsidP="00B51E8E">
            <w:pPr>
              <w:jc w:val="left"/>
            </w:pPr>
            <w:r>
              <w:t>ANSTO’s Safety Assessment Committee</w:t>
            </w:r>
          </w:p>
        </w:tc>
      </w:tr>
      <w:tr w:rsidR="00C638B9" w:rsidRPr="00FD5BE4" w14:paraId="1C9D9892"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4AF1DFDE" w14:textId="77777777" w:rsidR="00C638B9" w:rsidRPr="003B069A" w:rsidRDefault="00C638B9" w:rsidP="005757FA">
            <w:pPr>
              <w:jc w:val="left"/>
            </w:pPr>
            <w:r w:rsidRPr="003B069A">
              <w:t>SAR</w:t>
            </w:r>
          </w:p>
        </w:tc>
        <w:tc>
          <w:tcPr>
            <w:tcW w:w="7456" w:type="dxa"/>
          </w:tcPr>
          <w:p w14:paraId="3C261919" w14:textId="77777777" w:rsidR="00C638B9" w:rsidRPr="003B069A" w:rsidRDefault="00C638B9" w:rsidP="005757FA">
            <w:pPr>
              <w:jc w:val="left"/>
            </w:pPr>
            <w:r w:rsidRPr="003B069A">
              <w:t>Safety Analysis Report</w:t>
            </w:r>
          </w:p>
        </w:tc>
      </w:tr>
      <w:tr w:rsidR="00C638B9" w:rsidRPr="00FD5BE4" w14:paraId="52B0B76C" w14:textId="77777777" w:rsidTr="000417BA">
        <w:tc>
          <w:tcPr>
            <w:tcW w:w="2183" w:type="dxa"/>
          </w:tcPr>
          <w:p w14:paraId="64F2CD43" w14:textId="77777777" w:rsidR="00C638B9" w:rsidRPr="003B069A" w:rsidRDefault="00C638B9" w:rsidP="005757FA">
            <w:pPr>
              <w:jc w:val="left"/>
            </w:pPr>
            <w:r w:rsidRPr="003B069A">
              <w:t>SLA</w:t>
            </w:r>
          </w:p>
        </w:tc>
        <w:tc>
          <w:tcPr>
            <w:tcW w:w="7456" w:type="dxa"/>
          </w:tcPr>
          <w:p w14:paraId="51B97455" w14:textId="3BE44D43" w:rsidR="00C638B9" w:rsidRPr="003B069A" w:rsidRDefault="00C638B9" w:rsidP="00764B09">
            <w:pPr>
              <w:jc w:val="left"/>
            </w:pPr>
            <w:r w:rsidRPr="003B069A">
              <w:t xml:space="preserve">Service </w:t>
            </w:r>
            <w:r w:rsidR="00764B09">
              <w:t>L</w:t>
            </w:r>
            <w:r w:rsidRPr="003B069A">
              <w:t xml:space="preserve">evel </w:t>
            </w:r>
            <w:r w:rsidR="00764B09">
              <w:t>A</w:t>
            </w:r>
            <w:r w:rsidRPr="003B069A">
              <w:t>greement</w:t>
            </w:r>
          </w:p>
        </w:tc>
      </w:tr>
      <w:tr w:rsidR="00C638B9" w:rsidRPr="00FD5BE4" w14:paraId="7A0AD845"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60797C34" w14:textId="77777777" w:rsidR="00C638B9" w:rsidRPr="003B069A" w:rsidRDefault="00C638B9" w:rsidP="005757FA">
            <w:pPr>
              <w:jc w:val="left"/>
            </w:pPr>
            <w:r w:rsidRPr="003B069A">
              <w:t>SPI</w:t>
            </w:r>
          </w:p>
        </w:tc>
        <w:tc>
          <w:tcPr>
            <w:tcW w:w="7456" w:type="dxa"/>
          </w:tcPr>
          <w:p w14:paraId="2F9ECC28" w14:textId="77777777" w:rsidR="00C638B9" w:rsidRPr="003B069A" w:rsidRDefault="00C638B9" w:rsidP="005757FA">
            <w:pPr>
              <w:jc w:val="left"/>
            </w:pPr>
            <w:r w:rsidRPr="003B069A">
              <w:t>Safety Performance Indicator</w:t>
            </w:r>
          </w:p>
        </w:tc>
      </w:tr>
      <w:tr w:rsidR="00C638B9" w:rsidRPr="00FD5BE4" w14:paraId="50D49D4A" w14:textId="77777777" w:rsidTr="000417BA">
        <w:tc>
          <w:tcPr>
            <w:tcW w:w="2183" w:type="dxa"/>
          </w:tcPr>
          <w:p w14:paraId="0D17C2AF" w14:textId="77777777" w:rsidR="00C638B9" w:rsidRPr="003B069A" w:rsidRDefault="00C638B9" w:rsidP="005757FA">
            <w:pPr>
              <w:jc w:val="left"/>
            </w:pPr>
            <w:r w:rsidRPr="003B069A">
              <w:t>SYNROC</w:t>
            </w:r>
          </w:p>
        </w:tc>
        <w:tc>
          <w:tcPr>
            <w:tcW w:w="7456" w:type="dxa"/>
          </w:tcPr>
          <w:p w14:paraId="6394718A" w14:textId="77777777" w:rsidR="00C638B9" w:rsidRPr="003B069A" w:rsidRDefault="00C638B9" w:rsidP="005757FA">
            <w:pPr>
              <w:jc w:val="left"/>
            </w:pPr>
            <w:r w:rsidRPr="003B069A">
              <w:rPr>
                <w:lang w:val="en"/>
              </w:rPr>
              <w:t>SYNROC (synthetic-rock) is an ANSTO-developed technology to transform the intermediate level liquid wastes generated from the Mo-99 production process into a stable immobilised glass ceramic form. The technology greatly reduces the waste volume and converts it into a long-term stable form.</w:t>
            </w:r>
          </w:p>
        </w:tc>
      </w:tr>
      <w:tr w:rsidR="00C638B9" w:rsidRPr="00FD5BE4" w14:paraId="620872F8"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07A2F7C7" w14:textId="77777777" w:rsidR="00C638B9" w:rsidRPr="003B069A" w:rsidRDefault="00C638B9" w:rsidP="005757FA">
            <w:pPr>
              <w:jc w:val="left"/>
            </w:pPr>
            <w:r w:rsidRPr="003B069A">
              <w:t>SyMo Facility</w:t>
            </w:r>
          </w:p>
        </w:tc>
        <w:tc>
          <w:tcPr>
            <w:tcW w:w="7456" w:type="dxa"/>
          </w:tcPr>
          <w:p w14:paraId="1208433F" w14:textId="77777777" w:rsidR="00C638B9" w:rsidRPr="003B069A" w:rsidRDefault="00C638B9" w:rsidP="005757FA">
            <w:pPr>
              <w:jc w:val="left"/>
            </w:pPr>
            <w:r w:rsidRPr="003B069A">
              <w:t>A facility under construction in ANSTO to apply Synroc technology for immobilisation of waste from ANSTO’s Mo-99 production processes</w:t>
            </w:r>
          </w:p>
        </w:tc>
      </w:tr>
      <w:tr w:rsidR="00C638B9" w:rsidRPr="00FD5BE4" w14:paraId="78FC35C7" w14:textId="77777777" w:rsidTr="000417BA">
        <w:tc>
          <w:tcPr>
            <w:tcW w:w="2183" w:type="dxa"/>
          </w:tcPr>
          <w:p w14:paraId="792F7EF0" w14:textId="77777777" w:rsidR="00C638B9" w:rsidRPr="003B069A" w:rsidRDefault="00C638B9" w:rsidP="005757FA">
            <w:pPr>
              <w:jc w:val="left"/>
            </w:pPr>
            <w:r w:rsidRPr="003B069A">
              <w:t>the Act</w:t>
            </w:r>
          </w:p>
        </w:tc>
        <w:tc>
          <w:tcPr>
            <w:tcW w:w="7456" w:type="dxa"/>
          </w:tcPr>
          <w:p w14:paraId="2E25BE24" w14:textId="77777777" w:rsidR="00C638B9" w:rsidRPr="003B069A" w:rsidRDefault="00C638B9" w:rsidP="005757FA">
            <w:pPr>
              <w:jc w:val="left"/>
              <w:rPr>
                <w:i/>
              </w:rPr>
            </w:pPr>
            <w:r w:rsidRPr="003B069A">
              <w:rPr>
                <w:i/>
              </w:rPr>
              <w:t>Australian Radiation Protection and Nuclear Safety Act 1998</w:t>
            </w:r>
          </w:p>
        </w:tc>
      </w:tr>
      <w:tr w:rsidR="00C638B9" w:rsidRPr="00FD5BE4" w14:paraId="006BE34F"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7EA8172A" w14:textId="77777777" w:rsidR="00C638B9" w:rsidRPr="003B069A" w:rsidRDefault="00C638B9" w:rsidP="005757FA">
            <w:pPr>
              <w:jc w:val="left"/>
            </w:pPr>
            <w:r w:rsidRPr="003B069A">
              <w:t>the Regulations</w:t>
            </w:r>
          </w:p>
        </w:tc>
        <w:tc>
          <w:tcPr>
            <w:tcW w:w="7456" w:type="dxa"/>
          </w:tcPr>
          <w:p w14:paraId="118D9A7A" w14:textId="28F732B7" w:rsidR="00C638B9" w:rsidRPr="003B069A" w:rsidRDefault="00C638B9" w:rsidP="00B51E8E">
            <w:pPr>
              <w:jc w:val="left"/>
            </w:pPr>
            <w:r w:rsidRPr="003B069A">
              <w:t xml:space="preserve">Australian Radiation Protection and Nuclear Safety Regulations </w:t>
            </w:r>
            <w:r w:rsidR="00B51E8E">
              <w:t>2018</w:t>
            </w:r>
          </w:p>
        </w:tc>
      </w:tr>
      <w:tr w:rsidR="00C638B9" w:rsidRPr="00FD5BE4" w14:paraId="1A1B2455" w14:textId="77777777" w:rsidTr="000417BA">
        <w:tc>
          <w:tcPr>
            <w:tcW w:w="2183" w:type="dxa"/>
          </w:tcPr>
          <w:p w14:paraId="06608AE1" w14:textId="77777777" w:rsidR="00C638B9" w:rsidRPr="003B069A" w:rsidRDefault="00C638B9" w:rsidP="005757FA">
            <w:pPr>
              <w:jc w:val="left"/>
            </w:pPr>
            <w:r w:rsidRPr="003B069A">
              <w:t>TWA</w:t>
            </w:r>
          </w:p>
        </w:tc>
        <w:tc>
          <w:tcPr>
            <w:tcW w:w="7456" w:type="dxa"/>
          </w:tcPr>
          <w:p w14:paraId="40BC7D2E" w14:textId="77777777" w:rsidR="00C638B9" w:rsidRPr="003B069A" w:rsidRDefault="00C638B9" w:rsidP="005757FA">
            <w:pPr>
              <w:jc w:val="left"/>
            </w:pPr>
            <w:r w:rsidRPr="003B069A">
              <w:t>Trade Waste Agreement</w:t>
            </w:r>
          </w:p>
        </w:tc>
      </w:tr>
      <w:tr w:rsidR="00C638B9" w:rsidRPr="00FD5BE4" w14:paraId="3700B0A3"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1E4D8375" w14:textId="77777777" w:rsidR="00C638B9" w:rsidRPr="003B069A" w:rsidRDefault="00C638B9" w:rsidP="005757FA">
            <w:pPr>
              <w:jc w:val="left"/>
            </w:pPr>
            <w:r w:rsidRPr="003B069A">
              <w:t>US NRC</w:t>
            </w:r>
          </w:p>
        </w:tc>
        <w:tc>
          <w:tcPr>
            <w:tcW w:w="7456" w:type="dxa"/>
          </w:tcPr>
          <w:p w14:paraId="1EB8EA49" w14:textId="77777777" w:rsidR="00C638B9" w:rsidRPr="003B069A" w:rsidRDefault="00C638B9" w:rsidP="005757FA">
            <w:pPr>
              <w:jc w:val="left"/>
            </w:pPr>
            <w:r w:rsidRPr="003B069A">
              <w:t>US Nuclear Regulatory Commission</w:t>
            </w:r>
          </w:p>
        </w:tc>
      </w:tr>
      <w:tr w:rsidR="00C638B9" w:rsidRPr="00FD5BE4" w14:paraId="04612E61" w14:textId="77777777" w:rsidTr="000417BA">
        <w:tc>
          <w:tcPr>
            <w:tcW w:w="2183" w:type="dxa"/>
          </w:tcPr>
          <w:p w14:paraId="308526F2" w14:textId="77777777" w:rsidR="00C638B9" w:rsidRPr="003B069A" w:rsidRDefault="00C638B9" w:rsidP="005757FA">
            <w:pPr>
              <w:jc w:val="left"/>
            </w:pPr>
            <w:r w:rsidRPr="003B069A">
              <w:t xml:space="preserve">WHO </w:t>
            </w:r>
          </w:p>
        </w:tc>
        <w:tc>
          <w:tcPr>
            <w:tcW w:w="7456" w:type="dxa"/>
          </w:tcPr>
          <w:p w14:paraId="7F33E18F" w14:textId="77777777" w:rsidR="00C638B9" w:rsidRPr="003B069A" w:rsidRDefault="00C638B9" w:rsidP="005757FA">
            <w:pPr>
              <w:jc w:val="left"/>
            </w:pPr>
            <w:r w:rsidRPr="003B069A">
              <w:t>World Health Organisation</w:t>
            </w:r>
          </w:p>
        </w:tc>
      </w:tr>
      <w:tr w:rsidR="00C638B9" w:rsidRPr="00FD5BE4" w14:paraId="254CD7DD" w14:textId="77777777" w:rsidTr="000417BA">
        <w:trPr>
          <w:cnfStyle w:val="000000010000" w:firstRow="0" w:lastRow="0" w:firstColumn="0" w:lastColumn="0" w:oddVBand="0" w:evenVBand="0" w:oddHBand="0" w:evenHBand="1" w:firstRowFirstColumn="0" w:firstRowLastColumn="0" w:lastRowFirstColumn="0" w:lastRowLastColumn="0"/>
        </w:trPr>
        <w:tc>
          <w:tcPr>
            <w:tcW w:w="2183" w:type="dxa"/>
          </w:tcPr>
          <w:p w14:paraId="1F3CE36E" w14:textId="77777777" w:rsidR="00C638B9" w:rsidRPr="003B069A" w:rsidRDefault="00C638B9" w:rsidP="005757FA">
            <w:pPr>
              <w:jc w:val="left"/>
            </w:pPr>
            <w:r w:rsidRPr="003B069A">
              <w:t>WHSE</w:t>
            </w:r>
          </w:p>
        </w:tc>
        <w:tc>
          <w:tcPr>
            <w:tcW w:w="7456" w:type="dxa"/>
          </w:tcPr>
          <w:p w14:paraId="7DEDC288" w14:textId="77777777" w:rsidR="00C638B9" w:rsidRPr="003B069A" w:rsidRDefault="00C638B9" w:rsidP="005757FA">
            <w:pPr>
              <w:jc w:val="left"/>
            </w:pPr>
            <w:r w:rsidRPr="003B069A">
              <w:t xml:space="preserve">Work Health, Safety and Environment </w:t>
            </w:r>
          </w:p>
        </w:tc>
      </w:tr>
    </w:tbl>
    <w:p w14:paraId="37322566" w14:textId="558512F6" w:rsidR="00C724FE" w:rsidRDefault="00C724FE" w:rsidP="003B069A"/>
    <w:sectPr w:rsidR="00C724FE" w:rsidSect="00AC199B">
      <w:type w:val="continuous"/>
      <w:pgSz w:w="11906" w:h="16838"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8A72B9" w14:textId="77777777" w:rsidR="00060D86" w:rsidRDefault="00060D86" w:rsidP="00037687">
      <w:r>
        <w:separator/>
      </w:r>
    </w:p>
  </w:endnote>
  <w:endnote w:type="continuationSeparator" w:id="0">
    <w:p w14:paraId="4B7CB79A" w14:textId="77777777" w:rsidR="00060D86" w:rsidRDefault="00060D86" w:rsidP="00037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27483A" w14:textId="3BF77CE6" w:rsidR="00060D86" w:rsidRPr="00D93332" w:rsidRDefault="00060D86" w:rsidP="007967F0">
    <w:pPr>
      <w:pStyle w:val="Footer"/>
      <w:tabs>
        <w:tab w:val="clear" w:pos="4513"/>
        <w:tab w:val="clear" w:pos="9026"/>
        <w:tab w:val="center" w:pos="6946"/>
        <w:tab w:val="right" w:pos="9639"/>
      </w:tabs>
      <w:spacing w:before="120" w:line="264" w:lineRule="auto"/>
      <w:rPr>
        <w:sz w:val="18"/>
      </w:rPr>
    </w:pPr>
    <w:r w:rsidRPr="00FF6AB9">
      <w:rPr>
        <w:noProof/>
        <w:sz w:val="18"/>
        <w:lang w:eastAsia="en-AU"/>
      </w:rPr>
      <w:drawing>
        <wp:anchor distT="0" distB="0" distL="114300" distR="114300" simplePos="0" relativeHeight="251655680" behindDoc="0" locked="0" layoutInCell="1" allowOverlap="1" wp14:anchorId="3DCDE164" wp14:editId="1E4C871B">
          <wp:simplePos x="0" y="0"/>
          <wp:positionH relativeFrom="column">
            <wp:posOffset>0</wp:posOffset>
          </wp:positionH>
          <wp:positionV relativeFrom="paragraph">
            <wp:posOffset>175895</wp:posOffset>
          </wp:positionV>
          <wp:extent cx="6120000" cy="54000"/>
          <wp:effectExtent l="0" t="0" r="0" b="3175"/>
          <wp:wrapTopAndBottom/>
          <wp:docPr id="22"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Pr="007967F0">
      <w:rPr>
        <w:sz w:val="18"/>
      </w:rPr>
      <w:t>Australian National Report for the Eighth Review Meeting of the Convention on Nuclear Safety</w:t>
    </w:r>
    <w:r w:rsidRPr="00FF6AB9">
      <w:rPr>
        <w:sz w:val="18"/>
      </w:rPr>
      <w:tab/>
    </w:r>
    <w:r>
      <w:rPr>
        <w:sz w:val="18"/>
      </w:rPr>
      <w:tab/>
    </w:r>
    <w:r w:rsidRPr="005A5E5B">
      <w:rPr>
        <w:sz w:val="18"/>
      </w:rPr>
      <w:fldChar w:fldCharType="begin"/>
    </w:r>
    <w:r w:rsidRPr="005A5E5B">
      <w:rPr>
        <w:sz w:val="18"/>
      </w:rPr>
      <w:instrText xml:space="preserve"> PAGE   \* MERGEFORMAT </w:instrText>
    </w:r>
    <w:r w:rsidRPr="005A5E5B">
      <w:rPr>
        <w:sz w:val="18"/>
      </w:rPr>
      <w:fldChar w:fldCharType="separate"/>
    </w:r>
    <w:r w:rsidR="00323133">
      <w:rPr>
        <w:noProof/>
        <w:sz w:val="18"/>
      </w:rPr>
      <w:t>iii</w:t>
    </w:r>
    <w:r w:rsidRPr="005A5E5B">
      <w:rPr>
        <w:noProof/>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2FDE72" w14:textId="0DDEB6C3" w:rsidR="00060D86" w:rsidRDefault="00060D86" w:rsidP="00C86EB9">
    <w:pPr>
      <w:pStyle w:val="Footer"/>
      <w:tabs>
        <w:tab w:val="clear" w:pos="4513"/>
        <w:tab w:val="clear" w:pos="9026"/>
        <w:tab w:val="left" w:pos="3686"/>
        <w:tab w:val="right" w:pos="9639"/>
      </w:tabs>
      <w:rPr>
        <w:sz w:val="16"/>
        <w:szCs w:val="16"/>
      </w:rPr>
    </w:pPr>
  </w:p>
  <w:p w14:paraId="337596D4" w14:textId="02C7B580" w:rsidR="00060D86" w:rsidRPr="00C86EB9" w:rsidRDefault="00060D86" w:rsidP="00C86EB9">
    <w:pPr>
      <w:pStyle w:val="Footer"/>
      <w:tabs>
        <w:tab w:val="clear" w:pos="4513"/>
        <w:tab w:val="clear" w:pos="9026"/>
        <w:tab w:val="left" w:pos="3686"/>
        <w:tab w:val="right" w:pos="9639"/>
      </w:tabs>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02578B" w14:textId="7A7ABB6B" w:rsidR="00060D86" w:rsidRPr="00D93332" w:rsidRDefault="00060D86" w:rsidP="007967F0">
    <w:pPr>
      <w:pStyle w:val="Footer"/>
      <w:tabs>
        <w:tab w:val="clear" w:pos="4513"/>
        <w:tab w:val="clear" w:pos="9026"/>
        <w:tab w:val="center" w:pos="6946"/>
        <w:tab w:val="right" w:pos="9639"/>
      </w:tabs>
      <w:spacing w:before="120" w:line="264" w:lineRule="auto"/>
      <w:rPr>
        <w:sz w:val="18"/>
      </w:rPr>
    </w:pPr>
    <w:r w:rsidRPr="00FF6AB9">
      <w:rPr>
        <w:noProof/>
        <w:sz w:val="18"/>
        <w:lang w:eastAsia="en-AU"/>
      </w:rPr>
      <w:drawing>
        <wp:anchor distT="0" distB="0" distL="114300" distR="114300" simplePos="0" relativeHeight="251656704" behindDoc="0" locked="0" layoutInCell="1" allowOverlap="1" wp14:anchorId="4DE53960" wp14:editId="6DD6F575">
          <wp:simplePos x="0" y="0"/>
          <wp:positionH relativeFrom="column">
            <wp:posOffset>0</wp:posOffset>
          </wp:positionH>
          <wp:positionV relativeFrom="paragraph">
            <wp:posOffset>175895</wp:posOffset>
          </wp:positionV>
          <wp:extent cx="6120000" cy="54000"/>
          <wp:effectExtent l="0" t="0" r="0" b="3175"/>
          <wp:wrapTopAndBottom/>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Pr="007967F0">
      <w:rPr>
        <w:sz w:val="18"/>
      </w:rPr>
      <w:t>Australian National Report for the Eighth Review Meeting of the Convention on Nuclear Safety</w:t>
    </w:r>
    <w:r w:rsidRPr="00FF6AB9">
      <w:rPr>
        <w:sz w:val="18"/>
      </w:rPr>
      <w:tab/>
    </w:r>
    <w:r>
      <w:rPr>
        <w:sz w:val="18"/>
      </w:rPr>
      <w:tab/>
    </w:r>
    <w:r w:rsidRPr="005A5E5B">
      <w:rPr>
        <w:sz w:val="18"/>
      </w:rPr>
      <w:fldChar w:fldCharType="begin"/>
    </w:r>
    <w:r w:rsidRPr="005A5E5B">
      <w:rPr>
        <w:sz w:val="18"/>
      </w:rPr>
      <w:instrText xml:space="preserve"> PAGE   \* MERGEFORMAT </w:instrText>
    </w:r>
    <w:r w:rsidRPr="005A5E5B">
      <w:rPr>
        <w:sz w:val="18"/>
      </w:rPr>
      <w:fldChar w:fldCharType="separate"/>
    </w:r>
    <w:r w:rsidR="00323133">
      <w:rPr>
        <w:noProof/>
        <w:sz w:val="18"/>
      </w:rPr>
      <w:t>6</w:t>
    </w:r>
    <w:r w:rsidRPr="005A5E5B">
      <w:rPr>
        <w:noProof/>
        <w:sz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6BC8A9" w14:textId="340ACC81" w:rsidR="00060D86" w:rsidRPr="00D93332" w:rsidRDefault="00060D86" w:rsidP="007967F0">
    <w:pPr>
      <w:pStyle w:val="Footer"/>
      <w:tabs>
        <w:tab w:val="clear" w:pos="4513"/>
        <w:tab w:val="clear" w:pos="9026"/>
        <w:tab w:val="center" w:pos="6946"/>
        <w:tab w:val="right" w:pos="9639"/>
      </w:tabs>
      <w:spacing w:before="120" w:line="264" w:lineRule="auto"/>
      <w:rPr>
        <w:sz w:val="18"/>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86D4FA" w14:textId="04A48C77" w:rsidR="00060D86" w:rsidRPr="00D93332" w:rsidRDefault="00060D86" w:rsidP="007967F0">
    <w:pPr>
      <w:pStyle w:val="Footer"/>
      <w:tabs>
        <w:tab w:val="clear" w:pos="4513"/>
        <w:tab w:val="clear" w:pos="9026"/>
        <w:tab w:val="center" w:pos="6946"/>
        <w:tab w:val="right" w:pos="9639"/>
      </w:tabs>
      <w:spacing w:before="120" w:line="264" w:lineRule="auto"/>
      <w:rPr>
        <w:sz w:val="18"/>
      </w:rPr>
    </w:pPr>
    <w:r w:rsidRPr="00FF6AB9">
      <w:rPr>
        <w:noProof/>
        <w:sz w:val="18"/>
        <w:lang w:eastAsia="en-AU"/>
      </w:rPr>
      <w:drawing>
        <wp:anchor distT="0" distB="0" distL="114300" distR="114300" simplePos="0" relativeHeight="251657728" behindDoc="0" locked="0" layoutInCell="1" allowOverlap="1" wp14:anchorId="61A560F2" wp14:editId="2085217F">
          <wp:simplePos x="0" y="0"/>
          <wp:positionH relativeFrom="column">
            <wp:posOffset>0</wp:posOffset>
          </wp:positionH>
          <wp:positionV relativeFrom="paragraph">
            <wp:posOffset>175895</wp:posOffset>
          </wp:positionV>
          <wp:extent cx="6120000" cy="54000"/>
          <wp:effectExtent l="0" t="0" r="0" b="3175"/>
          <wp:wrapTopAndBottom/>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Pr="007967F0">
      <w:rPr>
        <w:sz w:val="18"/>
      </w:rPr>
      <w:t>Australian National Report for the Eighth Review Meeting of the Convention on Nuclear Safety</w:t>
    </w:r>
    <w:r w:rsidRPr="00FF6AB9">
      <w:rPr>
        <w:sz w:val="18"/>
      </w:rPr>
      <w:tab/>
    </w:r>
    <w:r>
      <w:rPr>
        <w:sz w:val="18"/>
      </w:rPr>
      <w:tab/>
    </w:r>
    <w:r w:rsidRPr="005A5E5B">
      <w:rPr>
        <w:sz w:val="18"/>
      </w:rPr>
      <w:fldChar w:fldCharType="begin"/>
    </w:r>
    <w:r w:rsidRPr="005A5E5B">
      <w:rPr>
        <w:sz w:val="18"/>
      </w:rPr>
      <w:instrText xml:space="preserve"> PAGE   \* MERGEFORMAT </w:instrText>
    </w:r>
    <w:r w:rsidRPr="005A5E5B">
      <w:rPr>
        <w:sz w:val="18"/>
      </w:rPr>
      <w:fldChar w:fldCharType="separate"/>
    </w:r>
    <w:r w:rsidR="00323133">
      <w:rPr>
        <w:noProof/>
        <w:sz w:val="18"/>
      </w:rPr>
      <w:t>12</w:t>
    </w:r>
    <w:r w:rsidRPr="005A5E5B">
      <w:rPr>
        <w:noProof/>
        <w:sz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12F3E" w14:textId="3EF83E26" w:rsidR="00060D86" w:rsidRPr="00D93332" w:rsidRDefault="00060D86" w:rsidP="007967F0">
    <w:pPr>
      <w:pStyle w:val="Footer"/>
      <w:tabs>
        <w:tab w:val="clear" w:pos="4513"/>
        <w:tab w:val="clear" w:pos="9026"/>
        <w:tab w:val="center" w:pos="6946"/>
        <w:tab w:val="right" w:pos="9639"/>
      </w:tabs>
      <w:spacing w:before="120" w:line="264" w:lineRule="auto"/>
      <w:rPr>
        <w:sz w:val="18"/>
      </w:rP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00A8A2" w14:textId="0F88CBE1" w:rsidR="00060D86" w:rsidRPr="00D93332" w:rsidRDefault="00060D86" w:rsidP="007967F0">
    <w:pPr>
      <w:pStyle w:val="Footer"/>
      <w:tabs>
        <w:tab w:val="clear" w:pos="4513"/>
        <w:tab w:val="clear" w:pos="9026"/>
        <w:tab w:val="center" w:pos="6946"/>
        <w:tab w:val="right" w:pos="9639"/>
      </w:tabs>
      <w:spacing w:before="120" w:line="264" w:lineRule="auto"/>
      <w:rPr>
        <w:sz w:val="18"/>
      </w:rPr>
    </w:pPr>
    <w:r w:rsidRPr="00FF6AB9">
      <w:rPr>
        <w:noProof/>
        <w:sz w:val="18"/>
        <w:lang w:eastAsia="en-AU"/>
      </w:rPr>
      <w:drawing>
        <wp:anchor distT="0" distB="0" distL="114300" distR="114300" simplePos="0" relativeHeight="251658752" behindDoc="0" locked="0" layoutInCell="1" allowOverlap="1" wp14:anchorId="08524B29" wp14:editId="581A247B">
          <wp:simplePos x="0" y="0"/>
          <wp:positionH relativeFrom="column">
            <wp:posOffset>0</wp:posOffset>
          </wp:positionH>
          <wp:positionV relativeFrom="paragraph">
            <wp:posOffset>175895</wp:posOffset>
          </wp:positionV>
          <wp:extent cx="6120000" cy="54000"/>
          <wp:effectExtent l="0" t="0" r="0" b="3175"/>
          <wp:wrapTopAndBottom/>
          <wp:docPr id="15"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Pr="007967F0">
      <w:rPr>
        <w:sz w:val="18"/>
      </w:rPr>
      <w:t>Australian National Report for the Eighth Review Meeting of the Convention on Nuclear Safety</w:t>
    </w:r>
    <w:r w:rsidRPr="00FF6AB9">
      <w:rPr>
        <w:sz w:val="18"/>
      </w:rPr>
      <w:tab/>
    </w:r>
    <w:r>
      <w:rPr>
        <w:sz w:val="18"/>
      </w:rPr>
      <w:tab/>
    </w:r>
    <w:r w:rsidRPr="005A5E5B">
      <w:rPr>
        <w:sz w:val="18"/>
      </w:rPr>
      <w:fldChar w:fldCharType="begin"/>
    </w:r>
    <w:r w:rsidRPr="005A5E5B">
      <w:rPr>
        <w:sz w:val="18"/>
      </w:rPr>
      <w:instrText xml:space="preserve"> PAGE   \* MERGEFORMAT </w:instrText>
    </w:r>
    <w:r w:rsidRPr="005A5E5B">
      <w:rPr>
        <w:sz w:val="18"/>
      </w:rPr>
      <w:fldChar w:fldCharType="separate"/>
    </w:r>
    <w:r w:rsidR="00323133">
      <w:rPr>
        <w:noProof/>
        <w:sz w:val="18"/>
      </w:rPr>
      <w:t>20</w:t>
    </w:r>
    <w:r w:rsidRPr="005A5E5B">
      <w:rPr>
        <w:noProof/>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F6F4B0" w14:textId="77777777" w:rsidR="00060D86" w:rsidRDefault="00060D86" w:rsidP="00037687">
      <w:r>
        <w:separator/>
      </w:r>
    </w:p>
  </w:footnote>
  <w:footnote w:type="continuationSeparator" w:id="0">
    <w:p w14:paraId="03E9136B" w14:textId="77777777" w:rsidR="00060D86" w:rsidRDefault="00060D86" w:rsidP="00037687">
      <w:r>
        <w:continuationSeparator/>
      </w:r>
    </w:p>
  </w:footnote>
  <w:footnote w:id="1">
    <w:p w14:paraId="7CC519FC" w14:textId="16439446" w:rsidR="00060D86" w:rsidRDefault="00060D86" w:rsidP="003D5A37">
      <w:pPr>
        <w:pStyle w:val="FootnoteText"/>
      </w:pPr>
      <w:r>
        <w:rPr>
          <w:rStyle w:val="FootnoteReference"/>
        </w:rPr>
        <w:footnoteRef/>
      </w:r>
      <w:r>
        <w:t xml:space="preserve"> </w:t>
      </w:r>
      <w:r>
        <w:tab/>
        <w:t xml:space="preserve">Australia is a federation of six states and two self-governing territories </w:t>
      </w:r>
    </w:p>
  </w:footnote>
  <w:footnote w:id="2">
    <w:p w14:paraId="0A2A60AD" w14:textId="77777777" w:rsidR="00060D86" w:rsidRDefault="00060D86" w:rsidP="000F4BA8">
      <w:pPr>
        <w:pStyle w:val="FootnoteText"/>
      </w:pPr>
      <w:r>
        <w:rPr>
          <w:rStyle w:val="FootnoteReference"/>
        </w:rPr>
        <w:footnoteRef/>
      </w:r>
      <w:r>
        <w:t xml:space="preserve"> </w:t>
      </w:r>
      <w:r>
        <w:tab/>
        <w:t xml:space="preserve">See </w:t>
      </w:r>
      <w:hyperlink r:id="rId1" w:history="1">
        <w:r w:rsidRPr="000F4BA8">
          <w:rPr>
            <w:rStyle w:val="Hyperlink"/>
          </w:rPr>
          <w:t>https://yoursay.sa.gov.au/pages/nuclear-fuel-cycle-royal-commission-report-release/</w:t>
        </w:r>
      </w:hyperlink>
    </w:p>
  </w:footnote>
  <w:footnote w:id="3">
    <w:p w14:paraId="1A2049A5" w14:textId="76C2D6CC" w:rsidR="00060D86" w:rsidRDefault="00060D86" w:rsidP="00F00C8D">
      <w:pPr>
        <w:pStyle w:val="FootnoteText"/>
      </w:pPr>
      <w:r>
        <w:rPr>
          <w:rStyle w:val="FootnoteReference"/>
        </w:rPr>
        <w:footnoteRef/>
      </w:r>
      <w:r>
        <w:t xml:space="preserve"> </w:t>
      </w:r>
      <w:r>
        <w:tab/>
        <w:t xml:space="preserve">See </w:t>
      </w:r>
      <w:hyperlink r:id="rId2" w:history="1">
        <w:r>
          <w:rPr>
            <w:rStyle w:val="Hyperlink"/>
          </w:rPr>
          <w:t>http://assets.yoursay.sa.gov.au/production</w:t>
        </w:r>
      </w:hyperlink>
    </w:p>
  </w:footnote>
  <w:footnote w:id="4">
    <w:p w14:paraId="558F2B23" w14:textId="3A2D13EF" w:rsidR="00060D86" w:rsidRDefault="00060D86" w:rsidP="006E2A2A">
      <w:pPr>
        <w:pStyle w:val="FootnoteText"/>
      </w:pPr>
      <w:r>
        <w:rPr>
          <w:rStyle w:val="FootnoteReference"/>
        </w:rPr>
        <w:footnoteRef/>
      </w:r>
      <w:r>
        <w:t xml:space="preserve"> </w:t>
      </w:r>
      <w:r>
        <w:tab/>
        <w:t>See</w:t>
      </w:r>
      <w:hyperlink r:id="rId3" w:history="1">
        <w:r w:rsidRPr="00FD7DD3">
          <w:rPr>
            <w:rStyle w:val="Hyperlink"/>
          </w:rPr>
          <w:t xml:space="preserve"> https://www.legislation.gov.au</w:t>
        </w:r>
      </w:hyperlink>
    </w:p>
  </w:footnote>
  <w:footnote w:id="5">
    <w:p w14:paraId="7076C976" w14:textId="780E2AC5" w:rsidR="00060D86" w:rsidRDefault="00060D86" w:rsidP="006E2A2A">
      <w:pPr>
        <w:pStyle w:val="FootnoteText"/>
      </w:pPr>
      <w:r>
        <w:rPr>
          <w:rStyle w:val="FootnoteReference"/>
        </w:rPr>
        <w:footnoteRef/>
      </w:r>
      <w:r>
        <w:t xml:space="preserve"> </w:t>
      </w:r>
      <w:r>
        <w:tab/>
        <w:t xml:space="preserve">See </w:t>
      </w:r>
      <w:hyperlink r:id="rId4" w:history="1">
        <w:r w:rsidRPr="008713B7">
          <w:rPr>
            <w:rStyle w:val="Hyperlink"/>
          </w:rPr>
          <w:t>https://www.industry.gov.au</w:t>
        </w:r>
      </w:hyperlink>
    </w:p>
  </w:footnote>
  <w:footnote w:id="6">
    <w:p w14:paraId="181B955A" w14:textId="3B328989" w:rsidR="00060D86" w:rsidRDefault="00060D86" w:rsidP="006E2A2A">
      <w:pPr>
        <w:pStyle w:val="FootnoteText"/>
      </w:pPr>
      <w:r>
        <w:rPr>
          <w:rStyle w:val="FootnoteReference"/>
        </w:rPr>
        <w:footnoteRef/>
      </w:r>
      <w:r>
        <w:t xml:space="preserve"> </w:t>
      </w:r>
      <w:r>
        <w:tab/>
        <w:t xml:space="preserve">See </w:t>
      </w:r>
      <w:hyperlink r:id="rId5" w:history="1">
        <w:r w:rsidRPr="00F11AAE">
          <w:rPr>
            <w:rStyle w:val="Hyperlink"/>
          </w:rPr>
          <w:t>https://www.arpansa.gov.au</w:t>
        </w:r>
      </w:hyperlink>
    </w:p>
  </w:footnote>
  <w:footnote w:id="7">
    <w:p w14:paraId="47FDCDCB" w14:textId="27935FDA" w:rsidR="00060D86" w:rsidRDefault="00060D86">
      <w:pPr>
        <w:pStyle w:val="FootnoteText"/>
      </w:pPr>
      <w:r>
        <w:rPr>
          <w:rStyle w:val="FootnoteReference"/>
        </w:rPr>
        <w:footnoteRef/>
      </w:r>
      <w:r>
        <w:t xml:space="preserve"> </w:t>
      </w:r>
      <w:r>
        <w:tab/>
        <w:t>Queensland, New South Wales, Victoria, Tasmania, South Australia, Western Australia, the Northern Territory, the Australian Capital Territory.</w:t>
      </w:r>
    </w:p>
  </w:footnote>
  <w:footnote w:id="8">
    <w:p w14:paraId="753D5D4E" w14:textId="0B12CFD7" w:rsidR="00060D86" w:rsidRDefault="00060D86" w:rsidP="006E2A2A">
      <w:pPr>
        <w:pStyle w:val="FootnoteText"/>
      </w:pPr>
      <w:r>
        <w:rPr>
          <w:rStyle w:val="FootnoteReference"/>
        </w:rPr>
        <w:footnoteRef/>
      </w:r>
      <w:r>
        <w:t xml:space="preserve"> </w:t>
      </w:r>
      <w:r>
        <w:tab/>
        <w:t xml:space="preserve">See </w:t>
      </w:r>
      <w:hyperlink r:id="rId6" w:history="1">
        <w:r w:rsidRPr="00F11AAE">
          <w:rPr>
            <w:rStyle w:val="Hyperlink"/>
          </w:rPr>
          <w:t>https://www.arpansa.gov.au</w:t>
        </w:r>
      </w:hyperlink>
    </w:p>
    <w:p w14:paraId="6BBC1523" w14:textId="77777777" w:rsidR="00060D86" w:rsidRDefault="00060D86" w:rsidP="00D81ADA">
      <w:pPr>
        <w:pStyle w:val="FootnoteText"/>
        <w:ind w:left="0" w:firstLine="0"/>
      </w:pPr>
    </w:p>
  </w:footnote>
  <w:footnote w:id="9">
    <w:p w14:paraId="427BD306" w14:textId="2FA4F21A" w:rsidR="00060D86" w:rsidRDefault="00060D86" w:rsidP="001D1CDB">
      <w:pPr>
        <w:pStyle w:val="ListParagraph"/>
        <w:ind w:left="720"/>
      </w:pPr>
      <w:r>
        <w:rPr>
          <w:rStyle w:val="FootnoteReference"/>
        </w:rPr>
        <w:footnoteRef/>
      </w:r>
      <w:r>
        <w:t xml:space="preserve">  See </w:t>
      </w:r>
      <w:hyperlink r:id="rId7" w:history="1">
        <w:r>
          <w:rPr>
            <w:rStyle w:val="Hyperlink"/>
          </w:rPr>
          <w:t>https://www.arpansa.gov.au/sites</w:t>
        </w:r>
      </w:hyperlink>
    </w:p>
  </w:footnote>
  <w:footnote w:id="10">
    <w:p w14:paraId="1FD5DE94" w14:textId="4792B6A3" w:rsidR="00060D86" w:rsidRDefault="00060D86" w:rsidP="001D1CDB">
      <w:pPr>
        <w:pStyle w:val="ListParagraph"/>
        <w:ind w:left="720"/>
      </w:pPr>
      <w:r>
        <w:rPr>
          <w:rStyle w:val="FootnoteReference"/>
        </w:rPr>
        <w:footnoteRef/>
      </w:r>
      <w:r>
        <w:t xml:space="preserve">  See </w:t>
      </w:r>
      <w:hyperlink r:id="rId8" w:history="1">
        <w:r w:rsidRPr="001D1CDB">
          <w:rPr>
            <w:rStyle w:val="Hyperlink"/>
          </w:rPr>
          <w:t>https://www.arpansa.gov.au/sites/default/files/reg-la-sup-240a.pdf</w:t>
        </w:r>
      </w:hyperlink>
    </w:p>
    <w:p w14:paraId="6AC89B9F" w14:textId="77777777" w:rsidR="00060D86" w:rsidRDefault="00060D86" w:rsidP="001D1CDB">
      <w:pPr>
        <w:pStyle w:val="FootnoteText"/>
        <w:ind w:left="0" w:firstLine="0"/>
      </w:pPr>
    </w:p>
  </w:footnote>
  <w:footnote w:id="11">
    <w:p w14:paraId="4E3181B4" w14:textId="77777777" w:rsidR="00060D86" w:rsidRDefault="00060D86" w:rsidP="007401AB">
      <w:pPr>
        <w:pStyle w:val="FootnoteText"/>
      </w:pPr>
      <w:r>
        <w:rPr>
          <w:rStyle w:val="FootnoteReference"/>
        </w:rPr>
        <w:footnoteRef/>
      </w:r>
      <w:r>
        <w:t xml:space="preserve"> </w:t>
      </w:r>
      <w:r>
        <w:tab/>
        <w:t xml:space="preserve">See </w:t>
      </w:r>
      <w:hyperlink r:id="rId9" w:history="1">
        <w:r w:rsidRPr="00C068AC">
          <w:rPr>
            <w:rStyle w:val="Hyperlink"/>
          </w:rPr>
          <w:t>http://www.ansto.gov.au/AboutANSTO/OPAL/index.htm</w:t>
        </w:r>
      </w:hyperlink>
      <w:r>
        <w:t xml:space="preserve"> </w:t>
      </w:r>
    </w:p>
  </w:footnote>
  <w:footnote w:id="12">
    <w:p w14:paraId="4C82FA3D" w14:textId="779D6374" w:rsidR="00060D86" w:rsidRDefault="00060D86">
      <w:pPr>
        <w:pStyle w:val="FootnoteText"/>
      </w:pPr>
      <w:r>
        <w:rPr>
          <w:rStyle w:val="FootnoteReference"/>
        </w:rPr>
        <w:footnoteRef/>
      </w:r>
      <w:r>
        <w:t xml:space="preserve"> </w:t>
      </w:r>
      <w:r>
        <w:tab/>
        <w:t>Note that at the time of submission of this report, a further worker contamination event, which occurred at the new ANSTO Nuclear Medicine facility (ANM), was under investigation by ARPANSA. Information will be provided during the review meeting.</w:t>
      </w:r>
    </w:p>
  </w:footnote>
  <w:footnote w:id="13">
    <w:p w14:paraId="5C49C6B5" w14:textId="1589DCA8" w:rsidR="00060D86" w:rsidRDefault="00060D86" w:rsidP="00987E0D">
      <w:pPr>
        <w:pStyle w:val="FootnoteText"/>
      </w:pPr>
      <w:r>
        <w:rPr>
          <w:rStyle w:val="FootnoteReference"/>
        </w:rPr>
        <w:footnoteRef/>
      </w:r>
      <w:r>
        <w:t xml:space="preserve"> </w:t>
      </w:r>
      <w:r>
        <w:tab/>
        <w:t xml:space="preserve">See </w:t>
      </w:r>
      <w:hyperlink r:id="rId10" w:history="1">
        <w:r w:rsidRPr="00146D4E">
          <w:rPr>
            <w:rStyle w:val="Hyperlink"/>
          </w:rPr>
          <w:t>https://www.arpansa.gov.au/about-us</w:t>
        </w:r>
      </w:hyperlink>
    </w:p>
  </w:footnote>
  <w:footnote w:id="14">
    <w:p w14:paraId="1558F250" w14:textId="77777777" w:rsidR="00060D86" w:rsidRDefault="00060D86" w:rsidP="00987E0D">
      <w:pPr>
        <w:pStyle w:val="FootnoteText"/>
      </w:pPr>
      <w:r>
        <w:rPr>
          <w:rStyle w:val="FootnoteReference"/>
        </w:rPr>
        <w:footnoteRef/>
      </w:r>
      <w:r>
        <w:t xml:space="preserve"> </w:t>
      </w:r>
      <w:r>
        <w:tab/>
        <w:t xml:space="preserve">See </w:t>
      </w:r>
      <w:r w:rsidRPr="00987E0D">
        <w:rPr>
          <w:rStyle w:val="Hyperlink"/>
        </w:rPr>
        <w:t>https://arpansa.govcms.gov.au/sites/g/files/net3086/f/independent_review_of_ansto_health.pdf</w:t>
      </w:r>
    </w:p>
  </w:footnote>
  <w:footnote w:id="15">
    <w:p w14:paraId="225DD876" w14:textId="77777777" w:rsidR="00060D86" w:rsidRDefault="00060D86" w:rsidP="00E160DF">
      <w:pPr>
        <w:pStyle w:val="FootnoteText"/>
      </w:pPr>
      <w:r>
        <w:rPr>
          <w:rStyle w:val="FootnoteReference"/>
        </w:rPr>
        <w:footnoteRef/>
      </w:r>
      <w:r>
        <w:t xml:space="preserve"> </w:t>
      </w:r>
      <w:r>
        <w:tab/>
        <w:t xml:space="preserve">See </w:t>
      </w:r>
      <w:hyperlink r:id="rId11" w:history="1">
        <w:r w:rsidRPr="00050F04">
          <w:rPr>
            <w:rStyle w:val="Hyperlink"/>
          </w:rPr>
          <w:t>https://www.arpansa.gov.au/regulation-and-licensing/regulation/international-best-practice</w:t>
        </w:r>
      </w:hyperlink>
    </w:p>
  </w:footnote>
  <w:footnote w:id="16">
    <w:p w14:paraId="10549166" w14:textId="7B72BD49" w:rsidR="00060D86" w:rsidRDefault="00060D86" w:rsidP="00325E86">
      <w:pPr>
        <w:pStyle w:val="FootnoteText"/>
      </w:pPr>
      <w:r>
        <w:rPr>
          <w:rStyle w:val="FootnoteReference"/>
        </w:rPr>
        <w:footnoteRef/>
      </w:r>
      <w:r>
        <w:t xml:space="preserve"> </w:t>
      </w:r>
      <w:r>
        <w:tab/>
        <w:t xml:space="preserve">See </w:t>
      </w:r>
      <w:hyperlink r:id="rId12" w:history="1">
        <w:r w:rsidRPr="00050F04">
          <w:rPr>
            <w:rStyle w:val="Hyperlink"/>
          </w:rPr>
          <w:t>https://www.arpansa.gov.au/regulation-and-licensing/licensing/information-for-licence-holders/regulatory-guides</w:t>
        </w:r>
      </w:hyperlink>
    </w:p>
  </w:footnote>
  <w:footnote w:id="17">
    <w:p w14:paraId="443945E5" w14:textId="77777777" w:rsidR="00060D86" w:rsidRDefault="00060D86" w:rsidP="0022426D">
      <w:pPr>
        <w:ind w:left="360" w:hanging="360"/>
      </w:pPr>
      <w:r>
        <w:rPr>
          <w:rStyle w:val="FootnoteReference"/>
        </w:rPr>
        <w:footnoteRef/>
      </w:r>
      <w:r>
        <w:t xml:space="preserve">  See </w:t>
      </w:r>
      <w:hyperlink r:id="rId13" w:history="1">
        <w:r>
          <w:rPr>
            <w:rStyle w:val="Hyperlink"/>
          </w:rPr>
          <w:t>https://www.arpansa.gov.au/sites</w:t>
        </w:r>
      </w:hyperlink>
    </w:p>
  </w:footnote>
  <w:footnote w:id="18">
    <w:p w14:paraId="2450E654" w14:textId="4113BEDB" w:rsidR="00060D86" w:rsidRDefault="00060D86" w:rsidP="00AB09EF">
      <w:pPr>
        <w:spacing w:before="120"/>
        <w:ind w:left="360" w:hanging="360"/>
      </w:pPr>
      <w:r>
        <w:rPr>
          <w:rStyle w:val="FootnoteReference"/>
        </w:rPr>
        <w:footnoteRef/>
      </w:r>
      <w:r>
        <w:t xml:space="preserve">  See </w:t>
      </w:r>
      <w:hyperlink r:id="rId14" w:history="1">
        <w:r w:rsidRPr="001D1CDB">
          <w:rPr>
            <w:rStyle w:val="Hyperlink"/>
          </w:rPr>
          <w:t>https://www.arpansa.gov.au/sites/default/files/reg-la-sup-240a.pdf</w:t>
        </w:r>
      </w:hyperlink>
    </w:p>
  </w:footnote>
  <w:footnote w:id="19">
    <w:p w14:paraId="336A8C2D" w14:textId="181A1593" w:rsidR="00060D86" w:rsidRDefault="00060D86" w:rsidP="00E30E3C">
      <w:pPr>
        <w:pStyle w:val="FootnoteText"/>
      </w:pPr>
      <w:r w:rsidRPr="0022426D">
        <w:rPr>
          <w:rStyle w:val="FootnoteReference"/>
          <w:sz w:val="22"/>
          <w:szCs w:val="22"/>
        </w:rPr>
        <w:footnoteRef/>
      </w:r>
      <w:r w:rsidRPr="0022426D">
        <w:rPr>
          <w:rStyle w:val="FootnoteReference"/>
          <w:sz w:val="22"/>
          <w:szCs w:val="22"/>
        </w:rPr>
        <w:t xml:space="preserve"> </w:t>
      </w:r>
      <w:r w:rsidRPr="0022426D">
        <w:rPr>
          <w:rStyle w:val="FootnoteReference"/>
          <w:sz w:val="22"/>
          <w:szCs w:val="22"/>
        </w:rPr>
        <w:tab/>
      </w:r>
      <w:r w:rsidRPr="0022426D">
        <w:rPr>
          <w:sz w:val="22"/>
          <w:szCs w:val="22"/>
        </w:rPr>
        <w:t xml:space="preserve">See </w:t>
      </w:r>
      <w:hyperlink r:id="rId15" w:history="1">
        <w:r w:rsidRPr="0022426D">
          <w:rPr>
            <w:rStyle w:val="Hyperlink"/>
            <w:sz w:val="22"/>
            <w:szCs w:val="22"/>
          </w:rPr>
          <w:t>https://www.arpansa.gov.au/sites/default/files/arpansa-reg-ins-man-280w.pdf</w:t>
        </w:r>
      </w:hyperlink>
    </w:p>
  </w:footnote>
  <w:footnote w:id="20">
    <w:p w14:paraId="6FDE9FDF" w14:textId="6B66435E" w:rsidR="00060D86" w:rsidRDefault="00060D86" w:rsidP="00412899">
      <w:pPr>
        <w:pStyle w:val="FootnoteText"/>
      </w:pPr>
      <w:r>
        <w:rPr>
          <w:rStyle w:val="FootnoteReference"/>
        </w:rPr>
        <w:footnoteRef/>
      </w:r>
      <w:r>
        <w:t xml:space="preserve"> </w:t>
      </w:r>
      <w:r>
        <w:tab/>
        <w:t xml:space="preserve">See </w:t>
      </w:r>
      <w:hyperlink r:id="rId16" w:history="1">
        <w:r w:rsidRPr="00E30E3C">
          <w:rPr>
            <w:rStyle w:val="Hyperlink"/>
          </w:rPr>
          <w:t>https://www.arpansa.gov.au/sites/g/files/net3086/f/reg-com-sup-270j.pdf</w:t>
        </w:r>
      </w:hyperlink>
    </w:p>
  </w:footnote>
  <w:footnote w:id="21">
    <w:p w14:paraId="62A216F6" w14:textId="35A9BF71" w:rsidR="00060D86" w:rsidRDefault="00060D86" w:rsidP="00E8687D">
      <w:pPr>
        <w:pStyle w:val="FootnoteText"/>
      </w:pPr>
      <w:r>
        <w:rPr>
          <w:rStyle w:val="FootnoteReference"/>
        </w:rPr>
        <w:footnoteRef/>
      </w:r>
      <w:r>
        <w:t xml:space="preserve"> </w:t>
      </w:r>
      <w:r>
        <w:tab/>
        <w:t xml:space="preserve">See </w:t>
      </w:r>
      <w:hyperlink r:id="rId17" w:history="1">
        <w:r w:rsidRPr="00E30E3C">
          <w:rPr>
            <w:rStyle w:val="Hyperlink"/>
          </w:rPr>
          <w:t>https://www.arpansa.gov.au/sites/default/files/arpansa-reg-com-man-270w_compliance_enforcement_manual.pdf</w:t>
        </w:r>
      </w:hyperlink>
    </w:p>
  </w:footnote>
  <w:footnote w:id="22">
    <w:p w14:paraId="514C6EBB" w14:textId="5AEB0135" w:rsidR="00060D86" w:rsidRPr="00C10B31" w:rsidRDefault="00060D86" w:rsidP="00F36C74">
      <w:pPr>
        <w:pStyle w:val="FootnoteText"/>
      </w:pPr>
      <w:r>
        <w:rPr>
          <w:rStyle w:val="FootnoteReference"/>
        </w:rPr>
        <w:footnoteRef/>
      </w:r>
      <w:r>
        <w:t xml:space="preserve">  see  </w:t>
      </w:r>
      <w:hyperlink r:id="rId18" w:history="1">
        <w:r>
          <w:rPr>
            <w:rStyle w:val="Hyperlink"/>
          </w:rPr>
          <w:t>https://www.arpansa.gov.au/regulation-and-licensing</w:t>
        </w:r>
      </w:hyperlink>
    </w:p>
  </w:footnote>
  <w:footnote w:id="23">
    <w:p w14:paraId="6594936B" w14:textId="48B99BCB" w:rsidR="00060D86" w:rsidRDefault="00060D86">
      <w:pPr>
        <w:pStyle w:val="FootnoteText"/>
      </w:pPr>
      <w:r>
        <w:rPr>
          <w:rStyle w:val="FootnoteReference"/>
        </w:rPr>
        <w:footnoteRef/>
      </w:r>
      <w:r>
        <w:t xml:space="preserve"> See  </w:t>
      </w:r>
      <w:hyperlink r:id="rId19" w:history="1">
        <w:r>
          <w:rPr>
            <w:rStyle w:val="Hyperlink"/>
          </w:rPr>
          <w:t>https://www.arpansa.gov.au/regulation-and-licensing</w:t>
        </w:r>
      </w:hyperlink>
      <w:r>
        <w:t xml:space="preserve"> </w:t>
      </w:r>
    </w:p>
  </w:footnote>
  <w:footnote w:id="24">
    <w:p w14:paraId="1B74ACE2" w14:textId="1CE5395F" w:rsidR="00060D86" w:rsidRDefault="00060D86" w:rsidP="003805AE">
      <w:pPr>
        <w:pStyle w:val="FootnoteText"/>
      </w:pPr>
      <w:r>
        <w:rPr>
          <w:rStyle w:val="FootnoteReference"/>
        </w:rPr>
        <w:footnoteRef/>
      </w:r>
      <w:r>
        <w:t xml:space="preserve"> </w:t>
      </w:r>
      <w:r>
        <w:tab/>
        <w:t xml:space="preserve">See </w:t>
      </w:r>
      <w:hyperlink r:id="rId20" w:history="1">
        <w:r w:rsidRPr="008B26A5">
          <w:rPr>
            <w:rStyle w:val="Hyperlink"/>
          </w:rPr>
          <w:t>https://www.arpansa.gov.au/about-us/corporate-publications/regulator-performance-framework</w:t>
        </w:r>
      </w:hyperlink>
    </w:p>
  </w:footnote>
  <w:footnote w:id="25">
    <w:p w14:paraId="6619081B" w14:textId="36FC84CE" w:rsidR="00060D86" w:rsidRDefault="00060D86" w:rsidP="002F568C">
      <w:pPr>
        <w:pStyle w:val="FootnoteText"/>
      </w:pPr>
      <w:r>
        <w:rPr>
          <w:rStyle w:val="FootnoteReference"/>
        </w:rPr>
        <w:footnoteRef/>
      </w:r>
      <w:r>
        <w:t xml:space="preserve"> </w:t>
      </w:r>
      <w:r>
        <w:tab/>
        <w:t xml:space="preserve">See </w:t>
      </w:r>
      <w:hyperlink r:id="rId21" w:history="1">
        <w:r w:rsidRPr="008B26A5">
          <w:rPr>
            <w:rStyle w:val="Hyperlink"/>
          </w:rPr>
          <w:t>https://www.arpansa.gov.au</w:t>
        </w:r>
      </w:hyperlink>
    </w:p>
  </w:footnote>
  <w:footnote w:id="26">
    <w:p w14:paraId="6958E1E0" w14:textId="4E6DC520" w:rsidR="00060D86" w:rsidRDefault="00060D86" w:rsidP="002F568C">
      <w:pPr>
        <w:pStyle w:val="FootnoteText"/>
      </w:pPr>
      <w:r>
        <w:rPr>
          <w:rStyle w:val="FootnoteReference"/>
        </w:rPr>
        <w:footnoteRef/>
      </w:r>
      <w:r>
        <w:t xml:space="preserve"> </w:t>
      </w:r>
      <w:r>
        <w:tab/>
        <w:t xml:space="preserve">See </w:t>
      </w:r>
      <w:hyperlink r:id="rId22" w:history="1">
        <w:r w:rsidRPr="008B26A5">
          <w:rPr>
            <w:rStyle w:val="Hyperlink"/>
          </w:rPr>
          <w:t>https://www.arpansa.gov.au/about-us/advisory-council</w:t>
        </w:r>
      </w:hyperlink>
    </w:p>
  </w:footnote>
  <w:footnote w:id="27">
    <w:p w14:paraId="11DE4810" w14:textId="0E72A36D" w:rsidR="00060D86" w:rsidRDefault="00060D86" w:rsidP="002F568C">
      <w:pPr>
        <w:pStyle w:val="FootnoteText"/>
      </w:pPr>
      <w:r>
        <w:rPr>
          <w:rStyle w:val="FootnoteReference"/>
        </w:rPr>
        <w:footnoteRef/>
      </w:r>
      <w:r>
        <w:t xml:space="preserve"> </w:t>
      </w:r>
      <w:r>
        <w:tab/>
        <w:t xml:space="preserve">See </w:t>
      </w:r>
      <w:hyperlink r:id="rId23" w:history="1">
        <w:r w:rsidRPr="008B26A5">
          <w:rPr>
            <w:rStyle w:val="Hyperlink"/>
          </w:rPr>
          <w:t>https://www.arpansa.gov.au/RHC</w:t>
        </w:r>
      </w:hyperlink>
    </w:p>
  </w:footnote>
  <w:footnote w:id="28">
    <w:p w14:paraId="177F40B1" w14:textId="77777777" w:rsidR="00060D86" w:rsidRDefault="00060D86" w:rsidP="00540ABF">
      <w:pPr>
        <w:pStyle w:val="FootnoteText"/>
      </w:pPr>
      <w:r>
        <w:rPr>
          <w:rStyle w:val="FootnoteReference"/>
        </w:rPr>
        <w:footnoteRef/>
      </w:r>
      <w:r>
        <w:t xml:space="preserve"> </w:t>
      </w:r>
      <w:r>
        <w:tab/>
        <w:t xml:space="preserve">See </w:t>
      </w:r>
      <w:r w:rsidRPr="002F568C">
        <w:rPr>
          <w:rStyle w:val="Hyperlink"/>
        </w:rPr>
        <w:t>https://www.arpansa.gov.au/regulation-and-licensing/licensing/information-for-licence-holders/regulatory-guides</w:t>
      </w:r>
    </w:p>
  </w:footnote>
  <w:footnote w:id="29">
    <w:p w14:paraId="62D4B2D5" w14:textId="04B82CDB" w:rsidR="00060D86" w:rsidRPr="005B2389" w:rsidRDefault="00060D86" w:rsidP="00BA17C1">
      <w:pPr>
        <w:pStyle w:val="FootnoteText"/>
      </w:pPr>
      <w:r>
        <w:rPr>
          <w:rStyle w:val="FootnoteReference"/>
        </w:rPr>
        <w:footnoteRef/>
      </w:r>
      <w:r>
        <w:t xml:space="preserve"> </w:t>
      </w:r>
      <w:r>
        <w:tab/>
        <w:t xml:space="preserve">See </w:t>
      </w:r>
      <w:hyperlink r:id="rId24" w:history="1">
        <w:r w:rsidRPr="008B26A5">
          <w:rPr>
            <w:rStyle w:val="Hyperlink"/>
          </w:rPr>
          <w:t>https://www.arpansa.gov.au/sites/default/files/legacy/pubs/regulatory/guides/REG-LA-SUP-240G.pdf</w:t>
        </w:r>
      </w:hyperlink>
    </w:p>
  </w:footnote>
  <w:footnote w:id="30">
    <w:p w14:paraId="1C0BDE79" w14:textId="5C0B97A3" w:rsidR="00060D86" w:rsidRDefault="00060D86" w:rsidP="00567156">
      <w:pPr>
        <w:pStyle w:val="FootnoteText"/>
      </w:pPr>
      <w:r>
        <w:rPr>
          <w:rStyle w:val="FootnoteReference"/>
        </w:rPr>
        <w:footnoteRef/>
      </w:r>
      <w:r>
        <w:t xml:space="preserve"> </w:t>
      </w:r>
      <w:r>
        <w:tab/>
        <w:t xml:space="preserve">See </w:t>
      </w:r>
      <w:hyperlink r:id="rId25" w:history="1">
        <w:r w:rsidRPr="008B26A5">
          <w:rPr>
            <w:rStyle w:val="Hyperlink"/>
          </w:rPr>
          <w:t>https://www.arpansa.gov.au/sites/default/files/legacy/pubs/regulatory/guides/RGL_RG-5.pdf</w:t>
        </w:r>
      </w:hyperlink>
    </w:p>
  </w:footnote>
  <w:footnote w:id="31">
    <w:p w14:paraId="71F522D9" w14:textId="2663A3BA" w:rsidR="00060D86" w:rsidRDefault="00060D86" w:rsidP="00540ABF">
      <w:pPr>
        <w:pStyle w:val="FootnoteText"/>
      </w:pPr>
      <w:r>
        <w:rPr>
          <w:rStyle w:val="FootnoteReference"/>
        </w:rPr>
        <w:footnoteRef/>
      </w:r>
      <w:r>
        <w:t xml:space="preserve"> </w:t>
      </w:r>
      <w:r>
        <w:tab/>
        <w:t xml:space="preserve">See </w:t>
      </w:r>
      <w:hyperlink r:id="rId26" w:history="1">
        <w:r w:rsidRPr="008B26A5">
          <w:rPr>
            <w:rStyle w:val="Hyperlink"/>
          </w:rPr>
          <w:t>https://www.arpansa.gov.au/holistic-safety/guidelines</w:t>
        </w:r>
      </w:hyperlink>
    </w:p>
  </w:footnote>
  <w:footnote w:id="32">
    <w:p w14:paraId="4FA29E98" w14:textId="3970B8AF" w:rsidR="00060D86" w:rsidRDefault="00060D86" w:rsidP="00980796">
      <w:pPr>
        <w:pStyle w:val="FootnoteText"/>
      </w:pPr>
      <w:r>
        <w:rPr>
          <w:rStyle w:val="FootnoteReference"/>
        </w:rPr>
        <w:footnoteRef/>
      </w:r>
      <w:r>
        <w:t xml:space="preserve"> </w:t>
      </w:r>
      <w:r>
        <w:tab/>
        <w:t xml:space="preserve">See </w:t>
      </w:r>
      <w:hyperlink r:id="rId27" w:history="1">
        <w:r w:rsidRPr="00980796">
          <w:rPr>
            <w:rStyle w:val="Hyperlink"/>
          </w:rPr>
          <w:t>https://www.arpansa.gov.au/regulation-and-licensing/regulation/about-regulatory-services/who-we-regulate/major-facilities/open-pool-light-water-reactor/operating-licence-application</w:t>
        </w:r>
      </w:hyperlink>
    </w:p>
  </w:footnote>
  <w:footnote w:id="33">
    <w:p w14:paraId="6446D06C" w14:textId="013EC3E0" w:rsidR="00060D86" w:rsidRDefault="00060D86" w:rsidP="00193D3A">
      <w:pPr>
        <w:pStyle w:val="FootnoteText"/>
      </w:pPr>
      <w:r>
        <w:rPr>
          <w:rStyle w:val="FootnoteReference"/>
        </w:rPr>
        <w:footnoteRef/>
      </w:r>
      <w:r>
        <w:t xml:space="preserve"> </w:t>
      </w:r>
      <w:r>
        <w:tab/>
        <w:t xml:space="preserve">See </w:t>
      </w:r>
      <w:hyperlink r:id="rId28" w:history="1">
        <w:r w:rsidRPr="00980796">
          <w:rPr>
            <w:rStyle w:val="Hyperlink"/>
          </w:rPr>
          <w:t>https://www.arpansa.gov.au/regulation-and-licensing/licensing/information-for-licence-holders/inspections/performance-objectives-and-criteria</w:t>
        </w:r>
      </w:hyperlink>
    </w:p>
  </w:footnote>
  <w:footnote w:id="34">
    <w:p w14:paraId="0BB6A72A" w14:textId="44C76963" w:rsidR="00060D86" w:rsidRDefault="00060D86" w:rsidP="00DE2635">
      <w:pPr>
        <w:pStyle w:val="FootnoteText"/>
      </w:pPr>
      <w:r>
        <w:rPr>
          <w:rStyle w:val="FootnoteReference"/>
        </w:rPr>
        <w:footnoteRef/>
      </w:r>
      <w:r>
        <w:t xml:space="preserve"> </w:t>
      </w:r>
      <w:r>
        <w:tab/>
      </w:r>
      <w:r w:rsidRPr="00FD5BE4">
        <w:t xml:space="preserve">The Commonwealth </w:t>
      </w:r>
      <w:r w:rsidRPr="00FD5BE4">
        <w:rPr>
          <w:i/>
        </w:rPr>
        <w:t>Environment Protection and Biodiversity Conservation Act 1999</w:t>
      </w:r>
      <w:r w:rsidRPr="00FD5BE4">
        <w:t xml:space="preserve"> </w:t>
      </w:r>
      <w:r>
        <w:t>prohibits</w:t>
      </w:r>
      <w:r w:rsidRPr="00FD5BE4">
        <w:t xml:space="preserve"> Commonwealth agencies from undertaking “nuclear actions” which might have a significant impact upon the environment without the consent of the Minister for the Environment</w:t>
      </w:r>
      <w:r>
        <w:t>, who may require the preparation of an environmental impact statement before approval is granted.</w:t>
      </w:r>
    </w:p>
  </w:footnote>
  <w:footnote w:id="35">
    <w:p w14:paraId="01B8A41F" w14:textId="18268892" w:rsidR="00060D86" w:rsidRDefault="00060D86" w:rsidP="00EA21DA">
      <w:pPr>
        <w:pStyle w:val="FootnoteText"/>
      </w:pPr>
      <w:r>
        <w:rPr>
          <w:rStyle w:val="FootnoteReference"/>
        </w:rPr>
        <w:footnoteRef/>
      </w:r>
      <w:r>
        <w:t xml:space="preserve"> </w:t>
      </w:r>
      <w:r>
        <w:tab/>
      </w:r>
      <w:r w:rsidRPr="00980796">
        <w:t xml:space="preserve">See </w:t>
      </w:r>
      <w:hyperlink r:id="rId29" w:history="1">
        <w:r w:rsidRPr="00980796">
          <w:rPr>
            <w:rStyle w:val="Hyperlink"/>
          </w:rPr>
          <w:t>https://www.arpansa.gov.au/regulation-and-licensing/licensing/information-for-licence-applicants/how-do-i-apply-for-a-licence</w:t>
        </w:r>
      </w:hyperlink>
    </w:p>
  </w:footnote>
  <w:footnote w:id="36">
    <w:p w14:paraId="53974150" w14:textId="7F529197" w:rsidR="00060D86" w:rsidRPr="006C4F7B" w:rsidRDefault="00060D86" w:rsidP="00AB18E0">
      <w:pPr>
        <w:pStyle w:val="FootnoteText"/>
        <w:ind w:left="567" w:hanging="567"/>
      </w:pPr>
      <w:r>
        <w:rPr>
          <w:rStyle w:val="FootnoteReference"/>
        </w:rPr>
        <w:footnoteRef/>
      </w:r>
      <w:r>
        <w:t xml:space="preserve"> See </w:t>
      </w:r>
      <w:hyperlink r:id="rId30" w:history="1">
        <w:r w:rsidRPr="005759E9">
          <w:rPr>
            <w:rStyle w:val="Hyperlink"/>
          </w:rPr>
          <w:t>https://www.arpansa.gov.au/sites/default/files/legacy/pubs/regulatory/guides/REG-LA-SUP-240L.pdf</w:t>
        </w:r>
      </w:hyperlink>
    </w:p>
  </w:footnote>
  <w:footnote w:id="37">
    <w:p w14:paraId="0960D3C7" w14:textId="23E95AF3" w:rsidR="00060D86" w:rsidRPr="006C4F7B" w:rsidRDefault="00060D86" w:rsidP="00737A6E">
      <w:pPr>
        <w:pStyle w:val="FootnoteText"/>
      </w:pPr>
      <w:r>
        <w:rPr>
          <w:rStyle w:val="FootnoteReference"/>
        </w:rPr>
        <w:footnoteRef/>
      </w:r>
      <w:r>
        <w:t xml:space="preserve"> </w:t>
      </w:r>
      <w:r>
        <w:tab/>
        <w:t xml:space="preserve">See </w:t>
      </w:r>
      <w:r w:rsidRPr="009B57B6">
        <w:t>https://www.arpansa.gov.au/sites/default/files/legacy/pubs/regulatory/guides/REG-LA-SUP-240L.pdf</w:t>
      </w:r>
    </w:p>
  </w:footnote>
  <w:footnote w:id="38">
    <w:p w14:paraId="6718873C" w14:textId="77777777" w:rsidR="00060D86" w:rsidRDefault="00060D86" w:rsidP="00BC55F5">
      <w:pPr>
        <w:pStyle w:val="FootnoteText"/>
      </w:pPr>
      <w:r>
        <w:rPr>
          <w:rStyle w:val="FootnoteReference"/>
        </w:rPr>
        <w:footnoteRef/>
      </w:r>
      <w:r>
        <w:t xml:space="preserve"> </w:t>
      </w:r>
      <w:r>
        <w:tab/>
        <w:t xml:space="preserve">See </w:t>
      </w:r>
      <w:r w:rsidRPr="00F2548F">
        <w:rPr>
          <w:rStyle w:val="Hyperlink"/>
        </w:rPr>
        <w:t>https://www.arpansa.gov.au/regulation-and-licensing/licensing/information-for-licence-holders/reporting-an-accident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A1674C" w14:textId="76FBD64E" w:rsidR="00060D86" w:rsidRPr="00D93332" w:rsidRDefault="00060D86" w:rsidP="00D93332">
    <w:pPr>
      <w:pStyle w:val="Header"/>
    </w:pPr>
    <w:r>
      <w:rPr>
        <w:noProof/>
        <w:lang w:eastAsia="en-AU"/>
      </w:rPr>
      <w:br/>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9D699D" w14:textId="77777777" w:rsidR="00060D86" w:rsidRDefault="00060D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1FA83" w14:textId="645C2916" w:rsidR="00060D86" w:rsidRDefault="00060D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C2ED7" w14:textId="77777777" w:rsidR="00060D86" w:rsidRDefault="00060D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46581"/>
    <w:multiLevelType w:val="singleLevel"/>
    <w:tmpl w:val="78606796"/>
    <w:lvl w:ilvl="0">
      <w:start w:val="1"/>
      <w:numFmt w:val="decimal"/>
      <w:pStyle w:val="110list"/>
      <w:lvlText w:val="11.%1."/>
      <w:lvlJc w:val="left"/>
      <w:pPr>
        <w:tabs>
          <w:tab w:val="num" w:pos="851"/>
        </w:tabs>
        <w:ind w:left="851" w:hanging="851"/>
      </w:pPr>
      <w:rPr>
        <w:color w:val="444444"/>
      </w:rPr>
    </w:lvl>
  </w:abstractNum>
  <w:abstractNum w:abstractNumId="1" w15:restartNumberingAfterBreak="0">
    <w:nsid w:val="01636BCF"/>
    <w:multiLevelType w:val="singleLevel"/>
    <w:tmpl w:val="524C8F78"/>
    <w:lvl w:ilvl="0">
      <w:start w:val="1"/>
      <w:numFmt w:val="decimal"/>
      <w:pStyle w:val="100list"/>
      <w:lvlText w:val="10.%1."/>
      <w:lvlJc w:val="left"/>
      <w:pPr>
        <w:tabs>
          <w:tab w:val="num" w:pos="851"/>
        </w:tabs>
        <w:ind w:left="851" w:hanging="851"/>
      </w:pPr>
      <w:rPr>
        <w:color w:val="444444"/>
      </w:rPr>
    </w:lvl>
  </w:abstractNum>
  <w:abstractNum w:abstractNumId="2" w15:restartNumberingAfterBreak="0">
    <w:nsid w:val="04172419"/>
    <w:multiLevelType w:val="hybridMultilevel"/>
    <w:tmpl w:val="2AD6C5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5A5E7B"/>
    <w:multiLevelType w:val="multilevel"/>
    <w:tmpl w:val="C3D2D96C"/>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C165E4D"/>
    <w:multiLevelType w:val="hybridMultilevel"/>
    <w:tmpl w:val="18CCAA2C"/>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 w15:restartNumberingAfterBreak="0">
    <w:nsid w:val="12A45116"/>
    <w:multiLevelType w:val="singleLevel"/>
    <w:tmpl w:val="D3FAA294"/>
    <w:lvl w:ilvl="0">
      <w:start w:val="1"/>
      <w:numFmt w:val="decimal"/>
      <w:pStyle w:val="140list"/>
      <w:lvlText w:val="14.%1."/>
      <w:lvlJc w:val="left"/>
      <w:pPr>
        <w:tabs>
          <w:tab w:val="num" w:pos="851"/>
        </w:tabs>
        <w:ind w:left="851" w:hanging="851"/>
      </w:pPr>
      <w:rPr>
        <w:i w:val="0"/>
        <w:color w:val="444444"/>
      </w:rPr>
    </w:lvl>
  </w:abstractNum>
  <w:abstractNum w:abstractNumId="6" w15:restartNumberingAfterBreak="0">
    <w:nsid w:val="12C13900"/>
    <w:multiLevelType w:val="hybridMultilevel"/>
    <w:tmpl w:val="ED822DC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B378CA"/>
    <w:multiLevelType w:val="singleLevel"/>
    <w:tmpl w:val="2D2EA8E8"/>
    <w:lvl w:ilvl="0">
      <w:start w:val="1"/>
      <w:numFmt w:val="decimal"/>
      <w:pStyle w:val="150list"/>
      <w:lvlText w:val="15.%1."/>
      <w:lvlJc w:val="left"/>
      <w:pPr>
        <w:tabs>
          <w:tab w:val="num" w:pos="851"/>
        </w:tabs>
        <w:ind w:left="851" w:hanging="851"/>
      </w:pPr>
    </w:lvl>
  </w:abstractNum>
  <w:abstractNum w:abstractNumId="8" w15:restartNumberingAfterBreak="0">
    <w:nsid w:val="1DEF1FA2"/>
    <w:multiLevelType w:val="multilevel"/>
    <w:tmpl w:val="97DEA434"/>
    <w:lvl w:ilvl="0">
      <w:start w:val="7"/>
      <w:numFmt w:val="decimal"/>
      <w:lvlText w:val="%1"/>
      <w:lvlJc w:val="left"/>
      <w:pPr>
        <w:ind w:left="357" w:hanging="357"/>
      </w:pPr>
      <w:rPr>
        <w:rFonts w:hint="default"/>
      </w:rPr>
    </w:lvl>
    <w:lvl w:ilvl="1">
      <w:start w:val="1"/>
      <w:numFmt w:val="decimal"/>
      <w:pStyle w:val="70list"/>
      <w:lvlText w:val="%1.%2."/>
      <w:lvlJc w:val="left"/>
      <w:pPr>
        <w:ind w:left="720" w:hanging="363"/>
      </w:pPr>
      <w:rPr>
        <w:rFonts w:hint="default"/>
      </w:rPr>
    </w:lvl>
    <w:lvl w:ilvl="2">
      <w:start w:val="1"/>
      <w:numFmt w:val="decimal"/>
      <w:lvlText w:val="%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9" w15:restartNumberingAfterBreak="0">
    <w:nsid w:val="1F10526A"/>
    <w:multiLevelType w:val="hybridMultilevel"/>
    <w:tmpl w:val="F9167EFC"/>
    <w:lvl w:ilvl="0" w:tplc="5FC6BF4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D04DA4"/>
    <w:multiLevelType w:val="hybridMultilevel"/>
    <w:tmpl w:val="B0624926"/>
    <w:lvl w:ilvl="0" w:tplc="680E5CFC">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2E42DD2"/>
    <w:multiLevelType w:val="hybridMultilevel"/>
    <w:tmpl w:val="3286B902"/>
    <w:lvl w:ilvl="0" w:tplc="0C090001">
      <w:start w:val="1"/>
      <w:numFmt w:val="bullet"/>
      <w:lvlText w:val=""/>
      <w:lvlJc w:val="left"/>
      <w:pPr>
        <w:ind w:left="1005" w:hanging="360"/>
      </w:pPr>
      <w:rPr>
        <w:rFonts w:ascii="Symbol" w:hAnsi="Symbol" w:hint="default"/>
      </w:rPr>
    </w:lvl>
    <w:lvl w:ilvl="1" w:tplc="0C090003" w:tentative="1">
      <w:start w:val="1"/>
      <w:numFmt w:val="bullet"/>
      <w:lvlText w:val="o"/>
      <w:lvlJc w:val="left"/>
      <w:pPr>
        <w:ind w:left="1725" w:hanging="360"/>
      </w:pPr>
      <w:rPr>
        <w:rFonts w:ascii="Courier New" w:hAnsi="Courier New" w:cs="Courier New" w:hint="default"/>
      </w:rPr>
    </w:lvl>
    <w:lvl w:ilvl="2" w:tplc="0C090005" w:tentative="1">
      <w:start w:val="1"/>
      <w:numFmt w:val="bullet"/>
      <w:lvlText w:val=""/>
      <w:lvlJc w:val="left"/>
      <w:pPr>
        <w:ind w:left="2445" w:hanging="360"/>
      </w:pPr>
      <w:rPr>
        <w:rFonts w:ascii="Wingdings" w:hAnsi="Wingdings" w:hint="default"/>
      </w:rPr>
    </w:lvl>
    <w:lvl w:ilvl="3" w:tplc="0C090001" w:tentative="1">
      <w:start w:val="1"/>
      <w:numFmt w:val="bullet"/>
      <w:lvlText w:val=""/>
      <w:lvlJc w:val="left"/>
      <w:pPr>
        <w:ind w:left="3165" w:hanging="360"/>
      </w:pPr>
      <w:rPr>
        <w:rFonts w:ascii="Symbol" w:hAnsi="Symbol" w:hint="default"/>
      </w:rPr>
    </w:lvl>
    <w:lvl w:ilvl="4" w:tplc="0C090003" w:tentative="1">
      <w:start w:val="1"/>
      <w:numFmt w:val="bullet"/>
      <w:lvlText w:val="o"/>
      <w:lvlJc w:val="left"/>
      <w:pPr>
        <w:ind w:left="3885" w:hanging="360"/>
      </w:pPr>
      <w:rPr>
        <w:rFonts w:ascii="Courier New" w:hAnsi="Courier New" w:cs="Courier New" w:hint="default"/>
      </w:rPr>
    </w:lvl>
    <w:lvl w:ilvl="5" w:tplc="0C090005" w:tentative="1">
      <w:start w:val="1"/>
      <w:numFmt w:val="bullet"/>
      <w:lvlText w:val=""/>
      <w:lvlJc w:val="left"/>
      <w:pPr>
        <w:ind w:left="4605" w:hanging="360"/>
      </w:pPr>
      <w:rPr>
        <w:rFonts w:ascii="Wingdings" w:hAnsi="Wingdings" w:hint="default"/>
      </w:rPr>
    </w:lvl>
    <w:lvl w:ilvl="6" w:tplc="0C090001" w:tentative="1">
      <w:start w:val="1"/>
      <w:numFmt w:val="bullet"/>
      <w:lvlText w:val=""/>
      <w:lvlJc w:val="left"/>
      <w:pPr>
        <w:ind w:left="5325" w:hanging="360"/>
      </w:pPr>
      <w:rPr>
        <w:rFonts w:ascii="Symbol" w:hAnsi="Symbol" w:hint="default"/>
      </w:rPr>
    </w:lvl>
    <w:lvl w:ilvl="7" w:tplc="0C090003" w:tentative="1">
      <w:start w:val="1"/>
      <w:numFmt w:val="bullet"/>
      <w:lvlText w:val="o"/>
      <w:lvlJc w:val="left"/>
      <w:pPr>
        <w:ind w:left="6045" w:hanging="360"/>
      </w:pPr>
      <w:rPr>
        <w:rFonts w:ascii="Courier New" w:hAnsi="Courier New" w:cs="Courier New" w:hint="default"/>
      </w:rPr>
    </w:lvl>
    <w:lvl w:ilvl="8" w:tplc="0C090005" w:tentative="1">
      <w:start w:val="1"/>
      <w:numFmt w:val="bullet"/>
      <w:lvlText w:val=""/>
      <w:lvlJc w:val="left"/>
      <w:pPr>
        <w:ind w:left="6765" w:hanging="360"/>
      </w:pPr>
      <w:rPr>
        <w:rFonts w:ascii="Wingdings" w:hAnsi="Wingdings" w:hint="default"/>
      </w:rPr>
    </w:lvl>
  </w:abstractNum>
  <w:abstractNum w:abstractNumId="12" w15:restartNumberingAfterBreak="0">
    <w:nsid w:val="23FB1CE1"/>
    <w:multiLevelType w:val="singleLevel"/>
    <w:tmpl w:val="9606EEFE"/>
    <w:lvl w:ilvl="0">
      <w:start w:val="1"/>
      <w:numFmt w:val="decimal"/>
      <w:pStyle w:val="160list"/>
      <w:lvlText w:val="16.%1."/>
      <w:lvlJc w:val="left"/>
      <w:pPr>
        <w:tabs>
          <w:tab w:val="num" w:pos="851"/>
        </w:tabs>
        <w:ind w:left="851" w:hanging="851"/>
      </w:pPr>
      <w:rPr>
        <w:i w:val="0"/>
        <w:color w:val="444444"/>
      </w:rPr>
    </w:lvl>
  </w:abstractNum>
  <w:abstractNum w:abstractNumId="13" w15:restartNumberingAfterBreak="0">
    <w:nsid w:val="25333E46"/>
    <w:multiLevelType w:val="hybridMultilevel"/>
    <w:tmpl w:val="941A4DD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5AA1413"/>
    <w:multiLevelType w:val="hybridMultilevel"/>
    <w:tmpl w:val="4E28C3C8"/>
    <w:lvl w:ilvl="0" w:tplc="5FC6BF4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760737"/>
    <w:multiLevelType w:val="hybridMultilevel"/>
    <w:tmpl w:val="137CCD5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7D777F"/>
    <w:multiLevelType w:val="hybridMultilevel"/>
    <w:tmpl w:val="E468F646"/>
    <w:lvl w:ilvl="0" w:tplc="4D4CAF28">
      <w:start w:val="1"/>
      <w:numFmt w:val="decimal"/>
      <w:pStyle w:val="60list"/>
      <w:lvlText w:val="6.%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AD734A7"/>
    <w:multiLevelType w:val="singleLevel"/>
    <w:tmpl w:val="CC7E7E56"/>
    <w:lvl w:ilvl="0">
      <w:start w:val="1"/>
      <w:numFmt w:val="decimal"/>
      <w:pStyle w:val="180list"/>
      <w:lvlText w:val="18.%1."/>
      <w:lvlJc w:val="left"/>
      <w:pPr>
        <w:tabs>
          <w:tab w:val="num" w:pos="851"/>
        </w:tabs>
        <w:ind w:left="851" w:hanging="851"/>
      </w:pPr>
      <w:rPr>
        <w:color w:val="444444"/>
      </w:rPr>
    </w:lvl>
  </w:abstractNum>
  <w:abstractNum w:abstractNumId="18" w15:restartNumberingAfterBreak="0">
    <w:nsid w:val="31D03B3C"/>
    <w:multiLevelType w:val="hybridMultilevel"/>
    <w:tmpl w:val="55B2FEA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2412F26"/>
    <w:multiLevelType w:val="hybridMultilevel"/>
    <w:tmpl w:val="00786CDE"/>
    <w:lvl w:ilvl="0" w:tplc="5FC6BF4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CE6076"/>
    <w:multiLevelType w:val="multilevel"/>
    <w:tmpl w:val="C3D2D96C"/>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890290C"/>
    <w:multiLevelType w:val="hybridMultilevel"/>
    <w:tmpl w:val="C9FC84D6"/>
    <w:lvl w:ilvl="0" w:tplc="AF7A56C6">
      <w:start w:val="1"/>
      <w:numFmt w:val="decimal"/>
      <w:pStyle w:val="Annexe"/>
      <w:lvlText w:val="Annexe %1"/>
      <w:lvlJc w:val="left"/>
      <w:pPr>
        <w:tabs>
          <w:tab w:val="num" w:pos="1843"/>
        </w:tabs>
        <w:ind w:left="0" w:firstLine="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2" w15:restartNumberingAfterBreak="0">
    <w:nsid w:val="39F65F25"/>
    <w:multiLevelType w:val="hybridMultilevel"/>
    <w:tmpl w:val="706EB0B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E92293D"/>
    <w:multiLevelType w:val="hybridMultilevel"/>
    <w:tmpl w:val="9548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0A95E77"/>
    <w:multiLevelType w:val="hybridMultilevel"/>
    <w:tmpl w:val="DF40198C"/>
    <w:lvl w:ilvl="0" w:tplc="5F7EF75A">
      <w:start w:val="1"/>
      <w:numFmt w:val="decimal"/>
      <w:lvlText w:val="%1."/>
      <w:lvlJc w:val="left"/>
      <w:pPr>
        <w:ind w:left="1352" w:hanging="360"/>
      </w:pPr>
      <w:rPr>
        <w:rFonts w:hint="default"/>
        <w:i/>
      </w:rPr>
    </w:lvl>
    <w:lvl w:ilvl="1" w:tplc="0C090019" w:tentative="1">
      <w:start w:val="1"/>
      <w:numFmt w:val="lowerLetter"/>
      <w:lvlText w:val="%2."/>
      <w:lvlJc w:val="left"/>
      <w:pPr>
        <w:ind w:left="2072" w:hanging="360"/>
      </w:pPr>
    </w:lvl>
    <w:lvl w:ilvl="2" w:tplc="0C09001B" w:tentative="1">
      <w:start w:val="1"/>
      <w:numFmt w:val="lowerRoman"/>
      <w:lvlText w:val="%3."/>
      <w:lvlJc w:val="right"/>
      <w:pPr>
        <w:ind w:left="2792" w:hanging="180"/>
      </w:pPr>
    </w:lvl>
    <w:lvl w:ilvl="3" w:tplc="0C09000F" w:tentative="1">
      <w:start w:val="1"/>
      <w:numFmt w:val="decimal"/>
      <w:lvlText w:val="%4."/>
      <w:lvlJc w:val="left"/>
      <w:pPr>
        <w:ind w:left="3512" w:hanging="360"/>
      </w:pPr>
    </w:lvl>
    <w:lvl w:ilvl="4" w:tplc="0C090019" w:tentative="1">
      <w:start w:val="1"/>
      <w:numFmt w:val="lowerLetter"/>
      <w:lvlText w:val="%5."/>
      <w:lvlJc w:val="left"/>
      <w:pPr>
        <w:ind w:left="4232" w:hanging="360"/>
      </w:pPr>
    </w:lvl>
    <w:lvl w:ilvl="5" w:tplc="0C09001B" w:tentative="1">
      <w:start w:val="1"/>
      <w:numFmt w:val="lowerRoman"/>
      <w:lvlText w:val="%6."/>
      <w:lvlJc w:val="right"/>
      <w:pPr>
        <w:ind w:left="4952" w:hanging="180"/>
      </w:pPr>
    </w:lvl>
    <w:lvl w:ilvl="6" w:tplc="0C09000F" w:tentative="1">
      <w:start w:val="1"/>
      <w:numFmt w:val="decimal"/>
      <w:lvlText w:val="%7."/>
      <w:lvlJc w:val="left"/>
      <w:pPr>
        <w:ind w:left="5672" w:hanging="360"/>
      </w:pPr>
    </w:lvl>
    <w:lvl w:ilvl="7" w:tplc="0C090019" w:tentative="1">
      <w:start w:val="1"/>
      <w:numFmt w:val="lowerLetter"/>
      <w:lvlText w:val="%8."/>
      <w:lvlJc w:val="left"/>
      <w:pPr>
        <w:ind w:left="6392" w:hanging="360"/>
      </w:pPr>
    </w:lvl>
    <w:lvl w:ilvl="8" w:tplc="0C09001B" w:tentative="1">
      <w:start w:val="1"/>
      <w:numFmt w:val="lowerRoman"/>
      <w:lvlText w:val="%9."/>
      <w:lvlJc w:val="right"/>
      <w:pPr>
        <w:ind w:left="7112" w:hanging="180"/>
      </w:pPr>
    </w:lvl>
  </w:abstractNum>
  <w:abstractNum w:abstractNumId="25" w15:restartNumberingAfterBreak="0">
    <w:nsid w:val="440B1A9D"/>
    <w:multiLevelType w:val="hybridMultilevel"/>
    <w:tmpl w:val="60BC9DF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4220455"/>
    <w:multiLevelType w:val="singleLevel"/>
    <w:tmpl w:val="80A60306"/>
    <w:lvl w:ilvl="0">
      <w:start w:val="1"/>
      <w:numFmt w:val="decimal"/>
      <w:pStyle w:val="170list"/>
      <w:lvlText w:val="17.%1."/>
      <w:lvlJc w:val="left"/>
      <w:pPr>
        <w:tabs>
          <w:tab w:val="num" w:pos="851"/>
        </w:tabs>
        <w:ind w:left="851" w:hanging="851"/>
      </w:pPr>
      <w:rPr>
        <w:i w:val="0"/>
      </w:rPr>
    </w:lvl>
  </w:abstractNum>
  <w:abstractNum w:abstractNumId="27" w15:restartNumberingAfterBreak="0">
    <w:nsid w:val="47123EDB"/>
    <w:multiLevelType w:val="hybridMultilevel"/>
    <w:tmpl w:val="4DB807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9A162E3"/>
    <w:multiLevelType w:val="hybridMultilevel"/>
    <w:tmpl w:val="611E5152"/>
    <w:lvl w:ilvl="0" w:tplc="9606EEFE">
      <w:start w:val="1"/>
      <w:numFmt w:val="decimal"/>
      <w:lvlText w:val="16.%1."/>
      <w:lvlJc w:val="left"/>
      <w:pPr>
        <w:ind w:left="720" w:hanging="360"/>
      </w:pPr>
      <w:rPr>
        <w:rFonts w:hint="default"/>
        <w:i w:val="0"/>
        <w:color w:val="44444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C191928"/>
    <w:multiLevelType w:val="multilevel"/>
    <w:tmpl w:val="B66CE3E6"/>
    <w:lvl w:ilvl="0">
      <w:start w:val="1"/>
      <w:numFmt w:val="decimal"/>
      <w:pStyle w:val="Heading1"/>
      <w:lvlText w:val="%1."/>
      <w:lvlJc w:val="left"/>
      <w:pPr>
        <w:ind w:left="680" w:hanging="680"/>
      </w:pPr>
      <w:rPr>
        <w:rFonts w:hint="default"/>
      </w:rPr>
    </w:lvl>
    <w:lvl w:ilvl="1">
      <w:start w:val="6"/>
      <w:numFmt w:val="decimal"/>
      <w:lvlText w:val="%1.%2"/>
      <w:lvlJc w:val="left"/>
      <w:pPr>
        <w:ind w:left="680" w:hanging="680"/>
      </w:pPr>
      <w:rPr>
        <w:rFonts w:hint="default"/>
      </w:rPr>
    </w:lvl>
    <w:lvl w:ilvl="2">
      <w:start w:val="1"/>
      <w:numFmt w:val="decimal"/>
      <w:pStyle w:val="Heading3"/>
      <w:lvlText w:val="%1.%2.%3"/>
      <w:lvlJc w:val="left"/>
      <w:pPr>
        <w:ind w:left="680" w:hanging="680"/>
      </w:pPr>
      <w:rPr>
        <w:rFonts w:hint="default"/>
      </w:rPr>
    </w:lvl>
    <w:lvl w:ilvl="3">
      <w:start w:val="1"/>
      <w:numFmt w:val="decimal"/>
      <w:pStyle w:val="Heading4"/>
      <w:lvlText w:val="Appendix %4:"/>
      <w:lvlJc w:val="left"/>
      <w:pPr>
        <w:tabs>
          <w:tab w:val="num" w:pos="1701"/>
        </w:tabs>
        <w:ind w:left="1701" w:hanging="170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169762A"/>
    <w:multiLevelType w:val="hybridMultilevel"/>
    <w:tmpl w:val="7F2A00D8"/>
    <w:lvl w:ilvl="0" w:tplc="5F7EF75A">
      <w:start w:val="1"/>
      <w:numFmt w:val="decimal"/>
      <w:lvlText w:val="%1."/>
      <w:lvlJc w:val="left"/>
      <w:pPr>
        <w:ind w:left="1352" w:hanging="360"/>
      </w:pPr>
      <w:rPr>
        <w:rFonts w:hint="default"/>
        <w:i/>
      </w:rPr>
    </w:lvl>
    <w:lvl w:ilvl="1" w:tplc="0C090019" w:tentative="1">
      <w:start w:val="1"/>
      <w:numFmt w:val="lowerLetter"/>
      <w:lvlText w:val="%2."/>
      <w:lvlJc w:val="left"/>
      <w:pPr>
        <w:ind w:left="2072" w:hanging="360"/>
      </w:pPr>
    </w:lvl>
    <w:lvl w:ilvl="2" w:tplc="0C09001B" w:tentative="1">
      <w:start w:val="1"/>
      <w:numFmt w:val="lowerRoman"/>
      <w:lvlText w:val="%3."/>
      <w:lvlJc w:val="right"/>
      <w:pPr>
        <w:ind w:left="2792" w:hanging="180"/>
      </w:pPr>
    </w:lvl>
    <w:lvl w:ilvl="3" w:tplc="0C09000F" w:tentative="1">
      <w:start w:val="1"/>
      <w:numFmt w:val="decimal"/>
      <w:lvlText w:val="%4."/>
      <w:lvlJc w:val="left"/>
      <w:pPr>
        <w:ind w:left="3512" w:hanging="360"/>
      </w:pPr>
    </w:lvl>
    <w:lvl w:ilvl="4" w:tplc="0C090019" w:tentative="1">
      <w:start w:val="1"/>
      <w:numFmt w:val="lowerLetter"/>
      <w:lvlText w:val="%5."/>
      <w:lvlJc w:val="left"/>
      <w:pPr>
        <w:ind w:left="4232" w:hanging="360"/>
      </w:pPr>
    </w:lvl>
    <w:lvl w:ilvl="5" w:tplc="0C09001B" w:tentative="1">
      <w:start w:val="1"/>
      <w:numFmt w:val="lowerRoman"/>
      <w:lvlText w:val="%6."/>
      <w:lvlJc w:val="right"/>
      <w:pPr>
        <w:ind w:left="4952" w:hanging="180"/>
      </w:pPr>
    </w:lvl>
    <w:lvl w:ilvl="6" w:tplc="0C09000F" w:tentative="1">
      <w:start w:val="1"/>
      <w:numFmt w:val="decimal"/>
      <w:lvlText w:val="%7."/>
      <w:lvlJc w:val="left"/>
      <w:pPr>
        <w:ind w:left="5672" w:hanging="360"/>
      </w:pPr>
    </w:lvl>
    <w:lvl w:ilvl="7" w:tplc="0C090019" w:tentative="1">
      <w:start w:val="1"/>
      <w:numFmt w:val="lowerLetter"/>
      <w:lvlText w:val="%8."/>
      <w:lvlJc w:val="left"/>
      <w:pPr>
        <w:ind w:left="6392" w:hanging="360"/>
      </w:pPr>
    </w:lvl>
    <w:lvl w:ilvl="8" w:tplc="0C09001B" w:tentative="1">
      <w:start w:val="1"/>
      <w:numFmt w:val="lowerRoman"/>
      <w:lvlText w:val="%9."/>
      <w:lvlJc w:val="right"/>
      <w:pPr>
        <w:ind w:left="7112" w:hanging="180"/>
      </w:pPr>
    </w:lvl>
  </w:abstractNum>
  <w:abstractNum w:abstractNumId="31" w15:restartNumberingAfterBreak="0">
    <w:nsid w:val="52FB2CD4"/>
    <w:multiLevelType w:val="singleLevel"/>
    <w:tmpl w:val="D8DE72C2"/>
    <w:lvl w:ilvl="0">
      <w:start w:val="1"/>
      <w:numFmt w:val="decimal"/>
      <w:pStyle w:val="130list"/>
      <w:lvlText w:val="13.%1."/>
      <w:lvlJc w:val="left"/>
      <w:pPr>
        <w:tabs>
          <w:tab w:val="num" w:pos="851"/>
        </w:tabs>
        <w:ind w:left="851" w:hanging="851"/>
      </w:pPr>
      <w:rPr>
        <w:i w:val="0"/>
        <w:color w:val="444444"/>
      </w:rPr>
    </w:lvl>
  </w:abstractNum>
  <w:abstractNum w:abstractNumId="32" w15:restartNumberingAfterBreak="0">
    <w:nsid w:val="5472531B"/>
    <w:multiLevelType w:val="hybridMultilevel"/>
    <w:tmpl w:val="75E67458"/>
    <w:lvl w:ilvl="0" w:tplc="E6B44F4E">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59D40BD"/>
    <w:multiLevelType w:val="multilevel"/>
    <w:tmpl w:val="E8B4BE72"/>
    <w:styleLink w:val="List0"/>
    <w:lvl w:ilvl="0">
      <w:start w:val="1"/>
      <w:numFmt w:val="decimal"/>
      <w:lvlText w:val="%1."/>
      <w:lvlJc w:val="left"/>
      <w:pPr>
        <w:tabs>
          <w:tab w:val="num" w:pos="692"/>
        </w:tabs>
        <w:ind w:left="692" w:hanging="332"/>
      </w:pPr>
      <w:rPr>
        <w:rFonts w:ascii="Cambria" w:eastAsia="Times New Roman" w:hAnsi="Cambria" w:cs="Cambria"/>
        <w:position w:val="0"/>
        <w:sz w:val="28"/>
        <w:szCs w:val="28"/>
      </w:rPr>
    </w:lvl>
    <w:lvl w:ilvl="1">
      <w:start w:val="1"/>
      <w:numFmt w:val="lowerLetter"/>
      <w:lvlText w:val="%2."/>
      <w:lvlJc w:val="left"/>
      <w:pPr>
        <w:tabs>
          <w:tab w:val="num" w:pos="1440"/>
        </w:tabs>
        <w:ind w:left="1440" w:hanging="360"/>
      </w:pPr>
      <w:rPr>
        <w:rFonts w:ascii="Cambria" w:eastAsia="Times New Roman" w:hAnsi="Cambria" w:cs="Cambria"/>
        <w:position w:val="0"/>
        <w:sz w:val="24"/>
        <w:szCs w:val="24"/>
      </w:rPr>
    </w:lvl>
    <w:lvl w:ilvl="2">
      <w:start w:val="1"/>
      <w:numFmt w:val="lowerRoman"/>
      <w:lvlText w:val="%3."/>
      <w:lvlJc w:val="left"/>
      <w:pPr>
        <w:tabs>
          <w:tab w:val="num" w:pos="2160"/>
        </w:tabs>
        <w:ind w:left="2160" w:hanging="296"/>
      </w:pPr>
      <w:rPr>
        <w:rFonts w:ascii="Cambria" w:eastAsia="Times New Roman" w:hAnsi="Cambria" w:cs="Cambria"/>
        <w:position w:val="0"/>
        <w:sz w:val="24"/>
        <w:szCs w:val="24"/>
      </w:rPr>
    </w:lvl>
    <w:lvl w:ilvl="3">
      <w:start w:val="1"/>
      <w:numFmt w:val="decimal"/>
      <w:lvlText w:val="%4."/>
      <w:lvlJc w:val="left"/>
      <w:pPr>
        <w:tabs>
          <w:tab w:val="num" w:pos="2880"/>
        </w:tabs>
        <w:ind w:left="2880" w:hanging="360"/>
      </w:pPr>
      <w:rPr>
        <w:rFonts w:ascii="Cambria" w:eastAsia="Times New Roman" w:hAnsi="Cambria" w:cs="Cambria"/>
        <w:position w:val="0"/>
        <w:sz w:val="24"/>
        <w:szCs w:val="24"/>
      </w:rPr>
    </w:lvl>
    <w:lvl w:ilvl="4">
      <w:start w:val="1"/>
      <w:numFmt w:val="lowerLetter"/>
      <w:lvlText w:val="%5."/>
      <w:lvlJc w:val="left"/>
      <w:pPr>
        <w:tabs>
          <w:tab w:val="num" w:pos="3600"/>
        </w:tabs>
        <w:ind w:left="3600" w:hanging="360"/>
      </w:pPr>
      <w:rPr>
        <w:rFonts w:ascii="Cambria" w:eastAsia="Times New Roman" w:hAnsi="Cambria" w:cs="Cambria"/>
        <w:position w:val="0"/>
        <w:sz w:val="24"/>
        <w:szCs w:val="24"/>
      </w:rPr>
    </w:lvl>
    <w:lvl w:ilvl="5">
      <w:start w:val="1"/>
      <w:numFmt w:val="lowerRoman"/>
      <w:lvlText w:val="%6."/>
      <w:lvlJc w:val="left"/>
      <w:pPr>
        <w:tabs>
          <w:tab w:val="num" w:pos="4320"/>
        </w:tabs>
        <w:ind w:left="4320" w:hanging="296"/>
      </w:pPr>
      <w:rPr>
        <w:rFonts w:ascii="Cambria" w:eastAsia="Times New Roman" w:hAnsi="Cambria" w:cs="Cambria"/>
        <w:position w:val="0"/>
        <w:sz w:val="24"/>
        <w:szCs w:val="24"/>
      </w:rPr>
    </w:lvl>
    <w:lvl w:ilvl="6">
      <w:start w:val="1"/>
      <w:numFmt w:val="decimal"/>
      <w:lvlText w:val="%7."/>
      <w:lvlJc w:val="left"/>
      <w:pPr>
        <w:tabs>
          <w:tab w:val="num" w:pos="5040"/>
        </w:tabs>
        <w:ind w:left="5040" w:hanging="360"/>
      </w:pPr>
      <w:rPr>
        <w:rFonts w:ascii="Cambria" w:eastAsia="Times New Roman" w:hAnsi="Cambria" w:cs="Cambria"/>
        <w:position w:val="0"/>
        <w:sz w:val="24"/>
        <w:szCs w:val="24"/>
      </w:rPr>
    </w:lvl>
    <w:lvl w:ilvl="7">
      <w:start w:val="1"/>
      <w:numFmt w:val="lowerLetter"/>
      <w:lvlText w:val="%8."/>
      <w:lvlJc w:val="left"/>
      <w:pPr>
        <w:tabs>
          <w:tab w:val="num" w:pos="5760"/>
        </w:tabs>
        <w:ind w:left="5760" w:hanging="360"/>
      </w:pPr>
      <w:rPr>
        <w:rFonts w:ascii="Cambria" w:eastAsia="Times New Roman" w:hAnsi="Cambria" w:cs="Cambria"/>
        <w:position w:val="0"/>
        <w:sz w:val="24"/>
        <w:szCs w:val="24"/>
      </w:rPr>
    </w:lvl>
    <w:lvl w:ilvl="8">
      <w:start w:val="1"/>
      <w:numFmt w:val="lowerRoman"/>
      <w:lvlText w:val="%9."/>
      <w:lvlJc w:val="left"/>
      <w:pPr>
        <w:tabs>
          <w:tab w:val="num" w:pos="6480"/>
        </w:tabs>
        <w:ind w:left="6480" w:hanging="296"/>
      </w:pPr>
      <w:rPr>
        <w:rFonts w:ascii="Cambria" w:eastAsia="Times New Roman" w:hAnsi="Cambria" w:cs="Cambria"/>
        <w:position w:val="0"/>
        <w:sz w:val="24"/>
        <w:szCs w:val="24"/>
      </w:rPr>
    </w:lvl>
  </w:abstractNum>
  <w:abstractNum w:abstractNumId="34" w15:restartNumberingAfterBreak="0">
    <w:nsid w:val="55A25EA6"/>
    <w:multiLevelType w:val="singleLevel"/>
    <w:tmpl w:val="82EE55B2"/>
    <w:lvl w:ilvl="0">
      <w:start w:val="1"/>
      <w:numFmt w:val="decimal"/>
      <w:pStyle w:val="190list"/>
      <w:lvlText w:val="19.%1."/>
      <w:lvlJc w:val="left"/>
      <w:pPr>
        <w:tabs>
          <w:tab w:val="num" w:pos="851"/>
        </w:tabs>
        <w:ind w:left="851" w:hanging="851"/>
      </w:pPr>
      <w:rPr>
        <w:b w:val="0"/>
        <w:i w:val="0"/>
        <w:color w:val="444444"/>
      </w:rPr>
    </w:lvl>
  </w:abstractNum>
  <w:abstractNum w:abstractNumId="35" w15:restartNumberingAfterBreak="0">
    <w:nsid w:val="55AE3E59"/>
    <w:multiLevelType w:val="hybridMultilevel"/>
    <w:tmpl w:val="31A4BE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78542B3"/>
    <w:multiLevelType w:val="hybridMultilevel"/>
    <w:tmpl w:val="3552E5FA"/>
    <w:lvl w:ilvl="0" w:tplc="0C090001">
      <w:start w:val="1"/>
      <w:numFmt w:val="bullet"/>
      <w:lvlText w:val=""/>
      <w:lvlJc w:val="left"/>
      <w:pPr>
        <w:ind w:left="720" w:hanging="360"/>
      </w:pPr>
      <w:rPr>
        <w:rFonts w:ascii="Symbol" w:hAnsi="Symbol" w:hint="default"/>
        <w:i w:val="0"/>
        <w:color w:val="44444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DF7273B"/>
    <w:multiLevelType w:val="hybridMultilevel"/>
    <w:tmpl w:val="93C8F768"/>
    <w:lvl w:ilvl="0" w:tplc="5FC6BF4A">
      <w:start w:val="1"/>
      <w:numFmt w:val="bullet"/>
      <w:lvlText w:val=""/>
      <w:lvlJc w:val="left"/>
      <w:pPr>
        <w:ind w:left="1778" w:hanging="360"/>
      </w:pPr>
      <w:rPr>
        <w:rFonts w:ascii="Symbol" w:hAnsi="Symbol" w:hint="default"/>
        <w:color w:val="444444"/>
      </w:rPr>
    </w:lvl>
    <w:lvl w:ilvl="1" w:tplc="0C090003" w:tentative="1">
      <w:start w:val="1"/>
      <w:numFmt w:val="bullet"/>
      <w:lvlText w:val="o"/>
      <w:lvlJc w:val="left"/>
      <w:pPr>
        <w:ind w:left="2498" w:hanging="360"/>
      </w:pPr>
      <w:rPr>
        <w:rFonts w:ascii="Courier New" w:hAnsi="Courier New" w:cs="Courier New" w:hint="default"/>
      </w:rPr>
    </w:lvl>
    <w:lvl w:ilvl="2" w:tplc="0C090005" w:tentative="1">
      <w:start w:val="1"/>
      <w:numFmt w:val="bullet"/>
      <w:lvlText w:val=""/>
      <w:lvlJc w:val="left"/>
      <w:pPr>
        <w:ind w:left="3218" w:hanging="360"/>
      </w:pPr>
      <w:rPr>
        <w:rFonts w:ascii="Wingdings" w:hAnsi="Wingdings" w:hint="default"/>
      </w:rPr>
    </w:lvl>
    <w:lvl w:ilvl="3" w:tplc="0C090001" w:tentative="1">
      <w:start w:val="1"/>
      <w:numFmt w:val="bullet"/>
      <w:lvlText w:val=""/>
      <w:lvlJc w:val="left"/>
      <w:pPr>
        <w:ind w:left="3938" w:hanging="360"/>
      </w:pPr>
      <w:rPr>
        <w:rFonts w:ascii="Symbol" w:hAnsi="Symbol" w:hint="default"/>
      </w:rPr>
    </w:lvl>
    <w:lvl w:ilvl="4" w:tplc="0C090003" w:tentative="1">
      <w:start w:val="1"/>
      <w:numFmt w:val="bullet"/>
      <w:lvlText w:val="o"/>
      <w:lvlJc w:val="left"/>
      <w:pPr>
        <w:ind w:left="4658" w:hanging="360"/>
      </w:pPr>
      <w:rPr>
        <w:rFonts w:ascii="Courier New" w:hAnsi="Courier New" w:cs="Courier New" w:hint="default"/>
      </w:rPr>
    </w:lvl>
    <w:lvl w:ilvl="5" w:tplc="0C090005" w:tentative="1">
      <w:start w:val="1"/>
      <w:numFmt w:val="bullet"/>
      <w:lvlText w:val=""/>
      <w:lvlJc w:val="left"/>
      <w:pPr>
        <w:ind w:left="5378" w:hanging="360"/>
      </w:pPr>
      <w:rPr>
        <w:rFonts w:ascii="Wingdings" w:hAnsi="Wingdings" w:hint="default"/>
      </w:rPr>
    </w:lvl>
    <w:lvl w:ilvl="6" w:tplc="0C090001" w:tentative="1">
      <w:start w:val="1"/>
      <w:numFmt w:val="bullet"/>
      <w:lvlText w:val=""/>
      <w:lvlJc w:val="left"/>
      <w:pPr>
        <w:ind w:left="6098" w:hanging="360"/>
      </w:pPr>
      <w:rPr>
        <w:rFonts w:ascii="Symbol" w:hAnsi="Symbol" w:hint="default"/>
      </w:rPr>
    </w:lvl>
    <w:lvl w:ilvl="7" w:tplc="0C090003" w:tentative="1">
      <w:start w:val="1"/>
      <w:numFmt w:val="bullet"/>
      <w:lvlText w:val="o"/>
      <w:lvlJc w:val="left"/>
      <w:pPr>
        <w:ind w:left="6818" w:hanging="360"/>
      </w:pPr>
      <w:rPr>
        <w:rFonts w:ascii="Courier New" w:hAnsi="Courier New" w:cs="Courier New" w:hint="default"/>
      </w:rPr>
    </w:lvl>
    <w:lvl w:ilvl="8" w:tplc="0C090005" w:tentative="1">
      <w:start w:val="1"/>
      <w:numFmt w:val="bullet"/>
      <w:lvlText w:val=""/>
      <w:lvlJc w:val="left"/>
      <w:pPr>
        <w:ind w:left="7538" w:hanging="360"/>
      </w:pPr>
      <w:rPr>
        <w:rFonts w:ascii="Wingdings" w:hAnsi="Wingdings" w:hint="default"/>
      </w:rPr>
    </w:lvl>
  </w:abstractNum>
  <w:abstractNum w:abstractNumId="38" w15:restartNumberingAfterBreak="0">
    <w:nsid w:val="61D02E19"/>
    <w:multiLevelType w:val="hybridMultilevel"/>
    <w:tmpl w:val="64D480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3D94278"/>
    <w:multiLevelType w:val="singleLevel"/>
    <w:tmpl w:val="81FAE6C4"/>
    <w:lvl w:ilvl="0">
      <w:start w:val="1"/>
      <w:numFmt w:val="decimal"/>
      <w:pStyle w:val="120list"/>
      <w:lvlText w:val="12.%1."/>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40" w15:restartNumberingAfterBreak="0">
    <w:nsid w:val="67BC620E"/>
    <w:multiLevelType w:val="hybridMultilevel"/>
    <w:tmpl w:val="1A941E0A"/>
    <w:lvl w:ilvl="0" w:tplc="5FC6BF4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8960519"/>
    <w:multiLevelType w:val="hybridMultilevel"/>
    <w:tmpl w:val="9F3E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BA14CCE"/>
    <w:multiLevelType w:val="singleLevel"/>
    <w:tmpl w:val="EFCAD916"/>
    <w:lvl w:ilvl="0">
      <w:start w:val="1"/>
      <w:numFmt w:val="decimal"/>
      <w:pStyle w:val="90list"/>
      <w:lvlText w:val="9.%1."/>
      <w:lvlJc w:val="left"/>
      <w:pPr>
        <w:tabs>
          <w:tab w:val="num" w:pos="851"/>
        </w:tabs>
        <w:ind w:left="851" w:hanging="851"/>
      </w:pPr>
    </w:lvl>
  </w:abstractNum>
  <w:abstractNum w:abstractNumId="43" w15:restartNumberingAfterBreak="0">
    <w:nsid w:val="6C3736A0"/>
    <w:multiLevelType w:val="hybridMultilevel"/>
    <w:tmpl w:val="31248E5C"/>
    <w:lvl w:ilvl="0" w:tplc="C0A632BC">
      <w:start w:val="1"/>
      <w:numFmt w:val="lowerRoman"/>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D442A55"/>
    <w:multiLevelType w:val="hybridMultilevel"/>
    <w:tmpl w:val="5C9E9D90"/>
    <w:lvl w:ilvl="0" w:tplc="5FC6BF4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D6D3218"/>
    <w:multiLevelType w:val="hybridMultilevel"/>
    <w:tmpl w:val="AAE81406"/>
    <w:lvl w:ilvl="0" w:tplc="680E5CFC">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EC53C4E"/>
    <w:multiLevelType w:val="hybridMultilevel"/>
    <w:tmpl w:val="8E2CC8E8"/>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0D159E0"/>
    <w:multiLevelType w:val="hybridMultilevel"/>
    <w:tmpl w:val="451A517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3D872FE"/>
    <w:multiLevelType w:val="hybridMultilevel"/>
    <w:tmpl w:val="54D001A2"/>
    <w:lvl w:ilvl="0" w:tplc="271E2804">
      <w:start w:val="1"/>
      <w:numFmt w:val="decimal"/>
      <w:lvlText w:val="8.%1."/>
      <w:lvlJc w:val="left"/>
      <w:pPr>
        <w:ind w:left="1004" w:hanging="360"/>
      </w:pPr>
      <w:rPr>
        <w:rFonts w:hint="default"/>
        <w:b w:val="0"/>
        <w:i w:val="0"/>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49" w15:restartNumberingAfterBreak="0">
    <w:nsid w:val="767127ED"/>
    <w:multiLevelType w:val="hybridMultilevel"/>
    <w:tmpl w:val="C54EB87A"/>
    <w:lvl w:ilvl="0" w:tplc="5FC6BF4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8EF3BDB"/>
    <w:multiLevelType w:val="hybridMultilevel"/>
    <w:tmpl w:val="0FC425A2"/>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1" w15:restartNumberingAfterBreak="0">
    <w:nsid w:val="79AC10E5"/>
    <w:multiLevelType w:val="hybridMultilevel"/>
    <w:tmpl w:val="47EEDFC4"/>
    <w:lvl w:ilvl="0" w:tplc="10E0C1A6">
      <w:start w:val="1"/>
      <w:numFmt w:val="bullet"/>
      <w:pStyle w:val="bulletedindent1"/>
      <w:lvlText w:val=""/>
      <w:lvlJc w:val="left"/>
      <w:pPr>
        <w:tabs>
          <w:tab w:val="num" w:pos="1134"/>
        </w:tabs>
        <w:ind w:left="1134" w:hanging="567"/>
      </w:pPr>
      <w:rPr>
        <w:rFonts w:ascii="Symbol" w:hAnsi="Symbol" w:hint="default"/>
        <w:color w:val="444444"/>
        <w:sz w:val="24"/>
      </w:rPr>
    </w:lvl>
    <w:lvl w:ilvl="1" w:tplc="0C090003">
      <w:start w:val="1"/>
      <w:numFmt w:val="bullet"/>
      <w:lvlText w:val="o"/>
      <w:lvlJc w:val="left"/>
      <w:pPr>
        <w:ind w:left="1156" w:hanging="360"/>
      </w:pPr>
      <w:rPr>
        <w:rFonts w:ascii="Courier New" w:hAnsi="Courier New" w:cs="Courier New" w:hint="default"/>
      </w:rPr>
    </w:lvl>
    <w:lvl w:ilvl="2" w:tplc="0C090005">
      <w:start w:val="1"/>
      <w:numFmt w:val="bullet"/>
      <w:lvlText w:val=""/>
      <w:lvlJc w:val="left"/>
      <w:pPr>
        <w:ind w:left="1876" w:hanging="360"/>
      </w:pPr>
      <w:rPr>
        <w:rFonts w:ascii="Wingdings" w:hAnsi="Wingdings" w:hint="default"/>
      </w:rPr>
    </w:lvl>
    <w:lvl w:ilvl="3" w:tplc="0C090001" w:tentative="1">
      <w:start w:val="1"/>
      <w:numFmt w:val="bullet"/>
      <w:lvlText w:val=""/>
      <w:lvlJc w:val="left"/>
      <w:pPr>
        <w:ind w:left="2596" w:hanging="360"/>
      </w:pPr>
      <w:rPr>
        <w:rFonts w:ascii="Symbol" w:hAnsi="Symbol" w:hint="default"/>
      </w:rPr>
    </w:lvl>
    <w:lvl w:ilvl="4" w:tplc="0C090003" w:tentative="1">
      <w:start w:val="1"/>
      <w:numFmt w:val="bullet"/>
      <w:lvlText w:val="o"/>
      <w:lvlJc w:val="left"/>
      <w:pPr>
        <w:ind w:left="3316" w:hanging="360"/>
      </w:pPr>
      <w:rPr>
        <w:rFonts w:ascii="Courier New" w:hAnsi="Courier New" w:cs="Courier New" w:hint="default"/>
      </w:rPr>
    </w:lvl>
    <w:lvl w:ilvl="5" w:tplc="0C090005" w:tentative="1">
      <w:start w:val="1"/>
      <w:numFmt w:val="bullet"/>
      <w:lvlText w:val=""/>
      <w:lvlJc w:val="left"/>
      <w:pPr>
        <w:ind w:left="4036" w:hanging="360"/>
      </w:pPr>
      <w:rPr>
        <w:rFonts w:ascii="Wingdings" w:hAnsi="Wingdings" w:hint="default"/>
      </w:rPr>
    </w:lvl>
    <w:lvl w:ilvl="6" w:tplc="0C090001" w:tentative="1">
      <w:start w:val="1"/>
      <w:numFmt w:val="bullet"/>
      <w:lvlText w:val=""/>
      <w:lvlJc w:val="left"/>
      <w:pPr>
        <w:ind w:left="4756" w:hanging="360"/>
      </w:pPr>
      <w:rPr>
        <w:rFonts w:ascii="Symbol" w:hAnsi="Symbol" w:hint="default"/>
      </w:rPr>
    </w:lvl>
    <w:lvl w:ilvl="7" w:tplc="0C090003" w:tentative="1">
      <w:start w:val="1"/>
      <w:numFmt w:val="bullet"/>
      <w:lvlText w:val="o"/>
      <w:lvlJc w:val="left"/>
      <w:pPr>
        <w:ind w:left="5476" w:hanging="360"/>
      </w:pPr>
      <w:rPr>
        <w:rFonts w:ascii="Courier New" w:hAnsi="Courier New" w:cs="Courier New" w:hint="default"/>
      </w:rPr>
    </w:lvl>
    <w:lvl w:ilvl="8" w:tplc="0C090005" w:tentative="1">
      <w:start w:val="1"/>
      <w:numFmt w:val="bullet"/>
      <w:lvlText w:val=""/>
      <w:lvlJc w:val="left"/>
      <w:pPr>
        <w:ind w:left="6196" w:hanging="360"/>
      </w:pPr>
      <w:rPr>
        <w:rFonts w:ascii="Wingdings" w:hAnsi="Wingdings" w:hint="default"/>
      </w:rPr>
    </w:lvl>
  </w:abstractNum>
  <w:num w:numId="1">
    <w:abstractNumId w:val="33"/>
  </w:num>
  <w:num w:numId="2">
    <w:abstractNumId w:val="29"/>
  </w:num>
  <w:num w:numId="3">
    <w:abstractNumId w:val="51"/>
  </w:num>
  <w:num w:numId="4">
    <w:abstractNumId w:val="46"/>
  </w:num>
  <w:num w:numId="5">
    <w:abstractNumId w:val="4"/>
  </w:num>
  <w:num w:numId="6">
    <w:abstractNumId w:val="50"/>
  </w:num>
  <w:num w:numId="7">
    <w:abstractNumId w:val="42"/>
  </w:num>
  <w:num w:numId="8">
    <w:abstractNumId w:val="1"/>
  </w:num>
  <w:num w:numId="9">
    <w:abstractNumId w:val="0"/>
  </w:num>
  <w:num w:numId="10">
    <w:abstractNumId w:val="39"/>
  </w:num>
  <w:num w:numId="11">
    <w:abstractNumId w:val="31"/>
  </w:num>
  <w:num w:numId="12">
    <w:abstractNumId w:val="5"/>
  </w:num>
  <w:num w:numId="13">
    <w:abstractNumId w:val="12"/>
  </w:num>
  <w:num w:numId="14">
    <w:abstractNumId w:val="26"/>
  </w:num>
  <w:num w:numId="15">
    <w:abstractNumId w:val="17"/>
  </w:num>
  <w:num w:numId="16">
    <w:abstractNumId w:val="34"/>
  </w:num>
  <w:num w:numId="17">
    <w:abstractNumId w:val="7"/>
  </w:num>
  <w:num w:numId="18">
    <w:abstractNumId w:val="21"/>
  </w:num>
  <w:num w:numId="19">
    <w:abstractNumId w:val="43"/>
  </w:num>
  <w:num w:numId="20">
    <w:abstractNumId w:val="22"/>
  </w:num>
  <w:num w:numId="21">
    <w:abstractNumId w:val="38"/>
  </w:num>
  <w:num w:numId="22">
    <w:abstractNumId w:val="35"/>
  </w:num>
  <w:num w:numId="23">
    <w:abstractNumId w:val="16"/>
  </w:num>
  <w:num w:numId="24">
    <w:abstractNumId w:val="41"/>
  </w:num>
  <w:num w:numId="25">
    <w:abstractNumId w:val="8"/>
  </w:num>
  <w:num w:numId="26">
    <w:abstractNumId w:val="48"/>
  </w:num>
  <w:num w:numId="27">
    <w:abstractNumId w:val="27"/>
  </w:num>
  <w:num w:numId="28">
    <w:abstractNumId w:val="2"/>
  </w:num>
  <w:num w:numId="29">
    <w:abstractNumId w:val="14"/>
  </w:num>
  <w:num w:numId="30">
    <w:abstractNumId w:val="44"/>
  </w:num>
  <w:num w:numId="31">
    <w:abstractNumId w:val="37"/>
  </w:num>
  <w:num w:numId="32">
    <w:abstractNumId w:val="9"/>
  </w:num>
  <w:num w:numId="33">
    <w:abstractNumId w:val="40"/>
  </w:num>
  <w:num w:numId="34">
    <w:abstractNumId w:val="19"/>
  </w:num>
  <w:num w:numId="35">
    <w:abstractNumId w:val="49"/>
  </w:num>
  <w:num w:numId="36">
    <w:abstractNumId w:val="32"/>
  </w:num>
  <w:num w:numId="37">
    <w:abstractNumId w:val="45"/>
  </w:num>
  <w:num w:numId="38">
    <w:abstractNumId w:val="10"/>
  </w:num>
  <w:num w:numId="39">
    <w:abstractNumId w:val="24"/>
  </w:num>
  <w:num w:numId="40">
    <w:abstractNumId w:val="30"/>
  </w:num>
  <w:num w:numId="41">
    <w:abstractNumId w:val="25"/>
  </w:num>
  <w:num w:numId="42">
    <w:abstractNumId w:val="28"/>
  </w:num>
  <w:num w:numId="43">
    <w:abstractNumId w:val="15"/>
  </w:num>
  <w:num w:numId="44">
    <w:abstractNumId w:val="18"/>
  </w:num>
  <w:num w:numId="45">
    <w:abstractNumId w:val="6"/>
  </w:num>
  <w:num w:numId="46">
    <w:abstractNumId w:val="13"/>
  </w:num>
  <w:num w:numId="47">
    <w:abstractNumId w:val="47"/>
  </w:num>
  <w:num w:numId="48">
    <w:abstractNumId w:val="36"/>
  </w:num>
  <w:num w:numId="49">
    <w:abstractNumId w:val="3"/>
  </w:num>
  <w:num w:numId="50">
    <w:abstractNumId w:val="20"/>
  </w:num>
  <w:num w:numId="51">
    <w:abstractNumId w:val="23"/>
  </w:num>
  <w:num w:numId="52">
    <w:abstractNumId w:val="11"/>
  </w:num>
  <w:num w:numId="53">
    <w:abstractNumId w:val="48"/>
    <w:lvlOverride w:ilvl="0">
      <w:startOverride w:val="1"/>
    </w:lvlOverride>
  </w:num>
  <w:num w:numId="54">
    <w:abstractNumId w:val="4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C8C"/>
    <w:rsid w:val="00006F9D"/>
    <w:rsid w:val="00012D6C"/>
    <w:rsid w:val="0001512A"/>
    <w:rsid w:val="0002203B"/>
    <w:rsid w:val="0002250E"/>
    <w:rsid w:val="00024D4E"/>
    <w:rsid w:val="00027B48"/>
    <w:rsid w:val="00032CE6"/>
    <w:rsid w:val="0003528A"/>
    <w:rsid w:val="00035DA3"/>
    <w:rsid w:val="00035E28"/>
    <w:rsid w:val="00037687"/>
    <w:rsid w:val="000417BA"/>
    <w:rsid w:val="00043F41"/>
    <w:rsid w:val="00050F04"/>
    <w:rsid w:val="000516F3"/>
    <w:rsid w:val="00051729"/>
    <w:rsid w:val="00052784"/>
    <w:rsid w:val="000537B2"/>
    <w:rsid w:val="00060919"/>
    <w:rsid w:val="00060D86"/>
    <w:rsid w:val="00061AFA"/>
    <w:rsid w:val="00066B27"/>
    <w:rsid w:val="00067C8C"/>
    <w:rsid w:val="0007103B"/>
    <w:rsid w:val="00073C1C"/>
    <w:rsid w:val="00073D42"/>
    <w:rsid w:val="00075DFE"/>
    <w:rsid w:val="00082E26"/>
    <w:rsid w:val="0009050C"/>
    <w:rsid w:val="000917AA"/>
    <w:rsid w:val="00093720"/>
    <w:rsid w:val="00094B36"/>
    <w:rsid w:val="00095F19"/>
    <w:rsid w:val="000963B6"/>
    <w:rsid w:val="00096B6B"/>
    <w:rsid w:val="000A21F7"/>
    <w:rsid w:val="000A54DB"/>
    <w:rsid w:val="000A5AD4"/>
    <w:rsid w:val="000A7463"/>
    <w:rsid w:val="000B210C"/>
    <w:rsid w:val="000B3214"/>
    <w:rsid w:val="000B33AC"/>
    <w:rsid w:val="000B3974"/>
    <w:rsid w:val="000B4D86"/>
    <w:rsid w:val="000B7660"/>
    <w:rsid w:val="000C26A5"/>
    <w:rsid w:val="000C509B"/>
    <w:rsid w:val="000D01E2"/>
    <w:rsid w:val="000D27C8"/>
    <w:rsid w:val="000D7A16"/>
    <w:rsid w:val="000D7F54"/>
    <w:rsid w:val="000F3AB1"/>
    <w:rsid w:val="000F4BA8"/>
    <w:rsid w:val="000F69DC"/>
    <w:rsid w:val="000F7166"/>
    <w:rsid w:val="000F73FB"/>
    <w:rsid w:val="0010348D"/>
    <w:rsid w:val="0010421E"/>
    <w:rsid w:val="00107066"/>
    <w:rsid w:val="00110D62"/>
    <w:rsid w:val="0011198E"/>
    <w:rsid w:val="00121192"/>
    <w:rsid w:val="00121AD4"/>
    <w:rsid w:val="001225D9"/>
    <w:rsid w:val="00122893"/>
    <w:rsid w:val="00123A7F"/>
    <w:rsid w:val="00135888"/>
    <w:rsid w:val="00136739"/>
    <w:rsid w:val="0014033A"/>
    <w:rsid w:val="001437A0"/>
    <w:rsid w:val="0014473A"/>
    <w:rsid w:val="00146D4E"/>
    <w:rsid w:val="001477C6"/>
    <w:rsid w:val="00150581"/>
    <w:rsid w:val="00151D0A"/>
    <w:rsid w:val="00154B14"/>
    <w:rsid w:val="0016551D"/>
    <w:rsid w:val="001660B9"/>
    <w:rsid w:val="00167358"/>
    <w:rsid w:val="00167CA2"/>
    <w:rsid w:val="00170140"/>
    <w:rsid w:val="001724E3"/>
    <w:rsid w:val="001765AC"/>
    <w:rsid w:val="00180D23"/>
    <w:rsid w:val="00182D62"/>
    <w:rsid w:val="00186479"/>
    <w:rsid w:val="001909DB"/>
    <w:rsid w:val="00192A8D"/>
    <w:rsid w:val="00193D3A"/>
    <w:rsid w:val="001A11CB"/>
    <w:rsid w:val="001A15D5"/>
    <w:rsid w:val="001A4996"/>
    <w:rsid w:val="001A4C9B"/>
    <w:rsid w:val="001B011C"/>
    <w:rsid w:val="001B2FDD"/>
    <w:rsid w:val="001B6C47"/>
    <w:rsid w:val="001B6FC7"/>
    <w:rsid w:val="001C2746"/>
    <w:rsid w:val="001C2A9E"/>
    <w:rsid w:val="001C5AAF"/>
    <w:rsid w:val="001C5CC1"/>
    <w:rsid w:val="001C6404"/>
    <w:rsid w:val="001D0352"/>
    <w:rsid w:val="001D180B"/>
    <w:rsid w:val="001D1CDB"/>
    <w:rsid w:val="001E29F7"/>
    <w:rsid w:val="001E2F4E"/>
    <w:rsid w:val="001E35FC"/>
    <w:rsid w:val="001E4B07"/>
    <w:rsid w:val="001E75E6"/>
    <w:rsid w:val="001F35E9"/>
    <w:rsid w:val="001F3F4D"/>
    <w:rsid w:val="001F5B95"/>
    <w:rsid w:val="001F64AE"/>
    <w:rsid w:val="00200EBA"/>
    <w:rsid w:val="0020407D"/>
    <w:rsid w:val="002059F0"/>
    <w:rsid w:val="002105F1"/>
    <w:rsid w:val="00211B48"/>
    <w:rsid w:val="0021310A"/>
    <w:rsid w:val="0021390B"/>
    <w:rsid w:val="00214F49"/>
    <w:rsid w:val="00215F35"/>
    <w:rsid w:val="002165DD"/>
    <w:rsid w:val="00221D6A"/>
    <w:rsid w:val="0022353C"/>
    <w:rsid w:val="0022426D"/>
    <w:rsid w:val="00225ABF"/>
    <w:rsid w:val="00226206"/>
    <w:rsid w:val="00234A37"/>
    <w:rsid w:val="002356D6"/>
    <w:rsid w:val="00236BA6"/>
    <w:rsid w:val="00236C20"/>
    <w:rsid w:val="00237190"/>
    <w:rsid w:val="00237CF4"/>
    <w:rsid w:val="002412E5"/>
    <w:rsid w:val="0024240F"/>
    <w:rsid w:val="002432B7"/>
    <w:rsid w:val="00244A6C"/>
    <w:rsid w:val="00244EFF"/>
    <w:rsid w:val="00245933"/>
    <w:rsid w:val="00246E4D"/>
    <w:rsid w:val="002576F9"/>
    <w:rsid w:val="00260282"/>
    <w:rsid w:val="00265D5C"/>
    <w:rsid w:val="00270362"/>
    <w:rsid w:val="002726D3"/>
    <w:rsid w:val="002850A6"/>
    <w:rsid w:val="002854F8"/>
    <w:rsid w:val="00285875"/>
    <w:rsid w:val="002979BA"/>
    <w:rsid w:val="002A2960"/>
    <w:rsid w:val="002A29F6"/>
    <w:rsid w:val="002A5AA0"/>
    <w:rsid w:val="002A651D"/>
    <w:rsid w:val="002A7B4C"/>
    <w:rsid w:val="002B4189"/>
    <w:rsid w:val="002C04F7"/>
    <w:rsid w:val="002C1FC7"/>
    <w:rsid w:val="002C5376"/>
    <w:rsid w:val="002D0AA5"/>
    <w:rsid w:val="002D17EF"/>
    <w:rsid w:val="002D46D5"/>
    <w:rsid w:val="002D596A"/>
    <w:rsid w:val="002D603F"/>
    <w:rsid w:val="002E1D72"/>
    <w:rsid w:val="002E298A"/>
    <w:rsid w:val="002E2E6C"/>
    <w:rsid w:val="002E450D"/>
    <w:rsid w:val="002E7735"/>
    <w:rsid w:val="002F0563"/>
    <w:rsid w:val="002F0D81"/>
    <w:rsid w:val="002F13BD"/>
    <w:rsid w:val="002F568C"/>
    <w:rsid w:val="003014F6"/>
    <w:rsid w:val="00305A9B"/>
    <w:rsid w:val="00310092"/>
    <w:rsid w:val="00313E97"/>
    <w:rsid w:val="00314D1D"/>
    <w:rsid w:val="0031653E"/>
    <w:rsid w:val="0032048F"/>
    <w:rsid w:val="00321000"/>
    <w:rsid w:val="00323133"/>
    <w:rsid w:val="0032498A"/>
    <w:rsid w:val="00325E86"/>
    <w:rsid w:val="00327077"/>
    <w:rsid w:val="003308AB"/>
    <w:rsid w:val="00331438"/>
    <w:rsid w:val="003322E9"/>
    <w:rsid w:val="00340DB7"/>
    <w:rsid w:val="00341853"/>
    <w:rsid w:val="00351EA4"/>
    <w:rsid w:val="003548FB"/>
    <w:rsid w:val="003564D8"/>
    <w:rsid w:val="00362AB9"/>
    <w:rsid w:val="00363161"/>
    <w:rsid w:val="0036350F"/>
    <w:rsid w:val="00363988"/>
    <w:rsid w:val="00364355"/>
    <w:rsid w:val="0036472D"/>
    <w:rsid w:val="0036499E"/>
    <w:rsid w:val="00370113"/>
    <w:rsid w:val="003726B6"/>
    <w:rsid w:val="00372B09"/>
    <w:rsid w:val="003805AE"/>
    <w:rsid w:val="00381FF8"/>
    <w:rsid w:val="0038223E"/>
    <w:rsid w:val="0038355F"/>
    <w:rsid w:val="00385203"/>
    <w:rsid w:val="003939E0"/>
    <w:rsid w:val="00395872"/>
    <w:rsid w:val="00395B4F"/>
    <w:rsid w:val="003A3037"/>
    <w:rsid w:val="003B0414"/>
    <w:rsid w:val="003B069A"/>
    <w:rsid w:val="003B0FD3"/>
    <w:rsid w:val="003B4F39"/>
    <w:rsid w:val="003B6284"/>
    <w:rsid w:val="003C494B"/>
    <w:rsid w:val="003D2646"/>
    <w:rsid w:val="003D265D"/>
    <w:rsid w:val="003D5A37"/>
    <w:rsid w:val="003E6420"/>
    <w:rsid w:val="003E6DD0"/>
    <w:rsid w:val="003E7BB4"/>
    <w:rsid w:val="003F0432"/>
    <w:rsid w:val="003F44C5"/>
    <w:rsid w:val="003F4C23"/>
    <w:rsid w:val="003F5299"/>
    <w:rsid w:val="00400F78"/>
    <w:rsid w:val="00403CE0"/>
    <w:rsid w:val="0041095A"/>
    <w:rsid w:val="0041194C"/>
    <w:rsid w:val="00412899"/>
    <w:rsid w:val="00412CF8"/>
    <w:rsid w:val="0041647B"/>
    <w:rsid w:val="00420419"/>
    <w:rsid w:val="00421406"/>
    <w:rsid w:val="004219C4"/>
    <w:rsid w:val="00423462"/>
    <w:rsid w:val="00425F03"/>
    <w:rsid w:val="00434381"/>
    <w:rsid w:val="00445201"/>
    <w:rsid w:val="00447232"/>
    <w:rsid w:val="00450BD7"/>
    <w:rsid w:val="0045232A"/>
    <w:rsid w:val="00457612"/>
    <w:rsid w:val="004577AE"/>
    <w:rsid w:val="00467152"/>
    <w:rsid w:val="00473882"/>
    <w:rsid w:val="0047584A"/>
    <w:rsid w:val="00482D6F"/>
    <w:rsid w:val="00484ABC"/>
    <w:rsid w:val="00486CF4"/>
    <w:rsid w:val="0048738F"/>
    <w:rsid w:val="00487BB7"/>
    <w:rsid w:val="0049063B"/>
    <w:rsid w:val="004909EF"/>
    <w:rsid w:val="0049546F"/>
    <w:rsid w:val="004A2064"/>
    <w:rsid w:val="004B4F35"/>
    <w:rsid w:val="004B6FB7"/>
    <w:rsid w:val="004B755B"/>
    <w:rsid w:val="004B7738"/>
    <w:rsid w:val="004C1261"/>
    <w:rsid w:val="004C3C58"/>
    <w:rsid w:val="004D1DEA"/>
    <w:rsid w:val="004D4B11"/>
    <w:rsid w:val="004E0CAB"/>
    <w:rsid w:val="004E0E68"/>
    <w:rsid w:val="004E2298"/>
    <w:rsid w:val="004E4746"/>
    <w:rsid w:val="004E5355"/>
    <w:rsid w:val="004E71F1"/>
    <w:rsid w:val="004F447A"/>
    <w:rsid w:val="004F4613"/>
    <w:rsid w:val="004F5F5B"/>
    <w:rsid w:val="00514C40"/>
    <w:rsid w:val="00515198"/>
    <w:rsid w:val="00515C76"/>
    <w:rsid w:val="00517BFD"/>
    <w:rsid w:val="00521D10"/>
    <w:rsid w:val="005243B3"/>
    <w:rsid w:val="00526BA5"/>
    <w:rsid w:val="00526CCB"/>
    <w:rsid w:val="005277A8"/>
    <w:rsid w:val="00527F10"/>
    <w:rsid w:val="00533799"/>
    <w:rsid w:val="00533D86"/>
    <w:rsid w:val="00536226"/>
    <w:rsid w:val="00537500"/>
    <w:rsid w:val="00540ABF"/>
    <w:rsid w:val="00540AFA"/>
    <w:rsid w:val="00542D5C"/>
    <w:rsid w:val="0054455D"/>
    <w:rsid w:val="00545D93"/>
    <w:rsid w:val="0054632E"/>
    <w:rsid w:val="005507E9"/>
    <w:rsid w:val="00551208"/>
    <w:rsid w:val="00555B2A"/>
    <w:rsid w:val="00555C60"/>
    <w:rsid w:val="00556720"/>
    <w:rsid w:val="00561136"/>
    <w:rsid w:val="005651DD"/>
    <w:rsid w:val="00567156"/>
    <w:rsid w:val="00570B3E"/>
    <w:rsid w:val="0057230E"/>
    <w:rsid w:val="00573783"/>
    <w:rsid w:val="005757FA"/>
    <w:rsid w:val="005759E9"/>
    <w:rsid w:val="00577B4F"/>
    <w:rsid w:val="00580778"/>
    <w:rsid w:val="00584458"/>
    <w:rsid w:val="00586DAE"/>
    <w:rsid w:val="00591F67"/>
    <w:rsid w:val="005962F7"/>
    <w:rsid w:val="005A265D"/>
    <w:rsid w:val="005A45A1"/>
    <w:rsid w:val="005A5870"/>
    <w:rsid w:val="005A5E5B"/>
    <w:rsid w:val="005B2389"/>
    <w:rsid w:val="005B28E2"/>
    <w:rsid w:val="005B2E28"/>
    <w:rsid w:val="005B4F74"/>
    <w:rsid w:val="005B56FC"/>
    <w:rsid w:val="005C07FA"/>
    <w:rsid w:val="005C0959"/>
    <w:rsid w:val="005C143D"/>
    <w:rsid w:val="005C4906"/>
    <w:rsid w:val="005C61AB"/>
    <w:rsid w:val="005C6BE7"/>
    <w:rsid w:val="005D6098"/>
    <w:rsid w:val="005E136F"/>
    <w:rsid w:val="005F53A4"/>
    <w:rsid w:val="005F6BE4"/>
    <w:rsid w:val="005F6E4D"/>
    <w:rsid w:val="006003B5"/>
    <w:rsid w:val="0060042E"/>
    <w:rsid w:val="0060117F"/>
    <w:rsid w:val="0060775C"/>
    <w:rsid w:val="00610D38"/>
    <w:rsid w:val="00612012"/>
    <w:rsid w:val="00613B45"/>
    <w:rsid w:val="00614BBC"/>
    <w:rsid w:val="00614F17"/>
    <w:rsid w:val="00617B14"/>
    <w:rsid w:val="00621F3A"/>
    <w:rsid w:val="0062529D"/>
    <w:rsid w:val="0062531E"/>
    <w:rsid w:val="006269DC"/>
    <w:rsid w:val="00633351"/>
    <w:rsid w:val="00637515"/>
    <w:rsid w:val="00637C63"/>
    <w:rsid w:val="00642ED2"/>
    <w:rsid w:val="0064349E"/>
    <w:rsid w:val="00644AC8"/>
    <w:rsid w:val="0064675E"/>
    <w:rsid w:val="0065381F"/>
    <w:rsid w:val="0065412C"/>
    <w:rsid w:val="00656E0C"/>
    <w:rsid w:val="006744FA"/>
    <w:rsid w:val="0067497A"/>
    <w:rsid w:val="00675E49"/>
    <w:rsid w:val="006804E5"/>
    <w:rsid w:val="00681C90"/>
    <w:rsid w:val="00685B8E"/>
    <w:rsid w:val="006869AC"/>
    <w:rsid w:val="0068788E"/>
    <w:rsid w:val="006932B5"/>
    <w:rsid w:val="00694159"/>
    <w:rsid w:val="006956CB"/>
    <w:rsid w:val="00695883"/>
    <w:rsid w:val="0069737B"/>
    <w:rsid w:val="006A1EF2"/>
    <w:rsid w:val="006A5828"/>
    <w:rsid w:val="006A7775"/>
    <w:rsid w:val="006A78D0"/>
    <w:rsid w:val="006A7B7E"/>
    <w:rsid w:val="006B2165"/>
    <w:rsid w:val="006B37D1"/>
    <w:rsid w:val="006B4A60"/>
    <w:rsid w:val="006B6CCD"/>
    <w:rsid w:val="006C09E2"/>
    <w:rsid w:val="006C3E4E"/>
    <w:rsid w:val="006C5CB7"/>
    <w:rsid w:val="006C6B79"/>
    <w:rsid w:val="006D4ADC"/>
    <w:rsid w:val="006D5B8C"/>
    <w:rsid w:val="006E2A2A"/>
    <w:rsid w:val="006E4D61"/>
    <w:rsid w:val="006E59E8"/>
    <w:rsid w:val="006E5ACA"/>
    <w:rsid w:val="006E7606"/>
    <w:rsid w:val="006F2833"/>
    <w:rsid w:val="006F3484"/>
    <w:rsid w:val="006F5327"/>
    <w:rsid w:val="006F544B"/>
    <w:rsid w:val="00700451"/>
    <w:rsid w:val="00700DF0"/>
    <w:rsid w:val="00703759"/>
    <w:rsid w:val="0070467D"/>
    <w:rsid w:val="00704C4B"/>
    <w:rsid w:val="007121EC"/>
    <w:rsid w:val="007123DB"/>
    <w:rsid w:val="007134D6"/>
    <w:rsid w:val="00717C8E"/>
    <w:rsid w:val="007210BC"/>
    <w:rsid w:val="00722793"/>
    <w:rsid w:val="00723E27"/>
    <w:rsid w:val="00723F8B"/>
    <w:rsid w:val="007241DA"/>
    <w:rsid w:val="007254F8"/>
    <w:rsid w:val="0072751E"/>
    <w:rsid w:val="00731487"/>
    <w:rsid w:val="007344C2"/>
    <w:rsid w:val="00736548"/>
    <w:rsid w:val="00737A6E"/>
    <w:rsid w:val="007401AB"/>
    <w:rsid w:val="0074163B"/>
    <w:rsid w:val="007418F7"/>
    <w:rsid w:val="00741B8F"/>
    <w:rsid w:val="00741FA4"/>
    <w:rsid w:val="0074716A"/>
    <w:rsid w:val="00751131"/>
    <w:rsid w:val="007513E8"/>
    <w:rsid w:val="00752FA6"/>
    <w:rsid w:val="00756C89"/>
    <w:rsid w:val="00757AAD"/>
    <w:rsid w:val="0076243F"/>
    <w:rsid w:val="00764851"/>
    <w:rsid w:val="00764B09"/>
    <w:rsid w:val="00765294"/>
    <w:rsid w:val="007678A0"/>
    <w:rsid w:val="00770E49"/>
    <w:rsid w:val="00773742"/>
    <w:rsid w:val="00775928"/>
    <w:rsid w:val="00783BEB"/>
    <w:rsid w:val="00787C08"/>
    <w:rsid w:val="007907A0"/>
    <w:rsid w:val="007967F0"/>
    <w:rsid w:val="00796EDC"/>
    <w:rsid w:val="007A0993"/>
    <w:rsid w:val="007A275C"/>
    <w:rsid w:val="007A6A1D"/>
    <w:rsid w:val="007A7EEB"/>
    <w:rsid w:val="007C4BB7"/>
    <w:rsid w:val="007D1CB6"/>
    <w:rsid w:val="007D375D"/>
    <w:rsid w:val="007D404A"/>
    <w:rsid w:val="007D54CA"/>
    <w:rsid w:val="007E1BCB"/>
    <w:rsid w:val="007E7699"/>
    <w:rsid w:val="007F07AA"/>
    <w:rsid w:val="007F0E82"/>
    <w:rsid w:val="007F3C22"/>
    <w:rsid w:val="007F79C2"/>
    <w:rsid w:val="008008F9"/>
    <w:rsid w:val="00802B18"/>
    <w:rsid w:val="008030CB"/>
    <w:rsid w:val="00803EB9"/>
    <w:rsid w:val="00805AF8"/>
    <w:rsid w:val="00806EF3"/>
    <w:rsid w:val="00810C6E"/>
    <w:rsid w:val="00816D9B"/>
    <w:rsid w:val="008210E4"/>
    <w:rsid w:val="00823FD5"/>
    <w:rsid w:val="00836476"/>
    <w:rsid w:val="00841065"/>
    <w:rsid w:val="00841ED8"/>
    <w:rsid w:val="008438FE"/>
    <w:rsid w:val="008459F6"/>
    <w:rsid w:val="00847B80"/>
    <w:rsid w:val="00850881"/>
    <w:rsid w:val="00860817"/>
    <w:rsid w:val="00870B01"/>
    <w:rsid w:val="008713B7"/>
    <w:rsid w:val="00871D7F"/>
    <w:rsid w:val="0088283D"/>
    <w:rsid w:val="00887E53"/>
    <w:rsid w:val="00897975"/>
    <w:rsid w:val="008A000F"/>
    <w:rsid w:val="008A291F"/>
    <w:rsid w:val="008A33DD"/>
    <w:rsid w:val="008A4045"/>
    <w:rsid w:val="008B26A5"/>
    <w:rsid w:val="008B2B27"/>
    <w:rsid w:val="008B7198"/>
    <w:rsid w:val="008C0BA1"/>
    <w:rsid w:val="008C59BE"/>
    <w:rsid w:val="008C6EB2"/>
    <w:rsid w:val="008C773F"/>
    <w:rsid w:val="008D17B5"/>
    <w:rsid w:val="008E0DC6"/>
    <w:rsid w:val="008E46F0"/>
    <w:rsid w:val="008E69DB"/>
    <w:rsid w:val="008F08C7"/>
    <w:rsid w:val="008F1862"/>
    <w:rsid w:val="008F41FC"/>
    <w:rsid w:val="00931F94"/>
    <w:rsid w:val="00937076"/>
    <w:rsid w:val="0094105E"/>
    <w:rsid w:val="00943841"/>
    <w:rsid w:val="00943D5A"/>
    <w:rsid w:val="009446B3"/>
    <w:rsid w:val="00961ACA"/>
    <w:rsid w:val="009646BE"/>
    <w:rsid w:val="00970346"/>
    <w:rsid w:val="00970A9A"/>
    <w:rsid w:val="00971641"/>
    <w:rsid w:val="00972DE0"/>
    <w:rsid w:val="00974BE9"/>
    <w:rsid w:val="00975C9B"/>
    <w:rsid w:val="00980529"/>
    <w:rsid w:val="00980796"/>
    <w:rsid w:val="0098260C"/>
    <w:rsid w:val="00987E0D"/>
    <w:rsid w:val="009904CE"/>
    <w:rsid w:val="00991953"/>
    <w:rsid w:val="00992D45"/>
    <w:rsid w:val="00993F34"/>
    <w:rsid w:val="00995CDC"/>
    <w:rsid w:val="009A1DF4"/>
    <w:rsid w:val="009A5CED"/>
    <w:rsid w:val="009B417B"/>
    <w:rsid w:val="009B4FB9"/>
    <w:rsid w:val="009B57B6"/>
    <w:rsid w:val="009C2E1A"/>
    <w:rsid w:val="009D4017"/>
    <w:rsid w:val="009D57C5"/>
    <w:rsid w:val="009D7451"/>
    <w:rsid w:val="009E3BB8"/>
    <w:rsid w:val="009E4F05"/>
    <w:rsid w:val="009E7C03"/>
    <w:rsid w:val="009F2330"/>
    <w:rsid w:val="00A00AC6"/>
    <w:rsid w:val="00A0159E"/>
    <w:rsid w:val="00A02B57"/>
    <w:rsid w:val="00A04988"/>
    <w:rsid w:val="00A05D1D"/>
    <w:rsid w:val="00A072FF"/>
    <w:rsid w:val="00A10A12"/>
    <w:rsid w:val="00A15774"/>
    <w:rsid w:val="00A15D2E"/>
    <w:rsid w:val="00A2096C"/>
    <w:rsid w:val="00A22E9E"/>
    <w:rsid w:val="00A2421D"/>
    <w:rsid w:val="00A25490"/>
    <w:rsid w:val="00A26A74"/>
    <w:rsid w:val="00A30583"/>
    <w:rsid w:val="00A30BC0"/>
    <w:rsid w:val="00A32B25"/>
    <w:rsid w:val="00A336F3"/>
    <w:rsid w:val="00A34363"/>
    <w:rsid w:val="00A429C9"/>
    <w:rsid w:val="00A47F43"/>
    <w:rsid w:val="00A5449A"/>
    <w:rsid w:val="00A649DC"/>
    <w:rsid w:val="00A660CB"/>
    <w:rsid w:val="00A7012F"/>
    <w:rsid w:val="00A71881"/>
    <w:rsid w:val="00A71D7C"/>
    <w:rsid w:val="00A725B7"/>
    <w:rsid w:val="00A770EC"/>
    <w:rsid w:val="00A847BC"/>
    <w:rsid w:val="00A8520D"/>
    <w:rsid w:val="00A91A4D"/>
    <w:rsid w:val="00A949A1"/>
    <w:rsid w:val="00AA431E"/>
    <w:rsid w:val="00AA4621"/>
    <w:rsid w:val="00AB09EF"/>
    <w:rsid w:val="00AB1094"/>
    <w:rsid w:val="00AB18E0"/>
    <w:rsid w:val="00AB28CE"/>
    <w:rsid w:val="00AB4BC4"/>
    <w:rsid w:val="00AB6DA9"/>
    <w:rsid w:val="00AC07C6"/>
    <w:rsid w:val="00AC199B"/>
    <w:rsid w:val="00AC3D0B"/>
    <w:rsid w:val="00AD297B"/>
    <w:rsid w:val="00AD2D61"/>
    <w:rsid w:val="00AE7D1E"/>
    <w:rsid w:val="00AF0244"/>
    <w:rsid w:val="00AF0388"/>
    <w:rsid w:val="00AF4B89"/>
    <w:rsid w:val="00B0707C"/>
    <w:rsid w:val="00B07EC2"/>
    <w:rsid w:val="00B128F4"/>
    <w:rsid w:val="00B17291"/>
    <w:rsid w:val="00B17757"/>
    <w:rsid w:val="00B22F4A"/>
    <w:rsid w:val="00B24A10"/>
    <w:rsid w:val="00B34754"/>
    <w:rsid w:val="00B36A53"/>
    <w:rsid w:val="00B51E8E"/>
    <w:rsid w:val="00B54750"/>
    <w:rsid w:val="00B54CB8"/>
    <w:rsid w:val="00B56173"/>
    <w:rsid w:val="00B607DA"/>
    <w:rsid w:val="00B60E83"/>
    <w:rsid w:val="00B60FD9"/>
    <w:rsid w:val="00B612E4"/>
    <w:rsid w:val="00B70DA0"/>
    <w:rsid w:val="00B738F6"/>
    <w:rsid w:val="00B81065"/>
    <w:rsid w:val="00B8393B"/>
    <w:rsid w:val="00B8679F"/>
    <w:rsid w:val="00B875C4"/>
    <w:rsid w:val="00B9188F"/>
    <w:rsid w:val="00B96BE5"/>
    <w:rsid w:val="00BA03FB"/>
    <w:rsid w:val="00BA17C1"/>
    <w:rsid w:val="00BB54FF"/>
    <w:rsid w:val="00BC29C1"/>
    <w:rsid w:val="00BC3EF9"/>
    <w:rsid w:val="00BC55F5"/>
    <w:rsid w:val="00BC698C"/>
    <w:rsid w:val="00BC6E9B"/>
    <w:rsid w:val="00BD0335"/>
    <w:rsid w:val="00BD082E"/>
    <w:rsid w:val="00BD3D41"/>
    <w:rsid w:val="00BD3F24"/>
    <w:rsid w:val="00BD70CE"/>
    <w:rsid w:val="00BE6683"/>
    <w:rsid w:val="00BF14F4"/>
    <w:rsid w:val="00BF6011"/>
    <w:rsid w:val="00BF76B6"/>
    <w:rsid w:val="00C04B88"/>
    <w:rsid w:val="00C07E84"/>
    <w:rsid w:val="00C10B31"/>
    <w:rsid w:val="00C11440"/>
    <w:rsid w:val="00C12577"/>
    <w:rsid w:val="00C14068"/>
    <w:rsid w:val="00C143CF"/>
    <w:rsid w:val="00C145D3"/>
    <w:rsid w:val="00C20482"/>
    <w:rsid w:val="00C31997"/>
    <w:rsid w:val="00C32353"/>
    <w:rsid w:val="00C443A1"/>
    <w:rsid w:val="00C45679"/>
    <w:rsid w:val="00C46346"/>
    <w:rsid w:val="00C50E8B"/>
    <w:rsid w:val="00C638B9"/>
    <w:rsid w:val="00C6617E"/>
    <w:rsid w:val="00C665B0"/>
    <w:rsid w:val="00C669C1"/>
    <w:rsid w:val="00C70958"/>
    <w:rsid w:val="00C724FE"/>
    <w:rsid w:val="00C735CA"/>
    <w:rsid w:val="00C75E52"/>
    <w:rsid w:val="00C8076F"/>
    <w:rsid w:val="00C82C09"/>
    <w:rsid w:val="00C862EC"/>
    <w:rsid w:val="00C86EB9"/>
    <w:rsid w:val="00C90747"/>
    <w:rsid w:val="00C91067"/>
    <w:rsid w:val="00C93C60"/>
    <w:rsid w:val="00CA0D9B"/>
    <w:rsid w:val="00CA3098"/>
    <w:rsid w:val="00CA7EA9"/>
    <w:rsid w:val="00CB4F03"/>
    <w:rsid w:val="00CB69FB"/>
    <w:rsid w:val="00CB7948"/>
    <w:rsid w:val="00CB7ACB"/>
    <w:rsid w:val="00CC1541"/>
    <w:rsid w:val="00CC2CA8"/>
    <w:rsid w:val="00CC5147"/>
    <w:rsid w:val="00CC538A"/>
    <w:rsid w:val="00CC67B4"/>
    <w:rsid w:val="00CC6C84"/>
    <w:rsid w:val="00CD06B3"/>
    <w:rsid w:val="00CE288E"/>
    <w:rsid w:val="00CE2A9D"/>
    <w:rsid w:val="00CE52BB"/>
    <w:rsid w:val="00CF0651"/>
    <w:rsid w:val="00CF351E"/>
    <w:rsid w:val="00CF506A"/>
    <w:rsid w:val="00D00195"/>
    <w:rsid w:val="00D015B6"/>
    <w:rsid w:val="00D06CE1"/>
    <w:rsid w:val="00D07916"/>
    <w:rsid w:val="00D10F62"/>
    <w:rsid w:val="00D13171"/>
    <w:rsid w:val="00D144A7"/>
    <w:rsid w:val="00D14FF0"/>
    <w:rsid w:val="00D169D9"/>
    <w:rsid w:val="00D17F1C"/>
    <w:rsid w:val="00D224B8"/>
    <w:rsid w:val="00D22731"/>
    <w:rsid w:val="00D22F8B"/>
    <w:rsid w:val="00D24A37"/>
    <w:rsid w:val="00D250A0"/>
    <w:rsid w:val="00D343F9"/>
    <w:rsid w:val="00D35760"/>
    <w:rsid w:val="00D36275"/>
    <w:rsid w:val="00D37555"/>
    <w:rsid w:val="00D41D44"/>
    <w:rsid w:val="00D50B8C"/>
    <w:rsid w:val="00D6081F"/>
    <w:rsid w:val="00D6272F"/>
    <w:rsid w:val="00D66E1B"/>
    <w:rsid w:val="00D66FCE"/>
    <w:rsid w:val="00D70D97"/>
    <w:rsid w:val="00D757D3"/>
    <w:rsid w:val="00D770E7"/>
    <w:rsid w:val="00D81ADA"/>
    <w:rsid w:val="00D8586A"/>
    <w:rsid w:val="00D86EFA"/>
    <w:rsid w:val="00D87798"/>
    <w:rsid w:val="00D91018"/>
    <w:rsid w:val="00D93332"/>
    <w:rsid w:val="00D97CA9"/>
    <w:rsid w:val="00DA7178"/>
    <w:rsid w:val="00DC23A8"/>
    <w:rsid w:val="00DD2989"/>
    <w:rsid w:val="00DE2635"/>
    <w:rsid w:val="00DE3A79"/>
    <w:rsid w:val="00DE624C"/>
    <w:rsid w:val="00DE7552"/>
    <w:rsid w:val="00DF460F"/>
    <w:rsid w:val="00DF50B0"/>
    <w:rsid w:val="00DF69E0"/>
    <w:rsid w:val="00E0008E"/>
    <w:rsid w:val="00E04BCC"/>
    <w:rsid w:val="00E060A2"/>
    <w:rsid w:val="00E060C0"/>
    <w:rsid w:val="00E103C6"/>
    <w:rsid w:val="00E12778"/>
    <w:rsid w:val="00E160DF"/>
    <w:rsid w:val="00E1722B"/>
    <w:rsid w:val="00E17E57"/>
    <w:rsid w:val="00E218EF"/>
    <w:rsid w:val="00E22041"/>
    <w:rsid w:val="00E25BD4"/>
    <w:rsid w:val="00E30E3C"/>
    <w:rsid w:val="00E32A56"/>
    <w:rsid w:val="00E363CB"/>
    <w:rsid w:val="00E36D67"/>
    <w:rsid w:val="00E37579"/>
    <w:rsid w:val="00E4152D"/>
    <w:rsid w:val="00E42E70"/>
    <w:rsid w:val="00E42E99"/>
    <w:rsid w:val="00E444F8"/>
    <w:rsid w:val="00E528F2"/>
    <w:rsid w:val="00E52B76"/>
    <w:rsid w:val="00E54D3A"/>
    <w:rsid w:val="00E575C9"/>
    <w:rsid w:val="00E6620D"/>
    <w:rsid w:val="00E717A9"/>
    <w:rsid w:val="00E77EA4"/>
    <w:rsid w:val="00E81F12"/>
    <w:rsid w:val="00E84E35"/>
    <w:rsid w:val="00E8687D"/>
    <w:rsid w:val="00E92884"/>
    <w:rsid w:val="00E92BC7"/>
    <w:rsid w:val="00E942AE"/>
    <w:rsid w:val="00EA0E83"/>
    <w:rsid w:val="00EA163A"/>
    <w:rsid w:val="00EA21DA"/>
    <w:rsid w:val="00EA73F4"/>
    <w:rsid w:val="00EC0E44"/>
    <w:rsid w:val="00EC2AC1"/>
    <w:rsid w:val="00EC3E64"/>
    <w:rsid w:val="00EC4539"/>
    <w:rsid w:val="00EC5051"/>
    <w:rsid w:val="00ED1580"/>
    <w:rsid w:val="00EE2BDD"/>
    <w:rsid w:val="00EE5B09"/>
    <w:rsid w:val="00EE6AD3"/>
    <w:rsid w:val="00EF4B05"/>
    <w:rsid w:val="00EF7B7D"/>
    <w:rsid w:val="00F00C8D"/>
    <w:rsid w:val="00F04827"/>
    <w:rsid w:val="00F11AAE"/>
    <w:rsid w:val="00F1412B"/>
    <w:rsid w:val="00F15F06"/>
    <w:rsid w:val="00F202EA"/>
    <w:rsid w:val="00F20FE0"/>
    <w:rsid w:val="00F223B0"/>
    <w:rsid w:val="00F22AF2"/>
    <w:rsid w:val="00F23FD5"/>
    <w:rsid w:val="00F2548F"/>
    <w:rsid w:val="00F3096F"/>
    <w:rsid w:val="00F30B42"/>
    <w:rsid w:val="00F33318"/>
    <w:rsid w:val="00F36C74"/>
    <w:rsid w:val="00F36C94"/>
    <w:rsid w:val="00F40864"/>
    <w:rsid w:val="00F40BE9"/>
    <w:rsid w:val="00F4170E"/>
    <w:rsid w:val="00F44862"/>
    <w:rsid w:val="00F46011"/>
    <w:rsid w:val="00F4671A"/>
    <w:rsid w:val="00F46F9F"/>
    <w:rsid w:val="00F5157B"/>
    <w:rsid w:val="00F52B95"/>
    <w:rsid w:val="00F603B6"/>
    <w:rsid w:val="00F63587"/>
    <w:rsid w:val="00F63FBB"/>
    <w:rsid w:val="00F64BB4"/>
    <w:rsid w:val="00F71CE1"/>
    <w:rsid w:val="00F74B6F"/>
    <w:rsid w:val="00F820B5"/>
    <w:rsid w:val="00F87EA5"/>
    <w:rsid w:val="00F90380"/>
    <w:rsid w:val="00F94C83"/>
    <w:rsid w:val="00F97B33"/>
    <w:rsid w:val="00FA6271"/>
    <w:rsid w:val="00FA702E"/>
    <w:rsid w:val="00FB0B62"/>
    <w:rsid w:val="00FB161E"/>
    <w:rsid w:val="00FB2AC5"/>
    <w:rsid w:val="00FB526A"/>
    <w:rsid w:val="00FB652D"/>
    <w:rsid w:val="00FC066C"/>
    <w:rsid w:val="00FC0A5E"/>
    <w:rsid w:val="00FC7E50"/>
    <w:rsid w:val="00FD1D53"/>
    <w:rsid w:val="00FD4C72"/>
    <w:rsid w:val="00FD7DD3"/>
    <w:rsid w:val="00FE238B"/>
    <w:rsid w:val="00FE319F"/>
    <w:rsid w:val="00FE4B31"/>
    <w:rsid w:val="00FE75B9"/>
    <w:rsid w:val="00FF02E1"/>
    <w:rsid w:val="00FF2421"/>
    <w:rsid w:val="00FF306B"/>
    <w:rsid w:val="00FF49A2"/>
    <w:rsid w:val="00FF54CB"/>
    <w:rsid w:val="00FF6A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43C7030"/>
  <w15:docId w15:val="{D275FA90-A8E8-42CE-9BEC-134377D79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444444"/>
        <w:sz w:val="22"/>
        <w:szCs w:val="22"/>
        <w:lang w:val="en-AU" w:eastAsia="en-US" w:bidi="ar-SA"/>
      </w:rPr>
    </w:rPrDefault>
    <w:pPrDefault>
      <w:pPr>
        <w:spacing w:before="24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2E9E"/>
  </w:style>
  <w:style w:type="paragraph" w:styleId="Heading1">
    <w:name w:val="heading 1"/>
    <w:basedOn w:val="Normal"/>
    <w:next w:val="Normal"/>
    <w:link w:val="Heading1Char"/>
    <w:uiPriority w:val="9"/>
    <w:qFormat/>
    <w:rsid w:val="00082E26"/>
    <w:pPr>
      <w:keepNext/>
      <w:keepLines/>
      <w:numPr>
        <w:numId w:val="2"/>
      </w:numPr>
      <w:spacing w:before="480"/>
      <w:outlineLvl w:val="0"/>
    </w:pPr>
    <w:rPr>
      <w:rFonts w:ascii="Calibri" w:eastAsiaTheme="majorEastAsia" w:hAnsi="Calibri" w:cstheme="majorBidi"/>
      <w:b/>
      <w:bCs/>
      <w:color w:val="4E1A74"/>
      <w:sz w:val="32"/>
      <w:szCs w:val="28"/>
    </w:rPr>
  </w:style>
  <w:style w:type="paragraph" w:styleId="Heading2">
    <w:name w:val="heading 2"/>
    <w:basedOn w:val="Normal"/>
    <w:next w:val="Normal"/>
    <w:link w:val="Heading2Char"/>
    <w:unhideWhenUsed/>
    <w:qFormat/>
    <w:rsid w:val="00082E26"/>
    <w:pPr>
      <w:keepNext/>
      <w:keepLines/>
      <w:outlineLvl w:val="1"/>
    </w:pPr>
    <w:rPr>
      <w:rFonts w:ascii="Calibri" w:eastAsiaTheme="majorEastAsia" w:hAnsi="Calibri" w:cstheme="majorBidi"/>
      <w:b/>
      <w:bCs/>
      <w:color w:val="4E1A74"/>
      <w:sz w:val="26"/>
      <w:szCs w:val="26"/>
    </w:rPr>
  </w:style>
  <w:style w:type="paragraph" w:styleId="Heading3">
    <w:name w:val="heading 3"/>
    <w:basedOn w:val="Normal"/>
    <w:next w:val="Normal"/>
    <w:link w:val="Heading3Char"/>
    <w:uiPriority w:val="9"/>
    <w:unhideWhenUsed/>
    <w:qFormat/>
    <w:rsid w:val="00082E26"/>
    <w:pPr>
      <w:keepNext/>
      <w:keepLines/>
      <w:numPr>
        <w:ilvl w:val="2"/>
        <w:numId w:val="2"/>
      </w:numPr>
      <w:outlineLvl w:val="2"/>
    </w:pPr>
    <w:rPr>
      <w:rFonts w:eastAsiaTheme="majorEastAsia" w:cstheme="majorBidi"/>
      <w:b/>
      <w:bCs/>
      <w:i/>
      <w:color w:val="4E1A74"/>
      <w:sz w:val="24"/>
    </w:rPr>
  </w:style>
  <w:style w:type="paragraph" w:styleId="Heading4">
    <w:name w:val="heading 4"/>
    <w:aliases w:val="Appendix"/>
    <w:basedOn w:val="Normal"/>
    <w:next w:val="Normal"/>
    <w:link w:val="Heading4Char"/>
    <w:uiPriority w:val="9"/>
    <w:unhideWhenUsed/>
    <w:qFormat/>
    <w:rsid w:val="0041095A"/>
    <w:pPr>
      <w:keepNext/>
      <w:keepLines/>
      <w:numPr>
        <w:ilvl w:val="3"/>
        <w:numId w:val="2"/>
      </w:numPr>
      <w:outlineLvl w:val="3"/>
    </w:pPr>
    <w:rPr>
      <w:rFonts w:ascii="Calibri" w:eastAsiaTheme="majorEastAsia" w:hAnsi="Calibri" w:cstheme="majorBidi"/>
      <w:b/>
      <w:bCs/>
      <w:iCs/>
      <w:color w:val="4E1A74" w:themeColor="text2"/>
      <w:sz w:val="32"/>
    </w:rPr>
  </w:style>
  <w:style w:type="paragraph" w:styleId="Heading6">
    <w:name w:val="heading 6"/>
    <w:basedOn w:val="Normal"/>
    <w:next w:val="Normal"/>
    <w:link w:val="Heading6Char"/>
    <w:uiPriority w:val="9"/>
    <w:semiHidden/>
    <w:unhideWhenUsed/>
    <w:qFormat/>
    <w:rsid w:val="00E0008E"/>
    <w:pPr>
      <w:keepNext/>
      <w:keepLines/>
      <w:spacing w:before="40"/>
      <w:outlineLvl w:val="5"/>
    </w:pPr>
    <w:rPr>
      <w:rFonts w:asciiTheme="majorHAnsi" w:eastAsiaTheme="majorEastAsia" w:hAnsiTheme="majorHAnsi" w:cstheme="majorBidi"/>
      <w:color w:val="7927B7"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520D"/>
    <w:pPr>
      <w:spacing w:before="120"/>
    </w:pPr>
  </w:style>
  <w:style w:type="character" w:customStyle="1" w:styleId="Heading1Char">
    <w:name w:val="Heading 1 Char"/>
    <w:basedOn w:val="DefaultParagraphFont"/>
    <w:link w:val="Heading1"/>
    <w:uiPriority w:val="9"/>
    <w:rsid w:val="00082E26"/>
    <w:rPr>
      <w:rFonts w:ascii="Calibri" w:eastAsiaTheme="majorEastAsia" w:hAnsi="Calibri" w:cstheme="majorBidi"/>
      <w:b/>
      <w:bCs/>
      <w:color w:val="4E1A74"/>
      <w:sz w:val="32"/>
      <w:szCs w:val="28"/>
    </w:rPr>
  </w:style>
  <w:style w:type="character" w:customStyle="1" w:styleId="Heading2Char">
    <w:name w:val="Heading 2 Char"/>
    <w:basedOn w:val="DefaultParagraphFont"/>
    <w:link w:val="Heading2"/>
    <w:rsid w:val="00082E26"/>
    <w:rPr>
      <w:rFonts w:ascii="Calibri" w:eastAsiaTheme="majorEastAsia" w:hAnsi="Calibri" w:cstheme="majorBidi"/>
      <w:b/>
      <w:bCs/>
      <w:color w:val="4E1A74"/>
      <w:sz w:val="26"/>
      <w:szCs w:val="26"/>
    </w:rPr>
  </w:style>
  <w:style w:type="paragraph" w:styleId="Title">
    <w:name w:val="Title"/>
    <w:basedOn w:val="Normal"/>
    <w:next w:val="Normal"/>
    <w:link w:val="TitleChar"/>
    <w:uiPriority w:val="10"/>
    <w:qFormat/>
    <w:rsid w:val="00082E26"/>
    <w:pPr>
      <w:spacing w:before="360" w:line="240" w:lineRule="auto"/>
      <w:contextualSpacing/>
      <w:jc w:val="center"/>
    </w:pPr>
    <w:rPr>
      <w:rFonts w:ascii="Calibri" w:eastAsiaTheme="majorEastAsia" w:hAnsi="Calibri" w:cstheme="majorBidi"/>
      <w:b/>
      <w:color w:val="4E1A74"/>
      <w:spacing w:val="5"/>
      <w:kern w:val="28"/>
      <w:sz w:val="52"/>
      <w:szCs w:val="52"/>
    </w:rPr>
  </w:style>
  <w:style w:type="character" w:customStyle="1" w:styleId="TitleChar">
    <w:name w:val="Title Char"/>
    <w:basedOn w:val="DefaultParagraphFont"/>
    <w:link w:val="Title"/>
    <w:uiPriority w:val="10"/>
    <w:rsid w:val="00082E26"/>
    <w:rPr>
      <w:rFonts w:ascii="Calibri" w:eastAsiaTheme="majorEastAsia" w:hAnsi="Calibri" w:cstheme="majorBidi"/>
      <w:b/>
      <w:color w:val="4E1A74"/>
      <w:spacing w:val="5"/>
      <w:kern w:val="28"/>
      <w:sz w:val="52"/>
      <w:szCs w:val="52"/>
    </w:rPr>
  </w:style>
  <w:style w:type="paragraph" w:styleId="Subtitle">
    <w:name w:val="Subtitle"/>
    <w:basedOn w:val="Normal"/>
    <w:next w:val="Normal"/>
    <w:link w:val="SubtitleChar"/>
    <w:uiPriority w:val="11"/>
    <w:qFormat/>
    <w:rsid w:val="00D70D97"/>
    <w:pPr>
      <w:numPr>
        <w:ilvl w:val="1"/>
      </w:numPr>
    </w:pPr>
    <w:rPr>
      <w:rFonts w:ascii="Calibri" w:eastAsiaTheme="majorEastAsia" w:hAnsi="Calibri" w:cstheme="majorBidi"/>
      <w:i/>
      <w:iCs/>
      <w:color w:val="4E1A74"/>
      <w:spacing w:val="15"/>
      <w:sz w:val="24"/>
      <w:szCs w:val="24"/>
    </w:rPr>
  </w:style>
  <w:style w:type="character" w:customStyle="1" w:styleId="SubtitleChar">
    <w:name w:val="Subtitle Char"/>
    <w:basedOn w:val="DefaultParagraphFont"/>
    <w:link w:val="Subtitle"/>
    <w:uiPriority w:val="11"/>
    <w:rsid w:val="00D70D97"/>
    <w:rPr>
      <w:rFonts w:ascii="Calibri" w:eastAsiaTheme="majorEastAsia" w:hAnsi="Calibri" w:cstheme="majorBidi"/>
      <w:i/>
      <w:iCs/>
      <w:color w:val="4E1A74"/>
      <w:spacing w:val="15"/>
      <w:sz w:val="24"/>
      <w:szCs w:val="24"/>
    </w:rPr>
  </w:style>
  <w:style w:type="paragraph" w:styleId="FootnoteText">
    <w:name w:val="footnote text"/>
    <w:basedOn w:val="Normal"/>
    <w:link w:val="FootnoteTextChar"/>
    <w:qFormat/>
    <w:rsid w:val="00BB54FF"/>
    <w:pPr>
      <w:spacing w:before="60" w:line="240" w:lineRule="auto"/>
      <w:ind w:left="284" w:hanging="284"/>
    </w:pPr>
    <w:rPr>
      <w:sz w:val="18"/>
      <w:szCs w:val="20"/>
    </w:rPr>
  </w:style>
  <w:style w:type="character" w:customStyle="1" w:styleId="FootnoteTextChar">
    <w:name w:val="Footnote Text Char"/>
    <w:basedOn w:val="DefaultParagraphFont"/>
    <w:link w:val="FootnoteText"/>
    <w:rsid w:val="00BB54FF"/>
    <w:rPr>
      <w:sz w:val="18"/>
      <w:szCs w:val="20"/>
    </w:rPr>
  </w:style>
  <w:style w:type="character" w:styleId="FootnoteReference">
    <w:name w:val="footnote reference"/>
    <w:basedOn w:val="DefaultParagraphFont"/>
    <w:semiHidden/>
    <w:unhideWhenUsed/>
    <w:rsid w:val="00AB6DA9"/>
    <w:rPr>
      <w:vertAlign w:val="superscript"/>
    </w:rPr>
  </w:style>
  <w:style w:type="character" w:styleId="Hyperlink">
    <w:name w:val="Hyperlink"/>
    <w:basedOn w:val="DefaultParagraphFont"/>
    <w:uiPriority w:val="99"/>
    <w:unhideWhenUsed/>
    <w:rsid w:val="00D70D97"/>
    <w:rPr>
      <w:color w:val="4E1A74" w:themeColor="hyperlink"/>
      <w:u w:val="single"/>
    </w:rPr>
  </w:style>
  <w:style w:type="character" w:styleId="FollowedHyperlink">
    <w:name w:val="FollowedHyperlink"/>
    <w:basedOn w:val="DefaultParagraphFont"/>
    <w:uiPriority w:val="99"/>
    <w:semiHidden/>
    <w:unhideWhenUsed/>
    <w:rsid w:val="00D70D97"/>
    <w:rPr>
      <w:color w:val="800080" w:themeColor="followedHyperlink"/>
      <w:u w:val="single"/>
    </w:rPr>
  </w:style>
  <w:style w:type="paragraph" w:styleId="Header">
    <w:name w:val="header"/>
    <w:basedOn w:val="Normal"/>
    <w:link w:val="HeaderChar"/>
    <w:uiPriority w:val="99"/>
    <w:unhideWhenUsed/>
    <w:rsid w:val="00037687"/>
    <w:pPr>
      <w:tabs>
        <w:tab w:val="center" w:pos="4513"/>
        <w:tab w:val="right" w:pos="9026"/>
      </w:tabs>
      <w:spacing w:before="0" w:line="240" w:lineRule="auto"/>
    </w:pPr>
  </w:style>
  <w:style w:type="character" w:customStyle="1" w:styleId="HeaderChar">
    <w:name w:val="Header Char"/>
    <w:basedOn w:val="DefaultParagraphFont"/>
    <w:link w:val="Header"/>
    <w:uiPriority w:val="99"/>
    <w:rsid w:val="00037687"/>
    <w:rPr>
      <w:color w:val="22508C" w:themeColor="text1" w:themeTint="D9"/>
    </w:rPr>
  </w:style>
  <w:style w:type="paragraph" w:styleId="Footer">
    <w:name w:val="footer"/>
    <w:basedOn w:val="Normal"/>
    <w:link w:val="FooterChar"/>
    <w:unhideWhenUsed/>
    <w:rsid w:val="00037687"/>
    <w:pPr>
      <w:tabs>
        <w:tab w:val="center" w:pos="4513"/>
        <w:tab w:val="right" w:pos="9026"/>
      </w:tabs>
      <w:spacing w:before="0" w:line="240" w:lineRule="auto"/>
    </w:pPr>
  </w:style>
  <w:style w:type="character" w:customStyle="1" w:styleId="FooterChar">
    <w:name w:val="Footer Char"/>
    <w:basedOn w:val="DefaultParagraphFont"/>
    <w:link w:val="Footer"/>
    <w:rsid w:val="00037687"/>
    <w:rPr>
      <w:color w:val="22508C" w:themeColor="text1" w:themeTint="D9"/>
    </w:rPr>
  </w:style>
  <w:style w:type="character" w:styleId="SubtleEmphasis">
    <w:name w:val="Subtle Emphasis"/>
    <w:basedOn w:val="DefaultParagraphFont"/>
    <w:uiPriority w:val="19"/>
    <w:qFormat/>
    <w:rsid w:val="00FF6AB9"/>
    <w:rPr>
      <w:color w:val="DBBEF0"/>
    </w:rPr>
  </w:style>
  <w:style w:type="character" w:customStyle="1" w:styleId="Heading3Char">
    <w:name w:val="Heading 3 Char"/>
    <w:basedOn w:val="DefaultParagraphFont"/>
    <w:link w:val="Heading3"/>
    <w:uiPriority w:val="9"/>
    <w:rsid w:val="00082E26"/>
    <w:rPr>
      <w:rFonts w:eastAsiaTheme="majorEastAsia" w:cstheme="majorBidi"/>
      <w:b/>
      <w:bCs/>
      <w:i/>
      <w:color w:val="4E1A74"/>
      <w:sz w:val="24"/>
    </w:rPr>
  </w:style>
  <w:style w:type="paragraph" w:styleId="BalloonText">
    <w:name w:val="Balloon Text"/>
    <w:basedOn w:val="Normal"/>
    <w:link w:val="BalloonTextChar"/>
    <w:uiPriority w:val="99"/>
    <w:semiHidden/>
    <w:unhideWhenUsed/>
    <w:rsid w:val="002356D6"/>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56D6"/>
    <w:rPr>
      <w:rFonts w:ascii="Tahoma" w:hAnsi="Tahoma" w:cs="Tahoma"/>
      <w:color w:val="444448"/>
      <w:sz w:val="16"/>
      <w:szCs w:val="16"/>
    </w:rPr>
  </w:style>
  <w:style w:type="paragraph" w:styleId="Caption">
    <w:name w:val="caption"/>
    <w:basedOn w:val="Normal"/>
    <w:next w:val="Normal"/>
    <w:uiPriority w:val="35"/>
    <w:qFormat/>
    <w:rsid w:val="0054455D"/>
    <w:pPr>
      <w:spacing w:before="120" w:line="240" w:lineRule="auto"/>
    </w:pPr>
    <w:rPr>
      <w:b/>
      <w:bCs/>
      <w:color w:val="4E1A74"/>
      <w:sz w:val="20"/>
      <w:szCs w:val="18"/>
    </w:rPr>
  </w:style>
  <w:style w:type="character" w:customStyle="1" w:styleId="Heading4Char">
    <w:name w:val="Heading 4 Char"/>
    <w:aliases w:val="Appendix Char"/>
    <w:basedOn w:val="DefaultParagraphFont"/>
    <w:link w:val="Heading4"/>
    <w:uiPriority w:val="9"/>
    <w:rsid w:val="0041095A"/>
    <w:rPr>
      <w:rFonts w:ascii="Calibri" w:eastAsiaTheme="majorEastAsia" w:hAnsi="Calibri" w:cstheme="majorBidi"/>
      <w:b/>
      <w:bCs/>
      <w:iCs/>
      <w:color w:val="4E1A74" w:themeColor="text2"/>
      <w:sz w:val="32"/>
    </w:rPr>
  </w:style>
  <w:style w:type="paragraph" w:styleId="TOCHeading">
    <w:name w:val="TOC Heading"/>
    <w:basedOn w:val="Heading1"/>
    <w:next w:val="Normal"/>
    <w:uiPriority w:val="39"/>
    <w:qFormat/>
    <w:rsid w:val="00675E49"/>
    <w:pPr>
      <w:spacing w:line="276" w:lineRule="auto"/>
      <w:outlineLvl w:val="9"/>
    </w:pPr>
    <w:rPr>
      <w:b w:val="0"/>
      <w:sz w:val="28"/>
      <w:lang w:val="en-US" w:eastAsia="ja-JP"/>
    </w:rPr>
  </w:style>
  <w:style w:type="paragraph" w:styleId="TOC1">
    <w:name w:val="toc 1"/>
    <w:basedOn w:val="Normal"/>
    <w:next w:val="Normal"/>
    <w:autoRedefine/>
    <w:uiPriority w:val="39"/>
    <w:unhideWhenUsed/>
    <w:rsid w:val="0031653E"/>
    <w:pPr>
      <w:tabs>
        <w:tab w:val="right" w:leader="dot" w:pos="9628"/>
      </w:tabs>
    </w:pPr>
    <w:rPr>
      <w:b/>
      <w:color w:val="4E1A74"/>
    </w:rPr>
  </w:style>
  <w:style w:type="paragraph" w:styleId="TOC2">
    <w:name w:val="toc 2"/>
    <w:basedOn w:val="Normal"/>
    <w:next w:val="Normal"/>
    <w:autoRedefine/>
    <w:uiPriority w:val="39"/>
    <w:unhideWhenUsed/>
    <w:rsid w:val="0031653E"/>
    <w:pPr>
      <w:tabs>
        <w:tab w:val="right" w:leader="dot" w:pos="9628"/>
      </w:tabs>
      <w:spacing w:before="120"/>
      <w:ind w:left="567"/>
    </w:pPr>
    <w:rPr>
      <w:noProof/>
    </w:rPr>
  </w:style>
  <w:style w:type="paragraph" w:styleId="TOC3">
    <w:name w:val="toc 3"/>
    <w:basedOn w:val="Normal"/>
    <w:next w:val="Normal"/>
    <w:autoRedefine/>
    <w:uiPriority w:val="39"/>
    <w:unhideWhenUsed/>
    <w:rsid w:val="0031653E"/>
    <w:pPr>
      <w:tabs>
        <w:tab w:val="left" w:pos="1134"/>
        <w:tab w:val="right" w:leader="dot" w:pos="9628"/>
      </w:tabs>
      <w:ind w:left="567" w:hanging="567"/>
    </w:pPr>
    <w:rPr>
      <w:b/>
      <w:noProof/>
      <w:color w:val="4E1A74" w:themeColor="text2"/>
    </w:rPr>
  </w:style>
  <w:style w:type="character" w:customStyle="1" w:styleId="Normalbold">
    <w:name w:val="Normal (bold)"/>
    <w:basedOn w:val="DefaultParagraphFont"/>
    <w:uiPriority w:val="1"/>
    <w:qFormat/>
    <w:rsid w:val="00F87EA5"/>
    <w:rPr>
      <w:b/>
    </w:rPr>
  </w:style>
  <w:style w:type="table" w:styleId="TableGrid">
    <w:name w:val="Table Grid"/>
    <w:basedOn w:val="TableNormal"/>
    <w:uiPriority w:val="59"/>
    <w:rsid w:val="00F87EA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enericARPANSA">
    <w:name w:val="Generic ARPANSA"/>
    <w:basedOn w:val="TableNormal"/>
    <w:uiPriority w:val="99"/>
    <w:rsid w:val="00586DAE"/>
    <w:pPr>
      <w:spacing w:before="60" w:after="60" w:line="240" w:lineRule="auto"/>
      <w:jc w:val="center"/>
    </w:pPr>
    <w:tblPr>
      <w:tblStyleRowBandSize w:val="1"/>
      <w:tblInd w:w="108" w:type="dxa"/>
      <w:tblBorders>
        <w:top w:val="single" w:sz="4" w:space="0" w:color="4E1A74"/>
        <w:left w:val="single" w:sz="4" w:space="0" w:color="4E1A74"/>
        <w:bottom w:val="single" w:sz="4" w:space="0" w:color="4E1A74"/>
        <w:right w:val="single" w:sz="4" w:space="0" w:color="4E1A74"/>
        <w:insideH w:val="single" w:sz="4" w:space="0" w:color="4E1A74"/>
        <w:insideV w:val="single" w:sz="4" w:space="0" w:color="4E1A74"/>
      </w:tblBorders>
    </w:tblPr>
    <w:tcPr>
      <w:vAlign w:val="center"/>
    </w:tc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left w:val="single" w:sz="4" w:space="0" w:color="4E1A74"/>
          <w:bottom w:val="single" w:sz="4" w:space="0" w:color="4E1A74"/>
          <w:right w:val="single" w:sz="4" w:space="0" w:color="4E1A74"/>
          <w:insideH w:val="single" w:sz="4" w:space="0" w:color="FFFFFF" w:themeColor="background1"/>
          <w:insideV w:val="single" w:sz="4" w:space="0" w:color="FFFFFF" w:themeColor="background1"/>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band2Horz">
      <w:tblPr/>
      <w:tcPr>
        <w:shd w:val="clear" w:color="auto" w:fill="F6EFFB"/>
      </w:tcPr>
    </w:tblStylePr>
  </w:style>
  <w:style w:type="table" w:customStyle="1" w:styleId="GenericARPANSA2">
    <w:name w:val="Generic ARPANSA 2"/>
    <w:basedOn w:val="GenericARPANSA"/>
    <w:uiPriority w:val="99"/>
    <w:rsid w:val="004577AE"/>
    <w:pPr>
      <w:spacing w:before="0"/>
    </w:pPr>
    <w:tblPr/>
    <w:tblStylePr w:type="firstRow">
      <w:pPr>
        <w:wordWrap/>
        <w:spacing w:beforeLines="0" w:before="120" w:beforeAutospacing="0" w:afterLines="0" w:after="120" w:afterAutospacing="0" w:line="240" w:lineRule="auto"/>
      </w:pPr>
      <w:rPr>
        <w:rFonts w:ascii="Calibri" w:hAnsi="Calibri"/>
        <w:b/>
        <w:color w:val="4E1A74"/>
        <w:sz w:val="22"/>
      </w:rPr>
      <w:tblPr/>
      <w:tcPr>
        <w:tcBorders>
          <w:top w:val="single" w:sz="4" w:space="0" w:color="4E1A74"/>
          <w:left w:val="single" w:sz="4" w:space="0" w:color="4E1A74"/>
          <w:bottom w:val="single" w:sz="4" w:space="0" w:color="4E1A74"/>
          <w:right w:val="single" w:sz="4" w:space="0" w:color="4E1A74"/>
          <w:insideH w:val="single" w:sz="4" w:space="0" w:color="4E1A74"/>
          <w:insideV w:val="single" w:sz="4" w:space="0" w:color="4E1A74"/>
          <w:tl2br w:val="nil"/>
          <w:tr2bl w:val="nil"/>
        </w:tcBorders>
        <w:shd w:val="clear" w:color="auto" w:fill="FFFFFF" w:themeFill="background1"/>
      </w:tcPr>
    </w:tblStylePr>
    <w:tblStylePr w:type="lastRow">
      <w:pPr>
        <w:wordWrap/>
        <w:spacing w:beforeLines="0" w:before="60" w:beforeAutospacing="0" w:afterLines="0" w:after="60" w:afterAutospacing="0" w:line="264" w:lineRule="auto"/>
        <w:jc w:val="center"/>
      </w:pPr>
      <w:rPr>
        <w:rFonts w:ascii="Calibri" w:hAnsi="Calibri"/>
        <w:b/>
        <w:sz w:val="22"/>
      </w:rPr>
    </w:tblStylePr>
    <w:tblStylePr w:type="band2Horz">
      <w:tblPr/>
      <w:tcPr>
        <w:shd w:val="clear" w:color="auto" w:fill="F6EFFB"/>
      </w:tcPr>
    </w:tblStylePr>
  </w:style>
  <w:style w:type="numbering" w:customStyle="1" w:styleId="List0">
    <w:name w:val="List 0"/>
    <w:rsid w:val="00E54D3A"/>
    <w:pPr>
      <w:numPr>
        <w:numId w:val="1"/>
      </w:numPr>
    </w:pPr>
  </w:style>
  <w:style w:type="table" w:styleId="TableSimple1">
    <w:name w:val="Table Simple 1"/>
    <w:basedOn w:val="TableNormal"/>
    <w:uiPriority w:val="99"/>
    <w:semiHidden/>
    <w:unhideWhenUsed/>
    <w:rsid w:val="00F87EA5"/>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LightShading">
    <w:name w:val="Light Shading"/>
    <w:basedOn w:val="TableNormal"/>
    <w:uiPriority w:val="60"/>
    <w:rsid w:val="00F30B42"/>
    <w:pPr>
      <w:spacing w:line="240" w:lineRule="auto"/>
    </w:pPr>
    <w:rPr>
      <w:color w:val="112845" w:themeColor="text1" w:themeShade="BF"/>
    </w:rPr>
    <w:tblPr>
      <w:tblStyleRowBandSize w:val="1"/>
      <w:tblStyleColBandSize w:val="1"/>
      <w:tblBorders>
        <w:top w:val="single" w:sz="8" w:space="0" w:color="17365D" w:themeColor="text1"/>
        <w:bottom w:val="single" w:sz="8" w:space="0" w:color="17365D" w:themeColor="text1"/>
      </w:tblBorders>
    </w:tblPr>
    <w:tblStylePr w:type="firstRow">
      <w:pPr>
        <w:spacing w:before="0" w:after="0" w:line="240" w:lineRule="auto"/>
      </w:pPr>
      <w:rPr>
        <w:b/>
        <w:bCs/>
      </w:rPr>
      <w:tblPr/>
      <w:tcPr>
        <w:tcBorders>
          <w:top w:val="single" w:sz="8" w:space="0" w:color="17365D" w:themeColor="text1"/>
          <w:left w:val="nil"/>
          <w:bottom w:val="single" w:sz="8" w:space="0" w:color="17365D" w:themeColor="text1"/>
          <w:right w:val="nil"/>
          <w:insideH w:val="nil"/>
          <w:insideV w:val="nil"/>
        </w:tcBorders>
      </w:tcPr>
    </w:tblStylePr>
    <w:tblStylePr w:type="lastRow">
      <w:pPr>
        <w:spacing w:before="0" w:after="0" w:line="240" w:lineRule="auto"/>
      </w:pPr>
      <w:rPr>
        <w:b/>
        <w:bCs/>
      </w:rPr>
      <w:tblPr/>
      <w:tcPr>
        <w:tcBorders>
          <w:top w:val="single" w:sz="8" w:space="0" w:color="17365D" w:themeColor="text1"/>
          <w:left w:val="nil"/>
          <w:bottom w:val="single" w:sz="8" w:space="0" w:color="17365D"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0CAEB" w:themeFill="text1" w:themeFillTint="3F"/>
      </w:tcPr>
    </w:tblStylePr>
    <w:tblStylePr w:type="band1Horz">
      <w:tblPr/>
      <w:tcPr>
        <w:tcBorders>
          <w:left w:val="nil"/>
          <w:right w:val="nil"/>
          <w:insideH w:val="nil"/>
          <w:insideV w:val="nil"/>
        </w:tcBorders>
        <w:shd w:val="clear" w:color="auto" w:fill="B0CAEB" w:themeFill="text1" w:themeFillTint="3F"/>
      </w:tcPr>
    </w:tblStylePr>
  </w:style>
  <w:style w:type="table" w:styleId="LightShading-Accent1">
    <w:name w:val="Light Shading Accent 1"/>
    <w:basedOn w:val="TableNormal"/>
    <w:uiPriority w:val="60"/>
    <w:rsid w:val="00F30B42"/>
    <w:pPr>
      <w:spacing w:line="240" w:lineRule="auto"/>
    </w:pPr>
    <w:rPr>
      <w:color w:val="AF6FE0" w:themeColor="accent1" w:themeShade="BF"/>
    </w:rPr>
    <w:tblPr>
      <w:tblStyleRowBandSize w:val="1"/>
      <w:tblStyleColBandSize w:val="1"/>
      <w:tblBorders>
        <w:top w:val="single" w:sz="8" w:space="0" w:color="E3CCF4" w:themeColor="accent1"/>
        <w:bottom w:val="single" w:sz="8" w:space="0" w:color="E3CCF4" w:themeColor="accent1"/>
      </w:tblBorders>
    </w:tblPr>
    <w:tblStylePr w:type="firstRow">
      <w:pPr>
        <w:spacing w:before="0" w:after="0" w:line="240" w:lineRule="auto"/>
      </w:pPr>
      <w:rPr>
        <w:b/>
        <w:bCs/>
      </w:rPr>
      <w:tblPr/>
      <w:tcPr>
        <w:tcBorders>
          <w:top w:val="single" w:sz="8" w:space="0" w:color="E3CCF4" w:themeColor="accent1"/>
          <w:left w:val="nil"/>
          <w:bottom w:val="single" w:sz="8" w:space="0" w:color="E3CCF4" w:themeColor="accent1"/>
          <w:right w:val="nil"/>
          <w:insideH w:val="nil"/>
          <w:insideV w:val="nil"/>
        </w:tcBorders>
      </w:tcPr>
    </w:tblStylePr>
    <w:tblStylePr w:type="lastRow">
      <w:pPr>
        <w:spacing w:before="0" w:after="0" w:line="240" w:lineRule="auto"/>
      </w:pPr>
      <w:rPr>
        <w:b/>
        <w:bCs/>
      </w:rPr>
      <w:tblPr/>
      <w:tcPr>
        <w:tcBorders>
          <w:top w:val="single" w:sz="8" w:space="0" w:color="E3CCF4" w:themeColor="accent1"/>
          <w:left w:val="nil"/>
          <w:bottom w:val="single" w:sz="8" w:space="0" w:color="E3CCF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F2FC" w:themeFill="accent1" w:themeFillTint="3F"/>
      </w:tcPr>
    </w:tblStylePr>
    <w:tblStylePr w:type="band1Horz">
      <w:tblPr/>
      <w:tcPr>
        <w:tcBorders>
          <w:left w:val="nil"/>
          <w:right w:val="nil"/>
          <w:insideH w:val="nil"/>
          <w:insideV w:val="nil"/>
        </w:tcBorders>
        <w:shd w:val="clear" w:color="auto" w:fill="F8F2FC" w:themeFill="accent1" w:themeFillTint="3F"/>
      </w:tcPr>
    </w:tblStylePr>
  </w:style>
  <w:style w:type="table" w:styleId="LightShading-Accent2">
    <w:name w:val="Light Shading Accent 2"/>
    <w:basedOn w:val="TableNormal"/>
    <w:uiPriority w:val="60"/>
    <w:rsid w:val="00F30B42"/>
    <w:pPr>
      <w:spacing w:line="240" w:lineRule="auto"/>
    </w:pPr>
    <w:rPr>
      <w:color w:val="207220" w:themeColor="accent2" w:themeShade="BF"/>
    </w:rPr>
    <w:tblPr>
      <w:tblStyleRowBandSize w:val="1"/>
      <w:tblStyleColBandSize w:val="1"/>
      <w:tblBorders>
        <w:top w:val="single" w:sz="8" w:space="0" w:color="2B992B" w:themeColor="accent2"/>
        <w:bottom w:val="single" w:sz="8" w:space="0" w:color="2B992B" w:themeColor="accent2"/>
      </w:tblBorders>
    </w:tblPr>
    <w:tblStylePr w:type="firstRow">
      <w:pPr>
        <w:spacing w:before="0" w:after="0" w:line="240" w:lineRule="auto"/>
      </w:pPr>
      <w:rPr>
        <w:b/>
        <w:bCs/>
      </w:rPr>
      <w:tblPr/>
      <w:tcPr>
        <w:tcBorders>
          <w:top w:val="single" w:sz="8" w:space="0" w:color="2B992B" w:themeColor="accent2"/>
          <w:left w:val="nil"/>
          <w:bottom w:val="single" w:sz="8" w:space="0" w:color="2B992B" w:themeColor="accent2"/>
          <w:right w:val="nil"/>
          <w:insideH w:val="nil"/>
          <w:insideV w:val="nil"/>
        </w:tcBorders>
      </w:tcPr>
    </w:tblStylePr>
    <w:tblStylePr w:type="lastRow">
      <w:pPr>
        <w:spacing w:before="0" w:after="0" w:line="240" w:lineRule="auto"/>
      </w:pPr>
      <w:rPr>
        <w:b/>
        <w:bCs/>
      </w:rPr>
      <w:tblPr/>
      <w:tcPr>
        <w:tcBorders>
          <w:top w:val="single" w:sz="8" w:space="0" w:color="2B992B" w:themeColor="accent2"/>
          <w:left w:val="nil"/>
          <w:bottom w:val="single" w:sz="8" w:space="0" w:color="2B992B"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2EEC2" w:themeFill="accent2" w:themeFillTint="3F"/>
      </w:tcPr>
    </w:tblStylePr>
    <w:tblStylePr w:type="band1Horz">
      <w:tblPr/>
      <w:tcPr>
        <w:tcBorders>
          <w:left w:val="nil"/>
          <w:right w:val="nil"/>
          <w:insideH w:val="nil"/>
          <w:insideV w:val="nil"/>
        </w:tcBorders>
        <w:shd w:val="clear" w:color="auto" w:fill="C2EEC2" w:themeFill="accent2" w:themeFillTint="3F"/>
      </w:tcPr>
    </w:tblStylePr>
  </w:style>
  <w:style w:type="table" w:styleId="LightList">
    <w:name w:val="Light List"/>
    <w:basedOn w:val="TableNormal"/>
    <w:uiPriority w:val="61"/>
    <w:rsid w:val="00F30B42"/>
    <w:pPr>
      <w:spacing w:line="240" w:lineRule="auto"/>
    </w:pPr>
    <w:tblPr>
      <w:tblStyleRowBandSize w:val="1"/>
      <w:tblStyleColBandSize w:val="1"/>
      <w:tblBorders>
        <w:top w:val="single" w:sz="8" w:space="0" w:color="17365D" w:themeColor="text1"/>
        <w:left w:val="single" w:sz="8" w:space="0" w:color="17365D" w:themeColor="text1"/>
        <w:bottom w:val="single" w:sz="8" w:space="0" w:color="17365D" w:themeColor="text1"/>
        <w:right w:val="single" w:sz="8" w:space="0" w:color="17365D" w:themeColor="text1"/>
      </w:tblBorders>
    </w:tblPr>
    <w:tblStylePr w:type="firstRow">
      <w:pPr>
        <w:spacing w:before="0" w:after="0" w:line="240" w:lineRule="auto"/>
      </w:pPr>
      <w:rPr>
        <w:b/>
        <w:bCs/>
        <w:color w:val="FFFFFF" w:themeColor="background1"/>
      </w:rPr>
      <w:tblPr/>
      <w:tcPr>
        <w:shd w:val="clear" w:color="auto" w:fill="17365D" w:themeFill="text1"/>
      </w:tcPr>
    </w:tblStylePr>
    <w:tblStylePr w:type="lastRow">
      <w:pPr>
        <w:spacing w:before="0" w:after="0" w:line="240" w:lineRule="auto"/>
      </w:pPr>
      <w:rPr>
        <w:b/>
        <w:bCs/>
      </w:rPr>
      <w:tblPr/>
      <w:tcPr>
        <w:tcBorders>
          <w:top w:val="double" w:sz="6" w:space="0" w:color="17365D" w:themeColor="text1"/>
          <w:left w:val="single" w:sz="8" w:space="0" w:color="17365D" w:themeColor="text1"/>
          <w:bottom w:val="single" w:sz="8" w:space="0" w:color="17365D" w:themeColor="text1"/>
          <w:right w:val="single" w:sz="8" w:space="0" w:color="17365D" w:themeColor="text1"/>
        </w:tcBorders>
      </w:tcPr>
    </w:tblStylePr>
    <w:tblStylePr w:type="firstCol">
      <w:rPr>
        <w:b/>
        <w:bCs/>
      </w:rPr>
    </w:tblStylePr>
    <w:tblStylePr w:type="lastCol">
      <w:rPr>
        <w:b/>
        <w:bCs/>
      </w:rPr>
    </w:tblStylePr>
    <w:tblStylePr w:type="band1Vert">
      <w:tblPr/>
      <w:tcPr>
        <w:tcBorders>
          <w:top w:val="single" w:sz="8" w:space="0" w:color="17365D" w:themeColor="text1"/>
          <w:left w:val="single" w:sz="8" w:space="0" w:color="17365D" w:themeColor="text1"/>
          <w:bottom w:val="single" w:sz="8" w:space="0" w:color="17365D" w:themeColor="text1"/>
          <w:right w:val="single" w:sz="8" w:space="0" w:color="17365D" w:themeColor="text1"/>
        </w:tcBorders>
      </w:tcPr>
    </w:tblStylePr>
    <w:tblStylePr w:type="band1Horz">
      <w:tblPr/>
      <w:tcPr>
        <w:tcBorders>
          <w:top w:val="single" w:sz="8" w:space="0" w:color="17365D" w:themeColor="text1"/>
          <w:left w:val="single" w:sz="8" w:space="0" w:color="17365D" w:themeColor="text1"/>
          <w:bottom w:val="single" w:sz="8" w:space="0" w:color="17365D" w:themeColor="text1"/>
          <w:right w:val="single" w:sz="8" w:space="0" w:color="17365D" w:themeColor="text1"/>
        </w:tcBorders>
      </w:tcPr>
    </w:tblStylePr>
  </w:style>
  <w:style w:type="paragraph" w:customStyle="1" w:styleId="Tabletext">
    <w:name w:val="Table text"/>
    <w:basedOn w:val="Normal"/>
    <w:qFormat/>
    <w:rsid w:val="00CC1541"/>
    <w:pPr>
      <w:spacing w:before="60" w:after="60" w:line="240" w:lineRule="auto"/>
      <w:jc w:val="center"/>
    </w:pPr>
  </w:style>
  <w:style w:type="table" w:styleId="LightShading-Accent3">
    <w:name w:val="Light Shading Accent 3"/>
    <w:basedOn w:val="TableNormal"/>
    <w:uiPriority w:val="60"/>
    <w:rsid w:val="00211B48"/>
    <w:pPr>
      <w:spacing w:before="0" w:line="240" w:lineRule="auto"/>
    </w:pPr>
    <w:rPr>
      <w:color w:val="1B611B" w:themeColor="accent3" w:themeShade="BF"/>
    </w:rPr>
    <w:tblPr>
      <w:tblStyleRowBandSize w:val="1"/>
      <w:tblStyleColBandSize w:val="1"/>
      <w:tblBorders>
        <w:top w:val="single" w:sz="8" w:space="0" w:color="258325" w:themeColor="accent3"/>
        <w:bottom w:val="single" w:sz="8" w:space="0" w:color="258325" w:themeColor="accent3"/>
      </w:tblBorders>
    </w:tblPr>
    <w:tblStylePr w:type="firstRow">
      <w:pPr>
        <w:spacing w:before="0" w:after="0" w:line="240" w:lineRule="auto"/>
      </w:pPr>
      <w:rPr>
        <w:b/>
        <w:bCs/>
      </w:rPr>
      <w:tblPr/>
      <w:tcPr>
        <w:tcBorders>
          <w:top w:val="single" w:sz="8" w:space="0" w:color="258325" w:themeColor="accent3"/>
          <w:left w:val="nil"/>
          <w:bottom w:val="single" w:sz="8" w:space="0" w:color="258325" w:themeColor="accent3"/>
          <w:right w:val="nil"/>
          <w:insideH w:val="nil"/>
          <w:insideV w:val="nil"/>
        </w:tcBorders>
      </w:tcPr>
    </w:tblStylePr>
    <w:tblStylePr w:type="lastRow">
      <w:pPr>
        <w:spacing w:before="0" w:after="0" w:line="240" w:lineRule="auto"/>
      </w:pPr>
      <w:rPr>
        <w:b/>
        <w:bCs/>
      </w:rPr>
      <w:tblPr/>
      <w:tcPr>
        <w:tcBorders>
          <w:top w:val="single" w:sz="8" w:space="0" w:color="258325" w:themeColor="accent3"/>
          <w:left w:val="nil"/>
          <w:bottom w:val="single" w:sz="8" w:space="0" w:color="25832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CECBC" w:themeFill="accent3" w:themeFillTint="3F"/>
      </w:tcPr>
    </w:tblStylePr>
    <w:tblStylePr w:type="band1Horz">
      <w:tblPr/>
      <w:tcPr>
        <w:tcBorders>
          <w:left w:val="nil"/>
          <w:right w:val="nil"/>
          <w:insideH w:val="nil"/>
          <w:insideV w:val="nil"/>
        </w:tcBorders>
        <w:shd w:val="clear" w:color="auto" w:fill="BCECBC" w:themeFill="accent3" w:themeFillTint="3F"/>
      </w:tcPr>
    </w:tblStylePr>
  </w:style>
  <w:style w:type="table" w:styleId="LightShading-Accent4">
    <w:name w:val="Light Shading Accent 4"/>
    <w:basedOn w:val="TableNormal"/>
    <w:uiPriority w:val="60"/>
    <w:rsid w:val="00211B48"/>
    <w:pPr>
      <w:spacing w:before="0" w:line="240" w:lineRule="auto"/>
    </w:pPr>
    <w:rPr>
      <w:color w:val="333335" w:themeColor="accent4" w:themeShade="BF"/>
    </w:rPr>
    <w:tblPr>
      <w:tblStyleRowBandSize w:val="1"/>
      <w:tblStyleColBandSize w:val="1"/>
      <w:tblBorders>
        <w:top w:val="single" w:sz="8" w:space="0" w:color="444448" w:themeColor="accent4"/>
        <w:bottom w:val="single" w:sz="8" w:space="0" w:color="444448" w:themeColor="accent4"/>
      </w:tblBorders>
    </w:tblPr>
    <w:tblStylePr w:type="firstRow">
      <w:pPr>
        <w:spacing w:before="0" w:after="0" w:line="240" w:lineRule="auto"/>
      </w:pPr>
      <w:rPr>
        <w:b/>
        <w:bCs/>
      </w:rPr>
      <w:tblPr/>
      <w:tcPr>
        <w:tcBorders>
          <w:top w:val="single" w:sz="8" w:space="0" w:color="444448" w:themeColor="accent4"/>
          <w:left w:val="nil"/>
          <w:bottom w:val="single" w:sz="8" w:space="0" w:color="444448" w:themeColor="accent4"/>
          <w:right w:val="nil"/>
          <w:insideH w:val="nil"/>
          <w:insideV w:val="nil"/>
        </w:tcBorders>
      </w:tcPr>
    </w:tblStylePr>
    <w:tblStylePr w:type="lastRow">
      <w:pPr>
        <w:spacing w:before="0" w:after="0" w:line="240" w:lineRule="auto"/>
      </w:pPr>
      <w:rPr>
        <w:b/>
        <w:bCs/>
      </w:rPr>
      <w:tblPr/>
      <w:tcPr>
        <w:tcBorders>
          <w:top w:val="single" w:sz="8" w:space="0" w:color="444448" w:themeColor="accent4"/>
          <w:left w:val="nil"/>
          <w:bottom w:val="single" w:sz="8" w:space="0" w:color="44444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FD2" w:themeFill="accent4" w:themeFillTint="3F"/>
      </w:tcPr>
    </w:tblStylePr>
    <w:tblStylePr w:type="band1Horz">
      <w:tblPr/>
      <w:tcPr>
        <w:tcBorders>
          <w:left w:val="nil"/>
          <w:right w:val="nil"/>
          <w:insideH w:val="nil"/>
          <w:insideV w:val="nil"/>
        </w:tcBorders>
        <w:shd w:val="clear" w:color="auto" w:fill="CFCFD2" w:themeFill="accent4" w:themeFillTint="3F"/>
      </w:tcPr>
    </w:tblStylePr>
  </w:style>
  <w:style w:type="table" w:styleId="LightShading-Accent5">
    <w:name w:val="Light Shading Accent 5"/>
    <w:basedOn w:val="TableNormal"/>
    <w:uiPriority w:val="60"/>
    <w:rsid w:val="00211B48"/>
    <w:pPr>
      <w:spacing w:before="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211B48"/>
    <w:pPr>
      <w:spacing w:before="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Accent1">
    <w:name w:val="Light List Accent 1"/>
    <w:basedOn w:val="TableNormal"/>
    <w:uiPriority w:val="61"/>
    <w:rsid w:val="00211B48"/>
    <w:pPr>
      <w:spacing w:before="0" w:line="240" w:lineRule="auto"/>
    </w:pPr>
    <w:tblPr>
      <w:tblStyleRowBandSize w:val="1"/>
      <w:tblStyleColBandSize w:val="1"/>
      <w:tblBorders>
        <w:top w:val="single" w:sz="8" w:space="0" w:color="E3CCF4" w:themeColor="accent1"/>
        <w:left w:val="single" w:sz="8" w:space="0" w:color="E3CCF4" w:themeColor="accent1"/>
        <w:bottom w:val="single" w:sz="8" w:space="0" w:color="E3CCF4" w:themeColor="accent1"/>
        <w:right w:val="single" w:sz="8" w:space="0" w:color="E3CCF4" w:themeColor="accent1"/>
      </w:tblBorders>
    </w:tblPr>
    <w:tblStylePr w:type="firstRow">
      <w:pPr>
        <w:spacing w:before="0" w:after="0" w:line="240" w:lineRule="auto"/>
      </w:pPr>
      <w:rPr>
        <w:b/>
        <w:bCs/>
        <w:color w:val="FFFFFF" w:themeColor="background1"/>
      </w:rPr>
      <w:tblPr/>
      <w:tcPr>
        <w:shd w:val="clear" w:color="auto" w:fill="E3CCF4" w:themeFill="accent1"/>
      </w:tcPr>
    </w:tblStylePr>
    <w:tblStylePr w:type="lastRow">
      <w:pPr>
        <w:spacing w:before="0" w:after="0" w:line="240" w:lineRule="auto"/>
      </w:pPr>
      <w:rPr>
        <w:b/>
        <w:bCs/>
      </w:rPr>
      <w:tblPr/>
      <w:tcPr>
        <w:tcBorders>
          <w:top w:val="double" w:sz="6" w:space="0" w:color="E3CCF4" w:themeColor="accent1"/>
          <w:left w:val="single" w:sz="8" w:space="0" w:color="E3CCF4" w:themeColor="accent1"/>
          <w:bottom w:val="single" w:sz="8" w:space="0" w:color="E3CCF4" w:themeColor="accent1"/>
          <w:right w:val="single" w:sz="8" w:space="0" w:color="E3CCF4" w:themeColor="accent1"/>
        </w:tcBorders>
      </w:tcPr>
    </w:tblStylePr>
    <w:tblStylePr w:type="firstCol">
      <w:rPr>
        <w:b/>
        <w:bCs/>
      </w:rPr>
    </w:tblStylePr>
    <w:tblStylePr w:type="lastCol">
      <w:rPr>
        <w:b/>
        <w:bCs/>
      </w:rPr>
    </w:tblStylePr>
    <w:tblStylePr w:type="band1Vert">
      <w:tblPr/>
      <w:tcPr>
        <w:tcBorders>
          <w:top w:val="single" w:sz="8" w:space="0" w:color="E3CCF4" w:themeColor="accent1"/>
          <w:left w:val="single" w:sz="8" w:space="0" w:color="E3CCF4" w:themeColor="accent1"/>
          <w:bottom w:val="single" w:sz="8" w:space="0" w:color="E3CCF4" w:themeColor="accent1"/>
          <w:right w:val="single" w:sz="8" w:space="0" w:color="E3CCF4" w:themeColor="accent1"/>
        </w:tcBorders>
      </w:tcPr>
    </w:tblStylePr>
    <w:tblStylePr w:type="band1Horz">
      <w:tblPr/>
      <w:tcPr>
        <w:tcBorders>
          <w:top w:val="single" w:sz="8" w:space="0" w:color="E3CCF4" w:themeColor="accent1"/>
          <w:left w:val="single" w:sz="8" w:space="0" w:color="E3CCF4" w:themeColor="accent1"/>
          <w:bottom w:val="single" w:sz="8" w:space="0" w:color="E3CCF4" w:themeColor="accent1"/>
          <w:right w:val="single" w:sz="8" w:space="0" w:color="E3CCF4" w:themeColor="accent1"/>
        </w:tcBorders>
      </w:tcPr>
    </w:tblStylePr>
  </w:style>
  <w:style w:type="table" w:styleId="LightList-Accent2">
    <w:name w:val="Light List Accent 2"/>
    <w:basedOn w:val="TableNormal"/>
    <w:uiPriority w:val="61"/>
    <w:rsid w:val="00211B48"/>
    <w:pPr>
      <w:spacing w:before="0" w:line="240" w:lineRule="auto"/>
    </w:pPr>
    <w:tblPr>
      <w:tblStyleRowBandSize w:val="1"/>
      <w:tblStyleColBandSize w:val="1"/>
      <w:tblBorders>
        <w:top w:val="single" w:sz="8" w:space="0" w:color="2B992B" w:themeColor="accent2"/>
        <w:left w:val="single" w:sz="8" w:space="0" w:color="2B992B" w:themeColor="accent2"/>
        <w:bottom w:val="single" w:sz="8" w:space="0" w:color="2B992B" w:themeColor="accent2"/>
        <w:right w:val="single" w:sz="8" w:space="0" w:color="2B992B" w:themeColor="accent2"/>
      </w:tblBorders>
    </w:tblPr>
    <w:tblStylePr w:type="firstRow">
      <w:pPr>
        <w:spacing w:before="0" w:after="0" w:line="240" w:lineRule="auto"/>
      </w:pPr>
      <w:rPr>
        <w:b/>
        <w:bCs/>
        <w:color w:val="FFFFFF" w:themeColor="background1"/>
      </w:rPr>
      <w:tblPr/>
      <w:tcPr>
        <w:shd w:val="clear" w:color="auto" w:fill="2B992B" w:themeFill="accent2"/>
      </w:tcPr>
    </w:tblStylePr>
    <w:tblStylePr w:type="lastRow">
      <w:pPr>
        <w:spacing w:before="0" w:after="0" w:line="240" w:lineRule="auto"/>
      </w:pPr>
      <w:rPr>
        <w:b/>
        <w:bCs/>
      </w:rPr>
      <w:tblPr/>
      <w:tcPr>
        <w:tcBorders>
          <w:top w:val="double" w:sz="6" w:space="0" w:color="2B992B" w:themeColor="accent2"/>
          <w:left w:val="single" w:sz="8" w:space="0" w:color="2B992B" w:themeColor="accent2"/>
          <w:bottom w:val="single" w:sz="8" w:space="0" w:color="2B992B" w:themeColor="accent2"/>
          <w:right w:val="single" w:sz="8" w:space="0" w:color="2B992B" w:themeColor="accent2"/>
        </w:tcBorders>
      </w:tcPr>
    </w:tblStylePr>
    <w:tblStylePr w:type="firstCol">
      <w:rPr>
        <w:b/>
        <w:bCs/>
      </w:rPr>
    </w:tblStylePr>
    <w:tblStylePr w:type="lastCol">
      <w:rPr>
        <w:b/>
        <w:bCs/>
      </w:rPr>
    </w:tblStylePr>
    <w:tblStylePr w:type="band1Vert">
      <w:tblPr/>
      <w:tcPr>
        <w:tcBorders>
          <w:top w:val="single" w:sz="8" w:space="0" w:color="2B992B" w:themeColor="accent2"/>
          <w:left w:val="single" w:sz="8" w:space="0" w:color="2B992B" w:themeColor="accent2"/>
          <w:bottom w:val="single" w:sz="8" w:space="0" w:color="2B992B" w:themeColor="accent2"/>
          <w:right w:val="single" w:sz="8" w:space="0" w:color="2B992B" w:themeColor="accent2"/>
        </w:tcBorders>
      </w:tcPr>
    </w:tblStylePr>
    <w:tblStylePr w:type="band1Horz">
      <w:tblPr/>
      <w:tcPr>
        <w:tcBorders>
          <w:top w:val="single" w:sz="8" w:space="0" w:color="2B992B" w:themeColor="accent2"/>
          <w:left w:val="single" w:sz="8" w:space="0" w:color="2B992B" w:themeColor="accent2"/>
          <w:bottom w:val="single" w:sz="8" w:space="0" w:color="2B992B" w:themeColor="accent2"/>
          <w:right w:val="single" w:sz="8" w:space="0" w:color="2B992B" w:themeColor="accent2"/>
        </w:tcBorders>
      </w:tcPr>
    </w:tblStylePr>
  </w:style>
  <w:style w:type="table" w:styleId="LightList-Accent3">
    <w:name w:val="Light List Accent 3"/>
    <w:basedOn w:val="TableNormal"/>
    <w:uiPriority w:val="61"/>
    <w:rsid w:val="00211B48"/>
    <w:pPr>
      <w:spacing w:before="0" w:line="240" w:lineRule="auto"/>
    </w:pPr>
    <w:tblPr>
      <w:tblStyleRowBandSize w:val="1"/>
      <w:tblStyleColBandSize w:val="1"/>
      <w:tblBorders>
        <w:top w:val="single" w:sz="8" w:space="0" w:color="258325" w:themeColor="accent3"/>
        <w:left w:val="single" w:sz="8" w:space="0" w:color="258325" w:themeColor="accent3"/>
        <w:bottom w:val="single" w:sz="8" w:space="0" w:color="258325" w:themeColor="accent3"/>
        <w:right w:val="single" w:sz="8" w:space="0" w:color="258325" w:themeColor="accent3"/>
      </w:tblBorders>
    </w:tblPr>
    <w:tblStylePr w:type="firstRow">
      <w:pPr>
        <w:spacing w:before="0" w:after="0" w:line="240" w:lineRule="auto"/>
      </w:pPr>
      <w:rPr>
        <w:b/>
        <w:bCs/>
        <w:color w:val="FFFFFF" w:themeColor="background1"/>
      </w:rPr>
      <w:tblPr/>
      <w:tcPr>
        <w:shd w:val="clear" w:color="auto" w:fill="258325" w:themeFill="accent3"/>
      </w:tcPr>
    </w:tblStylePr>
    <w:tblStylePr w:type="lastRow">
      <w:pPr>
        <w:spacing w:before="0" w:after="0" w:line="240" w:lineRule="auto"/>
      </w:pPr>
      <w:rPr>
        <w:b/>
        <w:bCs/>
      </w:rPr>
      <w:tblPr/>
      <w:tcPr>
        <w:tcBorders>
          <w:top w:val="double" w:sz="6" w:space="0" w:color="258325" w:themeColor="accent3"/>
          <w:left w:val="single" w:sz="8" w:space="0" w:color="258325" w:themeColor="accent3"/>
          <w:bottom w:val="single" w:sz="8" w:space="0" w:color="258325" w:themeColor="accent3"/>
          <w:right w:val="single" w:sz="8" w:space="0" w:color="258325" w:themeColor="accent3"/>
        </w:tcBorders>
      </w:tcPr>
    </w:tblStylePr>
    <w:tblStylePr w:type="firstCol">
      <w:rPr>
        <w:b/>
        <w:bCs/>
      </w:rPr>
    </w:tblStylePr>
    <w:tblStylePr w:type="lastCol">
      <w:rPr>
        <w:b/>
        <w:bCs/>
      </w:rPr>
    </w:tblStylePr>
    <w:tblStylePr w:type="band1Vert">
      <w:tblPr/>
      <w:tcPr>
        <w:tcBorders>
          <w:top w:val="single" w:sz="8" w:space="0" w:color="258325" w:themeColor="accent3"/>
          <w:left w:val="single" w:sz="8" w:space="0" w:color="258325" w:themeColor="accent3"/>
          <w:bottom w:val="single" w:sz="8" w:space="0" w:color="258325" w:themeColor="accent3"/>
          <w:right w:val="single" w:sz="8" w:space="0" w:color="258325" w:themeColor="accent3"/>
        </w:tcBorders>
      </w:tcPr>
    </w:tblStylePr>
    <w:tblStylePr w:type="band1Horz">
      <w:tblPr/>
      <w:tcPr>
        <w:tcBorders>
          <w:top w:val="single" w:sz="8" w:space="0" w:color="258325" w:themeColor="accent3"/>
          <w:left w:val="single" w:sz="8" w:space="0" w:color="258325" w:themeColor="accent3"/>
          <w:bottom w:val="single" w:sz="8" w:space="0" w:color="258325" w:themeColor="accent3"/>
          <w:right w:val="single" w:sz="8" w:space="0" w:color="258325" w:themeColor="accent3"/>
        </w:tcBorders>
      </w:tcPr>
    </w:tblStylePr>
  </w:style>
  <w:style w:type="table" w:customStyle="1" w:styleId="GenericARPANSA3">
    <w:name w:val="Generic ARPANSA 3"/>
    <w:basedOn w:val="GenericARPANSA"/>
    <w:uiPriority w:val="99"/>
    <w:rsid w:val="00BE6683"/>
    <w:pPr>
      <w:spacing w:before="0"/>
    </w:pPr>
    <w:tblPr>
      <w:tblBorders>
        <w:top w:val="single" w:sz="4" w:space="0" w:color="4E1A74" w:themeColor="text2"/>
        <w:left w:val="single" w:sz="4" w:space="0" w:color="4E1A74" w:themeColor="text2"/>
        <w:bottom w:val="single" w:sz="4" w:space="0" w:color="4E1A74" w:themeColor="text2"/>
        <w:right w:val="single" w:sz="4" w:space="0" w:color="4E1A74" w:themeColor="text2"/>
        <w:insideH w:val="none" w:sz="0" w:space="0" w:color="auto"/>
        <w:insideV w:val="none" w:sz="0" w:space="0" w:color="auto"/>
      </w:tblBorders>
    </w:tbl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themeColor="text2"/>
          <w:left w:val="single" w:sz="4" w:space="0" w:color="4E1A74" w:themeColor="text2"/>
          <w:bottom w:val="single" w:sz="4" w:space="0" w:color="4E1A74" w:themeColor="text2"/>
          <w:right w:val="single" w:sz="4" w:space="0" w:color="4E1A74" w:themeColor="text2"/>
          <w:insideH w:val="nil"/>
          <w:insideV w:val="nil"/>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band2Horz">
      <w:tblPr/>
      <w:tcPr>
        <w:shd w:val="clear" w:color="auto" w:fill="F6EFFB"/>
      </w:tcPr>
    </w:tblStylePr>
  </w:style>
  <w:style w:type="table" w:styleId="MediumGrid1-Accent4">
    <w:name w:val="Medium Grid 1 Accent 4"/>
    <w:basedOn w:val="TableNormal"/>
    <w:uiPriority w:val="67"/>
    <w:rsid w:val="00C90747"/>
    <w:pPr>
      <w:spacing w:before="0" w:line="240" w:lineRule="auto"/>
    </w:pPr>
    <w:tblPr>
      <w:tblStyleRowBandSize w:val="1"/>
      <w:tblStyleColBandSize w:val="1"/>
      <w:tblBorders>
        <w:top w:val="single" w:sz="8" w:space="0" w:color="717177" w:themeColor="accent4" w:themeTint="BF"/>
        <w:left w:val="single" w:sz="8" w:space="0" w:color="717177" w:themeColor="accent4" w:themeTint="BF"/>
        <w:bottom w:val="single" w:sz="8" w:space="0" w:color="717177" w:themeColor="accent4" w:themeTint="BF"/>
        <w:right w:val="single" w:sz="8" w:space="0" w:color="717177" w:themeColor="accent4" w:themeTint="BF"/>
        <w:insideH w:val="single" w:sz="8" w:space="0" w:color="717177" w:themeColor="accent4" w:themeTint="BF"/>
        <w:insideV w:val="single" w:sz="8" w:space="0" w:color="717177" w:themeColor="accent4" w:themeTint="BF"/>
      </w:tblBorders>
    </w:tblPr>
    <w:tcPr>
      <w:shd w:val="clear" w:color="auto" w:fill="CFCFD2" w:themeFill="accent4" w:themeFillTint="3F"/>
    </w:tcPr>
    <w:tblStylePr w:type="firstRow">
      <w:rPr>
        <w:b/>
        <w:bCs/>
      </w:rPr>
    </w:tblStylePr>
    <w:tblStylePr w:type="lastRow">
      <w:rPr>
        <w:b/>
        <w:bCs/>
      </w:rPr>
      <w:tblPr/>
      <w:tcPr>
        <w:tcBorders>
          <w:top w:val="single" w:sz="18" w:space="0" w:color="717177" w:themeColor="accent4" w:themeTint="BF"/>
        </w:tcBorders>
      </w:tcPr>
    </w:tblStylePr>
    <w:tblStylePr w:type="firstCol">
      <w:rPr>
        <w:b/>
        <w:bCs/>
      </w:rPr>
    </w:tblStylePr>
    <w:tblStylePr w:type="lastCol">
      <w:rPr>
        <w:b/>
        <w:bCs/>
      </w:rPr>
    </w:tblStylePr>
    <w:tblStylePr w:type="band1Vert">
      <w:tblPr/>
      <w:tcPr>
        <w:shd w:val="clear" w:color="auto" w:fill="A0A0A5" w:themeFill="accent4" w:themeFillTint="7F"/>
      </w:tcPr>
    </w:tblStylePr>
    <w:tblStylePr w:type="band1Horz">
      <w:tblPr/>
      <w:tcPr>
        <w:shd w:val="clear" w:color="auto" w:fill="A0A0A5" w:themeFill="accent4" w:themeFillTint="7F"/>
      </w:tcPr>
    </w:tblStylePr>
  </w:style>
  <w:style w:type="table" w:customStyle="1" w:styleId="GenericARPANSA4">
    <w:name w:val="Generic ARPANSA 4"/>
    <w:basedOn w:val="GenericARPANSA"/>
    <w:uiPriority w:val="99"/>
    <w:rsid w:val="00C90747"/>
    <w:pPr>
      <w:spacing w:before="0"/>
    </w:pPr>
    <w:tblPr>
      <w:tblStyleColBandSize w:val="1"/>
    </w:tbl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left w:val="single" w:sz="4" w:space="0" w:color="4E1A74"/>
          <w:bottom w:val="single" w:sz="4" w:space="0" w:color="4E1A74"/>
          <w:right w:val="single" w:sz="4" w:space="0" w:color="4E1A74"/>
          <w:insideH w:val="single" w:sz="4" w:space="0" w:color="FFFFFF" w:themeColor="background1"/>
          <w:insideV w:val="single" w:sz="4" w:space="0" w:color="FFFFFF" w:themeColor="background1"/>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firstCol">
      <w:rPr>
        <w:b/>
      </w:rPr>
    </w:tblStylePr>
    <w:tblStylePr w:type="lastCol">
      <w:rPr>
        <w:b/>
      </w:rPr>
    </w:tblStylePr>
    <w:tblStylePr w:type="band2Vert">
      <w:tblPr/>
      <w:tcPr>
        <w:shd w:val="clear" w:color="auto" w:fill="F6EFFB"/>
      </w:tcPr>
    </w:tblStylePr>
    <w:tblStylePr w:type="band2Horz">
      <w:tblPr/>
      <w:tcPr>
        <w:shd w:val="clear" w:color="auto" w:fill="F6EFFB"/>
      </w:tcPr>
    </w:tblStylePr>
  </w:style>
  <w:style w:type="paragraph" w:customStyle="1" w:styleId="Text">
    <w:name w:val="Text"/>
    <w:basedOn w:val="Normal"/>
    <w:uiPriority w:val="99"/>
    <w:rsid w:val="00067C8C"/>
    <w:pPr>
      <w:suppressAutoHyphens/>
      <w:autoSpaceDE w:val="0"/>
      <w:autoSpaceDN w:val="0"/>
      <w:adjustRightInd w:val="0"/>
      <w:spacing w:before="200" w:after="113" w:line="340" w:lineRule="atLeast"/>
    </w:pPr>
    <w:rPr>
      <w:rFonts w:ascii="Calibri" w:eastAsia="Times New Roman" w:hAnsi="Calibri" w:cs="Calibri"/>
      <w:color w:val="000000"/>
      <w:szCs w:val="24"/>
      <w:lang w:val="en-US" w:eastAsia="en-AU"/>
    </w:rPr>
  </w:style>
  <w:style w:type="paragraph" w:customStyle="1" w:styleId="TechRep">
    <w:name w:val="Tech Rep"/>
    <w:basedOn w:val="Normal"/>
    <w:link w:val="TechRepChar"/>
    <w:qFormat/>
    <w:rsid w:val="00067C8C"/>
    <w:pPr>
      <w:spacing w:before="200" w:after="240"/>
      <w:jc w:val="both"/>
    </w:pPr>
    <w:rPr>
      <w:rFonts w:ascii="Calibri" w:eastAsia="Calibri" w:hAnsi="Calibri" w:cs="Times New Roman"/>
      <w:color w:val="22508C" w:themeColor="text1" w:themeTint="D9"/>
      <w:szCs w:val="24"/>
    </w:rPr>
  </w:style>
  <w:style w:type="character" w:customStyle="1" w:styleId="TechRepChar">
    <w:name w:val="Tech Rep Char"/>
    <w:link w:val="TechRep"/>
    <w:rsid w:val="00067C8C"/>
    <w:rPr>
      <w:rFonts w:ascii="Calibri" w:eastAsia="Calibri" w:hAnsi="Calibri" w:cs="Times New Roman"/>
      <w:color w:val="22508C" w:themeColor="text1" w:themeTint="D9"/>
      <w:szCs w:val="24"/>
    </w:rPr>
  </w:style>
  <w:style w:type="paragraph" w:customStyle="1" w:styleId="Recommendation">
    <w:name w:val="Recommendation"/>
    <w:basedOn w:val="Normal"/>
    <w:qFormat/>
    <w:rsid w:val="00FE4B31"/>
    <w:pPr>
      <w:pBdr>
        <w:top w:val="single" w:sz="4" w:space="12" w:color="F3EAFA"/>
        <w:left w:val="single" w:sz="4" w:space="12" w:color="F3EAFA"/>
        <w:bottom w:val="single" w:sz="4" w:space="12" w:color="F3EAFA"/>
        <w:right w:val="single" w:sz="4" w:space="12" w:color="F3EAFA"/>
      </w:pBdr>
      <w:shd w:val="clear" w:color="auto" w:fill="F3EAFA"/>
      <w:spacing w:before="360" w:after="360"/>
      <w:ind w:left="284" w:right="284"/>
    </w:pPr>
    <w:rPr>
      <w:b/>
      <w:color w:val="4E1A74" w:themeColor="text2"/>
      <w:sz w:val="24"/>
    </w:rPr>
  </w:style>
  <w:style w:type="character" w:styleId="IntenseReference">
    <w:name w:val="Intense Reference"/>
    <w:basedOn w:val="DefaultParagraphFont"/>
    <w:uiPriority w:val="32"/>
    <w:qFormat/>
    <w:rsid w:val="00051729"/>
    <w:rPr>
      <w:b/>
      <w:bCs/>
      <w:smallCaps/>
      <w:color w:val="2B992B" w:themeColor="accent2"/>
      <w:spacing w:val="5"/>
      <w:u w:val="single"/>
    </w:rPr>
  </w:style>
  <w:style w:type="character" w:styleId="BookTitle">
    <w:name w:val="Book Title"/>
    <w:basedOn w:val="DefaultParagraphFont"/>
    <w:uiPriority w:val="33"/>
    <w:rsid w:val="00051729"/>
    <w:rPr>
      <w:b/>
      <w:bCs/>
      <w:smallCaps/>
      <w:spacing w:val="5"/>
    </w:rPr>
  </w:style>
  <w:style w:type="paragraph" w:styleId="Quote">
    <w:name w:val="Quote"/>
    <w:basedOn w:val="Normal"/>
    <w:next w:val="Normal"/>
    <w:link w:val="QuoteChar"/>
    <w:uiPriority w:val="29"/>
    <w:qFormat/>
    <w:rsid w:val="00051729"/>
    <w:rPr>
      <w:i/>
      <w:iCs/>
      <w:color w:val="17365D" w:themeColor="text1"/>
    </w:rPr>
  </w:style>
  <w:style w:type="character" w:customStyle="1" w:styleId="QuoteChar">
    <w:name w:val="Quote Char"/>
    <w:basedOn w:val="DefaultParagraphFont"/>
    <w:link w:val="Quote"/>
    <w:uiPriority w:val="29"/>
    <w:rsid w:val="00051729"/>
    <w:rPr>
      <w:i/>
      <w:iCs/>
      <w:color w:val="17365D" w:themeColor="text1"/>
    </w:rPr>
  </w:style>
  <w:style w:type="character" w:styleId="Strong">
    <w:name w:val="Strong"/>
    <w:basedOn w:val="DefaultParagraphFont"/>
    <w:uiPriority w:val="22"/>
    <w:qFormat/>
    <w:rsid w:val="00051729"/>
    <w:rPr>
      <w:b/>
      <w:bCs/>
    </w:rPr>
  </w:style>
  <w:style w:type="paragraph" w:customStyle="1" w:styleId="Heading1Nonumber">
    <w:name w:val="Heading 1 No number"/>
    <w:basedOn w:val="Heading1"/>
    <w:qFormat/>
    <w:rsid w:val="00AD297B"/>
    <w:pPr>
      <w:numPr>
        <w:numId w:val="0"/>
      </w:numPr>
    </w:pPr>
  </w:style>
  <w:style w:type="paragraph" w:styleId="TOC4">
    <w:name w:val="toc 4"/>
    <w:basedOn w:val="Heading1"/>
    <w:next w:val="Normal"/>
    <w:autoRedefine/>
    <w:uiPriority w:val="39"/>
    <w:semiHidden/>
    <w:unhideWhenUsed/>
    <w:rsid w:val="002E450D"/>
    <w:pPr>
      <w:spacing w:after="100"/>
      <w:ind w:left="660"/>
    </w:pPr>
  </w:style>
  <w:style w:type="character" w:customStyle="1" w:styleId="Heading6Char">
    <w:name w:val="Heading 6 Char"/>
    <w:basedOn w:val="DefaultParagraphFont"/>
    <w:link w:val="Heading6"/>
    <w:uiPriority w:val="9"/>
    <w:semiHidden/>
    <w:rsid w:val="00E0008E"/>
    <w:rPr>
      <w:rFonts w:asciiTheme="majorHAnsi" w:eastAsiaTheme="majorEastAsia" w:hAnsiTheme="majorHAnsi" w:cstheme="majorBidi"/>
      <w:color w:val="7927B7" w:themeColor="accent1" w:themeShade="7F"/>
    </w:rPr>
  </w:style>
  <w:style w:type="paragraph" w:styleId="NormalWeb">
    <w:name w:val="Normal (Web)"/>
    <w:basedOn w:val="Normal"/>
    <w:uiPriority w:val="99"/>
    <w:unhideWhenUsed/>
    <w:rsid w:val="00FE238B"/>
    <w:pPr>
      <w:spacing w:before="100" w:beforeAutospacing="1" w:after="100" w:afterAutospacing="1" w:line="240" w:lineRule="auto"/>
    </w:pPr>
    <w:rPr>
      <w:rFonts w:ascii="Times New Roman" w:eastAsia="Times New Roman" w:hAnsi="Times New Roman" w:cs="Times New Roman"/>
      <w:color w:val="auto"/>
      <w:sz w:val="24"/>
      <w:szCs w:val="24"/>
      <w:lang w:eastAsia="en-AU"/>
    </w:rPr>
  </w:style>
  <w:style w:type="character" w:styleId="CommentReference">
    <w:name w:val="annotation reference"/>
    <w:basedOn w:val="DefaultParagraphFont"/>
    <w:uiPriority w:val="99"/>
    <w:semiHidden/>
    <w:unhideWhenUsed/>
    <w:rsid w:val="00FB652D"/>
    <w:rPr>
      <w:sz w:val="16"/>
      <w:szCs w:val="16"/>
    </w:rPr>
  </w:style>
  <w:style w:type="paragraph" w:styleId="CommentText">
    <w:name w:val="annotation text"/>
    <w:basedOn w:val="Normal"/>
    <w:link w:val="CommentTextChar"/>
    <w:uiPriority w:val="99"/>
    <w:semiHidden/>
    <w:unhideWhenUsed/>
    <w:rsid w:val="00FB652D"/>
    <w:pPr>
      <w:spacing w:line="240" w:lineRule="auto"/>
    </w:pPr>
    <w:rPr>
      <w:sz w:val="20"/>
      <w:szCs w:val="20"/>
    </w:rPr>
  </w:style>
  <w:style w:type="character" w:customStyle="1" w:styleId="CommentTextChar">
    <w:name w:val="Comment Text Char"/>
    <w:basedOn w:val="DefaultParagraphFont"/>
    <w:link w:val="CommentText"/>
    <w:uiPriority w:val="99"/>
    <w:semiHidden/>
    <w:rsid w:val="00FB652D"/>
    <w:rPr>
      <w:sz w:val="20"/>
      <w:szCs w:val="20"/>
    </w:rPr>
  </w:style>
  <w:style w:type="paragraph" w:styleId="CommentSubject">
    <w:name w:val="annotation subject"/>
    <w:basedOn w:val="CommentText"/>
    <w:next w:val="CommentText"/>
    <w:link w:val="CommentSubjectChar"/>
    <w:uiPriority w:val="99"/>
    <w:semiHidden/>
    <w:unhideWhenUsed/>
    <w:rsid w:val="00FB652D"/>
    <w:rPr>
      <w:b/>
      <w:bCs/>
    </w:rPr>
  </w:style>
  <w:style w:type="character" w:customStyle="1" w:styleId="CommentSubjectChar">
    <w:name w:val="Comment Subject Char"/>
    <w:basedOn w:val="CommentTextChar"/>
    <w:link w:val="CommentSubject"/>
    <w:uiPriority w:val="99"/>
    <w:semiHidden/>
    <w:rsid w:val="00FB652D"/>
    <w:rPr>
      <w:b/>
      <w:bCs/>
      <w:sz w:val="20"/>
      <w:szCs w:val="20"/>
    </w:rPr>
  </w:style>
  <w:style w:type="paragraph" w:customStyle="1" w:styleId="Default">
    <w:name w:val="Default"/>
    <w:rsid w:val="00CB69FB"/>
    <w:pPr>
      <w:autoSpaceDE w:val="0"/>
      <w:autoSpaceDN w:val="0"/>
      <w:adjustRightInd w:val="0"/>
      <w:spacing w:before="0" w:line="240" w:lineRule="auto"/>
    </w:pPr>
    <w:rPr>
      <w:rFonts w:ascii="Calibri" w:hAnsi="Calibri" w:cs="Calibri"/>
      <w:color w:val="000000"/>
      <w:sz w:val="24"/>
      <w:szCs w:val="24"/>
    </w:rPr>
  </w:style>
  <w:style w:type="paragraph" w:customStyle="1" w:styleId="Article">
    <w:name w:val="Article"/>
    <w:basedOn w:val="Normal"/>
    <w:rsid w:val="0047584A"/>
    <w:pPr>
      <w:spacing w:before="120" w:after="120" w:line="240" w:lineRule="auto"/>
      <w:ind w:left="1134" w:right="1134"/>
      <w:jc w:val="both"/>
    </w:pPr>
    <w:rPr>
      <w:rFonts w:ascii="Times New Roman" w:eastAsia="Times New Roman" w:hAnsi="Times New Roman" w:cs="Times New Roman"/>
      <w:b/>
      <w:i/>
      <w:color w:val="auto"/>
      <w:sz w:val="24"/>
      <w:szCs w:val="20"/>
      <w:lang w:eastAsia="en-AU"/>
    </w:rPr>
  </w:style>
  <w:style w:type="paragraph" w:customStyle="1" w:styleId="bulletedindent1">
    <w:name w:val="bulleted indent1"/>
    <w:basedOn w:val="Normal"/>
    <w:rsid w:val="00061AFA"/>
    <w:pPr>
      <w:numPr>
        <w:numId w:val="3"/>
      </w:numPr>
      <w:tabs>
        <w:tab w:val="left" w:pos="-1440"/>
        <w:tab w:val="left" w:pos="360"/>
      </w:tabs>
      <w:spacing w:before="0" w:after="120" w:line="240" w:lineRule="auto"/>
      <w:jc w:val="both"/>
    </w:pPr>
    <w:rPr>
      <w:rFonts w:ascii="Times New Roman" w:eastAsia="Times New Roman" w:hAnsi="Times New Roman" w:cs="Times New Roman"/>
      <w:color w:val="auto"/>
      <w:sz w:val="20"/>
      <w:szCs w:val="20"/>
      <w:lang w:eastAsia="en-AU"/>
    </w:rPr>
  </w:style>
  <w:style w:type="paragraph" w:customStyle="1" w:styleId="acthead5">
    <w:name w:val="acthead5"/>
    <w:basedOn w:val="Normal"/>
    <w:rsid w:val="00B612E4"/>
    <w:pPr>
      <w:spacing w:before="100" w:beforeAutospacing="1" w:after="100" w:afterAutospacing="1" w:line="240" w:lineRule="auto"/>
    </w:pPr>
    <w:rPr>
      <w:rFonts w:ascii="Times New Roman" w:eastAsia="Times New Roman" w:hAnsi="Times New Roman" w:cs="Times New Roman"/>
      <w:color w:val="auto"/>
      <w:sz w:val="24"/>
      <w:szCs w:val="24"/>
      <w:lang w:eastAsia="en-AU"/>
    </w:rPr>
  </w:style>
  <w:style w:type="character" w:customStyle="1" w:styleId="charsectno">
    <w:name w:val="charsectno"/>
    <w:rsid w:val="00B612E4"/>
  </w:style>
  <w:style w:type="paragraph" w:customStyle="1" w:styleId="subsection">
    <w:name w:val="subsection"/>
    <w:basedOn w:val="Normal"/>
    <w:rsid w:val="00B612E4"/>
    <w:pPr>
      <w:spacing w:before="100" w:beforeAutospacing="1" w:after="100" w:afterAutospacing="1" w:line="240" w:lineRule="auto"/>
    </w:pPr>
    <w:rPr>
      <w:rFonts w:ascii="Times New Roman" w:eastAsia="Times New Roman" w:hAnsi="Times New Roman" w:cs="Times New Roman"/>
      <w:color w:val="auto"/>
      <w:sz w:val="24"/>
      <w:szCs w:val="24"/>
      <w:lang w:eastAsia="en-AU"/>
    </w:rPr>
  </w:style>
  <w:style w:type="paragraph" w:customStyle="1" w:styleId="paragraph">
    <w:name w:val="paragraph"/>
    <w:basedOn w:val="Normal"/>
    <w:rsid w:val="00B612E4"/>
    <w:pPr>
      <w:spacing w:before="100" w:beforeAutospacing="1" w:after="100" w:afterAutospacing="1" w:line="240" w:lineRule="auto"/>
    </w:pPr>
    <w:rPr>
      <w:rFonts w:ascii="Times New Roman" w:eastAsia="Times New Roman" w:hAnsi="Times New Roman" w:cs="Times New Roman"/>
      <w:color w:val="auto"/>
      <w:sz w:val="24"/>
      <w:szCs w:val="24"/>
      <w:lang w:eastAsia="en-AU"/>
    </w:rPr>
  </w:style>
  <w:style w:type="paragraph" w:customStyle="1" w:styleId="Annexe">
    <w:name w:val="Annexe"/>
    <w:basedOn w:val="Heading1"/>
    <w:next w:val="Normal"/>
    <w:link w:val="AnnexeChar"/>
    <w:rsid w:val="00C638B9"/>
    <w:pPr>
      <w:keepNext w:val="0"/>
      <w:keepLines w:val="0"/>
      <w:numPr>
        <w:numId w:val="18"/>
      </w:numPr>
      <w:tabs>
        <w:tab w:val="left" w:pos="1814"/>
      </w:tabs>
      <w:spacing w:before="240" w:after="120" w:line="240" w:lineRule="auto"/>
      <w:jc w:val="both"/>
    </w:pPr>
    <w:rPr>
      <w:rFonts w:ascii="Arial" w:eastAsia="Times New Roman" w:hAnsi="Arial" w:cs="Times New Roman"/>
      <w:bCs w:val="0"/>
      <w:color w:val="auto"/>
      <w:kern w:val="28"/>
      <w:szCs w:val="20"/>
      <w:lang w:eastAsia="en-AU"/>
    </w:rPr>
  </w:style>
  <w:style w:type="character" w:customStyle="1" w:styleId="AnnexeChar">
    <w:name w:val="Annexe Char"/>
    <w:link w:val="Annexe"/>
    <w:rsid w:val="00C638B9"/>
    <w:rPr>
      <w:rFonts w:ascii="Arial" w:eastAsia="Times New Roman" w:hAnsi="Arial" w:cs="Times New Roman"/>
      <w:b/>
      <w:color w:val="auto"/>
      <w:kern w:val="28"/>
      <w:sz w:val="32"/>
      <w:szCs w:val="20"/>
      <w:lang w:eastAsia="en-AU"/>
    </w:rPr>
  </w:style>
  <w:style w:type="paragraph" w:customStyle="1" w:styleId="60list">
    <w:name w:val="6.0 list"/>
    <w:basedOn w:val="ListParagraph"/>
    <w:qFormat/>
    <w:rsid w:val="005A265D"/>
    <w:pPr>
      <w:numPr>
        <w:numId w:val="23"/>
      </w:numPr>
    </w:pPr>
  </w:style>
  <w:style w:type="paragraph" w:customStyle="1" w:styleId="70list">
    <w:name w:val="7.0 list"/>
    <w:basedOn w:val="60list"/>
    <w:qFormat/>
    <w:rsid w:val="00E36D67"/>
    <w:pPr>
      <w:numPr>
        <w:ilvl w:val="1"/>
        <w:numId w:val="25"/>
      </w:numPr>
      <w:spacing w:after="240"/>
    </w:pPr>
  </w:style>
  <w:style w:type="paragraph" w:customStyle="1" w:styleId="80list">
    <w:name w:val="8.0 list"/>
    <w:basedOn w:val="ListParagraph"/>
    <w:qFormat/>
    <w:rsid w:val="000537B2"/>
  </w:style>
  <w:style w:type="paragraph" w:customStyle="1" w:styleId="90list">
    <w:name w:val="9.0 list"/>
    <w:basedOn w:val="Normal"/>
    <w:qFormat/>
    <w:rsid w:val="00685B8E"/>
    <w:pPr>
      <w:numPr>
        <w:numId w:val="7"/>
      </w:numPr>
      <w:tabs>
        <w:tab w:val="clear" w:pos="851"/>
      </w:tabs>
      <w:spacing w:before="0" w:after="120"/>
      <w:ind w:hanging="567"/>
    </w:pPr>
  </w:style>
  <w:style w:type="paragraph" w:customStyle="1" w:styleId="100list">
    <w:name w:val="10.0 list"/>
    <w:basedOn w:val="Normal"/>
    <w:qFormat/>
    <w:rsid w:val="00A30583"/>
    <w:pPr>
      <w:numPr>
        <w:numId w:val="8"/>
      </w:numPr>
      <w:tabs>
        <w:tab w:val="clear" w:pos="851"/>
        <w:tab w:val="num" w:pos="1276"/>
      </w:tabs>
      <w:spacing w:before="0" w:after="120"/>
      <w:ind w:left="992" w:hanging="708"/>
    </w:pPr>
  </w:style>
  <w:style w:type="paragraph" w:customStyle="1" w:styleId="110list">
    <w:name w:val="11.0 list"/>
    <w:basedOn w:val="Normal"/>
    <w:qFormat/>
    <w:rsid w:val="00A30583"/>
    <w:pPr>
      <w:numPr>
        <w:numId w:val="9"/>
      </w:numPr>
      <w:tabs>
        <w:tab w:val="clear" w:pos="851"/>
        <w:tab w:val="num" w:pos="993"/>
      </w:tabs>
      <w:spacing w:before="0" w:after="120"/>
      <w:ind w:left="992" w:hanging="708"/>
    </w:pPr>
    <w:rPr>
      <w:spacing w:val="-2"/>
    </w:rPr>
  </w:style>
  <w:style w:type="paragraph" w:customStyle="1" w:styleId="120list">
    <w:name w:val="12.0 list"/>
    <w:basedOn w:val="Normal"/>
    <w:qFormat/>
    <w:rsid w:val="00A30583"/>
    <w:pPr>
      <w:numPr>
        <w:numId w:val="10"/>
      </w:numPr>
      <w:tabs>
        <w:tab w:val="clear" w:pos="851"/>
        <w:tab w:val="num" w:pos="993"/>
      </w:tabs>
      <w:spacing w:before="0" w:after="120"/>
      <w:ind w:left="993" w:hanging="709"/>
    </w:pPr>
  </w:style>
  <w:style w:type="paragraph" w:customStyle="1" w:styleId="130list">
    <w:name w:val="13.0 list"/>
    <w:basedOn w:val="Normal"/>
    <w:qFormat/>
    <w:rsid w:val="003E7BB4"/>
    <w:pPr>
      <w:numPr>
        <w:numId w:val="11"/>
      </w:numPr>
      <w:tabs>
        <w:tab w:val="clear" w:pos="851"/>
        <w:tab w:val="num" w:pos="993"/>
      </w:tabs>
      <w:spacing w:before="0" w:after="120"/>
      <w:ind w:left="993" w:hanging="709"/>
    </w:pPr>
    <w:rPr>
      <w:iCs/>
    </w:rPr>
  </w:style>
  <w:style w:type="paragraph" w:customStyle="1" w:styleId="140list">
    <w:name w:val="14.0 list"/>
    <w:basedOn w:val="Normal"/>
    <w:qFormat/>
    <w:rsid w:val="00521D10"/>
    <w:pPr>
      <w:numPr>
        <w:numId w:val="12"/>
      </w:numPr>
      <w:spacing w:before="0" w:after="120"/>
    </w:pPr>
  </w:style>
  <w:style w:type="paragraph" w:customStyle="1" w:styleId="150list">
    <w:name w:val="15.0 list"/>
    <w:basedOn w:val="Normal"/>
    <w:qFormat/>
    <w:rsid w:val="005A5870"/>
    <w:pPr>
      <w:numPr>
        <w:numId w:val="17"/>
      </w:numPr>
      <w:tabs>
        <w:tab w:val="clear" w:pos="851"/>
        <w:tab w:val="num" w:pos="993"/>
      </w:tabs>
      <w:spacing w:before="0" w:after="120"/>
      <w:ind w:left="993" w:hanging="709"/>
    </w:pPr>
  </w:style>
  <w:style w:type="paragraph" w:customStyle="1" w:styleId="160list">
    <w:name w:val="16.0 list"/>
    <w:basedOn w:val="Normal"/>
    <w:qFormat/>
    <w:rsid w:val="00AB1094"/>
    <w:pPr>
      <w:numPr>
        <w:numId w:val="13"/>
      </w:numPr>
      <w:spacing w:before="0" w:after="120"/>
    </w:pPr>
  </w:style>
  <w:style w:type="paragraph" w:customStyle="1" w:styleId="170list">
    <w:name w:val="17.0 list"/>
    <w:basedOn w:val="Normal"/>
    <w:qFormat/>
    <w:rsid w:val="00AB1094"/>
    <w:pPr>
      <w:numPr>
        <w:numId w:val="14"/>
      </w:numPr>
      <w:tabs>
        <w:tab w:val="clear" w:pos="851"/>
        <w:tab w:val="num" w:pos="993"/>
      </w:tabs>
      <w:spacing w:before="0" w:after="120"/>
      <w:ind w:left="993" w:hanging="709"/>
    </w:pPr>
  </w:style>
  <w:style w:type="paragraph" w:customStyle="1" w:styleId="180list">
    <w:name w:val="18.0 list"/>
    <w:basedOn w:val="Normal"/>
    <w:qFormat/>
    <w:rsid w:val="00C12577"/>
    <w:pPr>
      <w:numPr>
        <w:numId w:val="15"/>
      </w:numPr>
      <w:tabs>
        <w:tab w:val="clear" w:pos="851"/>
        <w:tab w:val="num" w:pos="993"/>
      </w:tabs>
      <w:spacing w:before="120" w:after="120"/>
      <w:ind w:left="993" w:hanging="709"/>
    </w:pPr>
  </w:style>
  <w:style w:type="paragraph" w:customStyle="1" w:styleId="190list">
    <w:name w:val="19.0 list"/>
    <w:basedOn w:val="Normal"/>
    <w:qFormat/>
    <w:rsid w:val="009E7C03"/>
    <w:pPr>
      <w:numPr>
        <w:numId w:val="16"/>
      </w:numPr>
      <w:tabs>
        <w:tab w:val="clear" w:pos="851"/>
        <w:tab w:val="num" w:pos="993"/>
      </w:tabs>
      <w:spacing w:before="0" w:after="120"/>
      <w:ind w:left="993" w:hanging="709"/>
    </w:pPr>
    <w:rPr>
      <w:spacing w:val="-4"/>
    </w:rPr>
  </w:style>
  <w:style w:type="paragraph" w:styleId="Revision">
    <w:name w:val="Revision"/>
    <w:hidden/>
    <w:uiPriority w:val="99"/>
    <w:semiHidden/>
    <w:rsid w:val="00200EBA"/>
    <w:pPr>
      <w:spacing w:before="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6303716">
      <w:bodyDiv w:val="1"/>
      <w:marLeft w:val="0"/>
      <w:marRight w:val="0"/>
      <w:marTop w:val="0"/>
      <w:marBottom w:val="0"/>
      <w:divBdr>
        <w:top w:val="none" w:sz="0" w:space="0" w:color="auto"/>
        <w:left w:val="none" w:sz="0" w:space="0" w:color="auto"/>
        <w:bottom w:val="none" w:sz="0" w:space="0" w:color="auto"/>
        <w:right w:val="none" w:sz="0" w:space="0" w:color="auto"/>
      </w:divBdr>
      <w:divsChild>
        <w:div w:id="789318294">
          <w:marLeft w:val="0"/>
          <w:marRight w:val="0"/>
          <w:marTop w:val="0"/>
          <w:marBottom w:val="0"/>
          <w:divBdr>
            <w:top w:val="none" w:sz="0" w:space="0" w:color="auto"/>
            <w:left w:val="none" w:sz="0" w:space="0" w:color="auto"/>
            <w:bottom w:val="none" w:sz="0" w:space="0" w:color="auto"/>
            <w:right w:val="none" w:sz="0" w:space="0" w:color="auto"/>
          </w:divBdr>
          <w:divsChild>
            <w:div w:id="1398818108">
              <w:marLeft w:val="0"/>
              <w:marRight w:val="0"/>
              <w:marTop w:val="0"/>
              <w:marBottom w:val="0"/>
              <w:divBdr>
                <w:top w:val="none" w:sz="0" w:space="0" w:color="auto"/>
                <w:left w:val="none" w:sz="0" w:space="0" w:color="auto"/>
                <w:bottom w:val="none" w:sz="0" w:space="0" w:color="auto"/>
                <w:right w:val="none" w:sz="0" w:space="0" w:color="auto"/>
              </w:divBdr>
              <w:divsChild>
                <w:div w:id="334113634">
                  <w:marLeft w:val="0"/>
                  <w:marRight w:val="0"/>
                  <w:marTop w:val="0"/>
                  <w:marBottom w:val="0"/>
                  <w:divBdr>
                    <w:top w:val="none" w:sz="0" w:space="0" w:color="auto"/>
                    <w:left w:val="none" w:sz="0" w:space="0" w:color="auto"/>
                    <w:bottom w:val="none" w:sz="0" w:space="0" w:color="auto"/>
                    <w:right w:val="none" w:sz="0" w:space="0" w:color="auto"/>
                  </w:divBdr>
                  <w:divsChild>
                    <w:div w:id="1849716050">
                      <w:marLeft w:val="0"/>
                      <w:marRight w:val="0"/>
                      <w:marTop w:val="0"/>
                      <w:marBottom w:val="0"/>
                      <w:divBdr>
                        <w:top w:val="none" w:sz="0" w:space="0" w:color="auto"/>
                        <w:left w:val="none" w:sz="0" w:space="0" w:color="auto"/>
                        <w:bottom w:val="none" w:sz="0" w:space="0" w:color="auto"/>
                        <w:right w:val="none" w:sz="0" w:space="0" w:color="auto"/>
                      </w:divBdr>
                      <w:divsChild>
                        <w:div w:id="1991982200">
                          <w:marLeft w:val="0"/>
                          <w:marRight w:val="0"/>
                          <w:marTop w:val="0"/>
                          <w:marBottom w:val="0"/>
                          <w:divBdr>
                            <w:top w:val="none" w:sz="0" w:space="0" w:color="auto"/>
                            <w:left w:val="none" w:sz="0" w:space="0" w:color="auto"/>
                            <w:bottom w:val="none" w:sz="0" w:space="0" w:color="auto"/>
                            <w:right w:val="none" w:sz="0" w:space="0" w:color="auto"/>
                          </w:divBdr>
                          <w:divsChild>
                            <w:div w:id="1128012731">
                              <w:marLeft w:val="0"/>
                              <w:marRight w:val="0"/>
                              <w:marTop w:val="0"/>
                              <w:marBottom w:val="0"/>
                              <w:divBdr>
                                <w:top w:val="none" w:sz="0" w:space="0" w:color="auto"/>
                                <w:left w:val="none" w:sz="0" w:space="0" w:color="auto"/>
                                <w:bottom w:val="none" w:sz="0" w:space="0" w:color="auto"/>
                                <w:right w:val="none" w:sz="0" w:space="0" w:color="auto"/>
                              </w:divBdr>
                              <w:divsChild>
                                <w:div w:id="1674844003">
                                  <w:marLeft w:val="0"/>
                                  <w:marRight w:val="0"/>
                                  <w:marTop w:val="0"/>
                                  <w:marBottom w:val="0"/>
                                  <w:divBdr>
                                    <w:top w:val="none" w:sz="0" w:space="0" w:color="auto"/>
                                    <w:left w:val="none" w:sz="0" w:space="0" w:color="auto"/>
                                    <w:bottom w:val="none" w:sz="0" w:space="0" w:color="auto"/>
                                    <w:right w:val="none" w:sz="0" w:space="0" w:color="auto"/>
                                  </w:divBdr>
                                  <w:divsChild>
                                    <w:div w:id="759914252">
                                      <w:marLeft w:val="0"/>
                                      <w:marRight w:val="0"/>
                                      <w:marTop w:val="0"/>
                                      <w:marBottom w:val="0"/>
                                      <w:divBdr>
                                        <w:top w:val="none" w:sz="0" w:space="0" w:color="auto"/>
                                        <w:left w:val="none" w:sz="0" w:space="0" w:color="auto"/>
                                        <w:bottom w:val="none" w:sz="0" w:space="0" w:color="auto"/>
                                        <w:right w:val="none" w:sz="0" w:space="0" w:color="auto"/>
                                      </w:divBdr>
                                      <w:divsChild>
                                        <w:div w:id="2087605512">
                                          <w:marLeft w:val="0"/>
                                          <w:marRight w:val="0"/>
                                          <w:marTop w:val="0"/>
                                          <w:marBottom w:val="0"/>
                                          <w:divBdr>
                                            <w:top w:val="none" w:sz="0" w:space="0" w:color="auto"/>
                                            <w:left w:val="none" w:sz="0" w:space="0" w:color="auto"/>
                                            <w:bottom w:val="none" w:sz="0" w:space="0" w:color="auto"/>
                                            <w:right w:val="none" w:sz="0" w:space="0" w:color="auto"/>
                                          </w:divBdr>
                                          <w:divsChild>
                                            <w:div w:id="1272785302">
                                              <w:marLeft w:val="0"/>
                                              <w:marRight w:val="0"/>
                                              <w:marTop w:val="0"/>
                                              <w:marBottom w:val="0"/>
                                              <w:divBdr>
                                                <w:top w:val="none" w:sz="0" w:space="0" w:color="auto"/>
                                                <w:left w:val="none" w:sz="0" w:space="0" w:color="auto"/>
                                                <w:bottom w:val="none" w:sz="0" w:space="0" w:color="auto"/>
                                                <w:right w:val="none" w:sz="0" w:space="0" w:color="auto"/>
                                              </w:divBdr>
                                              <w:divsChild>
                                                <w:div w:id="144007367">
                                                  <w:marLeft w:val="0"/>
                                                  <w:marRight w:val="0"/>
                                                  <w:marTop w:val="0"/>
                                                  <w:marBottom w:val="0"/>
                                                  <w:divBdr>
                                                    <w:top w:val="none" w:sz="0" w:space="0" w:color="auto"/>
                                                    <w:left w:val="none" w:sz="0" w:space="0" w:color="auto"/>
                                                    <w:bottom w:val="none" w:sz="0" w:space="0" w:color="auto"/>
                                                    <w:right w:val="none" w:sz="0" w:space="0" w:color="auto"/>
                                                  </w:divBdr>
                                                  <w:divsChild>
                                                    <w:div w:id="1957253659">
                                                      <w:marLeft w:val="0"/>
                                                      <w:marRight w:val="0"/>
                                                      <w:marTop w:val="0"/>
                                                      <w:marBottom w:val="0"/>
                                                      <w:divBdr>
                                                        <w:top w:val="none" w:sz="0" w:space="0" w:color="auto"/>
                                                        <w:left w:val="none" w:sz="0" w:space="0" w:color="auto"/>
                                                        <w:bottom w:val="none" w:sz="0" w:space="0" w:color="auto"/>
                                                        <w:right w:val="none" w:sz="0" w:space="0" w:color="auto"/>
                                                      </w:divBdr>
                                                      <w:divsChild>
                                                        <w:div w:id="1605452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5032544">
      <w:bodyDiv w:val="1"/>
      <w:marLeft w:val="0"/>
      <w:marRight w:val="0"/>
      <w:marTop w:val="0"/>
      <w:marBottom w:val="0"/>
      <w:divBdr>
        <w:top w:val="none" w:sz="0" w:space="0" w:color="auto"/>
        <w:left w:val="none" w:sz="0" w:space="0" w:color="auto"/>
        <w:bottom w:val="none" w:sz="0" w:space="0" w:color="auto"/>
        <w:right w:val="none" w:sz="0" w:space="0" w:color="auto"/>
      </w:divBdr>
    </w:div>
    <w:div w:id="1066760591">
      <w:bodyDiv w:val="1"/>
      <w:marLeft w:val="0"/>
      <w:marRight w:val="0"/>
      <w:marTop w:val="0"/>
      <w:marBottom w:val="0"/>
      <w:divBdr>
        <w:top w:val="none" w:sz="0" w:space="0" w:color="auto"/>
        <w:left w:val="none" w:sz="0" w:space="0" w:color="auto"/>
        <w:bottom w:val="none" w:sz="0" w:space="0" w:color="auto"/>
        <w:right w:val="none" w:sz="0" w:space="0" w:color="auto"/>
      </w:divBdr>
      <w:divsChild>
        <w:div w:id="1623227212">
          <w:marLeft w:val="0"/>
          <w:marRight w:val="0"/>
          <w:marTop w:val="0"/>
          <w:marBottom w:val="0"/>
          <w:divBdr>
            <w:top w:val="none" w:sz="0" w:space="0" w:color="auto"/>
            <w:left w:val="none" w:sz="0" w:space="0" w:color="auto"/>
            <w:bottom w:val="none" w:sz="0" w:space="0" w:color="auto"/>
            <w:right w:val="none" w:sz="0" w:space="0" w:color="auto"/>
          </w:divBdr>
          <w:divsChild>
            <w:div w:id="892499238">
              <w:marLeft w:val="0"/>
              <w:marRight w:val="0"/>
              <w:marTop w:val="0"/>
              <w:marBottom w:val="0"/>
              <w:divBdr>
                <w:top w:val="none" w:sz="0" w:space="0" w:color="auto"/>
                <w:left w:val="none" w:sz="0" w:space="0" w:color="auto"/>
                <w:bottom w:val="none" w:sz="0" w:space="0" w:color="auto"/>
                <w:right w:val="none" w:sz="0" w:space="0" w:color="auto"/>
              </w:divBdr>
              <w:divsChild>
                <w:div w:id="1147015300">
                  <w:marLeft w:val="0"/>
                  <w:marRight w:val="0"/>
                  <w:marTop w:val="0"/>
                  <w:marBottom w:val="0"/>
                  <w:divBdr>
                    <w:top w:val="none" w:sz="0" w:space="0" w:color="auto"/>
                    <w:left w:val="none" w:sz="0" w:space="0" w:color="auto"/>
                    <w:bottom w:val="none" w:sz="0" w:space="0" w:color="auto"/>
                    <w:right w:val="none" w:sz="0" w:space="0" w:color="auto"/>
                  </w:divBdr>
                  <w:divsChild>
                    <w:div w:id="578636183">
                      <w:marLeft w:val="0"/>
                      <w:marRight w:val="0"/>
                      <w:marTop w:val="0"/>
                      <w:marBottom w:val="0"/>
                      <w:divBdr>
                        <w:top w:val="none" w:sz="0" w:space="0" w:color="auto"/>
                        <w:left w:val="none" w:sz="0" w:space="0" w:color="auto"/>
                        <w:bottom w:val="none" w:sz="0" w:space="0" w:color="auto"/>
                        <w:right w:val="none" w:sz="0" w:space="0" w:color="auto"/>
                      </w:divBdr>
                      <w:divsChild>
                        <w:div w:id="989555500">
                          <w:marLeft w:val="0"/>
                          <w:marRight w:val="0"/>
                          <w:marTop w:val="0"/>
                          <w:marBottom w:val="0"/>
                          <w:divBdr>
                            <w:top w:val="none" w:sz="0" w:space="0" w:color="auto"/>
                            <w:left w:val="none" w:sz="0" w:space="0" w:color="auto"/>
                            <w:bottom w:val="none" w:sz="0" w:space="0" w:color="auto"/>
                            <w:right w:val="none" w:sz="0" w:space="0" w:color="auto"/>
                          </w:divBdr>
                          <w:divsChild>
                            <w:div w:id="1421416134">
                              <w:marLeft w:val="0"/>
                              <w:marRight w:val="0"/>
                              <w:marTop w:val="0"/>
                              <w:marBottom w:val="0"/>
                              <w:divBdr>
                                <w:top w:val="none" w:sz="0" w:space="0" w:color="auto"/>
                                <w:left w:val="none" w:sz="0" w:space="0" w:color="auto"/>
                                <w:bottom w:val="none" w:sz="0" w:space="0" w:color="auto"/>
                                <w:right w:val="none" w:sz="0" w:space="0" w:color="auto"/>
                              </w:divBdr>
                              <w:divsChild>
                                <w:div w:id="73934506">
                                  <w:marLeft w:val="0"/>
                                  <w:marRight w:val="0"/>
                                  <w:marTop w:val="0"/>
                                  <w:marBottom w:val="0"/>
                                  <w:divBdr>
                                    <w:top w:val="none" w:sz="0" w:space="0" w:color="auto"/>
                                    <w:left w:val="none" w:sz="0" w:space="0" w:color="auto"/>
                                    <w:bottom w:val="none" w:sz="0" w:space="0" w:color="auto"/>
                                    <w:right w:val="none" w:sz="0" w:space="0" w:color="auto"/>
                                  </w:divBdr>
                                  <w:divsChild>
                                    <w:div w:id="1979526677">
                                      <w:marLeft w:val="0"/>
                                      <w:marRight w:val="0"/>
                                      <w:marTop w:val="0"/>
                                      <w:marBottom w:val="0"/>
                                      <w:divBdr>
                                        <w:top w:val="none" w:sz="0" w:space="0" w:color="auto"/>
                                        <w:left w:val="none" w:sz="0" w:space="0" w:color="auto"/>
                                        <w:bottom w:val="none" w:sz="0" w:space="0" w:color="auto"/>
                                        <w:right w:val="none" w:sz="0" w:space="0" w:color="auto"/>
                                      </w:divBdr>
                                      <w:divsChild>
                                        <w:div w:id="267474456">
                                          <w:marLeft w:val="0"/>
                                          <w:marRight w:val="0"/>
                                          <w:marTop w:val="0"/>
                                          <w:marBottom w:val="0"/>
                                          <w:divBdr>
                                            <w:top w:val="none" w:sz="0" w:space="0" w:color="auto"/>
                                            <w:left w:val="none" w:sz="0" w:space="0" w:color="auto"/>
                                            <w:bottom w:val="none" w:sz="0" w:space="0" w:color="auto"/>
                                            <w:right w:val="none" w:sz="0" w:space="0" w:color="auto"/>
                                          </w:divBdr>
                                          <w:divsChild>
                                            <w:div w:id="2144693593">
                                              <w:marLeft w:val="0"/>
                                              <w:marRight w:val="0"/>
                                              <w:marTop w:val="0"/>
                                              <w:marBottom w:val="0"/>
                                              <w:divBdr>
                                                <w:top w:val="none" w:sz="0" w:space="0" w:color="auto"/>
                                                <w:left w:val="none" w:sz="0" w:space="0" w:color="auto"/>
                                                <w:bottom w:val="none" w:sz="0" w:space="0" w:color="auto"/>
                                                <w:right w:val="none" w:sz="0" w:space="0" w:color="auto"/>
                                              </w:divBdr>
                                              <w:divsChild>
                                                <w:div w:id="306126456">
                                                  <w:marLeft w:val="0"/>
                                                  <w:marRight w:val="0"/>
                                                  <w:marTop w:val="0"/>
                                                  <w:marBottom w:val="0"/>
                                                  <w:divBdr>
                                                    <w:top w:val="none" w:sz="0" w:space="0" w:color="auto"/>
                                                    <w:left w:val="none" w:sz="0" w:space="0" w:color="auto"/>
                                                    <w:bottom w:val="none" w:sz="0" w:space="0" w:color="auto"/>
                                                    <w:right w:val="none" w:sz="0" w:space="0" w:color="auto"/>
                                                  </w:divBdr>
                                                  <w:divsChild>
                                                    <w:div w:id="78256140">
                                                      <w:marLeft w:val="0"/>
                                                      <w:marRight w:val="0"/>
                                                      <w:marTop w:val="0"/>
                                                      <w:marBottom w:val="0"/>
                                                      <w:divBdr>
                                                        <w:top w:val="none" w:sz="0" w:space="0" w:color="auto"/>
                                                        <w:left w:val="none" w:sz="0" w:space="0" w:color="auto"/>
                                                        <w:bottom w:val="none" w:sz="0" w:space="0" w:color="auto"/>
                                                        <w:right w:val="none" w:sz="0" w:space="0" w:color="auto"/>
                                                      </w:divBdr>
                                                      <w:divsChild>
                                                        <w:div w:id="24557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52690410">
      <w:bodyDiv w:val="1"/>
      <w:marLeft w:val="0"/>
      <w:marRight w:val="0"/>
      <w:marTop w:val="0"/>
      <w:marBottom w:val="0"/>
      <w:divBdr>
        <w:top w:val="none" w:sz="0" w:space="0" w:color="auto"/>
        <w:left w:val="none" w:sz="0" w:space="0" w:color="auto"/>
        <w:bottom w:val="none" w:sz="0" w:space="0" w:color="auto"/>
        <w:right w:val="none" w:sz="0" w:space="0" w:color="auto"/>
      </w:divBdr>
      <w:divsChild>
        <w:div w:id="361828949">
          <w:marLeft w:val="0"/>
          <w:marRight w:val="0"/>
          <w:marTop w:val="0"/>
          <w:marBottom w:val="0"/>
          <w:divBdr>
            <w:top w:val="none" w:sz="0" w:space="0" w:color="auto"/>
            <w:left w:val="none" w:sz="0" w:space="0" w:color="auto"/>
            <w:bottom w:val="none" w:sz="0" w:space="0" w:color="auto"/>
            <w:right w:val="none" w:sz="0" w:space="0" w:color="auto"/>
          </w:divBdr>
          <w:divsChild>
            <w:div w:id="1110663239">
              <w:marLeft w:val="0"/>
              <w:marRight w:val="0"/>
              <w:marTop w:val="0"/>
              <w:marBottom w:val="0"/>
              <w:divBdr>
                <w:top w:val="none" w:sz="0" w:space="0" w:color="auto"/>
                <w:left w:val="none" w:sz="0" w:space="0" w:color="auto"/>
                <w:bottom w:val="none" w:sz="0" w:space="0" w:color="auto"/>
                <w:right w:val="none" w:sz="0" w:space="0" w:color="auto"/>
              </w:divBdr>
              <w:divsChild>
                <w:div w:id="1834835449">
                  <w:marLeft w:val="0"/>
                  <w:marRight w:val="0"/>
                  <w:marTop w:val="0"/>
                  <w:marBottom w:val="0"/>
                  <w:divBdr>
                    <w:top w:val="none" w:sz="0" w:space="0" w:color="auto"/>
                    <w:left w:val="none" w:sz="0" w:space="0" w:color="auto"/>
                    <w:bottom w:val="none" w:sz="0" w:space="0" w:color="auto"/>
                    <w:right w:val="none" w:sz="0" w:space="0" w:color="auto"/>
                  </w:divBdr>
                  <w:divsChild>
                    <w:div w:id="183599092">
                      <w:marLeft w:val="0"/>
                      <w:marRight w:val="0"/>
                      <w:marTop w:val="0"/>
                      <w:marBottom w:val="0"/>
                      <w:divBdr>
                        <w:top w:val="none" w:sz="0" w:space="0" w:color="auto"/>
                        <w:left w:val="none" w:sz="0" w:space="0" w:color="auto"/>
                        <w:bottom w:val="none" w:sz="0" w:space="0" w:color="auto"/>
                        <w:right w:val="none" w:sz="0" w:space="0" w:color="auto"/>
                      </w:divBdr>
                      <w:divsChild>
                        <w:div w:id="1573735376">
                          <w:marLeft w:val="0"/>
                          <w:marRight w:val="0"/>
                          <w:marTop w:val="0"/>
                          <w:marBottom w:val="0"/>
                          <w:divBdr>
                            <w:top w:val="none" w:sz="0" w:space="0" w:color="auto"/>
                            <w:left w:val="none" w:sz="0" w:space="0" w:color="auto"/>
                            <w:bottom w:val="none" w:sz="0" w:space="0" w:color="auto"/>
                            <w:right w:val="none" w:sz="0" w:space="0" w:color="auto"/>
                          </w:divBdr>
                          <w:divsChild>
                            <w:div w:id="1371490788">
                              <w:marLeft w:val="0"/>
                              <w:marRight w:val="0"/>
                              <w:marTop w:val="0"/>
                              <w:marBottom w:val="0"/>
                              <w:divBdr>
                                <w:top w:val="none" w:sz="0" w:space="0" w:color="auto"/>
                                <w:left w:val="none" w:sz="0" w:space="0" w:color="auto"/>
                                <w:bottom w:val="none" w:sz="0" w:space="0" w:color="auto"/>
                                <w:right w:val="none" w:sz="0" w:space="0" w:color="auto"/>
                              </w:divBdr>
                              <w:divsChild>
                                <w:div w:id="1285039772">
                                  <w:marLeft w:val="0"/>
                                  <w:marRight w:val="0"/>
                                  <w:marTop w:val="0"/>
                                  <w:marBottom w:val="0"/>
                                  <w:divBdr>
                                    <w:top w:val="none" w:sz="0" w:space="0" w:color="auto"/>
                                    <w:left w:val="none" w:sz="0" w:space="0" w:color="auto"/>
                                    <w:bottom w:val="none" w:sz="0" w:space="0" w:color="auto"/>
                                    <w:right w:val="none" w:sz="0" w:space="0" w:color="auto"/>
                                  </w:divBdr>
                                  <w:divsChild>
                                    <w:div w:id="641734733">
                                      <w:marLeft w:val="0"/>
                                      <w:marRight w:val="0"/>
                                      <w:marTop w:val="0"/>
                                      <w:marBottom w:val="0"/>
                                      <w:divBdr>
                                        <w:top w:val="none" w:sz="0" w:space="0" w:color="auto"/>
                                        <w:left w:val="none" w:sz="0" w:space="0" w:color="auto"/>
                                        <w:bottom w:val="none" w:sz="0" w:space="0" w:color="auto"/>
                                        <w:right w:val="none" w:sz="0" w:space="0" w:color="auto"/>
                                      </w:divBdr>
                                      <w:divsChild>
                                        <w:div w:id="757989844">
                                          <w:marLeft w:val="0"/>
                                          <w:marRight w:val="0"/>
                                          <w:marTop w:val="0"/>
                                          <w:marBottom w:val="0"/>
                                          <w:divBdr>
                                            <w:top w:val="none" w:sz="0" w:space="0" w:color="auto"/>
                                            <w:left w:val="none" w:sz="0" w:space="0" w:color="auto"/>
                                            <w:bottom w:val="none" w:sz="0" w:space="0" w:color="auto"/>
                                            <w:right w:val="none" w:sz="0" w:space="0" w:color="auto"/>
                                          </w:divBdr>
                                          <w:divsChild>
                                            <w:div w:id="1661731958">
                                              <w:marLeft w:val="0"/>
                                              <w:marRight w:val="0"/>
                                              <w:marTop w:val="0"/>
                                              <w:marBottom w:val="0"/>
                                              <w:divBdr>
                                                <w:top w:val="none" w:sz="0" w:space="0" w:color="auto"/>
                                                <w:left w:val="none" w:sz="0" w:space="0" w:color="auto"/>
                                                <w:bottom w:val="none" w:sz="0" w:space="0" w:color="auto"/>
                                                <w:right w:val="none" w:sz="0" w:space="0" w:color="auto"/>
                                              </w:divBdr>
                                              <w:divsChild>
                                                <w:div w:id="1993022265">
                                                  <w:marLeft w:val="0"/>
                                                  <w:marRight w:val="0"/>
                                                  <w:marTop w:val="0"/>
                                                  <w:marBottom w:val="0"/>
                                                  <w:divBdr>
                                                    <w:top w:val="none" w:sz="0" w:space="0" w:color="auto"/>
                                                    <w:left w:val="none" w:sz="0" w:space="0" w:color="auto"/>
                                                    <w:bottom w:val="none" w:sz="0" w:space="0" w:color="auto"/>
                                                    <w:right w:val="none" w:sz="0" w:space="0" w:color="auto"/>
                                                  </w:divBdr>
                                                  <w:divsChild>
                                                    <w:div w:id="539781237">
                                                      <w:marLeft w:val="0"/>
                                                      <w:marRight w:val="0"/>
                                                      <w:marTop w:val="0"/>
                                                      <w:marBottom w:val="0"/>
                                                      <w:divBdr>
                                                        <w:top w:val="none" w:sz="0" w:space="0" w:color="auto"/>
                                                        <w:left w:val="none" w:sz="0" w:space="0" w:color="auto"/>
                                                        <w:bottom w:val="none" w:sz="0" w:space="0" w:color="auto"/>
                                                        <w:right w:val="none" w:sz="0" w:space="0" w:color="auto"/>
                                                      </w:divBdr>
                                                      <w:divsChild>
                                                        <w:div w:id="1939210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03067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image" Target="media/image6.png"/><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image" Target="media/image5.png"/><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1" Type="http://schemas.openxmlformats.org/officeDocument/2006/relationships/image" Target="media/image2.jpeg"/></Relationships>
</file>

<file path=word/_rels/footer7.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arpansa.gov.au/sites/default/files/reg-la-sup-240a.pdf" TargetMode="External"/><Relationship Id="rId13" Type="http://schemas.openxmlformats.org/officeDocument/2006/relationships/hyperlink" Target="https://www.arpansa.gov.au/sites/default/files/regulatory_guide_-_decommissioning_of_controlled_facilities.pdf" TargetMode="External"/><Relationship Id="rId18" Type="http://schemas.openxmlformats.org/officeDocument/2006/relationships/hyperlink" Target="https://www.arpansa.gov.au/regulation-and-licensing/regulation/regulatory-integrity/policy-arpansas-regulatory-activities" TargetMode="External"/><Relationship Id="rId26" Type="http://schemas.openxmlformats.org/officeDocument/2006/relationships/hyperlink" Target="https://www.arpansa.gov.au/regulation-and-licensing/safety-security-transport/holistic-safety/guidelines" TargetMode="External"/><Relationship Id="rId3" Type="http://schemas.openxmlformats.org/officeDocument/2006/relationships/hyperlink" Target="%20https:/www.legislation.gov.au/Details/C2012A00029" TargetMode="External"/><Relationship Id="rId21" Type="http://schemas.openxmlformats.org/officeDocument/2006/relationships/hyperlink" Target="https://www.arpansa.gov.au/about-us/advisory-council-and-committees/nuclear-safety-committee/minutes" TargetMode="External"/><Relationship Id="rId7" Type="http://schemas.openxmlformats.org/officeDocument/2006/relationships/hyperlink" Target="https://www.arpansa.gov.au/sites/default/files/regulatory_guide_-_decommissioning_of_controlled_facilities.pdf" TargetMode="External"/><Relationship Id="rId12" Type="http://schemas.openxmlformats.org/officeDocument/2006/relationships/hyperlink" Target="https://www.arpansa.gov.au/regulation-and-licensing/licensing/information-for-licence-holders/regulatory-guides" TargetMode="External"/><Relationship Id="rId17" Type="http://schemas.openxmlformats.org/officeDocument/2006/relationships/hyperlink" Target="https://www.arpansa.gov.au/sites/default/files/arpansa-reg-com-man-270w_compliance_enforcement_manual.pdf" TargetMode="External"/><Relationship Id="rId25" Type="http://schemas.openxmlformats.org/officeDocument/2006/relationships/hyperlink" Target="https://www.arpansa.gov.au/sites/default/files/legacy/pubs/regulatory/guides/RGL_RG-5.pdf" TargetMode="External"/><Relationship Id="rId2" Type="http://schemas.openxmlformats.org/officeDocument/2006/relationships/hyperlink" Target="http://assets.yoursay.sa.gov.au/production/2016/11/15/04/14/54/d66e8e3d-fadf-4c6e-a5c4-e793f60abe1e/Government%20Response%20-%20NFCRC.pdf" TargetMode="External"/><Relationship Id="rId16" Type="http://schemas.openxmlformats.org/officeDocument/2006/relationships/hyperlink" Target="https://www.arpansa.gov.au/sites/g/files/net3086/f/reg-com-sup-270j.pdf" TargetMode="External"/><Relationship Id="rId20" Type="http://schemas.openxmlformats.org/officeDocument/2006/relationships/hyperlink" Target="https://www.arpansa.gov.au/about-us/corporate-publications/regulator-performance-framework" TargetMode="External"/><Relationship Id="rId29" Type="http://schemas.openxmlformats.org/officeDocument/2006/relationships/hyperlink" Target="https://www.arpansa.gov.au/regulation-and-licensing/licensing/information-for-licence-applicants/how-do-i-apply-for-a-licence" TargetMode="External"/><Relationship Id="rId1" Type="http://schemas.openxmlformats.org/officeDocument/2006/relationships/hyperlink" Target="https://yoursay.sa.gov.au/pages/nuclear-fuel-cycle-royal-commission-report-release/" TargetMode="External"/><Relationship Id="rId6" Type="http://schemas.openxmlformats.org/officeDocument/2006/relationships/hyperlink" Target="https://www.arpansa.gov.au/sites/default/files/irrs_australia_report_2018.pdf" TargetMode="External"/><Relationship Id="rId11" Type="http://schemas.openxmlformats.org/officeDocument/2006/relationships/hyperlink" Target="https://www.arpansa.gov.au/regulation-and-licensing/regulation/international-best-practice" TargetMode="External"/><Relationship Id="rId24" Type="http://schemas.openxmlformats.org/officeDocument/2006/relationships/hyperlink" Target="https://www.arpansa.gov.au/sites/default/files/legacy/pubs/regulatory/guides/REG-LA-SUP-240G.pdf" TargetMode="External"/><Relationship Id="rId5" Type="http://schemas.openxmlformats.org/officeDocument/2006/relationships/hyperlink" Target="https://www.arpansa.gov.au/regulation-and-licensing/regulation/independence/independent-review-of-regulatory-activities/integrated-regulatory-review-service" TargetMode="External"/><Relationship Id="rId15" Type="http://schemas.openxmlformats.org/officeDocument/2006/relationships/hyperlink" Target="https://www.arpansa.gov.au/sites/default/files/arpansa-reg-ins-man-280w.pdf" TargetMode="External"/><Relationship Id="rId23" Type="http://schemas.openxmlformats.org/officeDocument/2006/relationships/hyperlink" Target="https://www.arpansa.gov.au/RHC" TargetMode="External"/><Relationship Id="rId28" Type="http://schemas.openxmlformats.org/officeDocument/2006/relationships/hyperlink" Target="https://www.arpansa.gov.au/regulation-and-licensing/licensing/information-for-licence-holders/inspections/performance-objectives-and-criteria" TargetMode="External"/><Relationship Id="rId10" Type="http://schemas.openxmlformats.org/officeDocument/2006/relationships/hyperlink" Target="https://www.arpansa.gov.au/about-us/corporate-publications/reports-parliament/report-parliament-radiation-exposure-worker-ansto" TargetMode="External"/><Relationship Id="rId19" Type="http://schemas.openxmlformats.org/officeDocument/2006/relationships/hyperlink" Target="https://www.arpansa.gov.au/regulation-and-licensing/regulation/our-regulatory-services/regulatory-intersection-other-functions" TargetMode="External"/><Relationship Id="rId4" Type="http://schemas.openxmlformats.org/officeDocument/2006/relationships/hyperlink" Target="https://www.industry.gov.au/data-and-publications/national-radioactive-waste-management-facility-information" TargetMode="External"/><Relationship Id="rId9" Type="http://schemas.openxmlformats.org/officeDocument/2006/relationships/hyperlink" Target="http://www.ansto.gov.au/AboutANSTO/OPAL/index.htm" TargetMode="External"/><Relationship Id="rId14" Type="http://schemas.openxmlformats.org/officeDocument/2006/relationships/hyperlink" Target="https://www.arpansa.gov.au/sites/default/files/reg-la-sup-240a.pdf" TargetMode="External"/><Relationship Id="rId22" Type="http://schemas.openxmlformats.org/officeDocument/2006/relationships/hyperlink" Target="https://www.arpansa.gov.au/RHAC" TargetMode="External"/><Relationship Id="rId27" Type="http://schemas.openxmlformats.org/officeDocument/2006/relationships/hyperlink" Target="https://www.arpansa.gov.au/regulation-and-licensing/regulation/about-regulatory-services/who-we-regulate/major-facilities/open-pool-light-water-reactor/operating-licence-application" TargetMode="External"/><Relationship Id="rId30" Type="http://schemas.openxmlformats.org/officeDocument/2006/relationships/hyperlink" Target="https://www.arpansa.gov.au/sites/default/files/legacy/pubs/regulatory/guides/REG-LA-SUP-240L.pdf" TargetMode="External"/></Relationships>
</file>

<file path=word/theme/theme1.xml><?xml version="1.0" encoding="utf-8"?>
<a:theme xmlns:a="http://schemas.openxmlformats.org/drawingml/2006/main" name="Office Theme">
  <a:themeElements>
    <a:clrScheme name="Custom 1">
      <a:dk1>
        <a:srgbClr val="17365D"/>
      </a:dk1>
      <a:lt1>
        <a:sysClr val="window" lastClr="FFFFFF"/>
      </a:lt1>
      <a:dk2>
        <a:srgbClr val="4E1A74"/>
      </a:dk2>
      <a:lt2>
        <a:srgbClr val="EEECE1"/>
      </a:lt2>
      <a:accent1>
        <a:srgbClr val="E3CCF4"/>
      </a:accent1>
      <a:accent2>
        <a:srgbClr val="2B992B"/>
      </a:accent2>
      <a:accent3>
        <a:srgbClr val="258325"/>
      </a:accent3>
      <a:accent4>
        <a:srgbClr val="444448"/>
      </a:accent4>
      <a:accent5>
        <a:srgbClr val="4BACC6"/>
      </a:accent5>
      <a:accent6>
        <a:srgbClr val="F79646"/>
      </a:accent6>
      <a:hlink>
        <a:srgbClr val="4E1A74"/>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53D5A4EF-DC8F-4922-88CC-CB5BFB0F9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52</Pages>
  <Words>18129</Words>
  <Characters>103338</Characters>
  <Application>Microsoft Office Word</Application>
  <DocSecurity>0</DocSecurity>
  <Lines>861</Lines>
  <Paragraphs>242</Paragraphs>
  <ScaleCrop>false</ScaleCrop>
  <HeadingPairs>
    <vt:vector size="2" baseType="variant">
      <vt:variant>
        <vt:lpstr>Title</vt:lpstr>
      </vt:variant>
      <vt:variant>
        <vt:i4>1</vt:i4>
      </vt:variant>
    </vt:vector>
  </HeadingPairs>
  <TitlesOfParts>
    <vt:vector size="1" baseType="lpstr">
      <vt:lpstr/>
    </vt:vector>
  </TitlesOfParts>
  <Company>ARPANSA</Company>
  <LinksUpToDate>false</LinksUpToDate>
  <CharactersWithSpaces>121225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Francesca Wigney</dc:creator>
  <cp:lastModifiedBy>Francesca Wigney</cp:lastModifiedBy>
  <cp:revision>10</cp:revision>
  <cp:lastPrinted>2019-07-16T23:41:00Z</cp:lastPrinted>
  <dcterms:created xsi:type="dcterms:W3CDTF">2019-06-27T05:06:00Z</dcterms:created>
  <dcterms:modified xsi:type="dcterms:W3CDTF">2019-07-16T23:42:00Z</dcterms:modified>
</cp:coreProperties>
</file>