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9325B" w14:textId="20479028" w:rsidR="00C619F8" w:rsidRDefault="00E23BA5" w:rsidP="003D55AC">
      <w:pPr>
        <w:tabs>
          <w:tab w:val="left" w:pos="709"/>
        </w:tabs>
        <w:ind w:left="-284"/>
        <w:rPr>
          <w:rFonts w:eastAsia="Times New Roman"/>
          <w:caps/>
          <w:color w:val="9B4AD6" w:themeColor="accent2" w:themeTint="99"/>
          <w:spacing w:val="10"/>
          <w:kern w:val="28"/>
          <w:sz w:val="52"/>
          <w:szCs w:val="52"/>
        </w:rPr>
      </w:pPr>
      <w:bookmarkStart w:id="0" w:name="im2"/>
      <w:r>
        <w:rPr>
          <w:noProof/>
          <w:lang w:eastAsia="en-AU"/>
        </w:rPr>
        <w:drawing>
          <wp:anchor distT="0" distB="0" distL="114300" distR="114300" simplePos="0" relativeHeight="251656192" behindDoc="1" locked="0" layoutInCell="1" allowOverlap="1" wp14:anchorId="1506D191" wp14:editId="4A1DCDCC">
            <wp:simplePos x="0" y="0"/>
            <wp:positionH relativeFrom="page">
              <wp:posOffset>38100</wp:posOffset>
            </wp:positionH>
            <wp:positionV relativeFrom="paragraph">
              <wp:posOffset>-781685</wp:posOffset>
            </wp:positionV>
            <wp:extent cx="7530465" cy="10652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cence template 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0465" cy="10652125"/>
                    </a:xfrm>
                    <a:prstGeom prst="rect">
                      <a:avLst/>
                    </a:prstGeom>
                  </pic:spPr>
                </pic:pic>
              </a:graphicData>
            </a:graphic>
            <wp14:sizeRelH relativeFrom="page">
              <wp14:pctWidth>0</wp14:pctWidth>
            </wp14:sizeRelH>
            <wp14:sizeRelV relativeFrom="page">
              <wp14:pctHeight>0</wp14:pctHeight>
            </wp14:sizeRelV>
          </wp:anchor>
        </w:drawing>
      </w:r>
      <w:r w:rsidR="00546041">
        <w:rPr>
          <w:rFonts w:eastAsia="Times New Roman"/>
          <w:noProof/>
          <w:lang w:eastAsia="en-AU"/>
        </w:rPr>
        <mc:AlternateContent>
          <mc:Choice Requires="wps">
            <w:drawing>
              <wp:anchor distT="0" distB="0" distL="114300" distR="114300" simplePos="0" relativeHeight="251658240" behindDoc="0" locked="0" layoutInCell="1" allowOverlap="1" wp14:anchorId="72682CBD" wp14:editId="63C3BB09">
                <wp:simplePos x="0" y="0"/>
                <wp:positionH relativeFrom="column">
                  <wp:posOffset>137795</wp:posOffset>
                </wp:positionH>
                <wp:positionV relativeFrom="paragraph">
                  <wp:posOffset>2712085</wp:posOffset>
                </wp:positionV>
                <wp:extent cx="5362575" cy="4438650"/>
                <wp:effectExtent l="0" t="0" r="0" b="0"/>
                <wp:wrapNone/>
                <wp:docPr id="2" name="Text Box 2"/>
                <wp:cNvGraphicFramePr/>
                <a:graphic xmlns:a="http://schemas.openxmlformats.org/drawingml/2006/main">
                  <a:graphicData uri="http://schemas.microsoft.com/office/word/2010/wordprocessingShape">
                    <wps:wsp>
                      <wps:cNvSpPr txBox="1"/>
                      <wps:spPr>
                        <a:xfrm>
                          <a:off x="0" y="0"/>
                          <a:ext cx="5362575" cy="4438650"/>
                        </a:xfrm>
                        <a:prstGeom prst="rect">
                          <a:avLst/>
                        </a:prstGeom>
                        <a:noFill/>
                        <a:ln w="6350">
                          <a:noFill/>
                        </a:ln>
                      </wps:spPr>
                      <wps:txbx>
                        <w:txbxContent>
                          <w:p w14:paraId="109B19E9" w14:textId="05F2193F" w:rsidR="006C7387" w:rsidRPr="00ED1A65" w:rsidRDefault="006C7387" w:rsidP="00ED1A65">
                            <w:pPr>
                              <w:pStyle w:val="Title"/>
                              <w:numPr>
                                <w:ilvl w:val="0"/>
                                <w:numId w:val="0"/>
                              </w:numPr>
                              <w:jc w:val="center"/>
                              <w:rPr>
                                <w:color w:val="FFFFFF" w:themeColor="background1"/>
                                <w:sz w:val="36"/>
                                <w:szCs w:val="36"/>
                              </w:rPr>
                            </w:pPr>
                            <w:r w:rsidRPr="00ED1A65">
                              <w:rPr>
                                <w:color w:val="FFFFFF" w:themeColor="background1"/>
                                <w:sz w:val="36"/>
                                <w:szCs w:val="36"/>
                              </w:rPr>
                              <w:t>Regulatory services</w:t>
                            </w:r>
                          </w:p>
                          <w:p w14:paraId="11296AE9" w14:textId="635B0155" w:rsidR="006C7387" w:rsidRPr="00ED1A65" w:rsidRDefault="006C7387" w:rsidP="00ED1A65">
                            <w:pPr>
                              <w:pStyle w:val="Title"/>
                              <w:numPr>
                                <w:ilvl w:val="0"/>
                                <w:numId w:val="0"/>
                              </w:numPr>
                              <w:spacing w:before="1680"/>
                              <w:jc w:val="center"/>
                              <w:rPr>
                                <w:color w:val="FFFFFF" w:themeColor="background1"/>
                              </w:rPr>
                            </w:pPr>
                            <w:r>
                              <w:rPr>
                                <w:color w:val="FFFFFF" w:themeColor="background1"/>
                              </w:rPr>
                              <w:t>REVIEW</w:t>
                            </w:r>
                            <w:r w:rsidRPr="00ED1A65">
                              <w:rPr>
                                <w:color w:val="FFFFFF" w:themeColor="background1"/>
                              </w:rPr>
                              <w:t xml:space="preserve"> &amp; assessment</w:t>
                            </w:r>
                            <w:r>
                              <w:rPr>
                                <w:color w:val="FFFFFF" w:themeColor="background1"/>
                              </w:rPr>
                              <w:t xml:space="preserve"> MANUAL</w:t>
                            </w:r>
                          </w:p>
                          <w:p w14:paraId="148892ED" w14:textId="2118A990" w:rsidR="006C7387" w:rsidRDefault="006C7387" w:rsidP="009B63C0">
                            <w:pPr>
                              <w:spacing w:before="600"/>
                              <w:jc w:val="center"/>
                              <w:rPr>
                                <w:i/>
                                <w:color w:val="FFFFFF" w:themeColor="background1"/>
                                <w:sz w:val="28"/>
                                <w:szCs w:val="28"/>
                              </w:rPr>
                            </w:pPr>
                            <w:r>
                              <w:rPr>
                                <w:i/>
                                <w:color w:val="FFFFFF" w:themeColor="background1"/>
                                <w:sz w:val="28"/>
                                <w:szCs w:val="28"/>
                              </w:rPr>
                              <w:t>G</w:t>
                            </w:r>
                            <w:r w:rsidRPr="00ED1A65">
                              <w:rPr>
                                <w:i/>
                                <w:color w:val="FFFFFF" w:themeColor="background1"/>
                                <w:sz w:val="28"/>
                                <w:szCs w:val="28"/>
                              </w:rPr>
                              <w:t>uid</w:t>
                            </w:r>
                            <w:r>
                              <w:rPr>
                                <w:i/>
                                <w:color w:val="FFFFFF" w:themeColor="background1"/>
                                <w:sz w:val="28"/>
                                <w:szCs w:val="28"/>
                              </w:rPr>
                              <w:t xml:space="preserve">e for regulatory officers on the review and assessment of licence applications, </w:t>
                            </w:r>
                            <w:r w:rsidR="00877C38">
                              <w:rPr>
                                <w:i/>
                                <w:color w:val="FFFFFF" w:themeColor="background1"/>
                                <w:sz w:val="28"/>
                                <w:szCs w:val="28"/>
                              </w:rPr>
                              <w:t xml:space="preserve">requests for </w:t>
                            </w:r>
                            <w:r>
                              <w:rPr>
                                <w:i/>
                                <w:color w:val="FFFFFF" w:themeColor="background1"/>
                                <w:sz w:val="28"/>
                                <w:szCs w:val="28"/>
                              </w:rPr>
                              <w:t>exemption, significant changes, and other activities that require prior approval by the CEO of ARPANSA</w:t>
                            </w:r>
                          </w:p>
                          <w:p w14:paraId="58E78E07" w14:textId="77777777" w:rsidR="006C7387" w:rsidRDefault="006C7387" w:rsidP="00546041">
                            <w:pPr>
                              <w:pStyle w:val="Title"/>
                              <w:numPr>
                                <w:ilvl w:val="0"/>
                                <w:numId w:val="0"/>
                              </w:numPr>
                              <w:jc w:val="center"/>
                              <w:rPr>
                                <w:color w:val="FFFFFF" w:themeColor="background1"/>
                                <w:sz w:val="36"/>
                                <w:szCs w:val="36"/>
                              </w:rPr>
                            </w:pPr>
                          </w:p>
                          <w:p w14:paraId="5D271220" w14:textId="071CA71D" w:rsidR="006C7387" w:rsidRPr="00ED1A65" w:rsidRDefault="006C7387" w:rsidP="00546041">
                            <w:pPr>
                              <w:pStyle w:val="Title"/>
                              <w:numPr>
                                <w:ilvl w:val="0"/>
                                <w:numId w:val="0"/>
                              </w:numPr>
                              <w:spacing w:before="480"/>
                              <w:jc w:val="center"/>
                              <w:rPr>
                                <w:color w:val="FFFFFF" w:themeColor="background1"/>
                                <w:sz w:val="36"/>
                                <w:szCs w:val="36"/>
                              </w:rPr>
                            </w:pPr>
                          </w:p>
                          <w:p w14:paraId="7D068BF2" w14:textId="0C41B940" w:rsidR="006C7387" w:rsidRDefault="006C7387" w:rsidP="00ED1A65">
                            <w:pPr>
                              <w:spacing w:before="600"/>
                              <w:jc w:val="center"/>
                              <w:rPr>
                                <w:i/>
                                <w:color w:val="FFFFFF" w:themeColor="background1"/>
                                <w:sz w:val="28"/>
                                <w:szCs w:val="28"/>
                              </w:rPr>
                            </w:pPr>
                          </w:p>
                          <w:p w14:paraId="33EBD840" w14:textId="29E89674" w:rsidR="006C7387" w:rsidRPr="00546041" w:rsidRDefault="006C7387" w:rsidP="00546041">
                            <w:pPr>
                              <w:spacing w:before="600"/>
                              <w:rPr>
                                <w:b/>
                                <w:i/>
                                <w:color w:val="FFFFFF" w:themeColor="background1"/>
                                <w:sz w:val="28"/>
                                <w:szCs w:val="28"/>
                              </w:rPr>
                            </w:pPr>
                          </w:p>
                          <w:p w14:paraId="36202C32" w14:textId="2360083C" w:rsidR="006C7387" w:rsidRPr="00546041" w:rsidRDefault="006C7387" w:rsidP="00ED1A65">
                            <w:pPr>
                              <w:spacing w:before="600"/>
                              <w:jc w:val="center"/>
                              <w:rPr>
                                <w:b/>
                                <w:sz w:val="40"/>
                                <w:szCs w:val="40"/>
                              </w:rPr>
                            </w:pPr>
                          </w:p>
                          <w:p w14:paraId="215E9680" w14:textId="77777777" w:rsidR="006C7387" w:rsidRDefault="006C7387" w:rsidP="00ED1A65">
                            <w:pPr>
                              <w:spacing w:before="600"/>
                              <w:jc w:val="center"/>
                              <w:rPr>
                                <w:i/>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82CBD" id="_x0000_t202" coordsize="21600,21600" o:spt="202" path="m,l,21600r21600,l21600,xe">
                <v:stroke joinstyle="miter"/>
                <v:path gradientshapeok="t" o:connecttype="rect"/>
              </v:shapetype>
              <v:shape id="Text Box 2" o:spid="_x0000_s1026" type="#_x0000_t202" style="position:absolute;left:0;text-align:left;margin-left:10.85pt;margin-top:213.55pt;width:422.25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whFwIAAC0EAAAOAAAAZHJzL2Uyb0RvYy54bWysU9tuGyEQfa/Uf0C81+t70pXXkZvIVaUo&#10;ieRUecYseFcChgL2rvv1Hdj1pWmfqr7AwAxzOeewuGu1IgfhfA2moKPBkBJhOJS12RX0++v60y0l&#10;PjBTMgVGFPQoPL1bfvywaGwuxlCBKoUjmMT4vLEFrUKweZZ5XgnN/ACsMOiU4DQLeHS7rHSswexa&#10;ZePhcJ414ErrgAvv8fahc9Jlyi+l4OFZSi8CUQXF3kJaXVq3cc2WC5bvHLNVzfs22D90oVltsOg5&#10;1QMLjOxd/UcqXXMHHmQYcNAZSFlzkWbAaUbDd9NsKmZFmgXB8fYMk/9/afnTYWNfHAntF2iRwAhI&#10;Y33u8TLO00qn446dEvQjhMczbKINhOPlbDIfz25mlHD0TaeT2/ksAZtdnlvnw1cBmkSjoA55SXCx&#10;w6MPWBJDTyGxmoF1rVTiRhnSFHQ+wZS/efCFMvjw0my0Qrtt+wm2UB5xMAcd597ydY3FH5kPL8wh&#10;yTgLCjc84yIVYBHoLUoqcD//dh/jEXv0UtKgaArqf+yZE5SobwZZ+TyaTqPK0mE6uxnjwV17ttce&#10;s9f3gLoc4RexPJkxPqiTKR3oN9T3KlZFFzMcaxc0nMz70EkZ/wcXq1UKQl1ZFh7NxvKYOoIWoX1t&#10;35izPf4BqXuCk7xY/o6GLraDe7UPIOvEUQS4Q7XHHTWZqOv/TxT99TlFXX758hcAAAD//wMAUEsD&#10;BBQABgAIAAAAIQD3eaPU4gAAAAsBAAAPAAAAZHJzL2Rvd25yZXYueG1sTI/BTsMwEETvSPyDtZW4&#10;UccWpFGIU1WRKiQEh5ZeuG1iN4ka2yF228DXs5zguJqnmbfFerYDu5gp9N4pEMsEmHGN171rFRze&#10;t/cZsBDRaRy8Mwq+TIB1eXtTYK791e3MZR9bRiUu5Kigi3HMOQ9NZyyGpR+No+zoJ4uRzqnlesIr&#10;lduByyRJucXe0UKHo6k605z2Z6vgpdq+4a6WNvsequfX42b8PHw8KnW3mDdPwKKZ4x8Mv/qkDiU5&#10;1f7sdGCDAilWRCp4kCsBjIAsTSWwmkghUwG8LPj/H8ofAAAA//8DAFBLAQItABQABgAIAAAAIQC2&#10;gziS/gAAAOEBAAATAAAAAAAAAAAAAAAAAAAAAABbQ29udGVudF9UeXBlc10ueG1sUEsBAi0AFAAG&#10;AAgAAAAhADj9If/WAAAAlAEAAAsAAAAAAAAAAAAAAAAALwEAAF9yZWxzLy5yZWxzUEsBAi0AFAAG&#10;AAgAAAAhANXajCEXAgAALQQAAA4AAAAAAAAAAAAAAAAALgIAAGRycy9lMm9Eb2MueG1sUEsBAi0A&#10;FAAGAAgAAAAhAPd5o9TiAAAACwEAAA8AAAAAAAAAAAAAAAAAcQQAAGRycy9kb3ducmV2LnhtbFBL&#10;BQYAAAAABAAEAPMAAACABQAAAAA=&#10;" filled="f" stroked="f" strokeweight=".5pt">
                <v:textbox>
                  <w:txbxContent>
                    <w:p w14:paraId="109B19E9" w14:textId="05F2193F" w:rsidR="006C7387" w:rsidRPr="00ED1A65" w:rsidRDefault="006C7387" w:rsidP="00ED1A65">
                      <w:pPr>
                        <w:pStyle w:val="Title"/>
                        <w:numPr>
                          <w:ilvl w:val="0"/>
                          <w:numId w:val="0"/>
                        </w:numPr>
                        <w:jc w:val="center"/>
                        <w:rPr>
                          <w:color w:val="FFFFFF" w:themeColor="background1"/>
                          <w:sz w:val="36"/>
                          <w:szCs w:val="36"/>
                        </w:rPr>
                      </w:pPr>
                      <w:r w:rsidRPr="00ED1A65">
                        <w:rPr>
                          <w:color w:val="FFFFFF" w:themeColor="background1"/>
                          <w:sz w:val="36"/>
                          <w:szCs w:val="36"/>
                        </w:rPr>
                        <w:t>Regulatory services</w:t>
                      </w:r>
                    </w:p>
                    <w:p w14:paraId="11296AE9" w14:textId="635B0155" w:rsidR="006C7387" w:rsidRPr="00ED1A65" w:rsidRDefault="006C7387" w:rsidP="00ED1A65">
                      <w:pPr>
                        <w:pStyle w:val="Title"/>
                        <w:numPr>
                          <w:ilvl w:val="0"/>
                          <w:numId w:val="0"/>
                        </w:numPr>
                        <w:spacing w:before="1680"/>
                        <w:jc w:val="center"/>
                        <w:rPr>
                          <w:color w:val="FFFFFF" w:themeColor="background1"/>
                        </w:rPr>
                      </w:pPr>
                      <w:r>
                        <w:rPr>
                          <w:color w:val="FFFFFF" w:themeColor="background1"/>
                        </w:rPr>
                        <w:t>REVIEW</w:t>
                      </w:r>
                      <w:r w:rsidRPr="00ED1A65">
                        <w:rPr>
                          <w:color w:val="FFFFFF" w:themeColor="background1"/>
                        </w:rPr>
                        <w:t xml:space="preserve"> &amp; assessment</w:t>
                      </w:r>
                      <w:r>
                        <w:rPr>
                          <w:color w:val="FFFFFF" w:themeColor="background1"/>
                        </w:rPr>
                        <w:t xml:space="preserve"> MANUAL</w:t>
                      </w:r>
                    </w:p>
                    <w:p w14:paraId="148892ED" w14:textId="2118A990" w:rsidR="006C7387" w:rsidRDefault="006C7387" w:rsidP="009B63C0">
                      <w:pPr>
                        <w:spacing w:before="600"/>
                        <w:jc w:val="center"/>
                        <w:rPr>
                          <w:i/>
                          <w:color w:val="FFFFFF" w:themeColor="background1"/>
                          <w:sz w:val="28"/>
                          <w:szCs w:val="28"/>
                        </w:rPr>
                      </w:pPr>
                      <w:r>
                        <w:rPr>
                          <w:i/>
                          <w:color w:val="FFFFFF" w:themeColor="background1"/>
                          <w:sz w:val="28"/>
                          <w:szCs w:val="28"/>
                        </w:rPr>
                        <w:t>G</w:t>
                      </w:r>
                      <w:r w:rsidRPr="00ED1A65">
                        <w:rPr>
                          <w:i/>
                          <w:color w:val="FFFFFF" w:themeColor="background1"/>
                          <w:sz w:val="28"/>
                          <w:szCs w:val="28"/>
                        </w:rPr>
                        <w:t>uid</w:t>
                      </w:r>
                      <w:r>
                        <w:rPr>
                          <w:i/>
                          <w:color w:val="FFFFFF" w:themeColor="background1"/>
                          <w:sz w:val="28"/>
                          <w:szCs w:val="28"/>
                        </w:rPr>
                        <w:t xml:space="preserve">e for regulatory officers on the review and assessment of licence applications, </w:t>
                      </w:r>
                      <w:r w:rsidR="00877C38">
                        <w:rPr>
                          <w:i/>
                          <w:color w:val="FFFFFF" w:themeColor="background1"/>
                          <w:sz w:val="28"/>
                          <w:szCs w:val="28"/>
                        </w:rPr>
                        <w:t xml:space="preserve">requests for </w:t>
                      </w:r>
                      <w:r>
                        <w:rPr>
                          <w:i/>
                          <w:color w:val="FFFFFF" w:themeColor="background1"/>
                          <w:sz w:val="28"/>
                          <w:szCs w:val="28"/>
                        </w:rPr>
                        <w:t>exemption, significant changes, and other activities that require prior approval by the CEO of ARPANSA</w:t>
                      </w:r>
                    </w:p>
                    <w:p w14:paraId="58E78E07" w14:textId="77777777" w:rsidR="006C7387" w:rsidRDefault="006C7387" w:rsidP="00546041">
                      <w:pPr>
                        <w:pStyle w:val="Title"/>
                        <w:numPr>
                          <w:ilvl w:val="0"/>
                          <w:numId w:val="0"/>
                        </w:numPr>
                        <w:jc w:val="center"/>
                        <w:rPr>
                          <w:color w:val="FFFFFF" w:themeColor="background1"/>
                          <w:sz w:val="36"/>
                          <w:szCs w:val="36"/>
                        </w:rPr>
                      </w:pPr>
                    </w:p>
                    <w:p w14:paraId="5D271220" w14:textId="071CA71D" w:rsidR="006C7387" w:rsidRPr="00ED1A65" w:rsidRDefault="006C7387" w:rsidP="00546041">
                      <w:pPr>
                        <w:pStyle w:val="Title"/>
                        <w:numPr>
                          <w:ilvl w:val="0"/>
                          <w:numId w:val="0"/>
                        </w:numPr>
                        <w:spacing w:before="480"/>
                        <w:jc w:val="center"/>
                        <w:rPr>
                          <w:color w:val="FFFFFF" w:themeColor="background1"/>
                          <w:sz w:val="36"/>
                          <w:szCs w:val="36"/>
                        </w:rPr>
                      </w:pPr>
                    </w:p>
                    <w:p w14:paraId="7D068BF2" w14:textId="0C41B940" w:rsidR="006C7387" w:rsidRDefault="006C7387" w:rsidP="00ED1A65">
                      <w:pPr>
                        <w:spacing w:before="600"/>
                        <w:jc w:val="center"/>
                        <w:rPr>
                          <w:i/>
                          <w:color w:val="FFFFFF" w:themeColor="background1"/>
                          <w:sz w:val="28"/>
                          <w:szCs w:val="28"/>
                        </w:rPr>
                      </w:pPr>
                    </w:p>
                    <w:p w14:paraId="33EBD840" w14:textId="29E89674" w:rsidR="006C7387" w:rsidRPr="00546041" w:rsidRDefault="006C7387" w:rsidP="00546041">
                      <w:pPr>
                        <w:spacing w:before="600"/>
                        <w:rPr>
                          <w:b/>
                          <w:i/>
                          <w:color w:val="FFFFFF" w:themeColor="background1"/>
                          <w:sz w:val="28"/>
                          <w:szCs w:val="28"/>
                        </w:rPr>
                      </w:pPr>
                    </w:p>
                    <w:p w14:paraId="36202C32" w14:textId="2360083C" w:rsidR="006C7387" w:rsidRPr="00546041" w:rsidRDefault="006C7387" w:rsidP="00ED1A65">
                      <w:pPr>
                        <w:spacing w:before="600"/>
                        <w:jc w:val="center"/>
                        <w:rPr>
                          <w:b/>
                          <w:sz w:val="40"/>
                          <w:szCs w:val="40"/>
                        </w:rPr>
                      </w:pPr>
                    </w:p>
                    <w:p w14:paraId="215E9680" w14:textId="77777777" w:rsidR="006C7387" w:rsidRDefault="006C7387" w:rsidP="00ED1A65">
                      <w:pPr>
                        <w:spacing w:before="600"/>
                        <w:jc w:val="center"/>
                        <w:rPr>
                          <w:i/>
                          <w:color w:val="FFFFFF" w:themeColor="background1"/>
                          <w:sz w:val="28"/>
                          <w:szCs w:val="28"/>
                        </w:rPr>
                      </w:pPr>
                    </w:p>
                  </w:txbxContent>
                </v:textbox>
              </v:shape>
            </w:pict>
          </mc:Fallback>
        </mc:AlternateContent>
      </w:r>
      <w:r w:rsidR="00E33295">
        <w:rPr>
          <w:noProof/>
          <w:lang w:eastAsia="en-AU"/>
        </w:rPr>
        <mc:AlternateContent>
          <mc:Choice Requires="wps">
            <w:drawing>
              <wp:anchor distT="0" distB="0" distL="114300" distR="114300" simplePos="0" relativeHeight="251659264" behindDoc="0" locked="0" layoutInCell="1" allowOverlap="1" wp14:anchorId="2D6D35C9" wp14:editId="7A9A9ECD">
                <wp:simplePos x="0" y="0"/>
                <wp:positionH relativeFrom="column">
                  <wp:posOffset>3738245</wp:posOffset>
                </wp:positionH>
                <wp:positionV relativeFrom="paragraph">
                  <wp:posOffset>8728075</wp:posOffset>
                </wp:positionV>
                <wp:extent cx="2343150" cy="1828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2343150" cy="1828800"/>
                        </a:xfrm>
                        <a:prstGeom prst="rect">
                          <a:avLst/>
                        </a:prstGeom>
                        <a:noFill/>
                        <a:ln w="6350">
                          <a:noFill/>
                        </a:ln>
                      </wps:spPr>
                      <wps:txbx>
                        <w:txbxContent>
                          <w:p w14:paraId="5091BE64" w14:textId="58ABCC20" w:rsidR="006C7387" w:rsidRPr="00537DDF" w:rsidRDefault="006C7387" w:rsidP="00ED1A65">
                            <w:pPr>
                              <w:pStyle w:val="NoSpacing"/>
                              <w:jc w:val="right"/>
                              <w:rPr>
                                <w:b/>
                                <w:color w:val="7030A0"/>
                                <w:sz w:val="26"/>
                                <w:szCs w:val="26"/>
                              </w:rPr>
                            </w:pPr>
                            <w:r w:rsidRPr="00537DDF">
                              <w:rPr>
                                <w:b/>
                                <w:color w:val="7030A0"/>
                                <w:sz w:val="26"/>
                                <w:szCs w:val="26"/>
                              </w:rPr>
                              <w:t>ARPANSA-GDE-1118 v</w:t>
                            </w:r>
                            <w:r w:rsidR="00A14689">
                              <w:rPr>
                                <w:b/>
                                <w:color w:val="7030A0"/>
                                <w:sz w:val="26"/>
                                <w:szCs w:val="26"/>
                              </w:rPr>
                              <w:t>5</w:t>
                            </w:r>
                          </w:p>
                          <w:p w14:paraId="0241CFBC" w14:textId="6C54CFA6" w:rsidR="006C7387" w:rsidRPr="00537DDF" w:rsidRDefault="00F64A51" w:rsidP="00ED1A65">
                            <w:pPr>
                              <w:pStyle w:val="NoSpacing"/>
                              <w:spacing w:before="120"/>
                              <w:jc w:val="right"/>
                              <w:rPr>
                                <w:color w:val="7030A0"/>
                                <w:sz w:val="26"/>
                                <w:szCs w:val="26"/>
                              </w:rPr>
                            </w:pPr>
                            <w:r>
                              <w:rPr>
                                <w:color w:val="7030A0"/>
                                <w:sz w:val="26"/>
                                <w:szCs w:val="26"/>
                              </w:rPr>
                              <w:t>January</w:t>
                            </w:r>
                            <w:r w:rsidR="00A14689">
                              <w:rPr>
                                <w:color w:val="7030A0"/>
                                <w:sz w:val="26"/>
                                <w:szCs w:val="26"/>
                              </w:rPr>
                              <w:t xml:space="preserve"> </w:t>
                            </w:r>
                            <w:r w:rsidR="006C7387" w:rsidRPr="00537DDF">
                              <w:rPr>
                                <w:color w:val="7030A0"/>
                                <w:sz w:val="26"/>
                                <w:szCs w:val="26"/>
                              </w:rPr>
                              <w:t>202</w:t>
                            </w:r>
                            <w:r w:rsidR="00760ED4">
                              <w:rPr>
                                <w:color w:val="7030A0"/>
                                <w:sz w:val="26"/>
                                <w:szCs w:val="2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D6D35C9" id="Text Box 5" o:spid="_x0000_s1027" type="#_x0000_t202" style="position:absolute;left:0;text-align:left;margin-left:294.35pt;margin-top:687.25pt;width:184.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JmGgIAADQEAAAOAAAAZHJzL2Uyb0RvYy54bWysU01vGyEQvVfqf0Dc6/XaTuqsvI7cRK4q&#10;WUkkp8oZs+BdCRgK2Lvur+/A+qtpT1UvMDDDfLz3mN13WpG9cL4BU9J8MKREGA5VY7Yl/f66/DSl&#10;xAdmKqbAiJIehKf3848fZq0txAhqUJVwBJMYX7S2pHUItsgyz2uhmR+AFQadEpxmAY9um1WOtZhd&#10;q2w0HN5mLbjKOuDCe7x97J10nvJLKXh4ltKLQFRJsbeQVpfWTVyz+YwVW8ds3fBjG+wfutCsMVj0&#10;nOqRBUZ2rvkjlW64Aw8yDDjoDKRsuEgz4DT58N0065pZkWZBcLw9w+T/X1r+tF/bF0dC9wU6JDAC&#10;0lpfeLyM83TS6bhjpwT9COHhDJvoAuF4ORpPxvkNujj68uloOh0mYLPLc+t8+CpAk2iU1CEvCS62&#10;X/mAJTH0FBKrGVg2SiVulCFtSW/HmP83D75QBh9emo1W6DYdaaqrQTZQHXA+Bz313vJlgz2smA8v&#10;zCHX2DfqNzzjIhVgLThalNTgfv7tPsYjBeilpEXtlNT/2DEnKFHfDJJzl08mUWzpMLn5PMKDu/Zs&#10;rj1mpx8A5ZnjT7E8mTE+qJMpHeg3lPkiVkUXMxxrlzSczIfQKxq/CReLRQpCeVkWVmZteUwdsYsI&#10;v3ZvzNkjDQEZfIKTyljxjo0+Nr70drELyEmiKuLco3qEH6WZGDx+o6j963OKunz2+S8AAAD//wMA&#10;UEsDBBQABgAIAAAAIQDxFTHa3wAAAA0BAAAPAAAAZHJzL2Rvd25yZXYueG1sTI/NTsMwEITvSLyD&#10;tUhcEHUayE9DnApVyrlqygO48TYJ+CeKnSa8PcsJjjvzaXam3K9GsxtOfnBWwHYTAUPbOjXYTsDH&#10;uX7OgfkgrZLaWRTwjR721f1dKQvlFnvCWxM6RiHWF1JAH8JYcO7bHo30GzeiJe/qJiMDnVPH1SQX&#10;Cjeax1GUciMHSx96OeKhx/armY0AFy9P+tRs68Nx+ayj44znxqMQjw/r+xuwgGv4g+G3PlWHijpd&#10;3GyVZ1pAkucZoWS8ZK8JMEJ2SUbShaQ0jRPgVcn/r6h+AAAA//8DAFBLAQItABQABgAIAAAAIQC2&#10;gziS/gAAAOEBAAATAAAAAAAAAAAAAAAAAAAAAABbQ29udGVudF9UeXBlc10ueG1sUEsBAi0AFAAG&#10;AAgAAAAhADj9If/WAAAAlAEAAAsAAAAAAAAAAAAAAAAALwEAAF9yZWxzLy5yZWxzUEsBAi0AFAAG&#10;AAgAAAAhAIqaYmYaAgAANAQAAA4AAAAAAAAAAAAAAAAALgIAAGRycy9lMm9Eb2MueG1sUEsBAi0A&#10;FAAGAAgAAAAhAPEVMdrfAAAADQEAAA8AAAAAAAAAAAAAAAAAdAQAAGRycy9kb3ducmV2LnhtbFBL&#10;BQYAAAAABAAEAPMAAACABQAAAAA=&#10;" filled="f" stroked="f" strokeweight=".5pt">
                <v:textbox style="mso-fit-shape-to-text:t">
                  <w:txbxContent>
                    <w:p w14:paraId="5091BE64" w14:textId="58ABCC20" w:rsidR="006C7387" w:rsidRPr="00537DDF" w:rsidRDefault="006C7387" w:rsidP="00ED1A65">
                      <w:pPr>
                        <w:pStyle w:val="NoSpacing"/>
                        <w:jc w:val="right"/>
                        <w:rPr>
                          <w:b/>
                          <w:color w:val="7030A0"/>
                          <w:sz w:val="26"/>
                          <w:szCs w:val="26"/>
                        </w:rPr>
                      </w:pPr>
                      <w:r w:rsidRPr="00537DDF">
                        <w:rPr>
                          <w:b/>
                          <w:color w:val="7030A0"/>
                          <w:sz w:val="26"/>
                          <w:szCs w:val="26"/>
                        </w:rPr>
                        <w:t>ARPANSA-GDE-1118 v</w:t>
                      </w:r>
                      <w:r w:rsidR="00A14689">
                        <w:rPr>
                          <w:b/>
                          <w:color w:val="7030A0"/>
                          <w:sz w:val="26"/>
                          <w:szCs w:val="26"/>
                        </w:rPr>
                        <w:t>5</w:t>
                      </w:r>
                    </w:p>
                    <w:p w14:paraId="0241CFBC" w14:textId="6C54CFA6" w:rsidR="006C7387" w:rsidRPr="00537DDF" w:rsidRDefault="00F64A51" w:rsidP="00ED1A65">
                      <w:pPr>
                        <w:pStyle w:val="NoSpacing"/>
                        <w:spacing w:before="120"/>
                        <w:jc w:val="right"/>
                        <w:rPr>
                          <w:color w:val="7030A0"/>
                          <w:sz w:val="26"/>
                          <w:szCs w:val="26"/>
                        </w:rPr>
                      </w:pPr>
                      <w:r>
                        <w:rPr>
                          <w:color w:val="7030A0"/>
                          <w:sz w:val="26"/>
                          <w:szCs w:val="26"/>
                        </w:rPr>
                        <w:t>January</w:t>
                      </w:r>
                      <w:r w:rsidR="00A14689">
                        <w:rPr>
                          <w:color w:val="7030A0"/>
                          <w:sz w:val="26"/>
                          <w:szCs w:val="26"/>
                        </w:rPr>
                        <w:t xml:space="preserve"> </w:t>
                      </w:r>
                      <w:r w:rsidR="006C7387" w:rsidRPr="00537DDF">
                        <w:rPr>
                          <w:color w:val="7030A0"/>
                          <w:sz w:val="26"/>
                          <w:szCs w:val="26"/>
                        </w:rPr>
                        <w:t>202</w:t>
                      </w:r>
                      <w:r w:rsidR="00760ED4">
                        <w:rPr>
                          <w:color w:val="7030A0"/>
                          <w:sz w:val="26"/>
                          <w:szCs w:val="26"/>
                        </w:rPr>
                        <w:t>3</w:t>
                      </w:r>
                    </w:p>
                  </w:txbxContent>
                </v:textbox>
                <w10:wrap type="square"/>
              </v:shape>
            </w:pict>
          </mc:Fallback>
        </mc:AlternateContent>
      </w:r>
      <w:r w:rsidR="00C619F8">
        <w:rPr>
          <w:rFonts w:eastAsia="Times New Roman"/>
        </w:rPr>
        <w:br w:type="page"/>
      </w:r>
    </w:p>
    <w:bookmarkEnd w:id="0"/>
    <w:p w14:paraId="0BFD5A09" w14:textId="5E0A8A70" w:rsidR="009D7BE5" w:rsidRPr="0098030D" w:rsidRDefault="00CD2E51" w:rsidP="00E7725C">
      <w:pPr>
        <w:pStyle w:val="Heading1"/>
        <w:numPr>
          <w:ilvl w:val="0"/>
          <w:numId w:val="0"/>
        </w:numPr>
        <w:spacing w:before="0"/>
      </w:pPr>
      <w:r w:rsidRPr="0098030D">
        <w:lastRenderedPageBreak/>
        <w:t>Introduction</w:t>
      </w:r>
    </w:p>
    <w:p w14:paraId="6F8A9003" w14:textId="550A46DF" w:rsidR="00E33295" w:rsidRDefault="00E33295" w:rsidP="00ED1A65">
      <w:pPr>
        <w:spacing w:before="240"/>
      </w:pPr>
      <w:r>
        <w:t>ARPANSA’s</w:t>
      </w:r>
      <w:hyperlink r:id="rId9" w:history="1">
        <w:r>
          <w:t xml:space="preserve"> </w:t>
        </w:r>
        <w:r w:rsidR="00954A24" w:rsidRPr="008757CB">
          <w:rPr>
            <w:rStyle w:val="Hyperlink"/>
            <w:i/>
          </w:rPr>
          <w:t>Regulatory Activities</w:t>
        </w:r>
        <w:r>
          <w:rPr>
            <w:rStyle w:val="Hyperlink"/>
            <w:i/>
          </w:rPr>
          <w:t xml:space="preserve"> Policy</w:t>
        </w:r>
        <w:r w:rsidR="00954A24" w:rsidRPr="008757CB">
          <w:rPr>
            <w:rStyle w:val="Hyperlink"/>
          </w:rPr>
          <w:t xml:space="preserve"> (ARPANSA-POL-0002)</w:t>
        </w:r>
      </w:hyperlink>
      <w:r w:rsidR="00954A24">
        <w:t xml:space="preserve"> provides </w:t>
      </w:r>
      <w:r w:rsidR="00D758A7">
        <w:t>the</w:t>
      </w:r>
      <w:r w:rsidR="00954A24">
        <w:t xml:space="preserve"> over-arching framework for efficient and effective regulatory activities </w:t>
      </w:r>
      <w:r w:rsidR="00897153">
        <w:t>to</w:t>
      </w:r>
      <w:r w:rsidR="00954A24">
        <w:t xml:space="preserve"> achiev</w:t>
      </w:r>
      <w:r w:rsidR="00897153">
        <w:t>e</w:t>
      </w:r>
      <w:r w:rsidR="00954A24">
        <w:t xml:space="preserve"> the object of the </w:t>
      </w:r>
      <w:r w:rsidR="00954A24" w:rsidRPr="00DE2556">
        <w:rPr>
          <w:i/>
        </w:rPr>
        <w:t>Australian Radiation Protection and Nuclear Safety Act 1998</w:t>
      </w:r>
      <w:r w:rsidR="00954A24">
        <w:t xml:space="preserve"> (the Act) </w:t>
      </w:r>
      <w:r w:rsidR="00954A24" w:rsidRPr="0009757D">
        <w:rPr>
          <w:i/>
        </w:rPr>
        <w:t>to protect the health and safety of p</w:t>
      </w:r>
      <w:r w:rsidR="00954A24">
        <w:rPr>
          <w:i/>
        </w:rPr>
        <w:t>e</w:t>
      </w:r>
      <w:r w:rsidR="00954A24" w:rsidRPr="0009757D">
        <w:rPr>
          <w:i/>
        </w:rPr>
        <w:t>ople</w:t>
      </w:r>
      <w:r w:rsidR="00FC5AAF">
        <w:rPr>
          <w:i/>
        </w:rPr>
        <w:t xml:space="preserve"> </w:t>
      </w:r>
      <w:r w:rsidR="00954A24" w:rsidRPr="0009757D">
        <w:rPr>
          <w:i/>
        </w:rPr>
        <w:t>the environment from the harmful effects of radiation</w:t>
      </w:r>
      <w:r w:rsidR="00954A24">
        <w:t>.</w:t>
      </w:r>
      <w:r w:rsidRPr="00E33295">
        <w:t xml:space="preserve"> </w:t>
      </w:r>
      <w:r w:rsidR="005F169B">
        <w:t xml:space="preserve"> This </w:t>
      </w:r>
      <w:r w:rsidR="008833BE">
        <w:t>document</w:t>
      </w:r>
      <w:r w:rsidR="005F169B">
        <w:t xml:space="preserve"> should be read in conjunction with th</w:t>
      </w:r>
      <w:r w:rsidR="002E71FA">
        <w:t>at</w:t>
      </w:r>
      <w:r w:rsidR="005F169B">
        <w:t xml:space="preserve"> policy. </w:t>
      </w:r>
    </w:p>
    <w:p w14:paraId="3E4EF3B4" w14:textId="77777777" w:rsidR="005940A9" w:rsidRDefault="00954A24" w:rsidP="00ED1A65">
      <w:pPr>
        <w:spacing w:before="240"/>
      </w:pPr>
      <w:r w:rsidRPr="00673BFD">
        <w:t xml:space="preserve">This </w:t>
      </w:r>
      <w:r w:rsidR="00897153">
        <w:t>m</w:t>
      </w:r>
      <w:r>
        <w:t>anual</w:t>
      </w:r>
      <w:r w:rsidRPr="00673BFD">
        <w:t xml:space="preserve"> provide</w:t>
      </w:r>
      <w:r>
        <w:t>s</w:t>
      </w:r>
      <w:r w:rsidRPr="00673BFD">
        <w:t xml:space="preserve"> guidance to </w:t>
      </w:r>
      <w:r>
        <w:t>regulatory officers</w:t>
      </w:r>
      <w:r w:rsidRPr="00673BFD">
        <w:t xml:space="preserve"> </w:t>
      </w:r>
      <w:r w:rsidR="005F169B">
        <w:t xml:space="preserve">on how to </w:t>
      </w:r>
      <w:r w:rsidR="005940A9">
        <w:t xml:space="preserve">undertake </w:t>
      </w:r>
      <w:r w:rsidR="005F169B">
        <w:t xml:space="preserve">the </w:t>
      </w:r>
      <w:r w:rsidR="00897153">
        <w:t xml:space="preserve">review and assessment of licence applications, requests for exemption, </w:t>
      </w:r>
      <w:r w:rsidR="00537DDF">
        <w:t xml:space="preserve">changes with significant implications for safety, </w:t>
      </w:r>
      <w:r w:rsidR="00897153">
        <w:t xml:space="preserve">and </w:t>
      </w:r>
      <w:r w:rsidR="005940A9">
        <w:t xml:space="preserve">other </w:t>
      </w:r>
      <w:r w:rsidR="00897153">
        <w:t xml:space="preserve">submissions </w:t>
      </w:r>
      <w:r w:rsidR="005F169B">
        <w:t xml:space="preserve">seeking </w:t>
      </w:r>
      <w:r w:rsidR="005940A9">
        <w:t xml:space="preserve">to </w:t>
      </w:r>
      <w:r w:rsidR="00897153">
        <w:t>undertake activities</w:t>
      </w:r>
      <w:r w:rsidR="005940A9">
        <w:t xml:space="preserve"> that require prior approval by the CEO of ARPANSA</w:t>
      </w:r>
      <w:r w:rsidR="00897153">
        <w:t xml:space="preserve">.  </w:t>
      </w:r>
    </w:p>
    <w:p w14:paraId="3134DD3C" w14:textId="77777777" w:rsidR="009A0801" w:rsidRDefault="00E33295" w:rsidP="004C77EA">
      <w:pPr>
        <w:spacing w:before="240"/>
      </w:pPr>
      <w:r w:rsidRPr="00E55288">
        <w:t xml:space="preserve">ARPANSA’s </w:t>
      </w:r>
      <w:r w:rsidRPr="00E120EA">
        <w:rPr>
          <w:rStyle w:val="Normalbold"/>
          <w:color w:val="auto"/>
        </w:rPr>
        <w:t xml:space="preserve">program for regulatory oversight of the safety and security of </w:t>
      </w:r>
      <w:r w:rsidR="00537DDF" w:rsidRPr="00E120EA">
        <w:rPr>
          <w:rStyle w:val="Normalbold"/>
          <w:color w:val="auto"/>
        </w:rPr>
        <w:t>facilities and sources</w:t>
      </w:r>
      <w:r w:rsidRPr="00E120EA">
        <w:rPr>
          <w:rStyle w:val="Normalbold"/>
          <w:color w:val="auto"/>
        </w:rPr>
        <w:t xml:space="preserve"> is described in the </w:t>
      </w:r>
      <w:hyperlink r:id="rId10" w:history="1">
        <w:r w:rsidRPr="00E120EA">
          <w:rPr>
            <w:rStyle w:val="Hyperlink"/>
            <w:color w:val="0000FF"/>
          </w:rPr>
          <w:t>Inspection Manual</w:t>
        </w:r>
      </w:hyperlink>
      <w:r w:rsidRPr="00E120EA">
        <w:rPr>
          <w:rStyle w:val="Normalbold"/>
          <w:color w:val="auto"/>
        </w:rPr>
        <w:t xml:space="preserve"> while the</w:t>
      </w:r>
      <w:r w:rsidR="00897153" w:rsidRPr="00E120EA">
        <w:rPr>
          <w:rStyle w:val="Normalbold"/>
          <w:color w:val="auto"/>
        </w:rPr>
        <w:t xml:space="preserve"> </w:t>
      </w:r>
      <w:hyperlink r:id="rId11" w:history="1">
        <w:r w:rsidR="00897153" w:rsidRPr="00EF2CBE">
          <w:rPr>
            <w:rStyle w:val="Hyperlink"/>
            <w:color w:val="0000FF"/>
          </w:rPr>
          <w:t>Compliance Manual</w:t>
        </w:r>
      </w:hyperlink>
      <w:r w:rsidR="00897153" w:rsidRPr="00E120EA">
        <w:rPr>
          <w:rStyle w:val="Normalbold"/>
          <w:color w:val="auto"/>
        </w:rPr>
        <w:t xml:space="preserve"> </w:t>
      </w:r>
      <w:r w:rsidRPr="00E120EA">
        <w:rPr>
          <w:rStyle w:val="Normalbold"/>
          <w:color w:val="auto"/>
        </w:rPr>
        <w:t xml:space="preserve">describes </w:t>
      </w:r>
      <w:r w:rsidR="00897153" w:rsidRPr="00E120EA">
        <w:rPr>
          <w:rStyle w:val="Normalbold"/>
          <w:color w:val="auto"/>
        </w:rPr>
        <w:t>how ARPANSA promotes compliance and manages non-compliance</w:t>
      </w:r>
      <w:r w:rsidRPr="00E120EA">
        <w:rPr>
          <w:rStyle w:val="Normalbold"/>
          <w:color w:val="auto"/>
        </w:rPr>
        <w:t>.</w:t>
      </w:r>
      <w:r w:rsidR="00897153" w:rsidRPr="00E120EA">
        <w:rPr>
          <w:rStyle w:val="Normalbold"/>
          <w:color w:val="auto"/>
        </w:rPr>
        <w:t xml:space="preserve"> </w:t>
      </w:r>
      <w:r w:rsidR="004C77EA">
        <w:t xml:space="preserve">By making these manuals available on ARPANSA’s website we are being open and transparent about how ARPANSA conducts its regulatory business. </w:t>
      </w:r>
    </w:p>
    <w:p w14:paraId="323D4CBA" w14:textId="3F260905" w:rsidR="004C77EA" w:rsidRDefault="004C77EA" w:rsidP="004C77EA">
      <w:pPr>
        <w:spacing w:before="240"/>
      </w:pPr>
      <w:r>
        <w:t>Process descriptions, flow-charts, templates, and other detailed elements of the management system are not included in the online version.</w:t>
      </w:r>
    </w:p>
    <w:p w14:paraId="66AABA8C" w14:textId="51B74A8F" w:rsidR="00E33295" w:rsidRPr="00A2501E" w:rsidRDefault="00E9045D" w:rsidP="00ED1A65">
      <w:pPr>
        <w:spacing w:before="240"/>
        <w:rPr>
          <w:b/>
        </w:rPr>
      </w:pPr>
      <w:r>
        <w:t>A risk-</w:t>
      </w:r>
      <w:r w:rsidR="00593F26">
        <w:t>informed graded</w:t>
      </w:r>
      <w:r>
        <w:t xml:space="preserve"> approach is applied to regulatory assessment and decision-making.   </w:t>
      </w:r>
    </w:p>
    <w:p w14:paraId="6094B20E" w14:textId="50D9E1C6" w:rsidR="005F169B" w:rsidRPr="001B4DA1" w:rsidRDefault="005F169B" w:rsidP="001B4DA1">
      <w:pPr>
        <w:spacing w:after="200"/>
        <w:jc w:val="center"/>
        <w:rPr>
          <w:i/>
          <w:iCs/>
        </w:rPr>
      </w:pPr>
      <w:r w:rsidRPr="001B4DA1">
        <w:rPr>
          <w:i/>
          <w:iCs/>
        </w:rPr>
        <w:br w:type="page"/>
      </w:r>
    </w:p>
    <w:p w14:paraId="70D92177" w14:textId="0EDF0794" w:rsidR="00053BAB" w:rsidRDefault="00053BAB" w:rsidP="00C67E43">
      <w:pPr>
        <w:pStyle w:val="Heading2"/>
        <w:numPr>
          <w:ilvl w:val="0"/>
          <w:numId w:val="0"/>
        </w:numPr>
        <w:spacing w:before="480"/>
        <w:rPr>
          <w:rFonts w:asciiTheme="minorHAnsi" w:eastAsiaTheme="minorEastAsia" w:hAnsiTheme="minorHAnsi" w:cstheme="minorBidi"/>
          <w:snapToGrid/>
          <w:color w:val="auto"/>
          <w:sz w:val="20"/>
          <w:szCs w:val="20"/>
        </w:rPr>
      </w:pPr>
      <w:r w:rsidRPr="00053BAB">
        <w:lastRenderedPageBreak/>
        <w:t>In this document:</w:t>
      </w:r>
    </w:p>
    <w:p w14:paraId="216E418E" w14:textId="7C844785" w:rsidR="00BE54A1" w:rsidRPr="00153B10" w:rsidRDefault="009B763C" w:rsidP="00103EAC">
      <w:pPr>
        <w:pStyle w:val="ListParagraph"/>
        <w:numPr>
          <w:ilvl w:val="0"/>
          <w:numId w:val="24"/>
        </w:numPr>
        <w:spacing w:before="120"/>
        <w:rPr>
          <w:rStyle w:val="Hyperlink"/>
          <w:color w:val="4E1A74" w:themeColor="accent2"/>
          <w:u w:val="none"/>
        </w:rPr>
      </w:pPr>
      <w:hyperlink w:anchor="_General_assessment_principles" w:history="1">
        <w:r w:rsidR="00BE54A1" w:rsidRPr="00BE54A1">
          <w:rPr>
            <w:rStyle w:val="Hyperlink"/>
          </w:rPr>
          <w:t xml:space="preserve">General </w:t>
        </w:r>
        <w:r w:rsidR="00631FB9">
          <w:rPr>
            <w:rStyle w:val="Hyperlink"/>
          </w:rPr>
          <w:t>considerations</w:t>
        </w:r>
      </w:hyperlink>
    </w:p>
    <w:p w14:paraId="590BE5AB" w14:textId="26022035" w:rsidR="00153B10" w:rsidRPr="00153B10" w:rsidRDefault="00153B10" w:rsidP="00765759">
      <w:pPr>
        <w:spacing w:before="240"/>
        <w:rPr>
          <w:color w:val="4E1A74" w:themeColor="accent2"/>
        </w:rPr>
      </w:pPr>
      <w:r w:rsidRPr="00153B10">
        <w:rPr>
          <w:color w:val="4E1A74" w:themeColor="accent2"/>
        </w:rPr>
        <w:t>Standard operating procedure</w:t>
      </w:r>
      <w:r>
        <w:rPr>
          <w:color w:val="4E1A74" w:themeColor="accent2"/>
        </w:rPr>
        <w:t>s for</w:t>
      </w:r>
      <w:r w:rsidR="009A0801">
        <w:rPr>
          <w:color w:val="4E1A74" w:themeColor="accent2"/>
        </w:rPr>
        <w:t xml:space="preserve"> processing</w:t>
      </w:r>
      <w:r w:rsidRPr="00153B10">
        <w:rPr>
          <w:color w:val="4E1A74" w:themeColor="accent2"/>
        </w:rPr>
        <w:t>:</w:t>
      </w:r>
    </w:p>
    <w:p w14:paraId="7F2E1ABF" w14:textId="4C715DA8" w:rsidR="00E20F69" w:rsidRPr="00FE639B" w:rsidRDefault="00FE639B" w:rsidP="00631FB9">
      <w:pPr>
        <w:pStyle w:val="ListParagraph"/>
        <w:numPr>
          <w:ilvl w:val="0"/>
          <w:numId w:val="24"/>
        </w:numPr>
        <w:spacing w:before="120"/>
        <w:contextualSpacing w:val="0"/>
        <w:rPr>
          <w:rStyle w:val="Hyperlink"/>
        </w:rPr>
      </w:pPr>
      <w:r>
        <w:fldChar w:fldCharType="begin"/>
      </w:r>
      <w:r>
        <w:instrText xml:space="preserve"> HYPERLINK  \l "_Licence_application_or_1" </w:instrText>
      </w:r>
      <w:r>
        <w:fldChar w:fldCharType="separate"/>
      </w:r>
      <w:r w:rsidR="009905CD">
        <w:rPr>
          <w:rStyle w:val="Hyperlink"/>
        </w:rPr>
        <w:t>Application for a l</w:t>
      </w:r>
      <w:r w:rsidR="00053BAB" w:rsidRPr="00FE639B">
        <w:rPr>
          <w:rStyle w:val="Hyperlink"/>
        </w:rPr>
        <w:t>icence or amendment</w:t>
      </w:r>
    </w:p>
    <w:p w14:paraId="47D987A7" w14:textId="67E94CA9" w:rsidR="00E20F69" w:rsidRPr="00DC19D0" w:rsidRDefault="00FE639B" w:rsidP="00631FB9">
      <w:pPr>
        <w:pStyle w:val="ListParagraph"/>
        <w:numPr>
          <w:ilvl w:val="0"/>
          <w:numId w:val="24"/>
        </w:numPr>
        <w:spacing w:before="120"/>
        <w:contextualSpacing w:val="0"/>
        <w:rPr>
          <w:color w:val="4E1A74" w:themeColor="accent2"/>
        </w:rPr>
      </w:pPr>
      <w:r>
        <w:fldChar w:fldCharType="end"/>
      </w:r>
      <w:hyperlink w:anchor="_Requests_for_approval" w:history="1">
        <w:r w:rsidR="00E20F69" w:rsidRPr="000A2982">
          <w:rPr>
            <w:rStyle w:val="Hyperlink"/>
            <w:color w:val="4E1A74" w:themeColor="accent2"/>
          </w:rPr>
          <w:t>Request for approva</w:t>
        </w:r>
        <w:r w:rsidR="00F542F3">
          <w:rPr>
            <w:rStyle w:val="Hyperlink"/>
            <w:color w:val="4E1A74" w:themeColor="accent2"/>
          </w:rPr>
          <w:t>l to make certain changes</w:t>
        </w:r>
      </w:hyperlink>
    </w:p>
    <w:p w14:paraId="123F35DA" w14:textId="5A1CCF4B" w:rsidR="00E20F69" w:rsidRPr="0037787A" w:rsidRDefault="009B763C" w:rsidP="00631FB9">
      <w:pPr>
        <w:pStyle w:val="ListParagraph"/>
        <w:numPr>
          <w:ilvl w:val="0"/>
          <w:numId w:val="24"/>
        </w:numPr>
        <w:spacing w:before="120"/>
        <w:contextualSpacing w:val="0"/>
        <w:rPr>
          <w:rStyle w:val="Hyperlink"/>
          <w:color w:val="4E1A74" w:themeColor="accent2"/>
          <w:u w:val="none"/>
        </w:rPr>
      </w:pPr>
      <w:hyperlink w:anchor="_Disposals_&amp;_transfers" w:history="1">
        <w:r w:rsidR="009905CD">
          <w:rPr>
            <w:rStyle w:val="Hyperlink"/>
            <w:color w:val="4E1A74" w:themeColor="accent2"/>
          </w:rPr>
          <w:t>Request for approval to d</w:t>
        </w:r>
        <w:r w:rsidR="00E20F69" w:rsidRPr="000A2982">
          <w:rPr>
            <w:rStyle w:val="Hyperlink"/>
            <w:color w:val="4E1A74" w:themeColor="accent2"/>
          </w:rPr>
          <w:t>ispos</w:t>
        </w:r>
        <w:r w:rsidR="009905CD">
          <w:rPr>
            <w:rStyle w:val="Hyperlink"/>
            <w:color w:val="4E1A74" w:themeColor="accent2"/>
          </w:rPr>
          <w:t>e</w:t>
        </w:r>
        <w:r w:rsidR="00E20F69" w:rsidRPr="000A2982">
          <w:rPr>
            <w:rStyle w:val="Hyperlink"/>
            <w:color w:val="4E1A74" w:themeColor="accent2"/>
          </w:rPr>
          <w:t xml:space="preserve"> </w:t>
        </w:r>
        <w:r w:rsidR="009905CD">
          <w:rPr>
            <w:rStyle w:val="Hyperlink"/>
            <w:color w:val="4E1A74" w:themeColor="accent2"/>
          </w:rPr>
          <w:t xml:space="preserve">of </w:t>
        </w:r>
        <w:r w:rsidR="004A46A4">
          <w:rPr>
            <w:rStyle w:val="Hyperlink"/>
            <w:color w:val="4E1A74" w:themeColor="accent2"/>
          </w:rPr>
          <w:t>or</w:t>
        </w:r>
        <w:r w:rsidR="00E20F69" w:rsidRPr="000A2982">
          <w:rPr>
            <w:rStyle w:val="Hyperlink"/>
            <w:color w:val="4E1A74" w:themeColor="accent2"/>
          </w:rPr>
          <w:t xml:space="preserve"> </w:t>
        </w:r>
        <w:r w:rsidR="00F542F3">
          <w:rPr>
            <w:rStyle w:val="Hyperlink"/>
            <w:color w:val="4E1A74" w:themeColor="accent2"/>
          </w:rPr>
          <w:t>t</w:t>
        </w:r>
        <w:r w:rsidR="00E20F69" w:rsidRPr="000A2982">
          <w:rPr>
            <w:rStyle w:val="Hyperlink"/>
            <w:color w:val="4E1A74" w:themeColor="accent2"/>
          </w:rPr>
          <w:t>ransfe</w:t>
        </w:r>
        <w:r w:rsidR="009905CD">
          <w:rPr>
            <w:rStyle w:val="Hyperlink"/>
            <w:color w:val="4E1A74" w:themeColor="accent2"/>
          </w:rPr>
          <w:t>r a source</w:t>
        </w:r>
      </w:hyperlink>
    </w:p>
    <w:p w14:paraId="7F5ADDD7" w14:textId="03587AD4" w:rsidR="0037787A" w:rsidRPr="0037787A" w:rsidRDefault="0037787A" w:rsidP="00631FB9">
      <w:pPr>
        <w:pStyle w:val="ListParagraph"/>
        <w:numPr>
          <w:ilvl w:val="0"/>
          <w:numId w:val="24"/>
        </w:numPr>
        <w:spacing w:before="120"/>
        <w:contextualSpacing w:val="0"/>
        <w:rPr>
          <w:rStyle w:val="Hyperlink"/>
        </w:rPr>
      </w:pPr>
      <w:r>
        <w:fldChar w:fldCharType="begin"/>
      </w:r>
      <w:r>
        <w:instrText xml:space="preserve"> HYPERLINK  \l "_Extension_of_sealed" </w:instrText>
      </w:r>
      <w:r>
        <w:fldChar w:fldCharType="separate"/>
      </w:r>
      <w:r w:rsidRPr="0037787A">
        <w:rPr>
          <w:rStyle w:val="Hyperlink"/>
        </w:rPr>
        <w:t xml:space="preserve">Request to extend </w:t>
      </w:r>
      <w:r w:rsidR="009905CD" w:rsidRPr="009905CD">
        <w:rPr>
          <w:rStyle w:val="Hyperlink"/>
        </w:rPr>
        <w:t xml:space="preserve">working life </w:t>
      </w:r>
      <w:r w:rsidR="009905CD">
        <w:rPr>
          <w:rStyle w:val="Hyperlink"/>
        </w:rPr>
        <w:t xml:space="preserve">of a </w:t>
      </w:r>
      <w:r>
        <w:rPr>
          <w:rStyle w:val="Hyperlink"/>
        </w:rPr>
        <w:t xml:space="preserve">sealed </w:t>
      </w:r>
      <w:r w:rsidRPr="0037787A">
        <w:rPr>
          <w:rStyle w:val="Hyperlink"/>
        </w:rPr>
        <w:t xml:space="preserve">source </w:t>
      </w:r>
    </w:p>
    <w:p w14:paraId="4205D70B" w14:textId="08265253" w:rsidR="00E20F69" w:rsidRPr="0037787A" w:rsidRDefault="0037787A" w:rsidP="00631FB9">
      <w:pPr>
        <w:pStyle w:val="ListParagraph"/>
        <w:numPr>
          <w:ilvl w:val="0"/>
          <w:numId w:val="24"/>
        </w:numPr>
        <w:spacing w:before="120"/>
        <w:contextualSpacing w:val="0"/>
        <w:rPr>
          <w:color w:val="4E1A74" w:themeColor="accent2"/>
        </w:rPr>
      </w:pPr>
      <w:r>
        <w:fldChar w:fldCharType="end"/>
      </w:r>
      <w:hyperlink w:anchor="_Exemptions" w:history="1">
        <w:r w:rsidR="00FE639B" w:rsidRPr="0037787A">
          <w:rPr>
            <w:rStyle w:val="Hyperlink"/>
            <w:color w:val="4E1A74" w:themeColor="accent2"/>
          </w:rPr>
          <w:t xml:space="preserve">Application for </w:t>
        </w:r>
        <w:r w:rsidR="009905CD">
          <w:rPr>
            <w:rStyle w:val="Hyperlink"/>
            <w:color w:val="4E1A74" w:themeColor="accent2"/>
          </w:rPr>
          <w:t xml:space="preserve">an </w:t>
        </w:r>
        <w:r w:rsidR="00FE639B" w:rsidRPr="0037787A">
          <w:rPr>
            <w:rStyle w:val="Hyperlink"/>
            <w:color w:val="4E1A74" w:themeColor="accent2"/>
          </w:rPr>
          <w:t>e</w:t>
        </w:r>
        <w:r w:rsidR="00E20F69" w:rsidRPr="0037787A">
          <w:rPr>
            <w:rStyle w:val="Hyperlink"/>
            <w:color w:val="4E1A74" w:themeColor="accent2"/>
          </w:rPr>
          <w:t>xemption</w:t>
        </w:r>
      </w:hyperlink>
      <w:r w:rsidR="007169BD">
        <w:rPr>
          <w:rStyle w:val="Hyperlink"/>
          <w:color w:val="4E1A74" w:themeColor="accent2"/>
        </w:rPr>
        <w:t xml:space="preserve"> </w:t>
      </w:r>
    </w:p>
    <w:p w14:paraId="1EBFE7AD" w14:textId="69F36147" w:rsidR="00E20F69" w:rsidRPr="00DC19D0" w:rsidRDefault="009B763C" w:rsidP="00631FB9">
      <w:pPr>
        <w:pStyle w:val="ListParagraph"/>
        <w:numPr>
          <w:ilvl w:val="0"/>
          <w:numId w:val="24"/>
        </w:numPr>
        <w:spacing w:before="120"/>
        <w:contextualSpacing w:val="0"/>
        <w:rPr>
          <w:color w:val="4E1A74" w:themeColor="accent2"/>
        </w:rPr>
      </w:pPr>
      <w:hyperlink w:anchor="_Surrender_a_licence" w:history="1">
        <w:r w:rsidR="00A2181C">
          <w:rPr>
            <w:rStyle w:val="Hyperlink"/>
            <w:color w:val="4E1A74" w:themeColor="accent2"/>
          </w:rPr>
          <w:t>Request to s</w:t>
        </w:r>
        <w:r w:rsidR="00E20F69" w:rsidRPr="000A2982">
          <w:rPr>
            <w:rStyle w:val="Hyperlink"/>
            <w:color w:val="4E1A74" w:themeColor="accent2"/>
          </w:rPr>
          <w:t>urrender a licence</w:t>
        </w:r>
      </w:hyperlink>
    </w:p>
    <w:p w14:paraId="4347B9EA" w14:textId="6722429D" w:rsidR="00E20F69" w:rsidRPr="00DC19D0" w:rsidRDefault="009B763C" w:rsidP="00631FB9">
      <w:pPr>
        <w:pStyle w:val="ListParagraph"/>
        <w:numPr>
          <w:ilvl w:val="0"/>
          <w:numId w:val="24"/>
        </w:numPr>
        <w:spacing w:before="120"/>
        <w:contextualSpacing w:val="0"/>
        <w:rPr>
          <w:color w:val="4E1A74" w:themeColor="accent2"/>
        </w:rPr>
      </w:pPr>
      <w:hyperlink w:anchor="_Transport_Approvals" w:history="1">
        <w:r w:rsidR="00E20F69" w:rsidRPr="000A2982">
          <w:rPr>
            <w:rStyle w:val="Hyperlink"/>
            <w:color w:val="4E1A74" w:themeColor="accent2"/>
          </w:rPr>
          <w:t xml:space="preserve">Transport </w:t>
        </w:r>
        <w:r w:rsidR="00A2181C">
          <w:rPr>
            <w:rStyle w:val="Hyperlink"/>
            <w:color w:val="4E1A74" w:themeColor="accent2"/>
          </w:rPr>
          <w:t xml:space="preserve">safety </w:t>
        </w:r>
        <w:r w:rsidR="00E20F69" w:rsidRPr="000A2982">
          <w:rPr>
            <w:rStyle w:val="Hyperlink"/>
            <w:color w:val="4E1A74" w:themeColor="accent2"/>
          </w:rPr>
          <w:t>approval</w:t>
        </w:r>
      </w:hyperlink>
    </w:p>
    <w:p w14:paraId="248E3457" w14:textId="60232F21" w:rsidR="00E20F69" w:rsidRPr="0037787A" w:rsidRDefault="0037787A" w:rsidP="00631FB9">
      <w:pPr>
        <w:pStyle w:val="ListParagraph"/>
        <w:numPr>
          <w:ilvl w:val="0"/>
          <w:numId w:val="24"/>
        </w:numPr>
        <w:spacing w:before="120"/>
        <w:contextualSpacing w:val="0"/>
        <w:rPr>
          <w:rStyle w:val="Hyperlink"/>
        </w:rPr>
      </w:pPr>
      <w:r>
        <w:fldChar w:fldCharType="begin"/>
      </w:r>
      <w:r>
        <w:instrText xml:space="preserve"> HYPERLINK  \l "_Periodic_Licence_Review_1" </w:instrText>
      </w:r>
      <w:r>
        <w:fldChar w:fldCharType="separate"/>
      </w:r>
      <w:r w:rsidR="00E20F69" w:rsidRPr="0037787A">
        <w:rPr>
          <w:rStyle w:val="Hyperlink"/>
        </w:rPr>
        <w:t>Periodic licence review</w:t>
      </w:r>
      <w:r w:rsidR="007B64DE" w:rsidRPr="0037787A">
        <w:rPr>
          <w:rStyle w:val="Hyperlink"/>
        </w:rPr>
        <w:t xml:space="preserve"> </w:t>
      </w:r>
    </w:p>
    <w:p w14:paraId="1765015E" w14:textId="7374BAE0" w:rsidR="00DC19D0" w:rsidRDefault="0037787A" w:rsidP="00631FB9">
      <w:pPr>
        <w:spacing w:before="120"/>
      </w:pPr>
      <w:r>
        <w:fldChar w:fldCharType="end"/>
      </w:r>
    </w:p>
    <w:p w14:paraId="694824F2" w14:textId="2027E0BE" w:rsidR="005F169B" w:rsidRPr="00ED1A65" w:rsidRDefault="00A23DA1" w:rsidP="00ED1A65">
      <w:pPr>
        <w:spacing w:before="360"/>
        <w:rPr>
          <w:b/>
          <w:color w:val="444448" w:themeColor="text2"/>
          <w:sz w:val="24"/>
          <w:szCs w:val="24"/>
        </w:rPr>
      </w:pPr>
      <w:r>
        <w:rPr>
          <w:b/>
          <w:color w:val="4E1A74" w:themeColor="accent2"/>
          <w:sz w:val="24"/>
          <w:szCs w:val="24"/>
        </w:rPr>
        <w:t>Detailed m</w:t>
      </w:r>
      <w:r w:rsidR="005F169B" w:rsidRPr="00ED1A65">
        <w:rPr>
          <w:b/>
          <w:color w:val="4E1A74" w:themeColor="accent2"/>
          <w:sz w:val="24"/>
          <w:szCs w:val="24"/>
        </w:rPr>
        <w:t>anagement system elements that are not part of the online version of this manual:</w:t>
      </w:r>
    </w:p>
    <w:p w14:paraId="6D954D80" w14:textId="1A9D1616" w:rsidR="00894CD2" w:rsidRPr="000A2982" w:rsidRDefault="009B763C" w:rsidP="00631FB9">
      <w:pPr>
        <w:spacing w:before="120"/>
        <w:ind w:left="426"/>
      </w:pPr>
      <w:hyperlink w:anchor="_Appendix_1:_Managing" w:history="1">
        <w:r w:rsidR="00894CD2" w:rsidRPr="00F72941">
          <w:rPr>
            <w:rStyle w:val="Hyperlink"/>
            <w:color w:val="4E1A74" w:themeColor="accent2"/>
          </w:rPr>
          <w:t>Appendix 1: Managing the licence admin shared mailbox</w:t>
        </w:r>
      </w:hyperlink>
    </w:p>
    <w:p w14:paraId="207AF7E4" w14:textId="2341F498" w:rsidR="005F2DA7" w:rsidRPr="00F72941" w:rsidRDefault="009B763C" w:rsidP="00631FB9">
      <w:pPr>
        <w:spacing w:before="120"/>
        <w:ind w:left="426"/>
      </w:pPr>
      <w:hyperlink w:anchor="_Attachment_2:_Convention" w:history="1">
        <w:r w:rsidR="005F2DA7" w:rsidRPr="001F7216">
          <w:rPr>
            <w:rStyle w:val="Hyperlink"/>
            <w:color w:val="4E1A74" w:themeColor="accent2"/>
          </w:rPr>
          <w:t>A</w:t>
        </w:r>
        <w:r w:rsidR="005F2DA7" w:rsidRPr="00C960CA">
          <w:rPr>
            <w:rStyle w:val="Hyperlink"/>
            <w:color w:val="4E1A74" w:themeColor="accent2"/>
          </w:rPr>
          <w:t>ppendix</w:t>
        </w:r>
        <w:r w:rsidR="005F2DA7" w:rsidRPr="00EF5C65">
          <w:rPr>
            <w:rStyle w:val="Hyperlink"/>
            <w:color w:val="4E1A74" w:themeColor="accent2"/>
          </w:rPr>
          <w:t xml:space="preserve"> </w:t>
        </w:r>
        <w:r w:rsidR="00894CD2" w:rsidRPr="00186B61">
          <w:rPr>
            <w:rStyle w:val="Hyperlink"/>
            <w:color w:val="4E1A74" w:themeColor="accent2"/>
          </w:rPr>
          <w:t>2</w:t>
        </w:r>
        <w:r w:rsidR="005F2DA7" w:rsidRPr="00B569A8">
          <w:rPr>
            <w:rStyle w:val="Hyperlink"/>
            <w:color w:val="4E1A74" w:themeColor="accent2"/>
          </w:rPr>
          <w:t>: Convention for citing legislation</w:t>
        </w:r>
      </w:hyperlink>
      <w:r w:rsidR="005F2DA7" w:rsidRPr="00AB6095">
        <w:t xml:space="preserve"> </w:t>
      </w:r>
    </w:p>
    <w:p w14:paraId="27907E03" w14:textId="02214633" w:rsidR="005F2DA7" w:rsidRPr="00DC19D0" w:rsidRDefault="009B763C" w:rsidP="00631FB9">
      <w:pPr>
        <w:spacing w:before="120"/>
        <w:ind w:left="426"/>
      </w:pPr>
      <w:hyperlink w:anchor="_Appendix_3:_" w:history="1">
        <w:r w:rsidR="005F2DA7" w:rsidRPr="00F72941">
          <w:rPr>
            <w:rStyle w:val="Hyperlink"/>
            <w:color w:val="4E1A74" w:themeColor="accent2"/>
          </w:rPr>
          <w:t xml:space="preserve">Appendix </w:t>
        </w:r>
        <w:r w:rsidR="00894CD2" w:rsidRPr="00F72941">
          <w:rPr>
            <w:rStyle w:val="Hyperlink"/>
            <w:color w:val="4E1A74" w:themeColor="accent2"/>
          </w:rPr>
          <w:t>3</w:t>
        </w:r>
        <w:r w:rsidR="005F2DA7" w:rsidRPr="00F72941">
          <w:rPr>
            <w:rStyle w:val="Hyperlink"/>
            <w:color w:val="4E1A74" w:themeColor="accent2"/>
          </w:rPr>
          <w:t xml:space="preserve">: Review &amp; approval </w:t>
        </w:r>
        <w:r w:rsidR="00894CD2" w:rsidRPr="00F72941">
          <w:rPr>
            <w:rStyle w:val="Hyperlink"/>
            <w:color w:val="4E1A74" w:themeColor="accent2"/>
          </w:rPr>
          <w:t>of regulatory documents</w:t>
        </w:r>
      </w:hyperlink>
    </w:p>
    <w:p w14:paraId="1EE6253F" w14:textId="1EDFDDD5" w:rsidR="006D4156" w:rsidRPr="00DC19D0" w:rsidRDefault="009B763C" w:rsidP="00631FB9">
      <w:pPr>
        <w:spacing w:before="120"/>
        <w:ind w:left="426"/>
        <w:rPr>
          <w:rStyle w:val="Hyperlink"/>
          <w:color w:val="4E1A74" w:themeColor="accent2"/>
        </w:rPr>
      </w:pPr>
      <w:hyperlink w:anchor="_Attachment_1:_" w:history="1">
        <w:r w:rsidR="006D4156" w:rsidRPr="000A2982">
          <w:rPr>
            <w:rStyle w:val="Hyperlink"/>
            <w:color w:val="4E1A74" w:themeColor="accent2"/>
          </w:rPr>
          <w:t xml:space="preserve">Attachment </w:t>
        </w:r>
        <w:r w:rsidR="00A23DA1">
          <w:rPr>
            <w:rStyle w:val="Hyperlink"/>
            <w:color w:val="4E1A74" w:themeColor="accent2"/>
          </w:rPr>
          <w:t>A</w:t>
        </w:r>
        <w:r w:rsidR="006D4156" w:rsidRPr="000A2982">
          <w:rPr>
            <w:rStyle w:val="Hyperlink"/>
            <w:color w:val="4E1A74" w:themeColor="accent2"/>
          </w:rPr>
          <w:t xml:space="preserve">: </w:t>
        </w:r>
        <w:r w:rsidR="00894CD2" w:rsidRPr="000A2982">
          <w:rPr>
            <w:rStyle w:val="Hyperlink"/>
            <w:color w:val="4E1A74" w:themeColor="accent2"/>
          </w:rPr>
          <w:t xml:space="preserve">Letter &amp; email </w:t>
        </w:r>
        <w:r w:rsidR="00894CD2" w:rsidRPr="001F7216">
          <w:rPr>
            <w:rStyle w:val="Hyperlink"/>
            <w:color w:val="4E1A74" w:themeColor="accent2"/>
          </w:rPr>
          <w:t>t</w:t>
        </w:r>
        <w:r w:rsidR="006D4156" w:rsidRPr="001F7216">
          <w:rPr>
            <w:rStyle w:val="Hyperlink"/>
            <w:color w:val="4E1A74" w:themeColor="accent2"/>
          </w:rPr>
          <w:t xml:space="preserve">emplates </w:t>
        </w:r>
      </w:hyperlink>
    </w:p>
    <w:p w14:paraId="3C5F567D" w14:textId="6C63F5C8" w:rsidR="00894CD2" w:rsidRPr="00F72941" w:rsidRDefault="00894CD2" w:rsidP="00631FB9">
      <w:pPr>
        <w:spacing w:before="120"/>
        <w:ind w:left="426"/>
      </w:pPr>
      <w:r w:rsidRPr="001F7216">
        <w:rPr>
          <w:rStyle w:val="Hyperlink"/>
          <w:color w:val="4E1A74" w:themeColor="accent2"/>
        </w:rPr>
        <w:t xml:space="preserve">Attachment </w:t>
      </w:r>
      <w:r w:rsidR="00A23DA1">
        <w:rPr>
          <w:rStyle w:val="Hyperlink"/>
          <w:color w:val="4E1A74" w:themeColor="accent2"/>
        </w:rPr>
        <w:t>B</w:t>
      </w:r>
      <w:r w:rsidRPr="001F7216">
        <w:rPr>
          <w:rStyle w:val="Hyperlink"/>
          <w:color w:val="4E1A74" w:themeColor="accent2"/>
        </w:rPr>
        <w:t>: Checklists</w:t>
      </w:r>
    </w:p>
    <w:p w14:paraId="4B21F793" w14:textId="77777777" w:rsidR="00631FB9" w:rsidRDefault="00631FB9" w:rsidP="001A5AF9">
      <w:pPr>
        <w:rPr>
          <w:b/>
          <w:color w:val="4E1A74" w:themeColor="accent2"/>
          <w:sz w:val="24"/>
          <w:szCs w:val="24"/>
        </w:rPr>
      </w:pPr>
    </w:p>
    <w:p w14:paraId="1452B39C" w14:textId="6495000F" w:rsidR="006829E9" w:rsidRPr="006944DE" w:rsidRDefault="00593F26" w:rsidP="001A5AF9">
      <w:pPr>
        <w:rPr>
          <w:bCs/>
          <w:i/>
          <w:iCs/>
          <w:color w:val="FF0000"/>
          <w:sz w:val="24"/>
          <w:szCs w:val="24"/>
        </w:rPr>
      </w:pPr>
      <w:r w:rsidRPr="00632D75">
        <w:rPr>
          <w:b/>
          <w:color w:val="4E1A74" w:themeColor="accent2"/>
          <w:sz w:val="24"/>
          <w:szCs w:val="24"/>
        </w:rPr>
        <w:t xml:space="preserve">Key changes in this </w:t>
      </w:r>
      <w:r w:rsidR="006829E9" w:rsidRPr="00632D75">
        <w:rPr>
          <w:b/>
          <w:color w:val="4E1A74" w:themeColor="accent2"/>
          <w:sz w:val="24"/>
          <w:szCs w:val="24"/>
        </w:rPr>
        <w:t>version of the manual:</w:t>
      </w:r>
      <w:r w:rsidR="006944DE" w:rsidRPr="00632D75">
        <w:rPr>
          <w:b/>
          <w:color w:val="4E1A74" w:themeColor="accent2"/>
          <w:sz w:val="24"/>
          <w:szCs w:val="24"/>
        </w:rPr>
        <w:t xml:space="preserve">  </w:t>
      </w:r>
    </w:p>
    <w:p w14:paraId="21AB4B7E" w14:textId="545BA9E0" w:rsidR="002307D5" w:rsidRPr="00EF2CBE" w:rsidRDefault="0060367E" w:rsidP="002307D5">
      <w:pPr>
        <w:pStyle w:val="ListParagraph"/>
        <w:numPr>
          <w:ilvl w:val="0"/>
          <w:numId w:val="51"/>
        </w:numPr>
        <w:spacing w:before="120"/>
        <w:rPr>
          <w:b/>
          <w:sz w:val="24"/>
          <w:szCs w:val="24"/>
        </w:rPr>
      </w:pPr>
      <w:r>
        <w:t>S</w:t>
      </w:r>
      <w:r w:rsidR="002A26C4">
        <w:t xml:space="preserve">ection </w:t>
      </w:r>
      <w:r>
        <w:t>6</w:t>
      </w:r>
      <w:r w:rsidR="002A26C4">
        <w:t xml:space="preserve"> Exemptions </w:t>
      </w:r>
      <w:r>
        <w:t xml:space="preserve">updated </w:t>
      </w:r>
      <w:r w:rsidR="00E30007">
        <w:t>to align with amendments to Regulations</w:t>
      </w:r>
      <w:r w:rsidR="00632D75">
        <w:t xml:space="preserve"> in August 2022</w:t>
      </w:r>
      <w:r w:rsidR="00E30007">
        <w:t xml:space="preserve"> </w:t>
      </w:r>
    </w:p>
    <w:p w14:paraId="4D5E2DD0" w14:textId="5693011C" w:rsidR="002307D5" w:rsidRPr="00815882" w:rsidRDefault="0060367E" w:rsidP="00815882">
      <w:pPr>
        <w:pStyle w:val="ListParagraph"/>
        <w:numPr>
          <w:ilvl w:val="0"/>
          <w:numId w:val="51"/>
        </w:numPr>
        <w:spacing w:before="120"/>
        <w:rPr>
          <w:b/>
          <w:sz w:val="24"/>
          <w:szCs w:val="24"/>
        </w:rPr>
      </w:pPr>
      <w:r>
        <w:t>S</w:t>
      </w:r>
      <w:r w:rsidR="002307D5">
        <w:t xml:space="preserve">ection 5 on extension of RWL expanded to align with </w:t>
      </w:r>
      <w:hyperlink r:id="rId12" w:history="1">
        <w:r w:rsidR="002307D5" w:rsidRPr="000D7350">
          <w:rPr>
            <w:rStyle w:val="Hyperlink"/>
          </w:rPr>
          <w:t>ARPANSA-GDE-1746</w:t>
        </w:r>
      </w:hyperlink>
    </w:p>
    <w:p w14:paraId="3C6BAB7F" w14:textId="77777777" w:rsidR="0089525C" w:rsidRDefault="0089525C">
      <w:pPr>
        <w:rPr>
          <w:rStyle w:val="Normalbold"/>
          <w:b/>
          <w:color w:val="3A1356" w:themeColor="accent2" w:themeShade="BF"/>
          <w:sz w:val="44"/>
          <w:szCs w:val="44"/>
        </w:rPr>
      </w:pPr>
      <w:bookmarkStart w:id="1" w:name="_Licence_application_or"/>
      <w:bookmarkStart w:id="2" w:name="_General_assessment_principles"/>
      <w:bookmarkStart w:id="3" w:name="_Toc475614178"/>
      <w:bookmarkStart w:id="4" w:name="_Ref476061061"/>
      <w:bookmarkStart w:id="5" w:name="_Ref476061067"/>
      <w:bookmarkEnd w:id="1"/>
      <w:bookmarkEnd w:id="2"/>
      <w:r>
        <w:rPr>
          <w:rStyle w:val="Normalbold"/>
        </w:rPr>
        <w:br w:type="page"/>
      </w:r>
    </w:p>
    <w:p w14:paraId="341A40F0" w14:textId="4D727E7F" w:rsidR="00BE54A1" w:rsidRPr="00EB2E2D" w:rsidRDefault="00BE54A1" w:rsidP="002149E3">
      <w:pPr>
        <w:pStyle w:val="Heading1"/>
        <w:ind w:left="426" w:hanging="568"/>
        <w:rPr>
          <w:rStyle w:val="Normalbold"/>
          <w:color w:val="4E1A74" w:themeColor="accent2"/>
        </w:rPr>
      </w:pPr>
      <w:r w:rsidRPr="00EB2E2D">
        <w:rPr>
          <w:rStyle w:val="Normalbold"/>
          <w:color w:val="4E1A74" w:themeColor="accent2"/>
        </w:rPr>
        <w:lastRenderedPageBreak/>
        <w:t xml:space="preserve">General </w:t>
      </w:r>
      <w:r w:rsidR="007B0CB5" w:rsidRPr="00EB2E2D">
        <w:rPr>
          <w:rStyle w:val="Normalbold"/>
          <w:color w:val="4E1A74" w:themeColor="accent2"/>
        </w:rPr>
        <w:t>considerations</w:t>
      </w:r>
    </w:p>
    <w:p w14:paraId="19E6031A" w14:textId="37E3E051" w:rsidR="00BE54A1" w:rsidRPr="00EB2E2D" w:rsidRDefault="00D52D8E" w:rsidP="00815882">
      <w:pPr>
        <w:rPr>
          <w:rStyle w:val="Normalbold"/>
          <w:color w:val="auto"/>
        </w:rPr>
      </w:pPr>
      <w:r w:rsidRPr="00EB2E2D">
        <w:rPr>
          <w:rStyle w:val="Normalbold"/>
          <w:color w:val="auto"/>
        </w:rPr>
        <w:t xml:space="preserve">The </w:t>
      </w:r>
      <w:r w:rsidR="00C30042" w:rsidRPr="00EB2E2D">
        <w:rPr>
          <w:rStyle w:val="Normalbold"/>
          <w:i/>
          <w:color w:val="auto"/>
        </w:rPr>
        <w:t xml:space="preserve">review and </w:t>
      </w:r>
      <w:r w:rsidR="00846BA1" w:rsidRPr="00EB2E2D">
        <w:rPr>
          <w:rStyle w:val="Normalbold"/>
          <w:i/>
          <w:color w:val="auto"/>
        </w:rPr>
        <w:t>a</w:t>
      </w:r>
      <w:r w:rsidR="001F4868" w:rsidRPr="00EB2E2D">
        <w:rPr>
          <w:rStyle w:val="Normalbold"/>
          <w:i/>
          <w:color w:val="auto"/>
        </w:rPr>
        <w:t>ssessment</w:t>
      </w:r>
      <w:r w:rsidR="001F4868" w:rsidRPr="00EB2E2D">
        <w:rPr>
          <w:rStyle w:val="Normalbold"/>
          <w:color w:val="auto"/>
        </w:rPr>
        <w:t xml:space="preserve"> </w:t>
      </w:r>
      <w:r w:rsidR="00AD1D25" w:rsidRPr="00EB2E2D">
        <w:rPr>
          <w:rStyle w:val="Normalbold"/>
          <w:color w:val="auto"/>
        </w:rPr>
        <w:t xml:space="preserve">of an application for </w:t>
      </w:r>
      <w:r w:rsidR="0019146C" w:rsidRPr="00EB2E2D">
        <w:rPr>
          <w:rStyle w:val="Normalbold"/>
          <w:color w:val="auto"/>
        </w:rPr>
        <w:t xml:space="preserve">regulatory </w:t>
      </w:r>
      <w:r w:rsidR="001A2C54" w:rsidRPr="00EB2E2D">
        <w:rPr>
          <w:rStyle w:val="Normalbold"/>
          <w:color w:val="auto"/>
        </w:rPr>
        <w:t>approval</w:t>
      </w:r>
      <w:r w:rsidR="00E92A7C" w:rsidRPr="00EB2E2D">
        <w:rPr>
          <w:rStyle w:val="Normalbold"/>
          <w:color w:val="auto"/>
        </w:rPr>
        <w:t xml:space="preserve"> </w:t>
      </w:r>
      <w:r w:rsidR="00C30042" w:rsidRPr="00EB2E2D">
        <w:rPr>
          <w:rStyle w:val="Normalbold"/>
          <w:color w:val="auto"/>
        </w:rPr>
        <w:t>form</w:t>
      </w:r>
      <w:r w:rsidR="00631FB9" w:rsidRPr="00EB2E2D">
        <w:rPr>
          <w:rStyle w:val="Normalbold"/>
          <w:color w:val="auto"/>
        </w:rPr>
        <w:t>s</w:t>
      </w:r>
      <w:r w:rsidR="00C30042" w:rsidRPr="00EB2E2D">
        <w:rPr>
          <w:rStyle w:val="Normalbold"/>
          <w:color w:val="auto"/>
        </w:rPr>
        <w:t xml:space="preserve"> the basis for </w:t>
      </w:r>
      <w:r w:rsidR="001F4868" w:rsidRPr="00EB2E2D">
        <w:rPr>
          <w:rStyle w:val="Normalbold"/>
          <w:color w:val="auto"/>
        </w:rPr>
        <w:t>a</w:t>
      </w:r>
      <w:r w:rsidR="00846BA1" w:rsidRPr="00EB2E2D">
        <w:rPr>
          <w:rStyle w:val="Normalbold"/>
          <w:color w:val="auto"/>
        </w:rPr>
        <w:t>n independent and informed</w:t>
      </w:r>
      <w:r w:rsidR="001F4868" w:rsidRPr="00EB2E2D">
        <w:rPr>
          <w:rStyle w:val="Normalbold"/>
          <w:color w:val="auto"/>
        </w:rPr>
        <w:t xml:space="preserve"> judgement </w:t>
      </w:r>
      <w:r w:rsidR="00846BA1" w:rsidRPr="00EB2E2D">
        <w:rPr>
          <w:rStyle w:val="Normalbold"/>
          <w:color w:val="auto"/>
        </w:rPr>
        <w:t>on the adequacy of an applicant’s submission</w:t>
      </w:r>
      <w:r w:rsidR="00C30042" w:rsidRPr="00EB2E2D">
        <w:rPr>
          <w:rStyle w:val="Normalbold"/>
          <w:color w:val="auto"/>
        </w:rPr>
        <w:t xml:space="preserve">. It involves </w:t>
      </w:r>
      <w:r w:rsidR="002621D5" w:rsidRPr="00EB2E2D">
        <w:rPr>
          <w:rStyle w:val="Normalbold"/>
          <w:color w:val="auto"/>
        </w:rPr>
        <w:t>evaluati</w:t>
      </w:r>
      <w:r w:rsidR="00C30042" w:rsidRPr="00EB2E2D">
        <w:rPr>
          <w:rStyle w:val="Normalbold"/>
          <w:color w:val="auto"/>
        </w:rPr>
        <w:t xml:space="preserve">on of </w:t>
      </w:r>
      <w:r w:rsidR="00846BA1" w:rsidRPr="00EB2E2D">
        <w:rPr>
          <w:rStyle w:val="Normalbold"/>
          <w:color w:val="auto"/>
        </w:rPr>
        <w:t xml:space="preserve">the </w:t>
      </w:r>
      <w:r w:rsidR="00815882" w:rsidRPr="00815882">
        <w:rPr>
          <w:rStyle w:val="Normalbold"/>
          <w:color w:val="auto"/>
        </w:rPr>
        <w:t>cla</w:t>
      </w:r>
      <w:r w:rsidR="00815882">
        <w:rPr>
          <w:rStyle w:val="Normalbold"/>
          <w:color w:val="auto"/>
        </w:rPr>
        <w:t>ims</w:t>
      </w:r>
      <w:r w:rsidR="00127CDF" w:rsidRPr="00815882">
        <w:rPr>
          <w:rStyle w:val="Normalbold"/>
          <w:color w:val="auto"/>
        </w:rPr>
        <w:t xml:space="preserve">, </w:t>
      </w:r>
      <w:r w:rsidR="00127CDF" w:rsidRPr="00EB2E2D">
        <w:rPr>
          <w:rStyle w:val="Normalbold"/>
          <w:color w:val="auto"/>
        </w:rPr>
        <w:t>arguments</w:t>
      </w:r>
      <w:r w:rsidR="00C30042" w:rsidRPr="00EB2E2D">
        <w:rPr>
          <w:rStyle w:val="Normalbold"/>
          <w:color w:val="auto"/>
        </w:rPr>
        <w:t xml:space="preserve"> and </w:t>
      </w:r>
      <w:r w:rsidR="001F4868" w:rsidRPr="00EB2E2D">
        <w:rPr>
          <w:rStyle w:val="Normalbold"/>
          <w:color w:val="auto"/>
        </w:rPr>
        <w:t xml:space="preserve">evidence </w:t>
      </w:r>
      <w:r w:rsidR="002621D5" w:rsidRPr="00EB2E2D">
        <w:rPr>
          <w:rStyle w:val="Normalbold"/>
          <w:color w:val="auto"/>
        </w:rPr>
        <w:t xml:space="preserve">provided </w:t>
      </w:r>
      <w:r w:rsidR="00C30042" w:rsidRPr="00EB2E2D">
        <w:rPr>
          <w:rStyle w:val="Normalbold"/>
          <w:color w:val="auto"/>
        </w:rPr>
        <w:t xml:space="preserve">by the applicant </w:t>
      </w:r>
      <w:r w:rsidR="00846BA1" w:rsidRPr="00EB2E2D">
        <w:rPr>
          <w:rStyle w:val="Normalbold"/>
          <w:color w:val="auto"/>
        </w:rPr>
        <w:t>a</w:t>
      </w:r>
      <w:r w:rsidR="000D6979" w:rsidRPr="00EB2E2D">
        <w:rPr>
          <w:rStyle w:val="Normalbold"/>
          <w:color w:val="auto"/>
        </w:rPr>
        <w:t xml:space="preserve">gainst the Act and Regulations, </w:t>
      </w:r>
      <w:r w:rsidR="00846BA1" w:rsidRPr="00EB2E2D">
        <w:rPr>
          <w:rStyle w:val="Normalbold"/>
          <w:color w:val="auto"/>
        </w:rPr>
        <w:t>codes, standards, and guide</w:t>
      </w:r>
      <w:r w:rsidR="002621D5" w:rsidRPr="00EB2E2D">
        <w:rPr>
          <w:rStyle w:val="Normalbold"/>
          <w:color w:val="auto"/>
        </w:rPr>
        <w:t>s</w:t>
      </w:r>
      <w:r w:rsidR="00846BA1" w:rsidRPr="00EB2E2D">
        <w:rPr>
          <w:rStyle w:val="Normalbold"/>
          <w:color w:val="auto"/>
        </w:rPr>
        <w:t xml:space="preserve">. </w:t>
      </w:r>
      <w:r w:rsidR="001F4868" w:rsidRPr="00EB2E2D">
        <w:rPr>
          <w:rStyle w:val="Normalbold"/>
          <w:color w:val="auto"/>
        </w:rPr>
        <w:t xml:space="preserve"> </w:t>
      </w:r>
      <w:r w:rsidR="002621D5" w:rsidRPr="00EB2E2D">
        <w:rPr>
          <w:rStyle w:val="Normalbold"/>
          <w:color w:val="auto"/>
        </w:rPr>
        <w:t xml:space="preserve">International </w:t>
      </w:r>
      <w:r w:rsidR="00462CD6" w:rsidRPr="00EB2E2D">
        <w:rPr>
          <w:rStyle w:val="Normalbold"/>
          <w:color w:val="auto"/>
        </w:rPr>
        <w:t xml:space="preserve">best practice and </w:t>
      </w:r>
      <w:r w:rsidR="002621D5" w:rsidRPr="00EB2E2D">
        <w:rPr>
          <w:rStyle w:val="Normalbold"/>
          <w:color w:val="auto"/>
        </w:rPr>
        <w:t xml:space="preserve">operating experience are also considered. </w:t>
      </w:r>
      <w:r w:rsidR="00C30042" w:rsidRPr="00EB2E2D">
        <w:rPr>
          <w:rStyle w:val="Normalbold"/>
          <w:color w:val="auto"/>
        </w:rPr>
        <w:t xml:space="preserve">The purpose is to determine whether the applicant has demonstrated compliance with relevant requirements and </w:t>
      </w:r>
      <w:r w:rsidR="00325AC4" w:rsidRPr="00EB2E2D">
        <w:rPr>
          <w:rStyle w:val="Normalbold"/>
          <w:color w:val="auto"/>
        </w:rPr>
        <w:t>whether</w:t>
      </w:r>
      <w:r w:rsidR="00C30042" w:rsidRPr="00EB2E2D">
        <w:rPr>
          <w:rStyle w:val="Normalbold"/>
          <w:color w:val="auto"/>
        </w:rPr>
        <w:t xml:space="preserve"> the proposed conduct meets the object of the Act.</w:t>
      </w:r>
    </w:p>
    <w:p w14:paraId="5466D2D5" w14:textId="737D3D94" w:rsidR="002621D5" w:rsidRDefault="00552E91" w:rsidP="00937235">
      <w:pPr>
        <w:pStyle w:val="BodyText"/>
        <w:spacing w:before="240"/>
        <w:rPr>
          <w:lang w:val="en-GB"/>
        </w:rPr>
      </w:pPr>
      <w:r>
        <w:rPr>
          <w:lang w:val="en-GB"/>
        </w:rPr>
        <w:t xml:space="preserve">The review and </w:t>
      </w:r>
      <w:r w:rsidR="002621D5">
        <w:rPr>
          <w:lang w:val="en-GB"/>
        </w:rPr>
        <w:t>assessment</w:t>
      </w:r>
      <w:r w:rsidR="00787C6C">
        <w:rPr>
          <w:lang w:val="en-GB"/>
        </w:rPr>
        <w:t xml:space="preserve"> of an application</w:t>
      </w:r>
      <w:r w:rsidR="002621D5">
        <w:rPr>
          <w:lang w:val="en-GB"/>
        </w:rPr>
        <w:t xml:space="preserve"> is assigned to a regulatory officer (</w:t>
      </w:r>
      <w:r w:rsidR="00D91A22">
        <w:rPr>
          <w:lang w:val="en-GB"/>
        </w:rPr>
        <w:t xml:space="preserve">referred to in this document as the </w:t>
      </w:r>
      <w:r w:rsidR="00D91A22" w:rsidRPr="00D91A22">
        <w:rPr>
          <w:i/>
          <w:iCs/>
          <w:lang w:val="en-GB"/>
        </w:rPr>
        <w:t>assessor</w:t>
      </w:r>
      <w:r w:rsidR="002621D5">
        <w:rPr>
          <w:lang w:val="en-GB"/>
        </w:rPr>
        <w:t xml:space="preserve">) </w:t>
      </w:r>
      <w:proofErr w:type="gramStart"/>
      <w:r w:rsidR="002621D5">
        <w:rPr>
          <w:lang w:val="en-GB"/>
        </w:rPr>
        <w:t>on the basis of</w:t>
      </w:r>
      <w:proofErr w:type="gramEnd"/>
      <w:r w:rsidR="002621D5">
        <w:rPr>
          <w:lang w:val="en-GB"/>
        </w:rPr>
        <w:t xml:space="preserve"> their experience and expertise</w:t>
      </w:r>
      <w:r w:rsidR="00E345AA">
        <w:rPr>
          <w:lang w:val="en-GB"/>
        </w:rPr>
        <w:t xml:space="preserve"> and whether the application relates to a facility or source</w:t>
      </w:r>
      <w:r w:rsidR="002621D5">
        <w:rPr>
          <w:lang w:val="en-GB"/>
        </w:rPr>
        <w:t>.</w:t>
      </w:r>
      <w:r w:rsidR="002621D5" w:rsidRPr="002621D5">
        <w:rPr>
          <w:lang w:val="en-GB"/>
        </w:rPr>
        <w:t xml:space="preserve"> </w:t>
      </w:r>
      <w:r w:rsidR="002621D5">
        <w:rPr>
          <w:lang w:val="en-GB"/>
        </w:rPr>
        <w:t xml:space="preserve">Depending on the nature and complexity of the assessment the </w:t>
      </w:r>
      <w:r w:rsidR="00D91A22">
        <w:rPr>
          <w:lang w:val="en-GB"/>
        </w:rPr>
        <w:t>assessor</w:t>
      </w:r>
      <w:r w:rsidR="002621D5">
        <w:rPr>
          <w:lang w:val="en-GB"/>
        </w:rPr>
        <w:t xml:space="preserve"> may</w:t>
      </w:r>
      <w:r w:rsidR="003C6866">
        <w:rPr>
          <w:lang w:val="en-GB"/>
        </w:rPr>
        <w:t xml:space="preserve"> form a team </w:t>
      </w:r>
      <w:r w:rsidR="008E107C">
        <w:rPr>
          <w:lang w:val="en-GB"/>
        </w:rPr>
        <w:t xml:space="preserve">and </w:t>
      </w:r>
      <w:r w:rsidR="003C6866">
        <w:rPr>
          <w:lang w:val="en-GB"/>
        </w:rPr>
        <w:t xml:space="preserve">may </w:t>
      </w:r>
      <w:r w:rsidR="002621D5">
        <w:rPr>
          <w:lang w:val="en-GB"/>
        </w:rPr>
        <w:t xml:space="preserve">involve </w:t>
      </w:r>
      <w:r w:rsidR="002621D5" w:rsidRPr="00A72588">
        <w:rPr>
          <w:lang w:val="en-GB"/>
        </w:rPr>
        <w:t>technical and scientific</w:t>
      </w:r>
      <w:r w:rsidR="002621D5">
        <w:rPr>
          <w:lang w:val="en-GB"/>
        </w:rPr>
        <w:t xml:space="preserve"> </w:t>
      </w:r>
      <w:r w:rsidR="002621D5" w:rsidRPr="00A72588">
        <w:rPr>
          <w:lang w:val="en-GB"/>
        </w:rPr>
        <w:t>experts</w:t>
      </w:r>
      <w:r w:rsidR="002621D5">
        <w:rPr>
          <w:lang w:val="en-GB"/>
        </w:rPr>
        <w:t xml:space="preserve"> from other branches, advisory bodies, or in some cases external </w:t>
      </w:r>
      <w:r w:rsidR="0078550C">
        <w:rPr>
          <w:lang w:val="en-GB"/>
        </w:rPr>
        <w:t>consultants</w:t>
      </w:r>
      <w:r w:rsidR="002621D5">
        <w:rPr>
          <w:lang w:val="en-GB"/>
        </w:rPr>
        <w:t xml:space="preserve">. </w:t>
      </w:r>
    </w:p>
    <w:p w14:paraId="2DAF7ECC" w14:textId="5CD2F7CD" w:rsidR="00871759" w:rsidRDefault="00871759" w:rsidP="00871759">
      <w:pPr>
        <w:pStyle w:val="BodyText"/>
        <w:spacing w:before="240"/>
        <w:rPr>
          <w:lang w:val="en-GB"/>
        </w:rPr>
      </w:pPr>
      <w:r>
        <w:rPr>
          <w:lang w:val="en-GB"/>
        </w:rPr>
        <w:t xml:space="preserve">Assessments should be undertaken in a timely manner. In most cases a timeframe for review is agreed with the applicant </w:t>
      </w:r>
      <w:proofErr w:type="gramStart"/>
      <w:r>
        <w:rPr>
          <w:lang w:val="en-GB"/>
        </w:rPr>
        <w:t>taking into account</w:t>
      </w:r>
      <w:proofErr w:type="gramEnd"/>
      <w:r>
        <w:rPr>
          <w:lang w:val="en-GB"/>
        </w:rPr>
        <w:t xml:space="preserve"> existing priorities and the nature </w:t>
      </w:r>
      <w:r w:rsidR="00D028C8">
        <w:rPr>
          <w:lang w:val="en-GB"/>
        </w:rPr>
        <w:t xml:space="preserve">and complexity </w:t>
      </w:r>
      <w:r>
        <w:rPr>
          <w:lang w:val="en-GB"/>
        </w:rPr>
        <w:t xml:space="preserve">of the application.  The scope and depth of an assessment should not be influenced by time pressures that an applicant may seek to impose.  </w:t>
      </w:r>
    </w:p>
    <w:p w14:paraId="6CD85787" w14:textId="26F4D282" w:rsidR="00A05FDB" w:rsidRDefault="00871759" w:rsidP="00A862D2">
      <w:pPr>
        <w:pStyle w:val="BodyText"/>
        <w:spacing w:before="240"/>
        <w:rPr>
          <w:lang w:val="en-GB"/>
        </w:rPr>
      </w:pPr>
      <w:r>
        <w:rPr>
          <w:lang w:val="en-GB"/>
        </w:rPr>
        <w:t xml:space="preserve">It is expected that the submission has been independently reviewed and approved by the applicant’s </w:t>
      </w:r>
      <w:r w:rsidR="00E954FE">
        <w:rPr>
          <w:lang w:val="en-GB"/>
        </w:rPr>
        <w:t>internal assurance process (</w:t>
      </w:r>
      <w:r>
        <w:rPr>
          <w:lang w:val="en-GB"/>
        </w:rPr>
        <w:t>safety/security committee or equivalent</w:t>
      </w:r>
      <w:r w:rsidR="00E954FE">
        <w:rPr>
          <w:lang w:val="en-GB"/>
        </w:rPr>
        <w:t>)</w:t>
      </w:r>
      <w:r>
        <w:rPr>
          <w:lang w:val="en-GB"/>
        </w:rPr>
        <w:t xml:space="preserve">. </w:t>
      </w:r>
      <w:r w:rsidR="00A05FDB">
        <w:rPr>
          <w:lang w:val="en-GB"/>
        </w:rPr>
        <w:t xml:space="preserve">The </w:t>
      </w:r>
      <w:r w:rsidR="0092146E">
        <w:rPr>
          <w:lang w:val="en-GB"/>
        </w:rPr>
        <w:t xml:space="preserve">assessor </w:t>
      </w:r>
      <w:r w:rsidR="00A05FDB">
        <w:rPr>
          <w:lang w:val="en-GB"/>
        </w:rPr>
        <w:t>should consider the presentation of information and quality of the submission before commencing the assessment. Factors to consider include:</w:t>
      </w:r>
    </w:p>
    <w:p w14:paraId="11620C40" w14:textId="16598947" w:rsidR="00A05FDB" w:rsidRDefault="00A05FDB" w:rsidP="0064510A">
      <w:pPr>
        <w:pStyle w:val="BodyText"/>
        <w:numPr>
          <w:ilvl w:val="0"/>
          <w:numId w:val="52"/>
        </w:numPr>
        <w:spacing w:before="0"/>
        <w:rPr>
          <w:lang w:val="en-GB"/>
        </w:rPr>
      </w:pPr>
      <w:r>
        <w:rPr>
          <w:lang w:val="en-GB"/>
        </w:rPr>
        <w:t>Is it comprehensive, coherent, accurate and consistent?</w:t>
      </w:r>
    </w:p>
    <w:p w14:paraId="03F42CC2" w14:textId="212D7FEE" w:rsidR="00A05FDB" w:rsidRDefault="00A05FDB" w:rsidP="0064510A">
      <w:pPr>
        <w:pStyle w:val="BodyText"/>
        <w:numPr>
          <w:ilvl w:val="0"/>
          <w:numId w:val="52"/>
        </w:numPr>
        <w:spacing w:before="0"/>
        <w:rPr>
          <w:lang w:val="en-GB"/>
        </w:rPr>
      </w:pPr>
      <w:r>
        <w:rPr>
          <w:lang w:val="en-GB"/>
        </w:rPr>
        <w:t>If not, is the missing information or assumed prior knowledge already to hand?</w:t>
      </w:r>
    </w:p>
    <w:p w14:paraId="7EB31560" w14:textId="77777777" w:rsidR="00A05FDB" w:rsidRDefault="00A05FDB" w:rsidP="0064510A">
      <w:pPr>
        <w:pStyle w:val="BodyText"/>
        <w:numPr>
          <w:ilvl w:val="0"/>
          <w:numId w:val="52"/>
        </w:numPr>
        <w:spacing w:before="0"/>
        <w:rPr>
          <w:lang w:val="en-GB"/>
        </w:rPr>
      </w:pPr>
      <w:r>
        <w:rPr>
          <w:lang w:val="en-GB"/>
        </w:rPr>
        <w:t xml:space="preserve">Is there sufficient detail? </w:t>
      </w:r>
    </w:p>
    <w:p w14:paraId="69918C40" w14:textId="4EAF7D37" w:rsidR="00A05FDB" w:rsidRDefault="00A05FDB" w:rsidP="0064510A">
      <w:pPr>
        <w:pStyle w:val="BodyText"/>
        <w:numPr>
          <w:ilvl w:val="0"/>
          <w:numId w:val="52"/>
        </w:numPr>
        <w:spacing w:before="0"/>
        <w:rPr>
          <w:lang w:val="en-GB"/>
        </w:rPr>
      </w:pPr>
      <w:r>
        <w:rPr>
          <w:lang w:val="en-GB"/>
        </w:rPr>
        <w:t xml:space="preserve">Is it adequately structured? </w:t>
      </w:r>
    </w:p>
    <w:p w14:paraId="1AED35F8" w14:textId="7F8826CC" w:rsidR="00A05FDB" w:rsidRDefault="00A05FDB" w:rsidP="0064510A">
      <w:pPr>
        <w:pStyle w:val="BodyText"/>
        <w:numPr>
          <w:ilvl w:val="0"/>
          <w:numId w:val="52"/>
        </w:numPr>
        <w:spacing w:before="0"/>
        <w:rPr>
          <w:lang w:val="en-GB"/>
        </w:rPr>
      </w:pPr>
      <w:r>
        <w:rPr>
          <w:lang w:val="en-GB"/>
        </w:rPr>
        <w:t>If a staged submission does the information provided match the scope of the staged submission</w:t>
      </w:r>
      <w:r w:rsidR="000D2FF9">
        <w:rPr>
          <w:lang w:val="en-GB"/>
        </w:rPr>
        <w:t xml:space="preserve"> and </w:t>
      </w:r>
      <w:r w:rsidR="004B079E">
        <w:rPr>
          <w:lang w:val="en-GB"/>
        </w:rPr>
        <w:t>when</w:t>
      </w:r>
      <w:r w:rsidR="000D2FF9">
        <w:rPr>
          <w:lang w:val="en-GB"/>
        </w:rPr>
        <w:t xml:space="preserve"> relevant include sufficient information about subsequent stages to allow an informed judgement on the adequacy of the submission</w:t>
      </w:r>
      <w:r>
        <w:rPr>
          <w:lang w:val="en-GB"/>
        </w:rPr>
        <w:t>?</w:t>
      </w:r>
    </w:p>
    <w:p w14:paraId="65B88F6C" w14:textId="589D38D0" w:rsidR="00DE2C3E" w:rsidRDefault="00FB2E9C" w:rsidP="00871759">
      <w:pPr>
        <w:pStyle w:val="BodyText"/>
        <w:spacing w:before="240"/>
        <w:rPr>
          <w:lang w:val="en-GB"/>
        </w:rPr>
      </w:pPr>
      <w:r>
        <w:rPr>
          <w:lang w:val="en-GB"/>
        </w:rPr>
        <w:t xml:space="preserve">The review and assessment will evaluate the </w:t>
      </w:r>
      <w:r w:rsidR="00871759">
        <w:rPr>
          <w:lang w:val="en-GB"/>
        </w:rPr>
        <w:t>cla</w:t>
      </w:r>
      <w:r w:rsidR="008F5E18">
        <w:rPr>
          <w:lang w:val="en-GB"/>
        </w:rPr>
        <w:t>ims</w:t>
      </w:r>
      <w:r w:rsidR="00871759">
        <w:rPr>
          <w:lang w:val="en-GB"/>
        </w:rPr>
        <w:t>, arguments, and evidence</w:t>
      </w:r>
      <w:r>
        <w:rPr>
          <w:lang w:val="en-GB"/>
        </w:rPr>
        <w:t xml:space="preserve"> presented </w:t>
      </w:r>
      <w:r w:rsidR="00DE2C3E">
        <w:rPr>
          <w:lang w:val="en-GB"/>
        </w:rPr>
        <w:t>by the applicant</w:t>
      </w:r>
      <w:r w:rsidR="00871759">
        <w:rPr>
          <w:lang w:val="en-GB"/>
        </w:rPr>
        <w:t>. The cla</w:t>
      </w:r>
      <w:r w:rsidR="008F5E18">
        <w:rPr>
          <w:lang w:val="en-GB"/>
        </w:rPr>
        <w:t>ims</w:t>
      </w:r>
      <w:r w:rsidR="00871759">
        <w:rPr>
          <w:lang w:val="en-GB"/>
        </w:rPr>
        <w:t xml:space="preserve"> represent the applicant’s understanding of the safety and security objectives to be met. The evidence is the information and data to support the cla</w:t>
      </w:r>
      <w:r w:rsidR="008F5E18">
        <w:rPr>
          <w:lang w:val="en-GB"/>
        </w:rPr>
        <w:t>ims</w:t>
      </w:r>
      <w:r w:rsidR="00871759">
        <w:rPr>
          <w:lang w:val="en-GB"/>
        </w:rPr>
        <w:t>. The arguments link the evidence with the cla</w:t>
      </w:r>
      <w:r w:rsidR="008F5E18">
        <w:rPr>
          <w:lang w:val="en-GB"/>
        </w:rPr>
        <w:t>ims</w:t>
      </w:r>
      <w:r w:rsidR="00871759">
        <w:rPr>
          <w:lang w:val="en-GB"/>
        </w:rPr>
        <w:t xml:space="preserve"> to demonstrate that they have been met.</w:t>
      </w:r>
      <w:r w:rsidR="00DE2C3E">
        <w:rPr>
          <w:lang w:val="en-GB"/>
        </w:rPr>
        <w:t xml:space="preserve">  </w:t>
      </w:r>
    </w:p>
    <w:p w14:paraId="76C1ECB6" w14:textId="78CCDF50" w:rsidR="00871759" w:rsidRDefault="00871759" w:rsidP="00871759">
      <w:pPr>
        <w:pStyle w:val="BodyText"/>
        <w:spacing w:before="240"/>
        <w:rPr>
          <w:lang w:val="en-GB"/>
        </w:rPr>
      </w:pPr>
      <w:r>
        <w:rPr>
          <w:lang w:val="en-GB"/>
        </w:rPr>
        <w:t xml:space="preserve">A useful means of hastening the </w:t>
      </w:r>
      <w:r w:rsidR="00A43B3F">
        <w:rPr>
          <w:lang w:val="en-GB"/>
        </w:rPr>
        <w:t>assessor’s</w:t>
      </w:r>
      <w:r>
        <w:rPr>
          <w:lang w:val="en-GB"/>
        </w:rPr>
        <w:t xml:space="preserve"> understanding of complex submissions is by the applicant presenting its case to those who will undertake the assessment.  </w:t>
      </w:r>
    </w:p>
    <w:p w14:paraId="7EC09E2C" w14:textId="6A0F619C" w:rsidR="001F4868" w:rsidRPr="00A72588" w:rsidRDefault="00496037" w:rsidP="00496037">
      <w:pPr>
        <w:pStyle w:val="BodyText"/>
        <w:spacing w:before="240"/>
        <w:rPr>
          <w:lang w:val="en-GB"/>
        </w:rPr>
      </w:pPr>
      <w:r>
        <w:rPr>
          <w:lang w:val="en-GB"/>
        </w:rPr>
        <w:t xml:space="preserve">Guidance for applicants and expectations for the content of submissions is published in </w:t>
      </w:r>
      <w:hyperlink r:id="rId13" w:history="1">
        <w:r w:rsidRPr="00496037">
          <w:rPr>
            <w:rStyle w:val="Hyperlink"/>
            <w:lang w:val="en-GB"/>
          </w:rPr>
          <w:t>Regulatory Guides</w:t>
        </w:r>
      </w:hyperlink>
      <w:r>
        <w:rPr>
          <w:lang w:val="en-GB"/>
        </w:rPr>
        <w:t xml:space="preserve">. </w:t>
      </w:r>
      <w:r w:rsidR="00A43B3F">
        <w:rPr>
          <w:lang w:val="en-GB"/>
        </w:rPr>
        <w:t>Assessor</w:t>
      </w:r>
      <w:r w:rsidR="006A2337">
        <w:rPr>
          <w:lang w:val="en-GB"/>
        </w:rPr>
        <w:t xml:space="preserve">s should have a clear idea of the regulatory </w:t>
      </w:r>
      <w:r w:rsidR="00F02EFE">
        <w:rPr>
          <w:lang w:val="en-GB"/>
        </w:rPr>
        <w:t xml:space="preserve">requirements and </w:t>
      </w:r>
      <w:r w:rsidR="006A2337">
        <w:rPr>
          <w:lang w:val="en-GB"/>
        </w:rPr>
        <w:t>expectations for a particular submission. The</w:t>
      </w:r>
      <w:r w:rsidR="00D1659B">
        <w:rPr>
          <w:lang w:val="en-GB"/>
        </w:rPr>
        <w:t xml:space="preserve"> level of detail and depth of the review and assessment </w:t>
      </w:r>
      <w:r w:rsidR="006A2337">
        <w:rPr>
          <w:lang w:val="en-GB"/>
        </w:rPr>
        <w:t xml:space="preserve">should </w:t>
      </w:r>
      <w:r w:rsidR="00D1659B">
        <w:rPr>
          <w:lang w:val="en-GB"/>
        </w:rPr>
        <w:t>reflect</w:t>
      </w:r>
      <w:r w:rsidR="006A2337">
        <w:rPr>
          <w:lang w:val="en-GB"/>
        </w:rPr>
        <w:t xml:space="preserve"> the</w:t>
      </w:r>
      <w:r w:rsidR="00D1659B">
        <w:rPr>
          <w:lang w:val="en-GB"/>
        </w:rPr>
        <w:t xml:space="preserve"> hazard and </w:t>
      </w:r>
      <w:r w:rsidR="006A2337">
        <w:rPr>
          <w:lang w:val="en-GB"/>
        </w:rPr>
        <w:t xml:space="preserve">complexity of the facility or activity. </w:t>
      </w:r>
      <w:r w:rsidR="00F02EFE">
        <w:rPr>
          <w:lang w:val="en-GB"/>
        </w:rPr>
        <w:t>T</w:t>
      </w:r>
      <w:r w:rsidR="00F50FBA">
        <w:rPr>
          <w:lang w:val="en-GB"/>
        </w:rPr>
        <w:t>h</w:t>
      </w:r>
      <w:r w:rsidR="001F4868" w:rsidRPr="00A72588">
        <w:rPr>
          <w:lang w:val="en-GB"/>
        </w:rPr>
        <w:t xml:space="preserve">e </w:t>
      </w:r>
      <w:r w:rsidR="00F50FBA">
        <w:rPr>
          <w:lang w:val="en-GB"/>
        </w:rPr>
        <w:t>information necessary to conduct a comprehensive review</w:t>
      </w:r>
      <w:r w:rsidR="001F4868" w:rsidRPr="00A72588">
        <w:rPr>
          <w:lang w:val="en-GB"/>
        </w:rPr>
        <w:t xml:space="preserve"> </w:t>
      </w:r>
      <w:r w:rsidR="001527F3">
        <w:rPr>
          <w:lang w:val="en-GB"/>
        </w:rPr>
        <w:t xml:space="preserve">should be identified </w:t>
      </w:r>
      <w:r w:rsidR="001F4868" w:rsidRPr="00A72588">
        <w:rPr>
          <w:lang w:val="en-GB"/>
        </w:rPr>
        <w:t>including</w:t>
      </w:r>
      <w:r w:rsidR="00F7461F">
        <w:rPr>
          <w:lang w:val="en-GB"/>
        </w:rPr>
        <w:t xml:space="preserve"> the following (where relevant)</w:t>
      </w:r>
      <w:r w:rsidR="00F50FBA">
        <w:rPr>
          <w:lang w:val="en-GB"/>
        </w:rPr>
        <w:t>:</w:t>
      </w:r>
    </w:p>
    <w:p w14:paraId="3E80F80B" w14:textId="48DE4862" w:rsidR="001F4868" w:rsidRPr="001F4868" w:rsidRDefault="001F4868" w:rsidP="0064510A">
      <w:pPr>
        <w:pStyle w:val="BodyTextList"/>
        <w:numPr>
          <w:ilvl w:val="0"/>
          <w:numId w:val="49"/>
        </w:numPr>
        <w:tabs>
          <w:tab w:val="clear" w:pos="567"/>
          <w:tab w:val="left" w:pos="851"/>
        </w:tabs>
        <w:spacing w:before="0" w:after="0" w:line="276" w:lineRule="auto"/>
        <w:ind w:left="709" w:hanging="425"/>
        <w:rPr>
          <w:rFonts w:asciiTheme="minorHAnsi" w:hAnsiTheme="minorHAnsi" w:cstheme="minorHAnsi"/>
          <w:sz w:val="22"/>
          <w:szCs w:val="22"/>
        </w:rPr>
      </w:pPr>
      <w:r w:rsidRPr="001F4868">
        <w:rPr>
          <w:rFonts w:asciiTheme="minorHAnsi" w:hAnsiTheme="minorHAnsi" w:cstheme="minorHAnsi"/>
          <w:sz w:val="22"/>
          <w:szCs w:val="22"/>
        </w:rPr>
        <w:lastRenderedPageBreak/>
        <w:t xml:space="preserve">Legal and regulatory requirements, regulatory procedures </w:t>
      </w:r>
      <w:r w:rsidR="00E345AA">
        <w:rPr>
          <w:rFonts w:asciiTheme="minorHAnsi" w:hAnsiTheme="minorHAnsi" w:cstheme="minorHAnsi"/>
          <w:sz w:val="22"/>
          <w:szCs w:val="22"/>
        </w:rPr>
        <w:t xml:space="preserve">and </w:t>
      </w:r>
      <w:r w:rsidR="00E345AA" w:rsidRPr="001F4868">
        <w:rPr>
          <w:rFonts w:asciiTheme="minorHAnsi" w:hAnsiTheme="minorHAnsi" w:cstheme="minorHAnsi"/>
          <w:sz w:val="22"/>
          <w:szCs w:val="22"/>
        </w:rPr>
        <w:t xml:space="preserve">guidance </w:t>
      </w:r>
      <w:r w:rsidRPr="001F4868">
        <w:rPr>
          <w:rFonts w:asciiTheme="minorHAnsi" w:hAnsiTheme="minorHAnsi" w:cstheme="minorHAnsi"/>
          <w:sz w:val="22"/>
          <w:szCs w:val="22"/>
        </w:rPr>
        <w:t xml:space="preserve">specific to review and assessment </w:t>
      </w:r>
    </w:p>
    <w:p w14:paraId="74B893C9" w14:textId="71727F7C" w:rsidR="001F4868" w:rsidRPr="001F4868" w:rsidRDefault="001F4868" w:rsidP="0064510A">
      <w:pPr>
        <w:pStyle w:val="BodyTextList"/>
        <w:numPr>
          <w:ilvl w:val="0"/>
          <w:numId w:val="49"/>
        </w:numPr>
        <w:tabs>
          <w:tab w:val="clear" w:pos="567"/>
          <w:tab w:val="left" w:pos="851"/>
        </w:tabs>
        <w:spacing w:before="0" w:after="0" w:line="276" w:lineRule="auto"/>
        <w:ind w:left="709" w:hanging="425"/>
        <w:rPr>
          <w:rFonts w:asciiTheme="minorHAnsi" w:hAnsiTheme="minorHAnsi" w:cstheme="minorHAnsi"/>
          <w:sz w:val="22"/>
          <w:szCs w:val="22"/>
        </w:rPr>
      </w:pPr>
      <w:r w:rsidRPr="001F4868">
        <w:rPr>
          <w:rFonts w:asciiTheme="minorHAnsi" w:hAnsiTheme="minorHAnsi" w:cstheme="minorHAnsi"/>
          <w:sz w:val="22"/>
          <w:szCs w:val="22"/>
        </w:rPr>
        <w:t xml:space="preserve">Technical and other documents needed to assess compliance with regulatory requirements and the </w:t>
      </w:r>
      <w:r w:rsidR="00F7461F">
        <w:rPr>
          <w:rFonts w:asciiTheme="minorHAnsi" w:hAnsiTheme="minorHAnsi" w:cstheme="minorHAnsi"/>
          <w:sz w:val="22"/>
          <w:szCs w:val="22"/>
        </w:rPr>
        <w:t>licence</w:t>
      </w:r>
    </w:p>
    <w:p w14:paraId="680A8565" w14:textId="3DB3CABD" w:rsidR="001F4868" w:rsidRPr="001F4868" w:rsidRDefault="00F7461F" w:rsidP="0064510A">
      <w:pPr>
        <w:pStyle w:val="BodyTextList"/>
        <w:numPr>
          <w:ilvl w:val="0"/>
          <w:numId w:val="49"/>
        </w:numPr>
        <w:tabs>
          <w:tab w:val="clear" w:pos="567"/>
          <w:tab w:val="left" w:pos="851"/>
        </w:tabs>
        <w:spacing w:before="0" w:after="0" w:line="276" w:lineRule="auto"/>
        <w:ind w:left="709" w:hanging="425"/>
        <w:rPr>
          <w:rFonts w:asciiTheme="minorHAnsi" w:hAnsiTheme="minorHAnsi" w:cstheme="minorHAnsi"/>
          <w:sz w:val="22"/>
          <w:szCs w:val="22"/>
        </w:rPr>
      </w:pPr>
      <w:r>
        <w:rPr>
          <w:rFonts w:asciiTheme="minorHAnsi" w:hAnsiTheme="minorHAnsi" w:cstheme="minorHAnsi"/>
          <w:sz w:val="22"/>
          <w:szCs w:val="22"/>
        </w:rPr>
        <w:t>O</w:t>
      </w:r>
      <w:r w:rsidR="001F4868" w:rsidRPr="001F4868">
        <w:rPr>
          <w:rFonts w:asciiTheme="minorHAnsi" w:hAnsiTheme="minorHAnsi" w:cstheme="minorHAnsi"/>
          <w:sz w:val="22"/>
          <w:szCs w:val="22"/>
        </w:rPr>
        <w:t>ut</w:t>
      </w:r>
      <w:r>
        <w:rPr>
          <w:rFonts w:asciiTheme="minorHAnsi" w:hAnsiTheme="minorHAnsi" w:cstheme="minorHAnsi"/>
          <w:sz w:val="22"/>
          <w:szCs w:val="22"/>
        </w:rPr>
        <w:t xml:space="preserve">comes from </w:t>
      </w:r>
      <w:r w:rsidR="001F4868" w:rsidRPr="001F4868">
        <w:rPr>
          <w:rFonts w:asciiTheme="minorHAnsi" w:hAnsiTheme="minorHAnsi" w:cstheme="minorHAnsi"/>
          <w:sz w:val="22"/>
          <w:szCs w:val="22"/>
        </w:rPr>
        <w:t>other regulatory processes (e.g. inspection</w:t>
      </w:r>
      <w:r w:rsidR="001527F3">
        <w:rPr>
          <w:rFonts w:asciiTheme="minorHAnsi" w:hAnsiTheme="minorHAnsi" w:cstheme="minorHAnsi"/>
          <w:sz w:val="22"/>
          <w:szCs w:val="22"/>
        </w:rPr>
        <w:t>s</w:t>
      </w:r>
      <w:r w:rsidR="001F4868" w:rsidRPr="001F4868">
        <w:rPr>
          <w:rFonts w:asciiTheme="minorHAnsi" w:hAnsiTheme="minorHAnsi" w:cstheme="minorHAnsi"/>
          <w:sz w:val="22"/>
          <w:szCs w:val="22"/>
        </w:rPr>
        <w:t xml:space="preserve">, previous </w:t>
      </w:r>
      <w:r>
        <w:rPr>
          <w:rFonts w:asciiTheme="minorHAnsi" w:hAnsiTheme="minorHAnsi" w:cstheme="minorHAnsi"/>
          <w:sz w:val="22"/>
          <w:szCs w:val="22"/>
        </w:rPr>
        <w:t>assessment</w:t>
      </w:r>
      <w:r w:rsidR="001527F3">
        <w:rPr>
          <w:rFonts w:asciiTheme="minorHAnsi" w:hAnsiTheme="minorHAnsi" w:cstheme="minorHAnsi"/>
          <w:sz w:val="22"/>
          <w:szCs w:val="22"/>
        </w:rPr>
        <w:t>s</w:t>
      </w:r>
      <w:r w:rsidR="001F4868" w:rsidRPr="001F4868">
        <w:rPr>
          <w:rFonts w:asciiTheme="minorHAnsi" w:hAnsiTheme="minorHAnsi" w:cstheme="minorHAnsi"/>
          <w:sz w:val="22"/>
          <w:szCs w:val="22"/>
        </w:rPr>
        <w:t xml:space="preserve">) </w:t>
      </w:r>
    </w:p>
    <w:p w14:paraId="76AC6BCC" w14:textId="34E296B7" w:rsidR="001F4868" w:rsidRPr="001F4868" w:rsidRDefault="00194042" w:rsidP="0064510A">
      <w:pPr>
        <w:pStyle w:val="BodyTextList"/>
        <w:numPr>
          <w:ilvl w:val="0"/>
          <w:numId w:val="49"/>
        </w:numPr>
        <w:tabs>
          <w:tab w:val="clear" w:pos="567"/>
          <w:tab w:val="left" w:pos="851"/>
        </w:tabs>
        <w:spacing w:before="0" w:after="0" w:line="276" w:lineRule="auto"/>
        <w:ind w:left="709" w:hanging="425"/>
        <w:rPr>
          <w:rFonts w:asciiTheme="minorHAnsi" w:hAnsiTheme="minorHAnsi" w:cstheme="minorHAnsi"/>
          <w:sz w:val="22"/>
          <w:szCs w:val="22"/>
        </w:rPr>
      </w:pPr>
      <w:r>
        <w:rPr>
          <w:rFonts w:asciiTheme="minorHAnsi" w:hAnsiTheme="minorHAnsi" w:cstheme="minorHAnsi"/>
          <w:sz w:val="22"/>
          <w:szCs w:val="22"/>
        </w:rPr>
        <w:t>National and i</w:t>
      </w:r>
      <w:r w:rsidR="00803440">
        <w:rPr>
          <w:rFonts w:asciiTheme="minorHAnsi" w:hAnsiTheme="minorHAnsi" w:cstheme="minorHAnsi"/>
          <w:sz w:val="22"/>
          <w:szCs w:val="22"/>
        </w:rPr>
        <w:t xml:space="preserve">nternational best practice </w:t>
      </w:r>
      <w:r w:rsidR="0062617C">
        <w:rPr>
          <w:rFonts w:asciiTheme="minorHAnsi" w:hAnsiTheme="minorHAnsi" w:cstheme="minorHAnsi"/>
          <w:sz w:val="22"/>
          <w:szCs w:val="22"/>
        </w:rPr>
        <w:t xml:space="preserve">as demonstrated </w:t>
      </w:r>
      <w:r w:rsidR="001F4868" w:rsidRPr="001F4868">
        <w:rPr>
          <w:rFonts w:asciiTheme="minorHAnsi" w:hAnsiTheme="minorHAnsi" w:cstheme="minorHAnsi"/>
          <w:sz w:val="22"/>
          <w:szCs w:val="22"/>
        </w:rPr>
        <w:t>in standards</w:t>
      </w:r>
      <w:r w:rsidR="00F7461F">
        <w:rPr>
          <w:rFonts w:asciiTheme="minorHAnsi" w:hAnsiTheme="minorHAnsi" w:cstheme="minorHAnsi"/>
          <w:sz w:val="22"/>
          <w:szCs w:val="22"/>
        </w:rPr>
        <w:t xml:space="preserve">, </w:t>
      </w:r>
      <w:r w:rsidR="001527F3">
        <w:rPr>
          <w:rFonts w:asciiTheme="minorHAnsi" w:hAnsiTheme="minorHAnsi" w:cstheme="minorHAnsi"/>
          <w:sz w:val="22"/>
          <w:szCs w:val="22"/>
        </w:rPr>
        <w:t xml:space="preserve">guidance, </w:t>
      </w:r>
      <w:r w:rsidR="001F4868" w:rsidRPr="001F4868">
        <w:rPr>
          <w:rFonts w:asciiTheme="minorHAnsi" w:hAnsiTheme="minorHAnsi" w:cstheme="minorHAnsi"/>
          <w:sz w:val="22"/>
          <w:szCs w:val="22"/>
        </w:rPr>
        <w:t>research</w:t>
      </w:r>
      <w:r w:rsidR="00F7461F">
        <w:rPr>
          <w:rFonts w:asciiTheme="minorHAnsi" w:hAnsiTheme="minorHAnsi" w:cstheme="minorHAnsi"/>
          <w:sz w:val="22"/>
          <w:szCs w:val="22"/>
        </w:rPr>
        <w:t xml:space="preserve"> and technology</w:t>
      </w:r>
      <w:r w:rsidR="0062617C">
        <w:rPr>
          <w:rFonts w:asciiTheme="minorHAnsi" w:hAnsiTheme="minorHAnsi" w:cstheme="minorHAnsi"/>
          <w:sz w:val="22"/>
          <w:szCs w:val="22"/>
        </w:rPr>
        <w:t>, and in operational exper</w:t>
      </w:r>
      <w:r w:rsidR="00F93C04">
        <w:rPr>
          <w:rFonts w:asciiTheme="minorHAnsi" w:hAnsiTheme="minorHAnsi" w:cstheme="minorHAnsi"/>
          <w:sz w:val="22"/>
          <w:szCs w:val="22"/>
        </w:rPr>
        <w:t>ience with similar activities</w:t>
      </w:r>
      <w:r w:rsidR="00AB01DA">
        <w:rPr>
          <w:rFonts w:asciiTheme="minorHAnsi" w:hAnsiTheme="minorHAnsi" w:cstheme="minorHAnsi"/>
          <w:sz w:val="22"/>
          <w:szCs w:val="22"/>
        </w:rPr>
        <w:t>/</w:t>
      </w:r>
      <w:r w:rsidR="00F93C04">
        <w:rPr>
          <w:rFonts w:asciiTheme="minorHAnsi" w:hAnsiTheme="minorHAnsi" w:cstheme="minorHAnsi"/>
          <w:sz w:val="22"/>
          <w:szCs w:val="22"/>
        </w:rPr>
        <w:t>facilities</w:t>
      </w:r>
      <w:r w:rsidR="00634BC0">
        <w:rPr>
          <w:rFonts w:asciiTheme="minorHAnsi" w:hAnsiTheme="minorHAnsi" w:cstheme="minorHAnsi"/>
          <w:sz w:val="22"/>
          <w:szCs w:val="22"/>
        </w:rPr>
        <w:t>.</w:t>
      </w:r>
    </w:p>
    <w:p w14:paraId="312DF3D2" w14:textId="7C71EAC7" w:rsidR="00E823AC" w:rsidRDefault="007042F2" w:rsidP="00937235">
      <w:pPr>
        <w:pStyle w:val="BodyText"/>
        <w:spacing w:before="240"/>
        <w:rPr>
          <w:lang w:val="en-GB"/>
        </w:rPr>
      </w:pPr>
      <w:r>
        <w:rPr>
          <w:lang w:val="en-GB"/>
        </w:rPr>
        <w:t>Whe</w:t>
      </w:r>
      <w:r w:rsidR="002C6740">
        <w:rPr>
          <w:lang w:val="en-GB"/>
        </w:rPr>
        <w:t>n</w:t>
      </w:r>
      <w:r>
        <w:rPr>
          <w:lang w:val="en-GB"/>
        </w:rPr>
        <w:t xml:space="preserve"> </w:t>
      </w:r>
      <w:r w:rsidR="00E823AC">
        <w:rPr>
          <w:lang w:val="en-GB"/>
        </w:rPr>
        <w:t xml:space="preserve">there is an assessment </w:t>
      </w:r>
      <w:r>
        <w:rPr>
          <w:lang w:val="en-GB"/>
        </w:rPr>
        <w:t>team there</w:t>
      </w:r>
      <w:r w:rsidR="002C6740">
        <w:rPr>
          <w:lang w:val="en-GB"/>
        </w:rPr>
        <w:t xml:space="preserve"> should be a clear assessment plan.  With multiple assessors there</w:t>
      </w:r>
      <w:r>
        <w:rPr>
          <w:lang w:val="en-GB"/>
        </w:rPr>
        <w:t xml:space="preserve"> is potential for assessment gaps or duplication to occur so there should be a clear assignment of responsibilities</w:t>
      </w:r>
      <w:r w:rsidR="00E823AC">
        <w:rPr>
          <w:lang w:val="en-GB"/>
        </w:rPr>
        <w:t xml:space="preserve"> </w:t>
      </w:r>
      <w:r w:rsidR="00090E83">
        <w:rPr>
          <w:lang w:val="en-GB"/>
        </w:rPr>
        <w:t xml:space="preserve">to ensure comprehensive coverage of all </w:t>
      </w:r>
      <w:r w:rsidR="002C6740">
        <w:rPr>
          <w:lang w:val="en-GB"/>
        </w:rPr>
        <w:t>requirements</w:t>
      </w:r>
      <w:r w:rsidR="00090E83">
        <w:rPr>
          <w:lang w:val="en-GB"/>
        </w:rPr>
        <w:t xml:space="preserve">. </w:t>
      </w:r>
      <w:r w:rsidR="002C6740">
        <w:rPr>
          <w:lang w:val="en-GB"/>
        </w:rPr>
        <w:t xml:space="preserve"> </w:t>
      </w:r>
      <w:r w:rsidR="00EE069A">
        <w:rPr>
          <w:lang w:val="en-GB"/>
        </w:rPr>
        <w:t>For complex applications and/or applications involving high hazard</w:t>
      </w:r>
      <w:r w:rsidR="007B045B">
        <w:rPr>
          <w:lang w:val="en-GB"/>
        </w:rPr>
        <w:t xml:space="preserve"> activities</w:t>
      </w:r>
      <w:r w:rsidR="00EE069A">
        <w:rPr>
          <w:lang w:val="en-GB"/>
        </w:rPr>
        <w:t xml:space="preserve"> a project may be formally established under ARPANSA’s project management</w:t>
      </w:r>
      <w:r w:rsidR="00C32F6A" w:rsidRPr="00C32F6A">
        <w:rPr>
          <w:lang w:val="en-GB"/>
        </w:rPr>
        <w:t xml:space="preserve"> </w:t>
      </w:r>
      <w:r w:rsidR="00C32F6A">
        <w:rPr>
          <w:lang w:val="en-GB"/>
        </w:rPr>
        <w:t>framework</w:t>
      </w:r>
      <w:r w:rsidR="004B72AA">
        <w:rPr>
          <w:lang w:val="en-GB"/>
        </w:rPr>
        <w:t>.</w:t>
      </w:r>
      <w:r w:rsidR="00EE069A">
        <w:rPr>
          <w:lang w:val="en-GB"/>
        </w:rPr>
        <w:t xml:space="preserve"> </w:t>
      </w:r>
      <w:r w:rsidR="004B72AA" w:rsidRPr="00A72588">
        <w:rPr>
          <w:lang w:val="en-GB"/>
        </w:rPr>
        <w:t xml:space="preserve">Confidential information such as that in the security plan </w:t>
      </w:r>
      <w:r w:rsidR="004B72AA">
        <w:rPr>
          <w:lang w:val="en-GB"/>
        </w:rPr>
        <w:t>must</w:t>
      </w:r>
      <w:r w:rsidR="004B72AA" w:rsidRPr="00A72588">
        <w:rPr>
          <w:lang w:val="en-GB"/>
        </w:rPr>
        <w:t xml:space="preserve"> be managed in accordance with </w:t>
      </w:r>
      <w:r w:rsidR="004B72AA">
        <w:rPr>
          <w:lang w:val="en-GB"/>
        </w:rPr>
        <w:t>the Australian Protective Security and Policy Framework (PSPF)</w:t>
      </w:r>
      <w:r w:rsidR="004B72AA" w:rsidRPr="00A72588">
        <w:rPr>
          <w:lang w:val="en-GB"/>
        </w:rPr>
        <w:t>.</w:t>
      </w:r>
      <w:r w:rsidR="004B72AA" w:rsidRPr="007333B3">
        <w:rPr>
          <w:lang w:val="en-GB"/>
        </w:rPr>
        <w:t xml:space="preserve"> </w:t>
      </w:r>
      <w:r w:rsidR="002C6740">
        <w:rPr>
          <w:lang w:val="en-GB"/>
        </w:rPr>
        <w:t xml:space="preserve">The assessment plan should include identification of </w:t>
      </w:r>
      <w:r w:rsidR="00090E83">
        <w:rPr>
          <w:lang w:val="en-GB"/>
        </w:rPr>
        <w:t>the following:</w:t>
      </w:r>
    </w:p>
    <w:p w14:paraId="6C63F797" w14:textId="627F27F8" w:rsidR="007042F2" w:rsidRDefault="00E823AC" w:rsidP="0064510A">
      <w:pPr>
        <w:pStyle w:val="BodyText"/>
        <w:numPr>
          <w:ilvl w:val="0"/>
          <w:numId w:val="53"/>
        </w:numPr>
        <w:spacing w:before="240"/>
        <w:rPr>
          <w:lang w:val="en-GB"/>
        </w:rPr>
      </w:pPr>
      <w:r>
        <w:rPr>
          <w:lang w:val="en-GB"/>
        </w:rPr>
        <w:t>Any likely interfaces between specialist assessments (</w:t>
      </w:r>
      <w:proofErr w:type="gramStart"/>
      <w:r w:rsidR="00280530">
        <w:rPr>
          <w:lang w:val="en-GB"/>
        </w:rPr>
        <w:t>e.g.</w:t>
      </w:r>
      <w:proofErr w:type="gramEnd"/>
      <w:r>
        <w:rPr>
          <w:lang w:val="en-GB"/>
        </w:rPr>
        <w:t xml:space="preserve"> safety </w:t>
      </w:r>
      <w:r w:rsidR="00282488">
        <w:rPr>
          <w:lang w:val="en-GB"/>
        </w:rPr>
        <w:t xml:space="preserve">and </w:t>
      </w:r>
      <w:r>
        <w:rPr>
          <w:lang w:val="en-GB"/>
        </w:rPr>
        <w:t>security) and a clear plan to manage them</w:t>
      </w:r>
    </w:p>
    <w:p w14:paraId="001AAA05" w14:textId="2BD32B18" w:rsidR="00E823AC" w:rsidRDefault="00E823AC" w:rsidP="0064510A">
      <w:pPr>
        <w:pStyle w:val="BodyText"/>
        <w:numPr>
          <w:ilvl w:val="0"/>
          <w:numId w:val="53"/>
        </w:numPr>
        <w:spacing w:before="120"/>
        <w:rPr>
          <w:lang w:val="en-GB"/>
        </w:rPr>
      </w:pPr>
      <w:r>
        <w:rPr>
          <w:lang w:val="en-GB"/>
        </w:rPr>
        <w:t xml:space="preserve">Interfaces with the applicant and who is the primary point of contact </w:t>
      </w:r>
    </w:p>
    <w:p w14:paraId="36B627CD" w14:textId="4540A67F" w:rsidR="00E823AC" w:rsidRDefault="00E823AC" w:rsidP="0064510A">
      <w:pPr>
        <w:pStyle w:val="BodyText"/>
        <w:numPr>
          <w:ilvl w:val="0"/>
          <w:numId w:val="53"/>
        </w:numPr>
        <w:spacing w:before="0" w:after="0"/>
        <w:rPr>
          <w:lang w:val="en-GB"/>
        </w:rPr>
      </w:pPr>
      <w:r>
        <w:rPr>
          <w:lang w:val="en-GB"/>
        </w:rPr>
        <w:t>Any interfaces with other regulatory bodies and an understanding of the scope of their remit</w:t>
      </w:r>
    </w:p>
    <w:p w14:paraId="565ABD47" w14:textId="2786FA46" w:rsidR="00413594" w:rsidRDefault="007333B3" w:rsidP="00937235">
      <w:pPr>
        <w:pStyle w:val="BodyText"/>
        <w:spacing w:before="240"/>
        <w:rPr>
          <w:lang w:val="en-GB"/>
        </w:rPr>
      </w:pPr>
      <w:r>
        <w:rPr>
          <w:lang w:val="en-GB"/>
        </w:rPr>
        <w:t xml:space="preserve">Additional information is requested where </w:t>
      </w:r>
      <w:r w:rsidR="00CA347A">
        <w:rPr>
          <w:lang w:val="en-GB"/>
        </w:rPr>
        <w:t xml:space="preserve">necessary </w:t>
      </w:r>
      <w:r w:rsidR="00937235">
        <w:rPr>
          <w:lang w:val="en-GB"/>
        </w:rPr>
        <w:t xml:space="preserve">to </w:t>
      </w:r>
      <w:r w:rsidR="001527F3">
        <w:rPr>
          <w:lang w:val="en-GB"/>
        </w:rPr>
        <w:t xml:space="preserve">clarify issues and to </w:t>
      </w:r>
      <w:r w:rsidR="00937235">
        <w:rPr>
          <w:lang w:val="en-GB"/>
        </w:rPr>
        <w:t>confirm cla</w:t>
      </w:r>
      <w:r w:rsidR="000D330A">
        <w:rPr>
          <w:lang w:val="en-GB"/>
        </w:rPr>
        <w:t>ims</w:t>
      </w:r>
      <w:r w:rsidR="00937235">
        <w:rPr>
          <w:lang w:val="en-GB"/>
        </w:rPr>
        <w:t xml:space="preserve"> and arguments.</w:t>
      </w:r>
      <w:r w:rsidR="00413594">
        <w:rPr>
          <w:lang w:val="en-GB"/>
        </w:rPr>
        <w:t xml:space="preserve"> Applicants may seek advice or assistance with respect to what needs to be done to satisfy the reviewer’s concerns.  Licence holders/applicants are responsible for managing safety and security. </w:t>
      </w:r>
      <w:r w:rsidR="00CA347A">
        <w:rPr>
          <w:lang w:val="en-GB"/>
        </w:rPr>
        <w:t>A</w:t>
      </w:r>
      <w:r w:rsidR="000D330A">
        <w:rPr>
          <w:lang w:val="en-GB"/>
        </w:rPr>
        <w:t>ssessor</w:t>
      </w:r>
      <w:r w:rsidR="0048015C">
        <w:rPr>
          <w:lang w:val="en-GB"/>
        </w:rPr>
        <w:t>s</w:t>
      </w:r>
      <w:r w:rsidR="00413594">
        <w:rPr>
          <w:lang w:val="en-GB"/>
        </w:rPr>
        <w:t xml:space="preserve"> should</w:t>
      </w:r>
      <w:r w:rsidR="00093B74">
        <w:rPr>
          <w:lang w:val="en-GB"/>
        </w:rPr>
        <w:t xml:space="preserve"> therefore</w:t>
      </w:r>
      <w:r w:rsidR="00413594">
        <w:rPr>
          <w:lang w:val="en-GB"/>
        </w:rPr>
        <w:t xml:space="preserve"> be mindful that any advice </w:t>
      </w:r>
      <w:r w:rsidR="00285E32">
        <w:rPr>
          <w:lang w:val="en-GB"/>
        </w:rPr>
        <w:t xml:space="preserve">they provide </w:t>
      </w:r>
      <w:r w:rsidR="00413594">
        <w:rPr>
          <w:lang w:val="en-GB"/>
        </w:rPr>
        <w:t>should not be prescriptive</w:t>
      </w:r>
      <w:r w:rsidR="00285E32">
        <w:rPr>
          <w:lang w:val="en-GB"/>
        </w:rPr>
        <w:t xml:space="preserve"> and </w:t>
      </w:r>
      <w:r w:rsidR="00413594">
        <w:rPr>
          <w:lang w:val="en-GB"/>
        </w:rPr>
        <w:t>any solution should be ‘owned’ by the applicant</w:t>
      </w:r>
      <w:r w:rsidR="00093B74">
        <w:rPr>
          <w:lang w:val="en-GB"/>
        </w:rPr>
        <w:t>.</w:t>
      </w:r>
      <w:r w:rsidR="00413594">
        <w:rPr>
          <w:lang w:val="en-GB"/>
        </w:rPr>
        <w:t xml:space="preserve">    </w:t>
      </w:r>
      <w:r w:rsidR="00937235">
        <w:rPr>
          <w:lang w:val="en-GB"/>
        </w:rPr>
        <w:t xml:space="preserve"> </w:t>
      </w:r>
    </w:p>
    <w:p w14:paraId="7AC6A2FD" w14:textId="2CD57077" w:rsidR="002D06CD" w:rsidRDefault="002D06CD" w:rsidP="00937235">
      <w:pPr>
        <w:pStyle w:val="BodyText"/>
        <w:spacing w:before="240"/>
        <w:rPr>
          <w:lang w:val="en-GB"/>
        </w:rPr>
      </w:pPr>
      <w:r>
        <w:rPr>
          <w:lang w:val="en-GB"/>
        </w:rPr>
        <w:t>A</w:t>
      </w:r>
      <w:r w:rsidR="006153DE">
        <w:rPr>
          <w:lang w:val="en-GB"/>
        </w:rPr>
        <w:t>reas of regulatory concern</w:t>
      </w:r>
      <w:r w:rsidR="007706F6">
        <w:rPr>
          <w:lang w:val="en-GB"/>
        </w:rPr>
        <w:t xml:space="preserve">/opportunities for improvement </w:t>
      </w:r>
      <w:r w:rsidR="006153DE">
        <w:rPr>
          <w:lang w:val="en-GB"/>
        </w:rPr>
        <w:t xml:space="preserve">may be identified during an assessment.  These may require </w:t>
      </w:r>
      <w:r w:rsidR="00560B94">
        <w:rPr>
          <w:lang w:val="en-GB"/>
        </w:rPr>
        <w:t xml:space="preserve">considerable interaction with the applicant to influence </w:t>
      </w:r>
      <w:r w:rsidR="00DA559A">
        <w:rPr>
          <w:lang w:val="en-GB"/>
        </w:rPr>
        <w:t xml:space="preserve">the </w:t>
      </w:r>
      <w:r w:rsidR="00560B94">
        <w:rPr>
          <w:lang w:val="en-GB"/>
        </w:rPr>
        <w:t xml:space="preserve">improvements </w:t>
      </w:r>
      <w:r w:rsidR="0043761D">
        <w:rPr>
          <w:lang w:val="en-GB"/>
        </w:rPr>
        <w:t>necessary</w:t>
      </w:r>
      <w:r w:rsidR="00560B94">
        <w:rPr>
          <w:lang w:val="en-GB"/>
        </w:rPr>
        <w:t xml:space="preserve"> to address shortfalls in the submission.  In some </w:t>
      </w:r>
      <w:proofErr w:type="gramStart"/>
      <w:r w:rsidR="00560B94">
        <w:rPr>
          <w:lang w:val="en-GB"/>
        </w:rPr>
        <w:t>cases</w:t>
      </w:r>
      <w:proofErr w:type="gramEnd"/>
      <w:r w:rsidR="00560B94">
        <w:rPr>
          <w:lang w:val="en-GB"/>
        </w:rPr>
        <w:t xml:space="preserve"> it may be necessary for improvements to be in place before a decision can be made.  In other </w:t>
      </w:r>
      <w:proofErr w:type="gramStart"/>
      <w:r w:rsidR="00560B94">
        <w:rPr>
          <w:lang w:val="en-GB"/>
        </w:rPr>
        <w:t>cases</w:t>
      </w:r>
      <w:proofErr w:type="gramEnd"/>
      <w:r w:rsidR="00560B94">
        <w:rPr>
          <w:lang w:val="en-GB"/>
        </w:rPr>
        <w:t xml:space="preserve"> it may be appropriate for the applicant to develop an action plan to address the issues in an agreed timeframe.</w:t>
      </w:r>
      <w:r>
        <w:rPr>
          <w:lang w:val="en-GB"/>
        </w:rPr>
        <w:t xml:space="preserve">  </w:t>
      </w:r>
    </w:p>
    <w:p w14:paraId="44C6F4C3" w14:textId="15D3D3B5" w:rsidR="006153DE" w:rsidRDefault="002D06CD" w:rsidP="00937235">
      <w:pPr>
        <w:pStyle w:val="BodyText"/>
        <w:spacing w:before="240"/>
        <w:rPr>
          <w:lang w:val="en-GB"/>
        </w:rPr>
      </w:pPr>
      <w:r>
        <w:rPr>
          <w:lang w:val="en-GB"/>
        </w:rPr>
        <w:t>To ensure a balanced assessment</w:t>
      </w:r>
      <w:r w:rsidR="00FA7B6F">
        <w:rPr>
          <w:lang w:val="en-GB"/>
        </w:rPr>
        <w:t>,</w:t>
      </w:r>
      <w:r>
        <w:rPr>
          <w:lang w:val="en-GB"/>
        </w:rPr>
        <w:t xml:space="preserve"> good practices should be identified and highlighted where they present learning opportunities for other applicants/licence holders. </w:t>
      </w:r>
      <w:r w:rsidR="00560B94">
        <w:rPr>
          <w:lang w:val="en-GB"/>
        </w:rPr>
        <w:t xml:space="preserve"> </w:t>
      </w:r>
      <w:r w:rsidR="006153DE">
        <w:rPr>
          <w:lang w:val="en-GB"/>
        </w:rPr>
        <w:t xml:space="preserve"> </w:t>
      </w:r>
    </w:p>
    <w:p w14:paraId="07928F45" w14:textId="58276C46" w:rsidR="001F4868" w:rsidRPr="00A72588" w:rsidRDefault="00413594" w:rsidP="001D1AE3">
      <w:pPr>
        <w:pStyle w:val="BodyText"/>
        <w:rPr>
          <w:lang w:val="en-GB"/>
        </w:rPr>
      </w:pPr>
      <w:r>
        <w:rPr>
          <w:lang w:val="en-GB"/>
        </w:rPr>
        <w:t xml:space="preserve">Site visits </w:t>
      </w:r>
      <w:r w:rsidR="006153DE">
        <w:rPr>
          <w:lang w:val="en-GB"/>
        </w:rPr>
        <w:t>and meetings ma</w:t>
      </w:r>
      <w:r>
        <w:rPr>
          <w:lang w:val="en-GB"/>
        </w:rPr>
        <w:t xml:space="preserve">y be </w:t>
      </w:r>
      <w:r w:rsidR="006153DE">
        <w:rPr>
          <w:lang w:val="en-GB"/>
        </w:rPr>
        <w:t>useful to supplement the written submission</w:t>
      </w:r>
      <w:r w:rsidR="00B26D2E">
        <w:rPr>
          <w:lang w:val="en-GB"/>
        </w:rPr>
        <w:t xml:space="preserve"> and verify that procedures and practices match the cla</w:t>
      </w:r>
      <w:r w:rsidR="000D330A">
        <w:rPr>
          <w:lang w:val="en-GB"/>
        </w:rPr>
        <w:t>ims</w:t>
      </w:r>
      <w:r w:rsidR="00B26D2E">
        <w:rPr>
          <w:lang w:val="en-GB"/>
        </w:rPr>
        <w:t xml:space="preserve"> in the</w:t>
      </w:r>
      <w:r w:rsidR="00EC4166">
        <w:rPr>
          <w:lang w:val="en-GB"/>
        </w:rPr>
        <w:t xml:space="preserve"> application</w:t>
      </w:r>
      <w:r w:rsidR="00B26D2E">
        <w:rPr>
          <w:lang w:val="en-GB"/>
        </w:rPr>
        <w:t xml:space="preserve">. </w:t>
      </w:r>
      <w:r w:rsidR="002A18B3">
        <w:rPr>
          <w:lang w:val="en-GB"/>
        </w:rPr>
        <w:t xml:space="preserve"> </w:t>
      </w:r>
      <w:r w:rsidR="001968C8">
        <w:rPr>
          <w:lang w:val="en-GB"/>
        </w:rPr>
        <w:t xml:space="preserve">They provide an opportunity for assessors to extend their understanding of the managerial, </w:t>
      </w:r>
      <w:proofErr w:type="gramStart"/>
      <w:r w:rsidR="001968C8">
        <w:rPr>
          <w:lang w:val="en-GB"/>
        </w:rPr>
        <w:t>engineering</w:t>
      </w:r>
      <w:proofErr w:type="gramEnd"/>
      <w:r w:rsidR="001968C8">
        <w:rPr>
          <w:lang w:val="en-GB"/>
        </w:rPr>
        <w:t xml:space="preserve"> and operational aspects of the facility or activity. </w:t>
      </w:r>
      <w:r w:rsidR="006153DE">
        <w:rPr>
          <w:lang w:val="en-GB"/>
        </w:rPr>
        <w:t xml:space="preserve">A site visit is </w:t>
      </w:r>
      <w:r w:rsidR="00B26D2E">
        <w:rPr>
          <w:lang w:val="en-GB"/>
        </w:rPr>
        <w:t xml:space="preserve">recommended </w:t>
      </w:r>
      <w:r>
        <w:rPr>
          <w:lang w:val="en-GB"/>
        </w:rPr>
        <w:t xml:space="preserve">where there are </w:t>
      </w:r>
      <w:r w:rsidRPr="00A72588">
        <w:rPr>
          <w:lang w:val="en-GB"/>
        </w:rPr>
        <w:t>significant safety or security risk</w:t>
      </w:r>
      <w:r>
        <w:rPr>
          <w:lang w:val="en-GB"/>
        </w:rPr>
        <w:t>s</w:t>
      </w:r>
      <w:r w:rsidRPr="00A72588">
        <w:rPr>
          <w:lang w:val="en-GB"/>
        </w:rPr>
        <w:t xml:space="preserve"> </w:t>
      </w:r>
      <w:r>
        <w:rPr>
          <w:lang w:val="en-GB"/>
        </w:rPr>
        <w:t xml:space="preserve">and for </w:t>
      </w:r>
      <w:r w:rsidRPr="00A72588">
        <w:rPr>
          <w:lang w:val="en-GB"/>
        </w:rPr>
        <w:t xml:space="preserve">unusual or complex </w:t>
      </w:r>
      <w:r w:rsidR="006153DE">
        <w:rPr>
          <w:lang w:val="en-GB"/>
        </w:rPr>
        <w:t>facilities or activities</w:t>
      </w:r>
      <w:r w:rsidRPr="00A72588">
        <w:rPr>
          <w:lang w:val="en-GB"/>
        </w:rPr>
        <w:t>.</w:t>
      </w:r>
      <w:r>
        <w:rPr>
          <w:lang w:val="en-GB"/>
        </w:rPr>
        <w:t xml:space="preserve"> Any verbal information provided during site visits or meetings should </w:t>
      </w:r>
      <w:r w:rsidR="00B26D2E">
        <w:rPr>
          <w:lang w:val="en-GB"/>
        </w:rPr>
        <w:t xml:space="preserve">subsequently be </w:t>
      </w:r>
      <w:r>
        <w:rPr>
          <w:lang w:val="en-GB"/>
        </w:rPr>
        <w:t xml:space="preserve">confirmed by supporting evidence. </w:t>
      </w:r>
      <w:r w:rsidR="006153DE">
        <w:rPr>
          <w:lang w:val="en-GB"/>
        </w:rPr>
        <w:t>The outcomes of site visits should be recorded</w:t>
      </w:r>
      <w:r w:rsidR="00F61675">
        <w:rPr>
          <w:lang w:val="en-GB"/>
        </w:rPr>
        <w:t xml:space="preserve"> using the appropriate report template</w:t>
      </w:r>
      <w:r w:rsidR="006153DE">
        <w:rPr>
          <w:lang w:val="en-GB"/>
        </w:rPr>
        <w:t xml:space="preserve">.   </w:t>
      </w:r>
    </w:p>
    <w:p w14:paraId="42666DD3" w14:textId="078E2619" w:rsidR="00050520" w:rsidRDefault="006153DE" w:rsidP="001D1AE3">
      <w:pPr>
        <w:pStyle w:val="BodyText"/>
        <w:rPr>
          <w:lang w:val="en-GB"/>
        </w:rPr>
      </w:pPr>
      <w:r>
        <w:rPr>
          <w:lang w:val="en-GB"/>
        </w:rPr>
        <w:t xml:space="preserve">Details of the </w:t>
      </w:r>
      <w:r w:rsidR="007333B3">
        <w:rPr>
          <w:lang w:val="en-GB"/>
        </w:rPr>
        <w:t>assessment are recorded in a regulatory assessment report (RAR)</w:t>
      </w:r>
      <w:r>
        <w:rPr>
          <w:lang w:val="en-GB"/>
        </w:rPr>
        <w:t xml:space="preserve">; relevant </w:t>
      </w:r>
      <w:r w:rsidR="007333B3">
        <w:rPr>
          <w:lang w:val="en-GB"/>
        </w:rPr>
        <w:t xml:space="preserve">templates </w:t>
      </w:r>
      <w:r>
        <w:rPr>
          <w:lang w:val="en-GB"/>
        </w:rPr>
        <w:t xml:space="preserve">for this purpose </w:t>
      </w:r>
      <w:r w:rsidR="007333B3">
        <w:rPr>
          <w:lang w:val="en-GB"/>
        </w:rPr>
        <w:t xml:space="preserve">are available in the </w:t>
      </w:r>
      <w:r w:rsidR="00603349">
        <w:rPr>
          <w:lang w:val="en-GB"/>
        </w:rPr>
        <w:t>ARPANSA Management System (A</w:t>
      </w:r>
      <w:r w:rsidR="007333B3">
        <w:rPr>
          <w:lang w:val="en-GB"/>
        </w:rPr>
        <w:t>MS</w:t>
      </w:r>
      <w:r w:rsidR="00603349">
        <w:rPr>
          <w:lang w:val="en-GB"/>
        </w:rPr>
        <w:t>)</w:t>
      </w:r>
      <w:r w:rsidR="007333B3">
        <w:rPr>
          <w:lang w:val="en-GB"/>
        </w:rPr>
        <w:t>.</w:t>
      </w:r>
      <w:r w:rsidR="00CA0DC9">
        <w:rPr>
          <w:lang w:val="en-GB"/>
        </w:rPr>
        <w:t xml:space="preserve">  </w:t>
      </w:r>
      <w:r>
        <w:rPr>
          <w:lang w:val="en-GB"/>
        </w:rPr>
        <w:t xml:space="preserve">The RAR provides the basis for any conclusions and recommendations to the decision maker (either the CEO or </w:t>
      </w:r>
      <w:r w:rsidR="00CA0DC9">
        <w:rPr>
          <w:lang w:val="en-GB"/>
        </w:rPr>
        <w:t>delegate</w:t>
      </w:r>
      <w:r>
        <w:rPr>
          <w:lang w:val="en-GB"/>
        </w:rPr>
        <w:t xml:space="preserve">).  </w:t>
      </w:r>
    </w:p>
    <w:p w14:paraId="41948F4E" w14:textId="17A8D0FE" w:rsidR="00C358A0" w:rsidRDefault="00C358A0" w:rsidP="001D1AE3">
      <w:pPr>
        <w:pStyle w:val="BodyText"/>
        <w:rPr>
          <w:lang w:val="en-GB"/>
        </w:rPr>
      </w:pPr>
      <w:r>
        <w:rPr>
          <w:lang w:val="en-GB"/>
        </w:rPr>
        <w:lastRenderedPageBreak/>
        <w:t xml:space="preserve">The basis for major licensing decisions made </w:t>
      </w:r>
      <w:r w:rsidR="002C7FD7">
        <w:rPr>
          <w:lang w:val="en-GB"/>
        </w:rPr>
        <w:t xml:space="preserve">by the CEO </w:t>
      </w:r>
      <w:r>
        <w:rPr>
          <w:lang w:val="en-GB"/>
        </w:rPr>
        <w:t xml:space="preserve">with respect to a nuclear installation or other significant facility is documented in </w:t>
      </w:r>
      <w:r w:rsidR="00524B38">
        <w:rPr>
          <w:lang w:val="en-GB"/>
        </w:rPr>
        <w:t xml:space="preserve">a </w:t>
      </w:r>
      <w:r w:rsidRPr="00C358A0">
        <w:rPr>
          <w:i/>
          <w:lang w:val="en-GB"/>
        </w:rPr>
        <w:t>Statement of Reasons</w:t>
      </w:r>
      <w:r>
        <w:rPr>
          <w:lang w:val="en-GB"/>
        </w:rPr>
        <w:t xml:space="preserve"> and published on the website. </w:t>
      </w:r>
    </w:p>
    <w:p w14:paraId="27F90094" w14:textId="31ADC85F" w:rsidR="00050520" w:rsidRDefault="00050520" w:rsidP="001D1AE3">
      <w:pPr>
        <w:pStyle w:val="BodyText"/>
        <w:rPr>
          <w:lang w:val="en-GB"/>
        </w:rPr>
      </w:pPr>
      <w:r>
        <w:rPr>
          <w:lang w:val="en-GB"/>
        </w:rPr>
        <w:t xml:space="preserve">After the completion of major applications there should be a review to discuss lessons learned for the future and how the processes can be improved.  </w:t>
      </w:r>
      <w:r w:rsidR="001F56DA">
        <w:rPr>
          <w:lang w:val="en-GB"/>
        </w:rPr>
        <w:t xml:space="preserve">The results of such reviews should be </w:t>
      </w:r>
      <w:proofErr w:type="gramStart"/>
      <w:r w:rsidR="009200C1">
        <w:rPr>
          <w:lang w:val="en-GB"/>
        </w:rPr>
        <w:t>recorded</w:t>
      </w:r>
      <w:proofErr w:type="gramEnd"/>
      <w:r w:rsidR="009200C1">
        <w:rPr>
          <w:lang w:val="en-GB"/>
        </w:rPr>
        <w:t xml:space="preserve"> and documents updated accordingly. </w:t>
      </w:r>
    </w:p>
    <w:p w14:paraId="77F2E4E2" w14:textId="77777777" w:rsidR="006C5F4E" w:rsidRDefault="00FB2E9C" w:rsidP="008F22D8">
      <w:pPr>
        <w:pStyle w:val="BodyText"/>
        <w:rPr>
          <w:lang w:val="en-GB"/>
        </w:rPr>
      </w:pPr>
      <w:r>
        <w:rPr>
          <w:lang w:val="en-GB"/>
        </w:rPr>
        <w:t>Figure</w:t>
      </w:r>
      <w:r w:rsidR="00DA559A">
        <w:rPr>
          <w:lang w:val="en-GB"/>
        </w:rPr>
        <w:t xml:space="preserve"> 1 pr</w:t>
      </w:r>
      <w:r w:rsidR="008F22D8">
        <w:rPr>
          <w:lang w:val="en-GB"/>
        </w:rPr>
        <w:t xml:space="preserve">esents </w:t>
      </w:r>
      <w:r w:rsidR="00DA559A">
        <w:rPr>
          <w:lang w:val="en-GB"/>
        </w:rPr>
        <w:t xml:space="preserve">a </w:t>
      </w:r>
      <w:r w:rsidR="008F22D8">
        <w:rPr>
          <w:lang w:val="en-GB"/>
        </w:rPr>
        <w:t xml:space="preserve">process flowchart and Table 1 provides an overview in terms of inputs, </w:t>
      </w:r>
      <w:proofErr w:type="gramStart"/>
      <w:r w:rsidR="008F22D8">
        <w:rPr>
          <w:lang w:val="en-GB"/>
        </w:rPr>
        <w:t>outputs</w:t>
      </w:r>
      <w:proofErr w:type="gramEnd"/>
      <w:r w:rsidR="008F22D8">
        <w:rPr>
          <w:lang w:val="en-GB"/>
        </w:rPr>
        <w:t xml:space="preserve"> and relationships with other regulatory processes.  Both </w:t>
      </w:r>
      <w:r w:rsidR="001C7A67">
        <w:rPr>
          <w:lang w:val="en-GB"/>
        </w:rPr>
        <w:t xml:space="preserve">can generally </w:t>
      </w:r>
      <w:r w:rsidR="00FC1AA4">
        <w:rPr>
          <w:lang w:val="en-GB"/>
        </w:rPr>
        <w:t xml:space="preserve">be </w:t>
      </w:r>
      <w:r w:rsidR="001C7A67">
        <w:rPr>
          <w:lang w:val="en-GB"/>
        </w:rPr>
        <w:t xml:space="preserve">applied to any </w:t>
      </w:r>
      <w:r w:rsidR="00D028C8">
        <w:rPr>
          <w:lang w:val="en-GB"/>
        </w:rPr>
        <w:t>submission where a regulatory decision is required</w:t>
      </w:r>
      <w:r w:rsidR="001C7A67">
        <w:rPr>
          <w:lang w:val="en-GB"/>
        </w:rPr>
        <w:t>.</w:t>
      </w:r>
      <w:r w:rsidR="00FA4398" w:rsidRPr="00FA4398">
        <w:rPr>
          <w:lang w:val="en-GB"/>
        </w:rPr>
        <w:t xml:space="preserve"> </w:t>
      </w:r>
      <w:r w:rsidR="00FA4398">
        <w:rPr>
          <w:lang w:val="en-GB"/>
        </w:rPr>
        <w:t xml:space="preserve"> </w:t>
      </w:r>
    </w:p>
    <w:p w14:paraId="5B394E8A" w14:textId="05891B8F" w:rsidR="00FA4398" w:rsidRDefault="006C5F4E" w:rsidP="008F22D8">
      <w:pPr>
        <w:pStyle w:val="BodyText"/>
        <w:rPr>
          <w:lang w:val="en-GB"/>
        </w:rPr>
      </w:pPr>
      <w:r>
        <w:rPr>
          <w:lang w:val="en-GB"/>
        </w:rPr>
        <w:t>Licensing decisions are subject to review as per section 86 of the Regulations.</w:t>
      </w:r>
    </w:p>
    <w:p w14:paraId="789E2CFB" w14:textId="0175A30C" w:rsidR="00CC7182" w:rsidRPr="00615276" w:rsidRDefault="00CC7182" w:rsidP="00CC7182">
      <w:pPr>
        <w:spacing w:before="480"/>
        <w:rPr>
          <w:rStyle w:val="Normalbold"/>
          <w:b/>
          <w:i/>
        </w:rPr>
      </w:pPr>
      <w:r>
        <w:rPr>
          <w:rStyle w:val="Normalbold"/>
          <w:b/>
          <w:i/>
          <w:color w:val="3A1356" w:themeColor="accent2" w:themeShade="BF"/>
        </w:rPr>
        <w:t xml:space="preserve">Disruptions to </w:t>
      </w:r>
      <w:r w:rsidR="00593F26">
        <w:rPr>
          <w:rStyle w:val="Normalbold"/>
          <w:b/>
          <w:i/>
          <w:color w:val="3A1356" w:themeColor="accent2" w:themeShade="BF"/>
        </w:rPr>
        <w:t xml:space="preserve">regulatory </w:t>
      </w:r>
      <w:r w:rsidR="00E6451F">
        <w:rPr>
          <w:rStyle w:val="Normalbold"/>
          <w:b/>
          <w:i/>
          <w:color w:val="3A1356" w:themeColor="accent2" w:themeShade="BF"/>
        </w:rPr>
        <w:t>operations</w:t>
      </w:r>
      <w:r>
        <w:rPr>
          <w:rStyle w:val="Normalbold"/>
          <w:b/>
          <w:i/>
          <w:color w:val="3A1356" w:themeColor="accent2" w:themeShade="BF"/>
        </w:rPr>
        <w:t xml:space="preserve"> </w:t>
      </w:r>
    </w:p>
    <w:p w14:paraId="67309F74" w14:textId="0FB1917F" w:rsidR="00CC7182" w:rsidRPr="004347D0" w:rsidRDefault="00CC7182" w:rsidP="00CC7182">
      <w:pPr>
        <w:spacing w:before="120"/>
        <w:rPr>
          <w:rStyle w:val="Normalbold"/>
          <w:color w:val="auto"/>
        </w:rPr>
      </w:pPr>
      <w:r w:rsidRPr="004347D0">
        <w:rPr>
          <w:rStyle w:val="Normalbold"/>
          <w:color w:val="auto"/>
        </w:rPr>
        <w:t xml:space="preserve">In the case disruptions affecting functions in society or specifically ARPANSA’s ability to deliver in accordance with its functions, ARPANSA’s regulatory functions may be significantly hindered or interrupted.  A variety of scenarios are possible including those experienced over the 2011-2020 decade, for example the nuclear accident in Japan following the 2011 earthquake and tsunami (which significantly affected ARPANSA staff for a period of several months) and the COVID-19 pandemic (where lockdowns, quarantine, physical </w:t>
      </w:r>
      <w:proofErr w:type="gramStart"/>
      <w:r w:rsidRPr="004347D0">
        <w:rPr>
          <w:rStyle w:val="Normalbold"/>
          <w:color w:val="auto"/>
        </w:rPr>
        <w:t>distancing</w:t>
      </w:r>
      <w:proofErr w:type="gramEnd"/>
      <w:r w:rsidRPr="004347D0">
        <w:rPr>
          <w:rStyle w:val="Normalbold"/>
          <w:color w:val="auto"/>
        </w:rPr>
        <w:t xml:space="preserve"> and travel restrictions impeded agency activities).</w:t>
      </w:r>
    </w:p>
    <w:p w14:paraId="79678315" w14:textId="2A2762D8" w:rsidR="00E6451F" w:rsidRPr="004347D0" w:rsidRDefault="00CC7182" w:rsidP="00CC7182">
      <w:pPr>
        <w:rPr>
          <w:rStyle w:val="Normalbold"/>
          <w:color w:val="auto"/>
        </w:rPr>
      </w:pPr>
      <w:r w:rsidRPr="004347D0">
        <w:rPr>
          <w:rStyle w:val="Normalbold"/>
          <w:color w:val="auto"/>
        </w:rPr>
        <w:t xml:space="preserve">Under such circumstances RSB will be guided by the Business Continuity Plan and the decisions of the CEO and the Business Continuity Group and will consider alternative arrangements to maintain effective regulatory activities. </w:t>
      </w:r>
    </w:p>
    <w:p w14:paraId="4F621229" w14:textId="68755C6C" w:rsidR="00CC7182" w:rsidRPr="004347D0" w:rsidRDefault="00CC7182" w:rsidP="00CC7182">
      <w:pPr>
        <w:rPr>
          <w:rStyle w:val="Normalbold"/>
          <w:color w:val="auto"/>
        </w:rPr>
      </w:pPr>
      <w:r w:rsidRPr="004347D0">
        <w:rPr>
          <w:rStyle w:val="Normalbold"/>
          <w:color w:val="auto"/>
        </w:rPr>
        <w:t xml:space="preserve">In the specific case of the pandemic, alternative arrangements include: </w:t>
      </w:r>
    </w:p>
    <w:p w14:paraId="005F93C1" w14:textId="77777777" w:rsidR="00CC7182" w:rsidRPr="004347D0" w:rsidRDefault="00CC7182" w:rsidP="0064510A">
      <w:pPr>
        <w:pStyle w:val="ListParagraph"/>
        <w:numPr>
          <w:ilvl w:val="0"/>
          <w:numId w:val="50"/>
        </w:numPr>
        <w:spacing w:before="120"/>
        <w:rPr>
          <w:rStyle w:val="Normalbold"/>
          <w:color w:val="auto"/>
        </w:rPr>
      </w:pPr>
      <w:r w:rsidRPr="004347D0">
        <w:rPr>
          <w:rStyle w:val="Normalbold"/>
          <w:color w:val="auto"/>
        </w:rPr>
        <w:t>Limiting physical visits to facilities and sources with medium-high radiological risks including reactive inspections or investigations in response to safety and security events</w:t>
      </w:r>
    </w:p>
    <w:p w14:paraId="6DB3F2F5" w14:textId="77777777" w:rsidR="00CC7182" w:rsidRPr="004347D0" w:rsidRDefault="00CC7182" w:rsidP="0064510A">
      <w:pPr>
        <w:pStyle w:val="ListParagraph"/>
        <w:numPr>
          <w:ilvl w:val="0"/>
          <w:numId w:val="50"/>
        </w:numPr>
        <w:spacing w:before="120"/>
        <w:ind w:left="714" w:hanging="357"/>
        <w:contextualSpacing w:val="0"/>
        <w:rPr>
          <w:rStyle w:val="Normalbold"/>
          <w:color w:val="auto"/>
        </w:rPr>
      </w:pPr>
      <w:r w:rsidRPr="004347D0">
        <w:rPr>
          <w:rStyle w:val="Normalbold"/>
          <w:color w:val="auto"/>
        </w:rPr>
        <w:t xml:space="preserve">Carrying out virtual inspections including the use of video facilities for interviews, photographs and videos taken by the licence holder and collecting information electronically for review </w:t>
      </w:r>
    </w:p>
    <w:p w14:paraId="2B7C826A" w14:textId="77777777" w:rsidR="00CC7182" w:rsidRPr="004347D0" w:rsidRDefault="00CC7182" w:rsidP="0064510A">
      <w:pPr>
        <w:pStyle w:val="ListParagraph"/>
        <w:numPr>
          <w:ilvl w:val="0"/>
          <w:numId w:val="50"/>
        </w:numPr>
        <w:spacing w:before="120"/>
        <w:ind w:left="714" w:hanging="357"/>
        <w:contextualSpacing w:val="0"/>
        <w:rPr>
          <w:rStyle w:val="Normalbold"/>
          <w:color w:val="auto"/>
        </w:rPr>
      </w:pPr>
      <w:r w:rsidRPr="004347D0">
        <w:rPr>
          <w:rStyle w:val="Normalbold"/>
          <w:color w:val="auto"/>
        </w:rPr>
        <w:t>Introducing additional reporting requirements such as self-assessment of compliance with regulations and licence conditions and conducting a desktop review of information submitted by licence holders</w:t>
      </w:r>
    </w:p>
    <w:p w14:paraId="62A3E377" w14:textId="461B5B0C" w:rsidR="00CC7182" w:rsidRPr="004347D0" w:rsidRDefault="00CC7182" w:rsidP="0064510A">
      <w:pPr>
        <w:pStyle w:val="ListParagraph"/>
        <w:numPr>
          <w:ilvl w:val="0"/>
          <w:numId w:val="50"/>
        </w:numPr>
        <w:spacing w:before="120"/>
        <w:rPr>
          <w:rStyle w:val="Normalbold"/>
          <w:color w:val="auto"/>
        </w:rPr>
      </w:pPr>
      <w:r w:rsidRPr="004347D0">
        <w:rPr>
          <w:rStyle w:val="Normalbold"/>
          <w:color w:val="auto"/>
        </w:rPr>
        <w:t>Maintain</w:t>
      </w:r>
      <w:r w:rsidR="000A5C1C" w:rsidRPr="004347D0">
        <w:rPr>
          <w:rStyle w:val="Normalbold"/>
          <w:color w:val="auto"/>
        </w:rPr>
        <w:t>ing</w:t>
      </w:r>
      <w:r w:rsidRPr="004347D0">
        <w:rPr>
          <w:rStyle w:val="Normalbold"/>
          <w:color w:val="auto"/>
        </w:rPr>
        <w:t xml:space="preserve"> regular communication with licence holders during any lockdown period to understand any changes in the risk profile and offer guidance where required.  </w:t>
      </w:r>
    </w:p>
    <w:p w14:paraId="5187714E" w14:textId="791B6644" w:rsidR="00FA4398" w:rsidRPr="004347D0" w:rsidRDefault="00CC7182" w:rsidP="00CC7182">
      <w:pPr>
        <w:rPr>
          <w:rStyle w:val="Normalbold"/>
          <w:color w:val="auto"/>
        </w:rPr>
      </w:pPr>
      <w:r w:rsidRPr="004347D0">
        <w:rPr>
          <w:rStyle w:val="Normalbold"/>
          <w:color w:val="auto"/>
        </w:rPr>
        <w:t xml:space="preserve">It is expected that </w:t>
      </w:r>
      <w:r w:rsidR="00853383">
        <w:rPr>
          <w:rStyle w:val="Normalbold"/>
          <w:color w:val="auto"/>
        </w:rPr>
        <w:t xml:space="preserve">applicants </w:t>
      </w:r>
      <w:r w:rsidR="0054104F">
        <w:rPr>
          <w:rStyle w:val="Normalbold"/>
          <w:color w:val="auto"/>
        </w:rPr>
        <w:t xml:space="preserve">and licence holders </w:t>
      </w:r>
      <w:r w:rsidRPr="004347D0">
        <w:rPr>
          <w:rStyle w:val="Normalbold"/>
          <w:color w:val="auto"/>
        </w:rPr>
        <w:t xml:space="preserve">will consider disruptions in their risk assessments and develop appropriate management plans.  </w:t>
      </w:r>
    </w:p>
    <w:p w14:paraId="2FADDB0E" w14:textId="77777777" w:rsidR="00FA4398" w:rsidRDefault="00FA4398">
      <w:pPr>
        <w:rPr>
          <w:rStyle w:val="Normalbold"/>
        </w:rPr>
      </w:pPr>
      <w:r>
        <w:rPr>
          <w:rStyle w:val="Normalbold"/>
        </w:rPr>
        <w:br w:type="page"/>
      </w:r>
    </w:p>
    <w:p w14:paraId="5FEF18FD" w14:textId="306D0A6E" w:rsidR="00CC7182" w:rsidRDefault="00CC7182" w:rsidP="00C358A0">
      <w:pPr>
        <w:pStyle w:val="BodyText"/>
        <w:rPr>
          <w:rFonts w:eastAsia="Times New Roman" w:cstheme="minorHAnsi"/>
          <w:b/>
          <w:sz w:val="20"/>
          <w:szCs w:val="20"/>
          <w:lang w:val="en-GB"/>
        </w:rPr>
      </w:pPr>
    </w:p>
    <w:p w14:paraId="4689606C" w14:textId="77777777" w:rsidR="002149E3" w:rsidRDefault="00CC7182">
      <w:pPr>
        <w:rPr>
          <w:rStyle w:val="Normalbold"/>
          <w:b/>
          <w:i/>
          <w:color w:val="3A1356" w:themeColor="accent2" w:themeShade="BF"/>
        </w:rPr>
      </w:pPr>
      <w:r>
        <w:rPr>
          <w:noProof/>
          <w:lang w:eastAsia="en-AU"/>
        </w:rPr>
        <w:drawing>
          <wp:inline distT="0" distB="0" distL="0" distR="0" wp14:anchorId="523D73DA" wp14:editId="1A9263A4">
            <wp:extent cx="5936615" cy="8398510"/>
            <wp:effectExtent l="0" t="0" r="698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6615" cy="8398510"/>
                    </a:xfrm>
                    <a:prstGeom prst="rect">
                      <a:avLst/>
                    </a:prstGeom>
                    <a:noFill/>
                    <a:ln>
                      <a:noFill/>
                    </a:ln>
                  </pic:spPr>
                </pic:pic>
              </a:graphicData>
            </a:graphic>
          </wp:inline>
        </w:drawing>
      </w:r>
    </w:p>
    <w:p w14:paraId="5B27ADF7" w14:textId="7FD88A1F" w:rsidR="00FA4398" w:rsidRDefault="002149E3" w:rsidP="002149E3">
      <w:pPr>
        <w:spacing w:before="120"/>
        <w:jc w:val="center"/>
        <w:rPr>
          <w:color w:val="4E1A74" w:themeColor="accent2"/>
          <w:sz w:val="20"/>
          <w:szCs w:val="20"/>
        </w:rPr>
      </w:pPr>
      <w:r w:rsidRPr="002149E3">
        <w:rPr>
          <w:color w:val="4E1A74" w:themeColor="accent2"/>
          <w:sz w:val="20"/>
          <w:szCs w:val="20"/>
        </w:rPr>
        <w:t>FIGURE 1: PROCESS</w:t>
      </w:r>
      <w:r w:rsidR="008F22D8">
        <w:rPr>
          <w:color w:val="4E1A74" w:themeColor="accent2"/>
          <w:sz w:val="20"/>
          <w:szCs w:val="20"/>
        </w:rPr>
        <w:t xml:space="preserve"> FLOW CHART</w:t>
      </w:r>
    </w:p>
    <w:p w14:paraId="449C1A76" w14:textId="329379DA" w:rsidR="00FA4398" w:rsidRPr="008F22D8" w:rsidRDefault="00FA4398" w:rsidP="00FA4398">
      <w:pPr>
        <w:pStyle w:val="IAEATableHeading"/>
        <w:spacing w:before="480"/>
        <w:jc w:val="center"/>
        <w:rPr>
          <w:rFonts w:asciiTheme="minorHAnsi" w:hAnsiTheme="minorHAnsi" w:cstheme="minorHAnsi"/>
          <w:color w:val="4E1A74" w:themeColor="accent2"/>
          <w:sz w:val="20"/>
          <w:lang w:val="en-GB"/>
        </w:rPr>
      </w:pPr>
      <w:r w:rsidRPr="008F22D8">
        <w:rPr>
          <w:rFonts w:asciiTheme="minorHAnsi" w:hAnsiTheme="minorHAnsi" w:cstheme="minorHAnsi"/>
          <w:color w:val="4E1A74" w:themeColor="accent2"/>
          <w:sz w:val="20"/>
          <w:lang w:val="en-GB"/>
        </w:rPr>
        <w:lastRenderedPageBreak/>
        <w:t xml:space="preserve">TABLE 1. REVIEW AND ASSESSMENT </w:t>
      </w:r>
      <w:r w:rsidR="008F22D8">
        <w:rPr>
          <w:rFonts w:asciiTheme="minorHAnsi" w:hAnsiTheme="minorHAnsi" w:cstheme="minorHAnsi"/>
          <w:color w:val="4E1A74" w:themeColor="accent2"/>
          <w:sz w:val="20"/>
          <w:lang w:val="en-GB"/>
        </w:rPr>
        <w:t>PROCESS</w:t>
      </w:r>
      <w:r w:rsidR="004135FE">
        <w:rPr>
          <w:rFonts w:asciiTheme="minorHAnsi" w:hAnsiTheme="minorHAnsi" w:cstheme="minorHAnsi"/>
          <w:color w:val="4E1A74" w:themeColor="accent2"/>
          <w:sz w:val="20"/>
          <w:lang w:val="en-GB"/>
        </w:rPr>
        <w:t xml:space="preserve"> OVERVIEW</w:t>
      </w:r>
    </w:p>
    <w:tbl>
      <w:tblPr>
        <w:tblStyle w:val="LightShading-Accent11"/>
        <w:tblW w:w="8640" w:type="dxa"/>
        <w:tblLook w:val="04A0" w:firstRow="1" w:lastRow="0" w:firstColumn="1" w:lastColumn="0" w:noHBand="0" w:noVBand="1"/>
      </w:tblPr>
      <w:tblGrid>
        <w:gridCol w:w="1334"/>
        <w:gridCol w:w="7306"/>
      </w:tblGrid>
      <w:tr w:rsidR="00FA4398" w:rsidRPr="00E46AB2" w14:paraId="23D9550F" w14:textId="77777777" w:rsidTr="00ED0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33B00BCA" w14:textId="77777777" w:rsidR="00FA4398" w:rsidRPr="002C2005" w:rsidRDefault="00FA4398" w:rsidP="00725F61">
            <w:pPr>
              <w:pStyle w:val="BodyTextList"/>
              <w:ind w:left="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Purpose</w:t>
            </w:r>
          </w:p>
        </w:tc>
        <w:tc>
          <w:tcPr>
            <w:tcW w:w="7306" w:type="dxa"/>
          </w:tcPr>
          <w:p w14:paraId="03C125F2" w14:textId="172423CE" w:rsidR="00FA4398" w:rsidRPr="002C2005" w:rsidRDefault="00FA4398" w:rsidP="00095A49">
            <w:pPr>
              <w:pStyle w:val="BodyTextList"/>
              <w:spacing w:before="120" w:after="120"/>
              <w:ind w:left="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 xml:space="preserve">To independently review and assess technical and other information to verify the adequacy of safety and security arrangements </w:t>
            </w:r>
            <w:r w:rsidR="00095A49" w:rsidRPr="002C2005">
              <w:rPr>
                <w:rFonts w:asciiTheme="minorHAnsi" w:hAnsiTheme="minorHAnsi" w:cstheme="minorHAnsi"/>
                <w:color w:val="4E1A74" w:themeColor="accent2"/>
                <w:sz w:val="20"/>
              </w:rPr>
              <w:t xml:space="preserve">&amp; </w:t>
            </w:r>
            <w:r w:rsidRPr="002C2005">
              <w:rPr>
                <w:rFonts w:asciiTheme="minorHAnsi" w:hAnsiTheme="minorHAnsi" w:cstheme="minorHAnsi"/>
                <w:color w:val="4E1A74" w:themeColor="accent2"/>
                <w:sz w:val="20"/>
              </w:rPr>
              <w:t xml:space="preserve">determine whether the proposed </w:t>
            </w:r>
            <w:r w:rsidR="00095A49" w:rsidRPr="002C2005">
              <w:rPr>
                <w:rFonts w:asciiTheme="minorHAnsi" w:hAnsiTheme="minorHAnsi" w:cstheme="minorHAnsi"/>
                <w:color w:val="4E1A74" w:themeColor="accent2"/>
                <w:sz w:val="20"/>
              </w:rPr>
              <w:t xml:space="preserve">conduct or dealing </w:t>
            </w:r>
            <w:r w:rsidRPr="002C2005">
              <w:rPr>
                <w:rFonts w:asciiTheme="minorHAnsi" w:hAnsiTheme="minorHAnsi" w:cstheme="minorHAnsi"/>
                <w:color w:val="4E1A74" w:themeColor="accent2"/>
                <w:sz w:val="20"/>
              </w:rPr>
              <w:t>complies with regulatory requirements</w:t>
            </w:r>
            <w:r w:rsidR="00095A49" w:rsidRPr="002C2005">
              <w:rPr>
                <w:rFonts w:asciiTheme="minorHAnsi" w:hAnsiTheme="minorHAnsi" w:cstheme="minorHAnsi"/>
                <w:color w:val="4E1A74" w:themeColor="accent2"/>
                <w:sz w:val="20"/>
              </w:rPr>
              <w:t xml:space="preserve"> and meets the</w:t>
            </w:r>
            <w:r w:rsidRPr="002C2005">
              <w:rPr>
                <w:rFonts w:asciiTheme="minorHAnsi" w:hAnsiTheme="minorHAnsi" w:cstheme="minorHAnsi"/>
                <w:color w:val="4E1A74" w:themeColor="accent2"/>
                <w:sz w:val="20"/>
              </w:rPr>
              <w:t xml:space="preserve"> object of the Act </w:t>
            </w:r>
          </w:p>
        </w:tc>
      </w:tr>
      <w:tr w:rsidR="00FA4398" w:rsidRPr="00E46AB2" w14:paraId="42FE337A" w14:textId="77777777" w:rsidTr="00ED0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63A0F75D" w14:textId="77777777" w:rsidR="00FA4398" w:rsidRPr="002C2005" w:rsidRDefault="00FA4398" w:rsidP="00725F61">
            <w:pPr>
              <w:pStyle w:val="BodyTextList"/>
              <w:ind w:left="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Inputs</w:t>
            </w:r>
          </w:p>
        </w:tc>
        <w:tc>
          <w:tcPr>
            <w:tcW w:w="7306" w:type="dxa"/>
          </w:tcPr>
          <w:p w14:paraId="313E9F99" w14:textId="77777777" w:rsidR="00FA4398" w:rsidRPr="002C2005" w:rsidRDefault="00FA4398" w:rsidP="00DE5412">
            <w:pPr>
              <w:pStyle w:val="BodyTextList"/>
              <w:numPr>
                <w:ilvl w:val="0"/>
                <w:numId w:val="56"/>
              </w:numPr>
              <w:spacing w:before="120"/>
              <w:ind w:left="298" w:hanging="2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Legal and regulatory requirements, guidance and regulatory procedures specific to review and assessment</w:t>
            </w:r>
          </w:p>
          <w:p w14:paraId="4A7D913D" w14:textId="77777777" w:rsidR="00FA4398" w:rsidRPr="002C2005" w:rsidRDefault="00FA4398" w:rsidP="00DE5412">
            <w:pPr>
              <w:pStyle w:val="BodyTextList"/>
              <w:numPr>
                <w:ilvl w:val="0"/>
                <w:numId w:val="56"/>
              </w:numPr>
              <w:spacing w:before="0"/>
              <w:ind w:left="298" w:hanging="2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Application forms and other documents submitted in support of applications for licence or other approvals</w:t>
            </w:r>
          </w:p>
          <w:p w14:paraId="4E39B723" w14:textId="77777777" w:rsidR="00FA4398" w:rsidRPr="002C2005" w:rsidRDefault="00FA4398" w:rsidP="00DE5412">
            <w:pPr>
              <w:pStyle w:val="BodyTextList"/>
              <w:numPr>
                <w:ilvl w:val="0"/>
                <w:numId w:val="56"/>
              </w:numPr>
              <w:spacing w:before="0"/>
              <w:ind w:left="298" w:hanging="2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Technical and other documents required to assess compliance with the regulatory requirements and the licence (where applicable)</w:t>
            </w:r>
          </w:p>
          <w:p w14:paraId="17339BB9" w14:textId="77777777" w:rsidR="00FA4398" w:rsidRPr="002C2005" w:rsidRDefault="00FA4398" w:rsidP="00DE5412">
            <w:pPr>
              <w:pStyle w:val="BodyTextList"/>
              <w:numPr>
                <w:ilvl w:val="0"/>
                <w:numId w:val="56"/>
              </w:numPr>
              <w:spacing w:before="0"/>
              <w:ind w:left="298" w:hanging="2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Feedback on operating experience</w:t>
            </w:r>
          </w:p>
          <w:p w14:paraId="31E9D22A" w14:textId="77777777" w:rsidR="00FA4398" w:rsidRPr="002C2005" w:rsidRDefault="00FA4398" w:rsidP="00DE5412">
            <w:pPr>
              <w:pStyle w:val="BodyTextList"/>
              <w:numPr>
                <w:ilvl w:val="0"/>
                <w:numId w:val="56"/>
              </w:numPr>
              <w:spacing w:before="0"/>
              <w:ind w:left="298" w:hanging="2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Developments in international standards, guidance, research &amp; technology</w:t>
            </w:r>
          </w:p>
          <w:p w14:paraId="72305372" w14:textId="77777777" w:rsidR="00FA4398" w:rsidRPr="002C2005" w:rsidRDefault="00FA4398" w:rsidP="00DE5412">
            <w:pPr>
              <w:pStyle w:val="BodyTextList"/>
              <w:numPr>
                <w:ilvl w:val="0"/>
                <w:numId w:val="56"/>
              </w:numPr>
              <w:spacing w:before="0" w:after="120"/>
              <w:ind w:left="298" w:hanging="298"/>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 xml:space="preserve">Outputs of other regulatory processes (e.g. inspection outcomes, previous assessments) </w:t>
            </w:r>
          </w:p>
        </w:tc>
      </w:tr>
      <w:tr w:rsidR="00FA4398" w:rsidRPr="00E46AB2" w14:paraId="42B6E7F4" w14:textId="77777777" w:rsidTr="00ED0150">
        <w:tc>
          <w:tcPr>
            <w:cnfStyle w:val="001000000000" w:firstRow="0" w:lastRow="0" w:firstColumn="1" w:lastColumn="0" w:oddVBand="0" w:evenVBand="0" w:oddHBand="0" w:evenHBand="0" w:firstRowFirstColumn="0" w:firstRowLastColumn="0" w:lastRowFirstColumn="0" w:lastRowLastColumn="0"/>
            <w:tcW w:w="1334" w:type="dxa"/>
          </w:tcPr>
          <w:p w14:paraId="2D099AED" w14:textId="77777777" w:rsidR="00FA4398" w:rsidRPr="002C2005" w:rsidRDefault="00FA4398" w:rsidP="00725F61">
            <w:pPr>
              <w:pStyle w:val="BodyTextList"/>
              <w:ind w:left="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Process</w:t>
            </w:r>
          </w:p>
        </w:tc>
        <w:tc>
          <w:tcPr>
            <w:tcW w:w="7306" w:type="dxa"/>
          </w:tcPr>
          <w:p w14:paraId="64893423" w14:textId="77777777" w:rsidR="00FA4398" w:rsidRPr="002C2005" w:rsidRDefault="00FA4398" w:rsidP="00DE5412">
            <w:pPr>
              <w:pStyle w:val="BodyTextList"/>
              <w:numPr>
                <w:ilvl w:val="0"/>
                <w:numId w:val="57"/>
              </w:numPr>
              <w:spacing w:before="120"/>
              <w:ind w:left="29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Identify relevant information from inputs</w:t>
            </w:r>
          </w:p>
          <w:p w14:paraId="7EA20BD6" w14:textId="77777777" w:rsidR="00FA4398" w:rsidRPr="002C2005" w:rsidRDefault="00FA4398" w:rsidP="00DE5412">
            <w:pPr>
              <w:pStyle w:val="BodyTextList"/>
              <w:numPr>
                <w:ilvl w:val="0"/>
                <w:numId w:val="57"/>
              </w:numPr>
              <w:spacing w:before="0"/>
              <w:ind w:left="29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For complex applications establish a review and assessment plan (a project plan under the project management framework when relevant). Identify key issues and tasks, milestones and assigned resources (both internal and external)</w:t>
            </w:r>
          </w:p>
          <w:p w14:paraId="29AD0AE1" w14:textId="77777777" w:rsidR="00FA4398" w:rsidRPr="002C2005" w:rsidRDefault="00FA4398" w:rsidP="00DE5412">
            <w:pPr>
              <w:pStyle w:val="BodyTextList"/>
              <w:numPr>
                <w:ilvl w:val="0"/>
                <w:numId w:val="57"/>
              </w:numPr>
              <w:spacing w:before="0"/>
              <w:ind w:left="29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Request additional information as necessary</w:t>
            </w:r>
          </w:p>
          <w:p w14:paraId="6E871035" w14:textId="77777777" w:rsidR="00FA4398" w:rsidRPr="002C2005" w:rsidRDefault="00FA4398" w:rsidP="00DE5412">
            <w:pPr>
              <w:pStyle w:val="BodyTextList"/>
              <w:numPr>
                <w:ilvl w:val="0"/>
                <w:numId w:val="57"/>
              </w:numPr>
              <w:spacing w:before="0"/>
              <w:ind w:left="29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Conduct review and assessment activities, including site visits, meetings, etc</w:t>
            </w:r>
          </w:p>
          <w:p w14:paraId="4E85C37B" w14:textId="77777777" w:rsidR="00FA4398" w:rsidRPr="002C2005" w:rsidRDefault="00FA4398" w:rsidP="00DE5412">
            <w:pPr>
              <w:pStyle w:val="BodyTextList"/>
              <w:numPr>
                <w:ilvl w:val="0"/>
                <w:numId w:val="57"/>
              </w:numPr>
              <w:spacing w:before="0"/>
              <w:ind w:left="29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Conduct stakeholder consultation for nuclear installations &amp; other significant applications as required by legislation</w:t>
            </w:r>
          </w:p>
          <w:p w14:paraId="7CA913D5" w14:textId="77777777" w:rsidR="00FA4398" w:rsidRPr="002C2005" w:rsidRDefault="00FA4398" w:rsidP="00DE5412">
            <w:pPr>
              <w:pStyle w:val="BodyTextList"/>
              <w:numPr>
                <w:ilvl w:val="0"/>
                <w:numId w:val="57"/>
              </w:numPr>
              <w:spacing w:before="0"/>
              <w:ind w:left="29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Collect and integrate conclusions</w:t>
            </w:r>
          </w:p>
          <w:p w14:paraId="7D6ABD86" w14:textId="77777777" w:rsidR="00FA4398" w:rsidRPr="002C2005" w:rsidRDefault="00FA4398" w:rsidP="00DE5412">
            <w:pPr>
              <w:pStyle w:val="BodyTextList"/>
              <w:numPr>
                <w:ilvl w:val="0"/>
                <w:numId w:val="57"/>
              </w:numPr>
              <w:spacing w:before="0"/>
              <w:ind w:left="29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 xml:space="preserve">Document the review and assessment  </w:t>
            </w:r>
          </w:p>
          <w:p w14:paraId="02F5B44C" w14:textId="77777777" w:rsidR="00FA4398" w:rsidRPr="002C2005" w:rsidRDefault="00FA4398" w:rsidP="00DE5412">
            <w:pPr>
              <w:pStyle w:val="BodyTextList"/>
              <w:numPr>
                <w:ilvl w:val="0"/>
                <w:numId w:val="57"/>
              </w:numPr>
              <w:spacing w:before="0"/>
              <w:ind w:left="29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Propose licence conditions (where applicable)</w:t>
            </w:r>
          </w:p>
          <w:p w14:paraId="27126967" w14:textId="77777777" w:rsidR="00FA4398" w:rsidRPr="002C2005" w:rsidRDefault="00FA4398" w:rsidP="00DE5412">
            <w:pPr>
              <w:pStyle w:val="BodyTextList"/>
              <w:numPr>
                <w:ilvl w:val="0"/>
                <w:numId w:val="57"/>
              </w:numPr>
              <w:spacing w:before="0"/>
              <w:ind w:left="29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CEO’s statement of reasons (where applicable)</w:t>
            </w:r>
          </w:p>
          <w:p w14:paraId="08626B31" w14:textId="77777777" w:rsidR="00FA4398" w:rsidRPr="002C2005" w:rsidRDefault="00FA4398" w:rsidP="00DE5412">
            <w:pPr>
              <w:pStyle w:val="BodyTextList"/>
              <w:numPr>
                <w:ilvl w:val="0"/>
                <w:numId w:val="57"/>
              </w:numPr>
              <w:spacing w:before="0" w:after="120"/>
              <w:ind w:left="298" w:hanging="28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Review the process and provide feedback on the process (on complex applications where appropriate)</w:t>
            </w:r>
          </w:p>
        </w:tc>
      </w:tr>
      <w:tr w:rsidR="00FA4398" w:rsidRPr="00E46AB2" w14:paraId="110E90DB" w14:textId="77777777" w:rsidTr="00ED0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7DED5B78" w14:textId="77777777" w:rsidR="00FA4398" w:rsidRPr="002C2005" w:rsidRDefault="00FA4398" w:rsidP="00725F61">
            <w:pPr>
              <w:pStyle w:val="BodyTextList"/>
              <w:ind w:left="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Outputs</w:t>
            </w:r>
          </w:p>
        </w:tc>
        <w:tc>
          <w:tcPr>
            <w:tcW w:w="7306" w:type="dxa"/>
          </w:tcPr>
          <w:p w14:paraId="15DB1703" w14:textId="77777777" w:rsidR="00FA4398" w:rsidRPr="002C2005" w:rsidRDefault="00FA4398" w:rsidP="00DE5412">
            <w:pPr>
              <w:pStyle w:val="BodyTextList"/>
              <w:numPr>
                <w:ilvl w:val="0"/>
                <w:numId w:val="58"/>
              </w:numPr>
              <w:spacing w:before="120" w:after="120"/>
              <w:ind w:left="298"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Reports and documents covering review and assessment results (i.e. granting or refusing a licence or request for approval), licence</w:t>
            </w:r>
            <w:r w:rsidRPr="002C2005">
              <w:rPr>
                <w:rFonts w:asciiTheme="minorHAnsi" w:hAnsiTheme="minorHAnsi" w:cstheme="minorHAnsi"/>
                <w:color w:val="4E1A74" w:themeColor="accent2"/>
                <w:sz w:val="20"/>
                <w:vertAlign w:val="superscript"/>
              </w:rPr>
              <w:footnoteReference w:id="1"/>
            </w:r>
            <w:r w:rsidRPr="002C2005">
              <w:rPr>
                <w:rFonts w:asciiTheme="minorHAnsi" w:hAnsiTheme="minorHAnsi" w:cstheme="minorHAnsi"/>
                <w:color w:val="4E1A74" w:themeColor="accent2"/>
                <w:sz w:val="20"/>
              </w:rPr>
              <w:t xml:space="preserve"> with mandatory and additional (where relevant) conditions, areas for improvement (if not already actioned) </w:t>
            </w:r>
          </w:p>
        </w:tc>
      </w:tr>
      <w:tr w:rsidR="00FA4398" w:rsidRPr="00E46AB2" w14:paraId="3458619E" w14:textId="77777777" w:rsidTr="00ED0150">
        <w:tc>
          <w:tcPr>
            <w:cnfStyle w:val="001000000000" w:firstRow="0" w:lastRow="0" w:firstColumn="1" w:lastColumn="0" w:oddVBand="0" w:evenVBand="0" w:oddHBand="0" w:evenHBand="0" w:firstRowFirstColumn="0" w:firstRowLastColumn="0" w:lastRowFirstColumn="0" w:lastRowLastColumn="0"/>
            <w:tcW w:w="1334" w:type="dxa"/>
          </w:tcPr>
          <w:p w14:paraId="76D7CEF6" w14:textId="77777777" w:rsidR="00FA4398" w:rsidRPr="002C2005" w:rsidRDefault="00FA4398" w:rsidP="00725F61">
            <w:pPr>
              <w:pStyle w:val="BodyTextList"/>
              <w:ind w:left="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Interfaces</w:t>
            </w:r>
          </w:p>
        </w:tc>
        <w:tc>
          <w:tcPr>
            <w:tcW w:w="7306" w:type="dxa"/>
          </w:tcPr>
          <w:p w14:paraId="502BB66B" w14:textId="77777777" w:rsidR="00FA4398" w:rsidRPr="002C2005" w:rsidRDefault="00FA4398" w:rsidP="00DE5412">
            <w:pPr>
              <w:pStyle w:val="BodyTextList"/>
              <w:numPr>
                <w:ilvl w:val="0"/>
                <w:numId w:val="59"/>
              </w:numPr>
              <w:spacing w:before="120"/>
              <w:ind w:left="298" w:hanging="2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Compliance reporting</w:t>
            </w:r>
          </w:p>
          <w:p w14:paraId="3801F4DF" w14:textId="77777777" w:rsidR="00FA4398" w:rsidRPr="002C2005" w:rsidRDefault="00FA4398" w:rsidP="00DE5412">
            <w:pPr>
              <w:pStyle w:val="BodyTextList"/>
              <w:numPr>
                <w:ilvl w:val="0"/>
                <w:numId w:val="59"/>
              </w:numPr>
              <w:spacing w:before="0"/>
              <w:ind w:left="298" w:hanging="2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Inspection of facilities and sources</w:t>
            </w:r>
          </w:p>
          <w:p w14:paraId="3E1BEC39" w14:textId="77777777" w:rsidR="00FA4398" w:rsidRPr="002C2005" w:rsidRDefault="00FA4398" w:rsidP="00DE5412">
            <w:pPr>
              <w:pStyle w:val="BodyTextList"/>
              <w:numPr>
                <w:ilvl w:val="0"/>
                <w:numId w:val="59"/>
              </w:numPr>
              <w:spacing w:before="0"/>
              <w:ind w:left="298" w:hanging="2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Enforcement</w:t>
            </w:r>
          </w:p>
          <w:p w14:paraId="50421F0C" w14:textId="77777777" w:rsidR="00FA4398" w:rsidRPr="002C2005" w:rsidRDefault="00FA4398" w:rsidP="00DE5412">
            <w:pPr>
              <w:pStyle w:val="BodyTextList"/>
              <w:numPr>
                <w:ilvl w:val="0"/>
                <w:numId w:val="59"/>
              </w:numPr>
              <w:spacing w:before="0"/>
              <w:ind w:left="298" w:hanging="2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Event reporting</w:t>
            </w:r>
          </w:p>
          <w:p w14:paraId="13ADEF1F" w14:textId="77777777" w:rsidR="00FA4398" w:rsidRPr="002C2005" w:rsidRDefault="00FA4398" w:rsidP="00DE5412">
            <w:pPr>
              <w:pStyle w:val="BodyTextList"/>
              <w:numPr>
                <w:ilvl w:val="0"/>
                <w:numId w:val="59"/>
              </w:numPr>
              <w:spacing w:before="0"/>
              <w:ind w:left="298" w:hanging="2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Document control</w:t>
            </w:r>
          </w:p>
          <w:p w14:paraId="12BB30FC" w14:textId="77777777" w:rsidR="00FA4398" w:rsidRPr="002C2005" w:rsidRDefault="00FA4398" w:rsidP="00DE5412">
            <w:pPr>
              <w:pStyle w:val="BodyTextList"/>
              <w:numPr>
                <w:ilvl w:val="0"/>
                <w:numId w:val="59"/>
              </w:numPr>
              <w:spacing w:before="0"/>
              <w:ind w:left="298" w:hanging="2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Communication and consultation with interested parties</w:t>
            </w:r>
          </w:p>
          <w:p w14:paraId="3252FA48" w14:textId="77777777" w:rsidR="00FA4398" w:rsidRPr="002C2005" w:rsidRDefault="00FA4398" w:rsidP="00DE5412">
            <w:pPr>
              <w:pStyle w:val="BodyTextList"/>
              <w:numPr>
                <w:ilvl w:val="0"/>
                <w:numId w:val="59"/>
              </w:numPr>
              <w:spacing w:before="0" w:after="120"/>
              <w:ind w:left="298" w:hanging="29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Periodic licence review</w:t>
            </w:r>
          </w:p>
        </w:tc>
      </w:tr>
      <w:tr w:rsidR="00FA4398" w:rsidRPr="00E46AB2" w14:paraId="10816885" w14:textId="77777777" w:rsidTr="00ED0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4" w:type="dxa"/>
          </w:tcPr>
          <w:p w14:paraId="3DA5AC7C" w14:textId="77777777" w:rsidR="00FA4398" w:rsidRPr="002C2005" w:rsidRDefault="00FA4398" w:rsidP="00FA4398">
            <w:pPr>
              <w:pStyle w:val="BodyTextList"/>
              <w:spacing w:before="120"/>
              <w:ind w:left="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Performance criteria</w:t>
            </w:r>
          </w:p>
        </w:tc>
        <w:tc>
          <w:tcPr>
            <w:tcW w:w="7306" w:type="dxa"/>
          </w:tcPr>
          <w:p w14:paraId="17D6F2D5" w14:textId="77777777" w:rsidR="00FA4398" w:rsidRPr="002C2005" w:rsidRDefault="00FA4398" w:rsidP="00DE5412">
            <w:pPr>
              <w:pStyle w:val="BodyTextList"/>
              <w:numPr>
                <w:ilvl w:val="0"/>
                <w:numId w:val="60"/>
              </w:numPr>
              <w:spacing w:before="120"/>
              <w:ind w:left="298"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Review completed with planned resources and within set time frame</w:t>
            </w:r>
          </w:p>
          <w:p w14:paraId="77667F53" w14:textId="77777777" w:rsidR="00FA4398" w:rsidRDefault="00FA4398" w:rsidP="00DE5412">
            <w:pPr>
              <w:pStyle w:val="BodyTextList"/>
              <w:numPr>
                <w:ilvl w:val="0"/>
                <w:numId w:val="60"/>
              </w:numPr>
              <w:spacing w:before="0" w:after="120"/>
              <w:ind w:left="298"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E1A74" w:themeColor="accent2"/>
                <w:sz w:val="20"/>
              </w:rPr>
            </w:pPr>
            <w:r w:rsidRPr="002C2005">
              <w:rPr>
                <w:rFonts w:asciiTheme="minorHAnsi" w:hAnsiTheme="minorHAnsi" w:cstheme="minorHAnsi"/>
                <w:color w:val="4E1A74" w:themeColor="accent2"/>
                <w:sz w:val="20"/>
              </w:rPr>
              <w:t>Successful communication with the applicant or licence holder and other interested parties</w:t>
            </w:r>
          </w:p>
          <w:p w14:paraId="2C2E8A6E" w14:textId="683775FB" w:rsidR="0017669A" w:rsidRPr="002C2005" w:rsidRDefault="0017669A" w:rsidP="00DE5412">
            <w:pPr>
              <w:pStyle w:val="BodyTextList"/>
              <w:numPr>
                <w:ilvl w:val="0"/>
                <w:numId w:val="60"/>
              </w:numPr>
              <w:spacing w:before="0" w:after="120"/>
              <w:ind w:left="298" w:hanging="28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4E1A74" w:themeColor="accent2"/>
                <w:sz w:val="20"/>
              </w:rPr>
            </w:pPr>
            <w:r>
              <w:rPr>
                <w:rFonts w:asciiTheme="minorHAnsi" w:hAnsiTheme="minorHAnsi" w:cstheme="minorHAnsi"/>
                <w:color w:val="4E1A74" w:themeColor="accent2"/>
                <w:sz w:val="20"/>
              </w:rPr>
              <w:t>Constructive feedback from post-assessment survey</w:t>
            </w:r>
            <w:r w:rsidR="00937621">
              <w:rPr>
                <w:rFonts w:asciiTheme="minorHAnsi" w:hAnsiTheme="minorHAnsi" w:cstheme="minorHAnsi"/>
                <w:color w:val="4E1A74" w:themeColor="accent2"/>
                <w:sz w:val="20"/>
              </w:rPr>
              <w:t xml:space="preserve"> to contribute to continuous improvement</w:t>
            </w:r>
          </w:p>
        </w:tc>
      </w:tr>
    </w:tbl>
    <w:p w14:paraId="7360722D" w14:textId="30FC2830" w:rsidR="009D7BE5" w:rsidRPr="00ED1A65" w:rsidRDefault="00496037" w:rsidP="007D49F9">
      <w:pPr>
        <w:pStyle w:val="Heading1"/>
        <w:spacing w:before="0"/>
        <w:ind w:left="567" w:hanging="567"/>
        <w:rPr>
          <w:rStyle w:val="Normalbold"/>
        </w:rPr>
      </w:pPr>
      <w:bookmarkStart w:id="6" w:name="_Licence_application_or_1"/>
      <w:bookmarkEnd w:id="6"/>
      <w:r w:rsidRPr="006672EF">
        <w:rPr>
          <w:rStyle w:val="Normalbold"/>
          <w:color w:val="4E1A74" w:themeColor="accent2"/>
        </w:rPr>
        <w:lastRenderedPageBreak/>
        <w:t>L</w:t>
      </w:r>
      <w:r w:rsidR="005150F1" w:rsidRPr="006672EF">
        <w:rPr>
          <w:rStyle w:val="Normalbold"/>
          <w:color w:val="4E1A74" w:themeColor="accent2"/>
        </w:rPr>
        <w:t xml:space="preserve">icence </w:t>
      </w:r>
      <w:r w:rsidR="006E2375" w:rsidRPr="006672EF">
        <w:rPr>
          <w:rStyle w:val="Normalbold"/>
          <w:color w:val="4E1A74" w:themeColor="accent2"/>
        </w:rPr>
        <w:t xml:space="preserve">application </w:t>
      </w:r>
      <w:r w:rsidR="005150F1" w:rsidRPr="006672EF">
        <w:rPr>
          <w:rStyle w:val="Normalbold"/>
          <w:color w:val="4E1A74" w:themeColor="accent2"/>
        </w:rPr>
        <w:t>or amendment</w:t>
      </w:r>
      <w:bookmarkEnd w:id="3"/>
      <w:bookmarkEnd w:id="4"/>
      <w:bookmarkEnd w:id="5"/>
      <w:r w:rsidR="00172D53" w:rsidRPr="006672EF">
        <w:rPr>
          <w:rStyle w:val="Normalbold"/>
          <w:color w:val="4E1A74" w:themeColor="accent2"/>
          <w:vertAlign w:val="superscript"/>
        </w:rPr>
        <w:footnoteReference w:id="2"/>
      </w:r>
      <w:r w:rsidRPr="006672EF">
        <w:rPr>
          <w:rStyle w:val="Normalbold"/>
          <w:color w:val="4E1A74" w:themeColor="accent2"/>
        </w:rPr>
        <w:t xml:space="preserve"> </w:t>
      </w:r>
    </w:p>
    <w:p w14:paraId="560918F7" w14:textId="77777777" w:rsidR="009D7BE5" w:rsidRPr="001A4A44" w:rsidRDefault="00F90E2F" w:rsidP="001A4A44">
      <w:pPr>
        <w:pStyle w:val="Heading2"/>
      </w:pPr>
      <w:r w:rsidRPr="001A4A44">
        <w:t xml:space="preserve">Receiving </w:t>
      </w:r>
      <w:r w:rsidR="007E6D23" w:rsidRPr="001A4A44">
        <w:t xml:space="preserve">the </w:t>
      </w:r>
      <w:r w:rsidR="009D7BE5" w:rsidRPr="001A4A44">
        <w:t>application</w:t>
      </w:r>
    </w:p>
    <w:p w14:paraId="360F95DF" w14:textId="0539468D" w:rsidR="009D7BE5" w:rsidRDefault="009D7BE5" w:rsidP="00E6451F">
      <w:pPr>
        <w:spacing w:before="120"/>
      </w:pPr>
      <w:r w:rsidRPr="0052747F">
        <w:t>All application</w:t>
      </w:r>
      <w:r w:rsidR="005262DF" w:rsidRPr="0052747F">
        <w:t>s</w:t>
      </w:r>
      <w:r w:rsidRPr="0052747F">
        <w:t xml:space="preserve"> should be received by</w:t>
      </w:r>
      <w:r w:rsidR="004911FD">
        <w:t xml:space="preserve"> </w:t>
      </w:r>
      <w:hyperlink r:id="rId15" w:history="1">
        <w:r w:rsidR="004911FD" w:rsidRPr="006E2974">
          <w:rPr>
            <w:rStyle w:val="Hyperlink"/>
          </w:rPr>
          <w:t>LicenceAdmin@arpansa.gov.au</w:t>
        </w:r>
      </w:hyperlink>
      <w:r w:rsidR="00D07B00">
        <w:t>.  If</w:t>
      </w:r>
      <w:r w:rsidRPr="0052747F">
        <w:t xml:space="preserve"> an officer receives a </w:t>
      </w:r>
      <w:r w:rsidR="00D07B00">
        <w:t xml:space="preserve">direct </w:t>
      </w:r>
      <w:proofErr w:type="gramStart"/>
      <w:r w:rsidRPr="0052747F">
        <w:t>request</w:t>
      </w:r>
      <w:proofErr w:type="gramEnd"/>
      <w:r w:rsidRPr="0052747F">
        <w:t xml:space="preserve"> it should be forwarded to </w:t>
      </w:r>
      <w:r w:rsidR="00EA731F" w:rsidRPr="0052747F">
        <w:t>th</w:t>
      </w:r>
      <w:r w:rsidR="00D07B00">
        <w:t>e</w:t>
      </w:r>
      <w:r w:rsidRPr="0052747F">
        <w:t xml:space="preserve"> </w:t>
      </w:r>
      <w:r w:rsidR="00D07B00">
        <w:t xml:space="preserve">LA </w:t>
      </w:r>
      <w:r w:rsidR="00B43548">
        <w:t>mail</w:t>
      </w:r>
      <w:r w:rsidRPr="0052747F">
        <w:t>box.</w:t>
      </w:r>
      <w:r w:rsidR="005262DF" w:rsidRPr="0052747F">
        <w:t xml:space="preserve"> </w:t>
      </w:r>
    </w:p>
    <w:p w14:paraId="74856E11" w14:textId="2ACAB2B0" w:rsidR="009D7BE5" w:rsidRPr="0052747F" w:rsidRDefault="004861A2" w:rsidP="00E6451F">
      <w:pPr>
        <w:spacing w:before="120"/>
      </w:pPr>
      <w:r>
        <w:t xml:space="preserve">When the application is received in the shared inbox the </w:t>
      </w:r>
      <w:r w:rsidR="00565286">
        <w:t>Regulatory Support Officer</w:t>
      </w:r>
      <w:r w:rsidR="00F54671">
        <w:t xml:space="preserve"> (aka Licence Admin Officer or LAO) </w:t>
      </w:r>
      <w:r w:rsidR="00822CA5" w:rsidRPr="0052747F">
        <w:t xml:space="preserve">saves the application in </w:t>
      </w:r>
      <w:r w:rsidR="00184E1D">
        <w:t>Content Manager (CM)</w:t>
      </w:r>
      <w:r w:rsidR="00184E1D" w:rsidRPr="0052747F">
        <w:t xml:space="preserve"> </w:t>
      </w:r>
      <w:r w:rsidR="00822CA5" w:rsidRPr="0052747F">
        <w:t xml:space="preserve">and enters details into </w:t>
      </w:r>
      <w:r w:rsidR="009D7BE5" w:rsidRPr="0052747F">
        <w:t>the Licence Administration Database (LAD).</w:t>
      </w:r>
    </w:p>
    <w:p w14:paraId="4E3CCF8F" w14:textId="7F5859BE" w:rsidR="0058194F" w:rsidRPr="0052747F" w:rsidRDefault="0058194F" w:rsidP="00E6451F">
      <w:pPr>
        <w:spacing w:before="120"/>
      </w:pPr>
      <w:r>
        <w:t xml:space="preserve">For licence applications or </w:t>
      </w:r>
      <w:proofErr w:type="gramStart"/>
      <w:r>
        <w:t>amendments</w:t>
      </w:r>
      <w:proofErr w:type="gramEnd"/>
      <w:r>
        <w:t xml:space="preserve"> </w:t>
      </w:r>
      <w:r w:rsidR="00D07B00">
        <w:t>the</w:t>
      </w:r>
      <w:r w:rsidRPr="0052747F">
        <w:t xml:space="preserve"> </w:t>
      </w:r>
      <w:r w:rsidR="006672EF">
        <w:t>LAO</w:t>
      </w:r>
      <w:r w:rsidR="00D07B00" w:rsidRPr="0052747F">
        <w:t xml:space="preserve"> </w:t>
      </w:r>
      <w:r w:rsidRPr="0052747F">
        <w:t>conducts an initial check</w:t>
      </w:r>
      <w:r>
        <w:t xml:space="preserve"> </w:t>
      </w:r>
      <w:r w:rsidR="00824E4E">
        <w:t xml:space="preserve">(using checklist template) </w:t>
      </w:r>
      <w:r w:rsidRPr="0052747F">
        <w:t>to determine whether all sections of the application have been completed and the following information provided:</w:t>
      </w:r>
    </w:p>
    <w:p w14:paraId="0DF3905F" w14:textId="34F1E7BB" w:rsidR="0058194F" w:rsidRPr="0052747F" w:rsidRDefault="00E431DF" w:rsidP="00E6451F">
      <w:pPr>
        <w:pStyle w:val="ListParagraph"/>
        <w:numPr>
          <w:ilvl w:val="0"/>
          <w:numId w:val="1"/>
        </w:numPr>
        <w:spacing w:before="120"/>
      </w:pPr>
      <w:r>
        <w:t>d</w:t>
      </w:r>
      <w:r w:rsidR="0058194F" w:rsidRPr="0052747F">
        <w:t>etails of person submitting the application</w:t>
      </w:r>
    </w:p>
    <w:p w14:paraId="53F643CF" w14:textId="09A5C17D" w:rsidR="0058194F" w:rsidRPr="0052747F" w:rsidRDefault="00E431DF" w:rsidP="00E6451F">
      <w:pPr>
        <w:pStyle w:val="ListParagraph"/>
        <w:numPr>
          <w:ilvl w:val="0"/>
          <w:numId w:val="1"/>
        </w:numPr>
      </w:pPr>
      <w:r>
        <w:t>p</w:t>
      </w:r>
      <w:r w:rsidR="0058194F" w:rsidRPr="0052747F">
        <w:t>erson’s signature</w:t>
      </w:r>
    </w:p>
    <w:p w14:paraId="299437FD" w14:textId="1252CC58" w:rsidR="0058194F" w:rsidRPr="0052747F" w:rsidRDefault="00E431DF" w:rsidP="00E6451F">
      <w:pPr>
        <w:pStyle w:val="ListParagraph"/>
        <w:numPr>
          <w:ilvl w:val="0"/>
          <w:numId w:val="1"/>
        </w:numPr>
      </w:pPr>
      <w:r>
        <w:t>l</w:t>
      </w:r>
      <w:r w:rsidR="004C204F">
        <w:t>icence n</w:t>
      </w:r>
      <w:r w:rsidR="0058194F" w:rsidRPr="0052747F">
        <w:t>ominee details (if applicable)</w:t>
      </w:r>
    </w:p>
    <w:p w14:paraId="3634ABF1" w14:textId="06C39CD3" w:rsidR="0058194F" w:rsidRPr="0052747F" w:rsidRDefault="00E431DF" w:rsidP="00E6451F">
      <w:pPr>
        <w:pStyle w:val="ListParagraph"/>
        <w:numPr>
          <w:ilvl w:val="0"/>
          <w:numId w:val="1"/>
        </w:numPr>
      </w:pPr>
      <w:r>
        <w:t>c</w:t>
      </w:r>
      <w:r w:rsidR="0058194F" w:rsidRPr="0052747F">
        <w:t>ontact person’s details</w:t>
      </w:r>
    </w:p>
    <w:p w14:paraId="1DB51DE3" w14:textId="24EEED5F" w:rsidR="0058194F" w:rsidRPr="0052747F" w:rsidRDefault="0058194F" w:rsidP="00E6451F">
      <w:pPr>
        <w:pStyle w:val="ListParagraph"/>
        <w:numPr>
          <w:ilvl w:val="0"/>
          <w:numId w:val="1"/>
        </w:numPr>
      </w:pPr>
      <w:r w:rsidRPr="0052747F">
        <w:t>details</w:t>
      </w:r>
      <w:r w:rsidR="004542E1">
        <w:t xml:space="preserve"> of radiation safety officer</w:t>
      </w:r>
    </w:p>
    <w:p w14:paraId="48483F11" w14:textId="087CA2CD" w:rsidR="0058194F" w:rsidRPr="0052747F" w:rsidRDefault="00E431DF" w:rsidP="00E6451F">
      <w:pPr>
        <w:pStyle w:val="ListParagraph"/>
        <w:numPr>
          <w:ilvl w:val="0"/>
          <w:numId w:val="1"/>
        </w:numPr>
      </w:pPr>
      <w:r>
        <w:t>d</w:t>
      </w:r>
      <w:r w:rsidR="0058194F" w:rsidRPr="0052747F">
        <w:t>escription of conduct or dealing</w:t>
      </w:r>
    </w:p>
    <w:p w14:paraId="4A929E73" w14:textId="741AAE58" w:rsidR="0058194F" w:rsidRPr="0052747F" w:rsidRDefault="0058194F" w:rsidP="00E6451F">
      <w:pPr>
        <w:spacing w:before="120"/>
      </w:pPr>
      <w:r w:rsidRPr="0052747F">
        <w:t xml:space="preserve">For </w:t>
      </w:r>
      <w:r w:rsidR="006672EF">
        <w:t xml:space="preserve">an </w:t>
      </w:r>
      <w:r w:rsidRPr="0052747F">
        <w:t xml:space="preserve">application or amendment associated with a specific licence or licence holder, </w:t>
      </w:r>
      <w:r>
        <w:t xml:space="preserve">the </w:t>
      </w:r>
      <w:r w:rsidR="00F54671">
        <w:t>LAO</w:t>
      </w:r>
      <w:r>
        <w:t xml:space="preserve"> </w:t>
      </w:r>
      <w:r w:rsidR="006A538B">
        <w:t xml:space="preserve">will usually </w:t>
      </w:r>
      <w:r w:rsidRPr="0052747F">
        <w:t xml:space="preserve">assign it to the lead inspector.  For </w:t>
      </w:r>
      <w:r w:rsidR="006A538B">
        <w:t xml:space="preserve">a </w:t>
      </w:r>
      <w:r w:rsidRPr="0052747F">
        <w:t xml:space="preserve">new application, the </w:t>
      </w:r>
      <w:r w:rsidR="00D772FE">
        <w:t xml:space="preserve">relevant section </w:t>
      </w:r>
      <w:r w:rsidR="00D32C25">
        <w:t>director</w:t>
      </w:r>
      <w:r w:rsidRPr="0052747F">
        <w:t xml:space="preserve"> will assign it to an appropriate </w:t>
      </w:r>
      <w:r w:rsidR="00F92281">
        <w:t>assessor</w:t>
      </w:r>
      <w:r w:rsidRPr="0052747F">
        <w:t>.</w:t>
      </w:r>
    </w:p>
    <w:p w14:paraId="025BC3E5" w14:textId="5A42C23B" w:rsidR="00B572F0" w:rsidRDefault="00B572F0" w:rsidP="00E6451F">
      <w:pPr>
        <w:spacing w:before="120"/>
      </w:pPr>
      <w:r w:rsidRPr="0052747F">
        <w:t xml:space="preserve">If the application </w:t>
      </w:r>
      <w:r>
        <w:t xml:space="preserve">contains the required information as per the checklist </w:t>
      </w:r>
      <w:r w:rsidRPr="0052747F">
        <w:t>the</w:t>
      </w:r>
      <w:r>
        <w:t xml:space="preserve"> </w:t>
      </w:r>
      <w:r w:rsidR="00F54671">
        <w:t>LAO</w:t>
      </w:r>
      <w:r>
        <w:t xml:space="preserve"> will</w:t>
      </w:r>
      <w:r w:rsidRPr="0052747F">
        <w:t xml:space="preserve"> </w:t>
      </w:r>
      <w:r w:rsidR="00402185">
        <w:t xml:space="preserve">arrange for </w:t>
      </w:r>
      <w:r w:rsidRPr="0052747F">
        <w:t xml:space="preserve">Finance </w:t>
      </w:r>
      <w:r>
        <w:t xml:space="preserve">to </w:t>
      </w:r>
      <w:r w:rsidRPr="0052747F">
        <w:t xml:space="preserve">issue a </w:t>
      </w:r>
      <w:r>
        <w:t>d</w:t>
      </w:r>
      <w:r w:rsidRPr="0052747F">
        <w:t xml:space="preserve">ebtor </w:t>
      </w:r>
      <w:r>
        <w:t>i</w:t>
      </w:r>
      <w:r w:rsidRPr="0052747F">
        <w:t>nvoice</w:t>
      </w:r>
      <w:r>
        <w:t xml:space="preserve">.  </w:t>
      </w:r>
    </w:p>
    <w:p w14:paraId="3DDC7843" w14:textId="01626E4C" w:rsidR="009D7BE5" w:rsidRPr="0052747F" w:rsidRDefault="005262DF" w:rsidP="00E6451F">
      <w:pPr>
        <w:spacing w:before="120"/>
      </w:pPr>
      <w:r w:rsidRPr="0052747F">
        <w:t xml:space="preserve">The </w:t>
      </w:r>
      <w:r w:rsidR="00F54671">
        <w:t>LAO</w:t>
      </w:r>
      <w:r w:rsidRPr="0052747F">
        <w:t xml:space="preserve"> acknowledges receipt of the application </w:t>
      </w:r>
      <w:r w:rsidR="00824E4E">
        <w:t>(</w:t>
      </w:r>
      <w:r w:rsidR="00824E4E" w:rsidRPr="0052747F">
        <w:t>using</w:t>
      </w:r>
      <w:r w:rsidR="00824E4E">
        <w:t xml:space="preserve"> appropriate email template)</w:t>
      </w:r>
      <w:r w:rsidR="00824E4E" w:rsidRPr="0052747F">
        <w:t xml:space="preserve"> </w:t>
      </w:r>
      <w:r w:rsidRPr="0052747F">
        <w:t>with copy to</w:t>
      </w:r>
      <w:r w:rsidR="009D7BE5" w:rsidRPr="0052747F">
        <w:t xml:space="preserve"> </w:t>
      </w:r>
      <w:r w:rsidR="006B1C24">
        <w:t xml:space="preserve">the </w:t>
      </w:r>
      <w:r w:rsidR="00F92281">
        <w:t>assessor</w:t>
      </w:r>
      <w:r w:rsidR="009D7BE5" w:rsidRPr="0052747F">
        <w:t>.</w:t>
      </w:r>
    </w:p>
    <w:p w14:paraId="77C0CA5C" w14:textId="19EE8277" w:rsidR="00C95BEA" w:rsidRPr="00F72941" w:rsidRDefault="000D733E" w:rsidP="001A4A44">
      <w:pPr>
        <w:pStyle w:val="Heading2"/>
      </w:pPr>
      <w:r>
        <w:t>P</w:t>
      </w:r>
      <w:r w:rsidR="00D91DA3" w:rsidRPr="00F72941">
        <w:t xml:space="preserve">ublic </w:t>
      </w:r>
      <w:r w:rsidR="00C95BEA" w:rsidRPr="00F72941">
        <w:t xml:space="preserve">notice </w:t>
      </w:r>
      <w:r>
        <w:t>&amp; consultation</w:t>
      </w:r>
    </w:p>
    <w:p w14:paraId="3A201F90" w14:textId="108E6F76" w:rsidR="00C95BEA" w:rsidRPr="0052747F" w:rsidRDefault="00B05B91" w:rsidP="00E6451F">
      <w:pPr>
        <w:spacing w:before="120"/>
      </w:pPr>
      <w:r>
        <w:t>Section 48 of the Regulations requires that a</w:t>
      </w:r>
      <w:r w:rsidR="00C95BEA" w:rsidRPr="0052747F">
        <w:t xml:space="preserve">s soon as practicable after receiving an application for a facility licence the CEO must publish a notice in a daily </w:t>
      </w:r>
      <w:r w:rsidR="00E82D4C" w:rsidRPr="0052747F">
        <w:t xml:space="preserve">national </w:t>
      </w:r>
      <w:r w:rsidR="00C95BEA" w:rsidRPr="0052747F">
        <w:t xml:space="preserve">newspaper and </w:t>
      </w:r>
      <w:r w:rsidR="007068F0">
        <w:t>o</w:t>
      </w:r>
      <w:r w:rsidR="00C95BEA" w:rsidRPr="0052747F">
        <w:t xml:space="preserve">n the </w:t>
      </w:r>
      <w:r w:rsidR="007068F0">
        <w:t xml:space="preserve">ARPANSA website </w:t>
      </w:r>
      <w:r w:rsidR="00C95BEA" w:rsidRPr="0052747F">
        <w:t>stating the CEO</w:t>
      </w:r>
      <w:r w:rsidR="00B47634">
        <w:t>’s</w:t>
      </w:r>
      <w:r w:rsidR="00C95BEA" w:rsidRPr="0052747F">
        <w:t xml:space="preserve"> inten</w:t>
      </w:r>
      <w:r w:rsidR="00B47634">
        <w:t>tion</w:t>
      </w:r>
      <w:r w:rsidR="00C95BEA" w:rsidRPr="0052747F">
        <w:t xml:space="preserve"> to </w:t>
      </w:r>
      <w:proofErr w:type="gramStart"/>
      <w:r w:rsidR="00C95BEA" w:rsidRPr="0052747F">
        <w:t>make a decision</w:t>
      </w:r>
      <w:proofErr w:type="gramEnd"/>
      <w:r w:rsidR="00C95BEA" w:rsidRPr="0052747F">
        <w:t xml:space="preserve"> on the application.</w:t>
      </w:r>
      <w:r w:rsidR="000D733E">
        <w:t xml:space="preserve"> If the application is for a nuclear installation the notice must invite public comment and provide the procedure for doing so.  </w:t>
      </w:r>
      <w:r w:rsidR="00C95BEA" w:rsidRPr="0052747F">
        <w:t xml:space="preserve">  </w:t>
      </w:r>
    </w:p>
    <w:p w14:paraId="7D679FC4" w14:textId="126B6729" w:rsidR="00C95BEA" w:rsidRPr="0052747F" w:rsidRDefault="00C95BEA" w:rsidP="00E6451F">
      <w:pPr>
        <w:spacing w:before="120"/>
      </w:pPr>
      <w:r w:rsidRPr="0052747F">
        <w:t xml:space="preserve">The </w:t>
      </w:r>
      <w:r w:rsidR="00F92281">
        <w:t>assessor</w:t>
      </w:r>
      <w:r w:rsidRPr="0052747F">
        <w:t xml:space="preserve"> </w:t>
      </w:r>
      <w:r w:rsidR="00382EAE" w:rsidRPr="0052747F">
        <w:t>must</w:t>
      </w:r>
      <w:r w:rsidRPr="0052747F">
        <w:t xml:space="preserve"> complete </w:t>
      </w:r>
      <w:r w:rsidR="00107AD5">
        <w:t>a</w:t>
      </w:r>
      <w:r w:rsidR="00824E4E">
        <w:t xml:space="preserve"> </w:t>
      </w:r>
      <w:hyperlink w:anchor="_Public_notice_re_1" w:history="1">
        <w:r w:rsidRPr="0052747F">
          <w:rPr>
            <w:rStyle w:val="Hyperlink"/>
          </w:rPr>
          <w:t xml:space="preserve">Notice of intention to </w:t>
        </w:r>
        <w:proofErr w:type="gramStart"/>
        <w:r w:rsidRPr="0052747F">
          <w:rPr>
            <w:rStyle w:val="Hyperlink"/>
          </w:rPr>
          <w:t>make a decision</w:t>
        </w:r>
        <w:proofErr w:type="gramEnd"/>
        <w:r w:rsidRPr="0052747F">
          <w:rPr>
            <w:rStyle w:val="Hyperlink"/>
          </w:rPr>
          <w:t xml:space="preserve"> on a facility licence application</w:t>
        </w:r>
      </w:hyperlink>
      <w:r w:rsidR="00107AD5">
        <w:t xml:space="preserve"> and indicate</w:t>
      </w:r>
      <w:r w:rsidRPr="0052747F">
        <w:t xml:space="preserve"> the preferred </w:t>
      </w:r>
      <w:r w:rsidR="00887968">
        <w:t xml:space="preserve">publication </w:t>
      </w:r>
      <w:r w:rsidRPr="0052747F">
        <w:t xml:space="preserve">date. This is reviewed by the </w:t>
      </w:r>
      <w:r w:rsidR="00AE01D6">
        <w:t>Chief Regulatory Officer</w:t>
      </w:r>
      <w:r w:rsidR="00AE01D6" w:rsidRPr="0052747F">
        <w:t xml:space="preserve"> </w:t>
      </w:r>
      <w:r w:rsidR="00131258">
        <w:t xml:space="preserve">(CRO) </w:t>
      </w:r>
      <w:r w:rsidRPr="0052747F">
        <w:t xml:space="preserve">and sent to </w:t>
      </w:r>
      <w:r w:rsidR="004E0137">
        <w:t xml:space="preserve">the </w:t>
      </w:r>
      <w:r w:rsidR="00F54671">
        <w:t>LAO</w:t>
      </w:r>
      <w:r w:rsidR="00887968">
        <w:t xml:space="preserve"> </w:t>
      </w:r>
      <w:r w:rsidRPr="0052747F">
        <w:t xml:space="preserve">who will arrange for it to be published in the newspaper and </w:t>
      </w:r>
      <w:r w:rsidR="007068F0">
        <w:t xml:space="preserve">on </w:t>
      </w:r>
      <w:r w:rsidR="00D07B00">
        <w:t>the</w:t>
      </w:r>
      <w:r w:rsidR="007068F0">
        <w:t xml:space="preserve"> website</w:t>
      </w:r>
      <w:r w:rsidRPr="0052747F">
        <w:t xml:space="preserve">. </w:t>
      </w:r>
      <w:r w:rsidR="00FF209C" w:rsidRPr="0052747F">
        <w:t xml:space="preserve">A copy of the </w:t>
      </w:r>
      <w:r w:rsidR="003A45AD">
        <w:t>notice</w:t>
      </w:r>
      <w:r w:rsidRPr="0052747F">
        <w:t xml:space="preserve"> </w:t>
      </w:r>
      <w:r w:rsidR="00FF209C" w:rsidRPr="0052747F">
        <w:t xml:space="preserve">must be saved </w:t>
      </w:r>
      <w:r w:rsidRPr="0052747F">
        <w:t xml:space="preserve">in </w:t>
      </w:r>
      <w:r w:rsidR="00184E1D">
        <w:t>CM</w:t>
      </w:r>
      <w:r w:rsidR="00D07B00">
        <w:t xml:space="preserve">. </w:t>
      </w:r>
    </w:p>
    <w:p w14:paraId="55E19838" w14:textId="0D38FD11" w:rsidR="00903F40" w:rsidRPr="0052747F" w:rsidRDefault="009D7BE5" w:rsidP="001A4A44">
      <w:pPr>
        <w:pStyle w:val="Heading2"/>
      </w:pPr>
      <w:r w:rsidRPr="0052747F">
        <w:lastRenderedPageBreak/>
        <w:t>Assess</w:t>
      </w:r>
      <w:r w:rsidR="00903F40" w:rsidRPr="0052747F">
        <w:t>ing the application</w:t>
      </w:r>
    </w:p>
    <w:p w14:paraId="4A998FF5" w14:textId="389C5971" w:rsidR="00903F40" w:rsidRPr="00EB2E2D" w:rsidRDefault="00903F40" w:rsidP="001A4A44">
      <w:pPr>
        <w:spacing w:before="120"/>
        <w:rPr>
          <w:rStyle w:val="Normalbold"/>
          <w:color w:val="auto"/>
          <w:sz w:val="18"/>
          <w:szCs w:val="18"/>
        </w:rPr>
      </w:pPr>
      <w:r w:rsidRPr="00EB2E2D">
        <w:rPr>
          <w:rStyle w:val="Normalbold"/>
          <w:color w:val="auto"/>
          <w:sz w:val="18"/>
          <w:szCs w:val="18"/>
        </w:rPr>
        <w:t xml:space="preserve">NOTE: </w:t>
      </w:r>
      <w:r w:rsidR="00262D1E" w:rsidRPr="00EB2E2D">
        <w:rPr>
          <w:rStyle w:val="Normalbold"/>
          <w:color w:val="auto"/>
          <w:sz w:val="18"/>
          <w:szCs w:val="18"/>
        </w:rPr>
        <w:t xml:space="preserve"> </w:t>
      </w:r>
      <w:r w:rsidR="009D7BE5" w:rsidRPr="00EB2E2D">
        <w:rPr>
          <w:rStyle w:val="Normalbold"/>
          <w:color w:val="auto"/>
          <w:sz w:val="18"/>
          <w:szCs w:val="18"/>
        </w:rPr>
        <w:t xml:space="preserve">The </w:t>
      </w:r>
      <w:r w:rsidR="00F92281">
        <w:rPr>
          <w:rStyle w:val="Normalbold"/>
          <w:color w:val="auto"/>
          <w:sz w:val="18"/>
          <w:szCs w:val="18"/>
        </w:rPr>
        <w:t>assessor</w:t>
      </w:r>
      <w:r w:rsidR="009D7BE5" w:rsidRPr="00EB2E2D">
        <w:rPr>
          <w:rStyle w:val="Normalbold"/>
          <w:color w:val="auto"/>
          <w:sz w:val="18"/>
          <w:szCs w:val="18"/>
        </w:rPr>
        <w:t xml:space="preserve"> must confirm receipt of </w:t>
      </w:r>
      <w:r w:rsidR="00242553" w:rsidRPr="00EB2E2D">
        <w:rPr>
          <w:rStyle w:val="Normalbold"/>
          <w:color w:val="auto"/>
          <w:sz w:val="18"/>
          <w:szCs w:val="18"/>
        </w:rPr>
        <w:t xml:space="preserve">the application fee </w:t>
      </w:r>
      <w:r w:rsidR="009D7BE5" w:rsidRPr="00EB2E2D">
        <w:rPr>
          <w:rStyle w:val="Normalbold"/>
          <w:color w:val="auto"/>
          <w:sz w:val="18"/>
          <w:szCs w:val="18"/>
        </w:rPr>
        <w:t xml:space="preserve">with the </w:t>
      </w:r>
      <w:r w:rsidR="00F54671" w:rsidRPr="00EB2E2D">
        <w:rPr>
          <w:rStyle w:val="Normalbold"/>
          <w:color w:val="auto"/>
          <w:sz w:val="18"/>
          <w:szCs w:val="18"/>
        </w:rPr>
        <w:t>LAO</w:t>
      </w:r>
      <w:r w:rsidR="009D7BE5" w:rsidRPr="00EB2E2D">
        <w:rPr>
          <w:rStyle w:val="Normalbold"/>
          <w:color w:val="auto"/>
          <w:sz w:val="18"/>
          <w:szCs w:val="18"/>
        </w:rPr>
        <w:t xml:space="preserve"> or Finance</w:t>
      </w:r>
      <w:r w:rsidR="00242553" w:rsidRPr="00EB2E2D">
        <w:rPr>
          <w:rStyle w:val="Normalbold"/>
          <w:color w:val="auto"/>
          <w:sz w:val="18"/>
          <w:szCs w:val="18"/>
        </w:rPr>
        <w:t xml:space="preserve"> before starting the assessment</w:t>
      </w:r>
      <w:r w:rsidR="009D7BE5" w:rsidRPr="00EB2E2D">
        <w:rPr>
          <w:rStyle w:val="Normalbold"/>
          <w:color w:val="auto"/>
          <w:sz w:val="18"/>
          <w:szCs w:val="18"/>
        </w:rPr>
        <w:t xml:space="preserve">  </w:t>
      </w:r>
    </w:p>
    <w:p w14:paraId="34DF4478" w14:textId="37364447" w:rsidR="000B273B" w:rsidRDefault="000B273B" w:rsidP="003D55AC">
      <w:pPr>
        <w:pStyle w:val="Heading3"/>
        <w:numPr>
          <w:ilvl w:val="0"/>
          <w:numId w:val="37"/>
        </w:numPr>
        <w:spacing w:before="120"/>
        <w:ind w:left="709" w:hanging="425"/>
      </w:pPr>
      <w:r>
        <w:t xml:space="preserve">Agreed </w:t>
      </w:r>
      <w:r w:rsidRPr="00B7123E">
        <w:t>assessment</w:t>
      </w:r>
      <w:r>
        <w:t xml:space="preserve"> time</w:t>
      </w:r>
    </w:p>
    <w:p w14:paraId="648754CD" w14:textId="76D9AC84" w:rsidR="002D4888" w:rsidRDefault="00B01394" w:rsidP="00E6451F">
      <w:pPr>
        <w:pStyle w:val="Header"/>
        <w:spacing w:line="276" w:lineRule="auto"/>
      </w:pPr>
      <w:r>
        <w:t>After confirming payment of the appropriate fee, t</w:t>
      </w:r>
      <w:r w:rsidR="00D07B00">
        <w:t xml:space="preserve">he </w:t>
      </w:r>
      <w:r w:rsidR="00F92281">
        <w:t>assessor</w:t>
      </w:r>
      <w:r w:rsidR="00D07B00" w:rsidRPr="0052747F">
        <w:t xml:space="preserve"> should agree a timeframe for </w:t>
      </w:r>
      <w:r w:rsidR="00D07B00">
        <w:t>completin</w:t>
      </w:r>
      <w:r w:rsidR="000862BE">
        <w:t>g</w:t>
      </w:r>
      <w:r w:rsidR="00D07B00">
        <w:t xml:space="preserve"> the </w:t>
      </w:r>
      <w:r w:rsidR="00D07B00" w:rsidRPr="0052747F">
        <w:t>assessment with the applicant. This should be done by email and must be recorded</w:t>
      </w:r>
      <w:r w:rsidR="00013635">
        <w:t xml:space="preserve"> in </w:t>
      </w:r>
      <w:hyperlink r:id="rId16" w:history="1">
        <w:proofErr w:type="spellStart"/>
        <w:r w:rsidR="002D4888">
          <w:rPr>
            <w:rStyle w:val="Hyperlink"/>
            <w:color w:val="auto"/>
          </w:rPr>
          <w:t>Sharepoint</w:t>
        </w:r>
        <w:proofErr w:type="spellEnd"/>
      </w:hyperlink>
      <w:r w:rsidR="00D07B00" w:rsidRPr="0052747F">
        <w:t>.</w:t>
      </w:r>
      <w:r w:rsidR="00D07B00">
        <w:t xml:space="preserve"> </w:t>
      </w:r>
      <w:r w:rsidR="00D07B00" w:rsidRPr="0052747F">
        <w:t xml:space="preserve">The level of assessment </w:t>
      </w:r>
      <w:r w:rsidR="00D07B00">
        <w:t xml:space="preserve">hence the time taken </w:t>
      </w:r>
      <w:r w:rsidR="00D07B00" w:rsidRPr="0052747F">
        <w:t>should be commensurate with the hazard of the source or facility</w:t>
      </w:r>
      <w:r w:rsidR="004E0137">
        <w:t xml:space="preserve"> </w:t>
      </w:r>
      <w:proofErr w:type="gramStart"/>
      <w:r w:rsidR="004E0137">
        <w:t>taking into account</w:t>
      </w:r>
      <w:proofErr w:type="gramEnd"/>
      <w:r w:rsidR="004E0137">
        <w:t xml:space="preserve"> the adequacy of information</w:t>
      </w:r>
      <w:r w:rsidR="006F3E33">
        <w:t xml:space="preserve"> in the application</w:t>
      </w:r>
      <w:r w:rsidR="00D07B00" w:rsidRPr="0052747F">
        <w:t xml:space="preserve"> for example</w:t>
      </w:r>
      <w:r w:rsidR="001B1183">
        <w:t>,</w:t>
      </w:r>
      <w:r w:rsidR="00D07B00" w:rsidRPr="0052747F">
        <w:t xml:space="preserve"> the assessment of an application for a low hazard source should not take more than </w:t>
      </w:r>
      <w:r w:rsidR="005F0405">
        <w:t>2</w:t>
      </w:r>
      <w:r w:rsidR="00D07B00" w:rsidRPr="0052747F">
        <w:t xml:space="preserve"> working days</w:t>
      </w:r>
      <w:r w:rsidR="00D07B00">
        <w:t xml:space="preserve">, </w:t>
      </w:r>
      <w:r w:rsidR="00D07B00" w:rsidRPr="0052747F">
        <w:t>however the assessment of a complex facility application may take in the order of 60 - 90 days</w:t>
      </w:r>
      <w:r w:rsidR="001F7DD9">
        <w:t xml:space="preserve"> or more</w:t>
      </w:r>
      <w:r w:rsidR="00D07B00" w:rsidRPr="0052747F">
        <w:t xml:space="preserve">. </w:t>
      </w:r>
    </w:p>
    <w:p w14:paraId="4909ABC4" w14:textId="2922CBCD" w:rsidR="00D07B00" w:rsidRPr="0052747F" w:rsidRDefault="00D07B00" w:rsidP="00ED1A65">
      <w:pPr>
        <w:pStyle w:val="Header"/>
      </w:pPr>
      <w:r>
        <w:t xml:space="preserve">No agreement is required if the assessment is expected to take </w:t>
      </w:r>
      <w:r w:rsidR="002D4888">
        <w:t>5</w:t>
      </w:r>
      <w:r>
        <w:t xml:space="preserve"> working days or less</w:t>
      </w:r>
      <w:r w:rsidR="002D4888">
        <w:t xml:space="preserve"> and be approved within </w:t>
      </w:r>
      <w:r w:rsidR="005F0405">
        <w:t>2</w:t>
      </w:r>
      <w:r w:rsidR="002D4888">
        <w:t xml:space="preserve"> weeks</w:t>
      </w:r>
      <w:r w:rsidR="002D4888" w:rsidRPr="000A0664">
        <w:t xml:space="preserve">. </w:t>
      </w:r>
      <w:r w:rsidRPr="007E0C45">
        <w:t xml:space="preserve"> </w:t>
      </w:r>
      <w:r>
        <w:t xml:space="preserve">  </w:t>
      </w:r>
    </w:p>
    <w:p w14:paraId="1343C7B5" w14:textId="06B93C58" w:rsidR="000B273B" w:rsidRDefault="000B273B" w:rsidP="0064510A">
      <w:pPr>
        <w:pStyle w:val="Heading3"/>
        <w:numPr>
          <w:ilvl w:val="0"/>
          <w:numId w:val="48"/>
        </w:numPr>
      </w:pPr>
      <w:r w:rsidRPr="00B7123E">
        <w:t>Assessment</w:t>
      </w:r>
      <w:r>
        <w:t xml:space="preserve"> </w:t>
      </w:r>
      <w:r w:rsidR="00AF65B6">
        <w:t>criteria</w:t>
      </w:r>
    </w:p>
    <w:p w14:paraId="761CF346" w14:textId="488B23FA" w:rsidR="00A709C0" w:rsidRDefault="009D7BE5" w:rsidP="001F7DD9">
      <w:pPr>
        <w:pStyle w:val="Header"/>
        <w:spacing w:line="276" w:lineRule="auto"/>
      </w:pPr>
      <w:r w:rsidRPr="0052747F">
        <w:t xml:space="preserve">The </w:t>
      </w:r>
      <w:r w:rsidR="00F92281">
        <w:t>assessor</w:t>
      </w:r>
      <w:r w:rsidRPr="0052747F">
        <w:t xml:space="preserve"> </w:t>
      </w:r>
      <w:r w:rsidR="005F0405">
        <w:t xml:space="preserve">reviews </w:t>
      </w:r>
      <w:r w:rsidRPr="0052747F">
        <w:t xml:space="preserve">the application against </w:t>
      </w:r>
      <w:r w:rsidR="00CC297C">
        <w:t>the criteria</w:t>
      </w:r>
      <w:r w:rsidRPr="0052747F">
        <w:t xml:space="preserve"> </w:t>
      </w:r>
      <w:r w:rsidR="00822CA5" w:rsidRPr="0052747F">
        <w:t xml:space="preserve">relevant </w:t>
      </w:r>
      <w:r w:rsidRPr="0052747F">
        <w:t xml:space="preserve">to the </w:t>
      </w:r>
      <w:proofErr w:type="gramStart"/>
      <w:r w:rsidR="00B01394">
        <w:t xml:space="preserve">particular </w:t>
      </w:r>
      <w:r w:rsidRPr="0052747F" w:rsidDel="00487F43">
        <w:t>facility</w:t>
      </w:r>
      <w:proofErr w:type="gramEnd"/>
      <w:r w:rsidRPr="0052747F" w:rsidDel="00487F43">
        <w:t xml:space="preserve"> or</w:t>
      </w:r>
      <w:r w:rsidR="00CC297C">
        <w:t xml:space="preserve"> source</w:t>
      </w:r>
      <w:r w:rsidRPr="0052747F" w:rsidDel="00487F43">
        <w:t>.</w:t>
      </w:r>
      <w:r w:rsidRPr="0052747F">
        <w:t xml:space="preserve"> </w:t>
      </w:r>
      <w:r w:rsidR="00B05B91">
        <w:t xml:space="preserve"> </w:t>
      </w:r>
      <w:r w:rsidR="00D33B02">
        <w:t xml:space="preserve">The regulatory guides on applying for a licence set out the information </w:t>
      </w:r>
      <w:r w:rsidR="00277EC2">
        <w:t>that an applicant is expected to provide in their application</w:t>
      </w:r>
      <w:r w:rsidR="00DC5CC9">
        <w:t>; this</w:t>
      </w:r>
      <w:r w:rsidR="00277EC2">
        <w:t xml:space="preserve"> includ</w:t>
      </w:r>
      <w:r w:rsidR="00DC5CC9">
        <w:t>es</w:t>
      </w:r>
      <w:r w:rsidR="00277EC2">
        <w:t xml:space="preserve"> the i</w:t>
      </w:r>
      <w:r w:rsidR="006406CF">
        <w:t xml:space="preserve">nformation and documents </w:t>
      </w:r>
      <w:r w:rsidR="00E45DE8">
        <w:t>s</w:t>
      </w:r>
      <w:r w:rsidR="00081E7F">
        <w:t xml:space="preserve">pecified </w:t>
      </w:r>
      <w:r w:rsidR="00E45DE8">
        <w:t>in sections 46 &amp; 47 of the Regulations</w:t>
      </w:r>
      <w:r w:rsidR="00DC5CC9">
        <w:t xml:space="preserve"> and the matters in section</w:t>
      </w:r>
      <w:r w:rsidR="00DC4F2F">
        <w:t>s 53 &amp; 54 of the Regulations</w:t>
      </w:r>
      <w:r w:rsidR="008F3E35">
        <w:t xml:space="preserve"> which now require</w:t>
      </w:r>
      <w:r w:rsidR="00BB6F71">
        <w:t xml:space="preserve"> the</w:t>
      </w:r>
      <w:r w:rsidR="008F3E35">
        <w:t xml:space="preserve"> applicant to consider interactions between </w:t>
      </w:r>
      <w:r w:rsidR="00993458">
        <w:t xml:space="preserve">technical, </w:t>
      </w:r>
      <w:proofErr w:type="gramStart"/>
      <w:r w:rsidR="00993458">
        <w:t>human</w:t>
      </w:r>
      <w:proofErr w:type="gramEnd"/>
      <w:r w:rsidR="00993458">
        <w:t xml:space="preserve"> and organisational factors in the management of safety.  </w:t>
      </w:r>
      <w:r w:rsidR="00DC5CC9">
        <w:t xml:space="preserve"> </w:t>
      </w:r>
      <w:r w:rsidR="00E45DE8">
        <w:t xml:space="preserve">  </w:t>
      </w:r>
    </w:p>
    <w:p w14:paraId="1BE2604F" w14:textId="3E5CB940" w:rsidR="00986574" w:rsidRDefault="0098030D" w:rsidP="001F7DD9">
      <w:pPr>
        <w:pStyle w:val="Header"/>
        <w:spacing w:line="276" w:lineRule="auto"/>
      </w:pPr>
      <w:r>
        <w:t>The assessment criteria and expectation</w:t>
      </w:r>
      <w:r w:rsidR="00CC297C">
        <w:t>s</w:t>
      </w:r>
      <w:r>
        <w:t xml:space="preserve"> must be clearly stated</w:t>
      </w:r>
      <w:r w:rsidR="00CC297C">
        <w:t xml:space="preserve"> </w:t>
      </w:r>
      <w:r w:rsidR="000D4C1D">
        <w:t xml:space="preserve">by the </w:t>
      </w:r>
      <w:r w:rsidR="00F92281">
        <w:t>assessor</w:t>
      </w:r>
      <w:r w:rsidR="000D4C1D">
        <w:t xml:space="preserve"> </w:t>
      </w:r>
      <w:r w:rsidR="00256096">
        <w:t>(under appropriate headings</w:t>
      </w:r>
      <w:r w:rsidR="00820A96">
        <w:t xml:space="preserve">) </w:t>
      </w:r>
      <w:r w:rsidR="00CC297C">
        <w:t>followed by a</w:t>
      </w:r>
      <w:r w:rsidR="000D4C1D">
        <w:t xml:space="preserve"> review</w:t>
      </w:r>
      <w:r w:rsidR="00CC297C">
        <w:t xml:space="preserve"> of the cla</w:t>
      </w:r>
      <w:r w:rsidR="00F92281">
        <w:t>ims</w:t>
      </w:r>
      <w:r w:rsidR="00CC297C">
        <w:t xml:space="preserve">, arguments and evidence provided by the applicant. </w:t>
      </w:r>
      <w:r w:rsidR="001F7DD9">
        <w:t>T</w:t>
      </w:r>
      <w:r w:rsidR="00E6250C">
        <w:t xml:space="preserve">he </w:t>
      </w:r>
      <w:r w:rsidR="00F92281">
        <w:t>assessor</w:t>
      </w:r>
      <w:r w:rsidR="00E6250C">
        <w:t xml:space="preserve"> makes </w:t>
      </w:r>
      <w:r w:rsidR="00CC297C">
        <w:t xml:space="preserve">a conclusion about whether the expectations have been met. </w:t>
      </w:r>
      <w:r w:rsidR="004A06CA">
        <w:t>T</w:t>
      </w:r>
      <w:r w:rsidR="001F7DD9">
        <w:t>he assess</w:t>
      </w:r>
      <w:r w:rsidR="00F92281">
        <w:t>or considers</w:t>
      </w:r>
      <w:r w:rsidR="001F7DD9">
        <w:t xml:space="preserve"> whether </w:t>
      </w:r>
      <w:r w:rsidR="00431EE9">
        <w:t xml:space="preserve">all regulatory requirements </w:t>
      </w:r>
      <w:r w:rsidR="001F7DD9">
        <w:t xml:space="preserve">have been appropriately addressed and demonstrate that the proposed conduct or dealing can be carried out in a manner that meets the object of the Act.  </w:t>
      </w:r>
      <w:r w:rsidR="00986574">
        <w:t>S</w:t>
      </w:r>
      <w:r w:rsidR="00986574" w:rsidRPr="00CF124C">
        <w:t xml:space="preserve">ound reasoning </w:t>
      </w:r>
      <w:r w:rsidR="00986574">
        <w:t xml:space="preserve">must be provided </w:t>
      </w:r>
      <w:r w:rsidR="00986574" w:rsidRPr="00CF124C">
        <w:t>for conclusions and recommendations</w:t>
      </w:r>
      <w:r w:rsidR="00E6250C">
        <w:t>; these</w:t>
      </w:r>
      <w:r w:rsidR="006152A4">
        <w:t xml:space="preserve"> should reflect </w:t>
      </w:r>
      <w:r w:rsidR="006B579C" w:rsidRPr="00CC0A40">
        <w:t>international best practice</w:t>
      </w:r>
      <w:r w:rsidR="006152A4">
        <w:t xml:space="preserve"> and be clearly referenced</w:t>
      </w:r>
      <w:r w:rsidR="006B579C">
        <w:t xml:space="preserve">. </w:t>
      </w:r>
      <w:r w:rsidR="00986574" w:rsidRPr="00CF124C">
        <w:t xml:space="preserve">If professional judgement is used it should be stated as such and </w:t>
      </w:r>
      <w:r w:rsidR="00E6250C">
        <w:t xml:space="preserve">fully </w:t>
      </w:r>
      <w:r w:rsidR="006B579C">
        <w:t>explained</w:t>
      </w:r>
      <w:r w:rsidR="00986574" w:rsidRPr="00CF124C">
        <w:t xml:space="preserve">.  </w:t>
      </w:r>
      <w:r w:rsidR="006B579C">
        <w:t xml:space="preserve"> </w:t>
      </w:r>
    </w:p>
    <w:p w14:paraId="7728E452" w14:textId="77777777" w:rsidR="003D54D7" w:rsidRDefault="00C95BEA" w:rsidP="001F7DD9">
      <w:pPr>
        <w:pStyle w:val="Header"/>
        <w:spacing w:before="120" w:line="276" w:lineRule="auto"/>
      </w:pPr>
      <w:r w:rsidRPr="0052747F">
        <w:t xml:space="preserve">Relevant codes and standards are available at </w:t>
      </w:r>
      <w:hyperlink r:id="rId17" w:history="1">
        <w:r w:rsidR="00C33624" w:rsidRPr="006524CA">
          <w:rPr>
            <w:rStyle w:val="Hyperlink"/>
            <w:szCs w:val="24"/>
          </w:rPr>
          <w:t>https://www.arpansa.gov.au/regulation-and-licensing/licensing/information-for-licence-holders/licence-conditions</w:t>
        </w:r>
      </w:hyperlink>
      <w:r w:rsidR="00C33624">
        <w:t xml:space="preserve">. </w:t>
      </w:r>
    </w:p>
    <w:p w14:paraId="44E6E91A" w14:textId="1A7FBB1C" w:rsidR="00F45492" w:rsidRPr="0052747F" w:rsidRDefault="00C95BEA" w:rsidP="001F7DD9">
      <w:pPr>
        <w:pStyle w:val="Header"/>
        <w:spacing w:before="120" w:line="276" w:lineRule="auto"/>
      </w:pPr>
      <w:r w:rsidRPr="0052747F">
        <w:t xml:space="preserve">Links to international best practice </w:t>
      </w:r>
      <w:r w:rsidR="007E0C45">
        <w:t xml:space="preserve">can be found </w:t>
      </w:r>
      <w:r w:rsidRPr="0052747F">
        <w:t xml:space="preserve">at </w:t>
      </w:r>
      <w:r w:rsidR="00C33624" w:rsidRPr="00C33624">
        <w:rPr>
          <w:rStyle w:val="Hyperlink"/>
          <w:szCs w:val="24"/>
        </w:rPr>
        <w:t>https://www.arpansa.gov.au/regulation-and-licensing/regulation/international-best-practice</w:t>
      </w:r>
      <w:r w:rsidRPr="0052747F">
        <w:t xml:space="preserve">. </w:t>
      </w:r>
      <w:r w:rsidR="00F45492">
        <w:t xml:space="preserve"> </w:t>
      </w:r>
    </w:p>
    <w:p w14:paraId="73AC2963" w14:textId="29F3A3A4" w:rsidR="009D7BE5" w:rsidRPr="0052747F" w:rsidRDefault="009D7BE5" w:rsidP="0064510A">
      <w:pPr>
        <w:pStyle w:val="Heading3"/>
        <w:numPr>
          <w:ilvl w:val="0"/>
          <w:numId w:val="48"/>
        </w:numPr>
      </w:pPr>
      <w:bookmarkStart w:id="7" w:name="_Ref475526657"/>
      <w:r w:rsidRPr="0052747F">
        <w:t xml:space="preserve">Further </w:t>
      </w:r>
      <w:r w:rsidRPr="00B7123E">
        <w:t>information</w:t>
      </w:r>
      <w:r w:rsidR="00F90E2F" w:rsidRPr="0052747F">
        <w:t xml:space="preserve"> &amp;</w:t>
      </w:r>
      <w:r w:rsidRPr="0052747F">
        <w:t xml:space="preserve"> site visits</w:t>
      </w:r>
      <w:bookmarkEnd w:id="7"/>
    </w:p>
    <w:p w14:paraId="2EBCB181" w14:textId="43BA6132" w:rsidR="009D7BE5" w:rsidRPr="0052747F" w:rsidRDefault="009D7BE5" w:rsidP="00E6451F">
      <w:r w:rsidRPr="0052747F">
        <w:t xml:space="preserve">Where </w:t>
      </w:r>
      <w:r w:rsidR="000B273B">
        <w:t>required</w:t>
      </w:r>
      <w:r w:rsidRPr="0052747F">
        <w:t xml:space="preserve"> the </w:t>
      </w:r>
      <w:r w:rsidR="00F92281">
        <w:t>assessor</w:t>
      </w:r>
      <w:r w:rsidRPr="0052747F">
        <w:t xml:space="preserve"> </w:t>
      </w:r>
      <w:r w:rsidR="000B273B">
        <w:t>will</w:t>
      </w:r>
      <w:r w:rsidR="00C95BEA" w:rsidRPr="0052747F">
        <w:t xml:space="preserve"> </w:t>
      </w:r>
      <w:r w:rsidRPr="0052747F">
        <w:t>request further information</w:t>
      </w:r>
      <w:r w:rsidR="00974557">
        <w:rPr>
          <w:rStyle w:val="FootnoteReference"/>
        </w:rPr>
        <w:footnoteReference w:id="3"/>
      </w:r>
      <w:r w:rsidRPr="0052747F">
        <w:t xml:space="preserve"> </w:t>
      </w:r>
      <w:r w:rsidR="00824E4E" w:rsidRPr="0052747F">
        <w:t>using</w:t>
      </w:r>
      <w:r w:rsidR="00824E4E">
        <w:t xml:space="preserve"> </w:t>
      </w:r>
      <w:r w:rsidR="00974557">
        <w:t xml:space="preserve">the </w:t>
      </w:r>
      <w:r w:rsidR="00824E4E">
        <w:t>appropriate email template</w:t>
      </w:r>
      <w:r w:rsidRPr="0052747F">
        <w:t xml:space="preserve">. </w:t>
      </w:r>
    </w:p>
    <w:p w14:paraId="17F26321" w14:textId="4A0BDBCF" w:rsidR="009D7BE5" w:rsidRPr="0052747F" w:rsidRDefault="00B1133B" w:rsidP="00E6451F">
      <w:pPr>
        <w:spacing w:before="120"/>
      </w:pPr>
      <w:r>
        <w:t>Additional i</w:t>
      </w:r>
      <w:r w:rsidRPr="0052747F">
        <w:t xml:space="preserve">nformation may </w:t>
      </w:r>
      <w:r>
        <w:t xml:space="preserve">also </w:t>
      </w:r>
      <w:r w:rsidRPr="0052747F">
        <w:t xml:space="preserve">be obtained by the </w:t>
      </w:r>
      <w:r w:rsidR="00F92281">
        <w:t xml:space="preserve">assessor </w:t>
      </w:r>
      <w:r w:rsidRPr="0052747F">
        <w:t>undertaking o</w:t>
      </w:r>
      <w:r w:rsidRPr="0052747F" w:rsidDel="00487F43">
        <w:t xml:space="preserve">ne or more </w:t>
      </w:r>
      <w:r w:rsidRPr="0052747F">
        <w:t xml:space="preserve">meetings or </w:t>
      </w:r>
      <w:r w:rsidRPr="0052747F" w:rsidDel="00487F43">
        <w:t>site visits</w:t>
      </w:r>
      <w:r w:rsidRPr="0052747F">
        <w:t>.</w:t>
      </w:r>
      <w:r w:rsidRPr="0052747F">
        <w:rPr>
          <w:rStyle w:val="Hyperlink"/>
          <w:color w:val="auto"/>
          <w:szCs w:val="24"/>
          <w:u w:val="none"/>
        </w:rPr>
        <w:t xml:space="preserve"> </w:t>
      </w:r>
      <w:r w:rsidRPr="0052747F" w:rsidDel="00487F43">
        <w:t xml:space="preserve"> </w:t>
      </w:r>
      <w:r w:rsidR="009D7BE5" w:rsidRPr="0052747F">
        <w:t xml:space="preserve">Site visits allow </w:t>
      </w:r>
      <w:r w:rsidR="009D7BE5" w:rsidRPr="0052747F" w:rsidDel="00487F43">
        <w:t>face to face clarification of issues as well as</w:t>
      </w:r>
      <w:r w:rsidR="009D7BE5" w:rsidRPr="0052747F">
        <w:t xml:space="preserve"> to</w:t>
      </w:r>
      <w:r w:rsidR="009D7BE5" w:rsidRPr="0052747F" w:rsidDel="00487F43">
        <w:t xml:space="preserve"> acquaint the </w:t>
      </w:r>
      <w:r w:rsidR="00F92281">
        <w:t>assessor</w:t>
      </w:r>
      <w:r w:rsidR="009D7BE5" w:rsidRPr="0052747F" w:rsidDel="00487F43">
        <w:t xml:space="preserve"> with the </w:t>
      </w:r>
      <w:r w:rsidR="009D7BE5" w:rsidRPr="0052747F">
        <w:t xml:space="preserve">source or </w:t>
      </w:r>
      <w:r w:rsidR="009D7BE5" w:rsidRPr="0052747F" w:rsidDel="00487F43">
        <w:t xml:space="preserve">facility. </w:t>
      </w:r>
      <w:r w:rsidR="009D7BE5" w:rsidRPr="0052747F">
        <w:t xml:space="preserve"> </w:t>
      </w:r>
      <w:r w:rsidR="009D7BE5" w:rsidRPr="0052747F" w:rsidDel="00487F43">
        <w:t xml:space="preserve">Details of </w:t>
      </w:r>
      <w:r w:rsidR="00CC5097">
        <w:t>s</w:t>
      </w:r>
      <w:r w:rsidR="009D7BE5" w:rsidRPr="0052747F" w:rsidDel="00487F43">
        <w:t xml:space="preserve">ite visits </w:t>
      </w:r>
      <w:r w:rsidR="00B4252E" w:rsidRPr="0052747F">
        <w:t xml:space="preserve">should be </w:t>
      </w:r>
      <w:r w:rsidR="009D7BE5" w:rsidRPr="0052747F" w:rsidDel="00487F43">
        <w:t>recorded using</w:t>
      </w:r>
      <w:r w:rsidR="000B273B">
        <w:t xml:space="preserve"> the</w:t>
      </w:r>
      <w:r w:rsidR="000D1CBC">
        <w:t xml:space="preserve"> appropriate</w:t>
      </w:r>
      <w:r w:rsidR="000D1CBC">
        <w:rPr>
          <w:rStyle w:val="Hyperlink"/>
          <w:color w:val="auto"/>
          <w:szCs w:val="24"/>
          <w:u w:val="none"/>
        </w:rPr>
        <w:t xml:space="preserve"> template</w:t>
      </w:r>
      <w:r w:rsidR="00382EAE" w:rsidRPr="0052747F">
        <w:rPr>
          <w:rStyle w:val="Hyperlink"/>
          <w:color w:val="auto"/>
          <w:szCs w:val="24"/>
          <w:u w:val="none"/>
        </w:rPr>
        <w:t xml:space="preserve"> </w:t>
      </w:r>
      <w:r w:rsidR="000D1CBC">
        <w:rPr>
          <w:rStyle w:val="Hyperlink"/>
          <w:color w:val="auto"/>
          <w:szCs w:val="24"/>
          <w:u w:val="none"/>
        </w:rPr>
        <w:t xml:space="preserve">and </w:t>
      </w:r>
      <w:r w:rsidR="00382EAE" w:rsidRPr="0052747F">
        <w:rPr>
          <w:rStyle w:val="Hyperlink"/>
          <w:color w:val="auto"/>
          <w:szCs w:val="24"/>
          <w:u w:val="none"/>
        </w:rPr>
        <w:t xml:space="preserve">must be recorded in LAD. </w:t>
      </w:r>
      <w:r w:rsidR="009D7BE5" w:rsidRPr="0052747F" w:rsidDel="00487F43">
        <w:t xml:space="preserve"> </w:t>
      </w:r>
    </w:p>
    <w:p w14:paraId="48D1A47B" w14:textId="2545FDDF" w:rsidR="009D7BE5" w:rsidRPr="0052747F" w:rsidRDefault="009D7BE5" w:rsidP="00E6451F">
      <w:pPr>
        <w:spacing w:before="120"/>
      </w:pPr>
      <w:r w:rsidRPr="0052747F">
        <w:lastRenderedPageBreak/>
        <w:t xml:space="preserve">This process continues until the </w:t>
      </w:r>
      <w:r w:rsidR="00F92281">
        <w:t xml:space="preserve">assessor </w:t>
      </w:r>
      <w:r w:rsidRPr="0052747F">
        <w:t>is satisfied that the information provided is sufficient to make a recommendation to the CEO</w:t>
      </w:r>
      <w:r w:rsidR="001B1183">
        <w:t>/CRO</w:t>
      </w:r>
      <w:r w:rsidRPr="0052747F">
        <w:t>. The level of detail should be commensurate with the nature of the hazards and risks associated with the proposed conduct or dealing.  Facilities that are inherently more hazardous and have the potential to pose a greater risk require more detailed information.</w:t>
      </w:r>
    </w:p>
    <w:p w14:paraId="28315536" w14:textId="5577BC16" w:rsidR="00CA7552" w:rsidRPr="000B273B" w:rsidRDefault="00540D25" w:rsidP="00E6451F">
      <w:pPr>
        <w:spacing w:before="120"/>
      </w:pPr>
      <w:r w:rsidRPr="000B273B">
        <w:t xml:space="preserve">A graded approach should </w:t>
      </w:r>
      <w:r w:rsidR="00B1133B" w:rsidRPr="000B273B">
        <w:t xml:space="preserve">also </w:t>
      </w:r>
      <w:r w:rsidRPr="000B273B">
        <w:t>be applied to expectations around the provision of additional information</w:t>
      </w:r>
      <w:r w:rsidR="000A510A">
        <w:t xml:space="preserve"> by the licence holder</w:t>
      </w:r>
      <w:r w:rsidRPr="000B273B">
        <w:t xml:space="preserve">.  A reasonable timeframe for providing information relating to low or medium sources is 1-2 weeks; for high hazard sources and basic </w:t>
      </w:r>
      <w:r w:rsidR="001B1183">
        <w:t>prescribed radiation facilities (</w:t>
      </w:r>
      <w:r w:rsidRPr="000B273B">
        <w:t>PRFs</w:t>
      </w:r>
      <w:r w:rsidR="001B1183">
        <w:t>)</w:t>
      </w:r>
      <w:r w:rsidRPr="000B273B">
        <w:t xml:space="preserve"> a reasonable time is 2-3 weeks; and for complex facilities it may take 4-6 weeks or more depending on the nature of information requested. The timeframe </w:t>
      </w:r>
      <w:r w:rsidR="00B1133B" w:rsidRPr="000B273B">
        <w:t xml:space="preserve">for provision of additional information </w:t>
      </w:r>
      <w:r w:rsidRPr="000B273B">
        <w:t xml:space="preserve">may be renegotiated as necessary and records updated. </w:t>
      </w:r>
    </w:p>
    <w:p w14:paraId="6B461CE6" w14:textId="73158FBA" w:rsidR="00540D25" w:rsidRDefault="00540D25" w:rsidP="00E6451F">
      <w:pPr>
        <w:spacing w:before="120"/>
      </w:pPr>
      <w:r w:rsidRPr="000B273B">
        <w:t xml:space="preserve">If there is no response </w:t>
      </w:r>
      <w:r w:rsidR="00CA7552" w:rsidRPr="000B273B">
        <w:t xml:space="preserve">to the request for further information </w:t>
      </w:r>
      <w:r w:rsidRPr="000B273B">
        <w:t xml:space="preserve">after </w:t>
      </w:r>
      <w:r w:rsidR="001B1183">
        <w:t>6</w:t>
      </w:r>
      <w:r w:rsidRPr="000B273B">
        <w:t xml:space="preserve"> </w:t>
      </w:r>
      <w:proofErr w:type="gramStart"/>
      <w:r w:rsidRPr="000B273B">
        <w:t>weeks</w:t>
      </w:r>
      <w:proofErr w:type="gramEnd"/>
      <w:r w:rsidRPr="000B273B">
        <w:t xml:space="preserve"> the </w:t>
      </w:r>
      <w:r w:rsidR="00F92281">
        <w:t>assessor</w:t>
      </w:r>
      <w:r w:rsidRPr="000B273B">
        <w:t xml:space="preserve"> should confirm whether the licence holder wishes to proceed with the application</w:t>
      </w:r>
      <w:r w:rsidR="000B273B">
        <w:t>.</w:t>
      </w:r>
      <w:r w:rsidRPr="000B273B">
        <w:t xml:space="preserve">  If there is still no response after two </w:t>
      </w:r>
      <w:proofErr w:type="gramStart"/>
      <w:r w:rsidRPr="000B273B">
        <w:t>months</w:t>
      </w:r>
      <w:proofErr w:type="gramEnd"/>
      <w:r w:rsidRPr="000B273B">
        <w:t xml:space="preserve"> the application may be considered withdrawn and the applicant advised accordingly.</w:t>
      </w:r>
      <w:r w:rsidRPr="00CC5097">
        <w:t xml:space="preserve"> </w:t>
      </w:r>
    </w:p>
    <w:p w14:paraId="6A23839B" w14:textId="624558C5" w:rsidR="009D7BE5" w:rsidRPr="0052747F" w:rsidRDefault="009D7BE5" w:rsidP="0064510A">
      <w:pPr>
        <w:pStyle w:val="Heading3"/>
        <w:numPr>
          <w:ilvl w:val="0"/>
          <w:numId w:val="48"/>
        </w:numPr>
      </w:pPr>
      <w:bookmarkStart w:id="8" w:name="_Ref475527209"/>
      <w:r w:rsidRPr="0052747F">
        <w:t xml:space="preserve">Expert </w:t>
      </w:r>
      <w:r w:rsidR="00DA36E6" w:rsidRPr="0052747F">
        <w:t>a</w:t>
      </w:r>
      <w:r w:rsidRPr="0052747F">
        <w:t>dvice</w:t>
      </w:r>
      <w:bookmarkEnd w:id="8"/>
    </w:p>
    <w:p w14:paraId="6F7CC79E" w14:textId="0F62D514" w:rsidR="00C52285" w:rsidRPr="0052747F" w:rsidRDefault="00C52285" w:rsidP="00DF65C2">
      <w:r w:rsidRPr="0052747F">
        <w:t xml:space="preserve">Where appropriate the </w:t>
      </w:r>
      <w:r w:rsidR="00F92281">
        <w:t xml:space="preserve">assessor </w:t>
      </w:r>
      <w:r w:rsidRPr="0052747F">
        <w:t xml:space="preserve">should </w:t>
      </w:r>
      <w:r w:rsidR="002A43D6" w:rsidRPr="0052747F">
        <w:t>discuss with</w:t>
      </w:r>
      <w:r w:rsidRPr="0052747F">
        <w:t xml:space="preserve"> the</w:t>
      </w:r>
      <w:r w:rsidR="00DB4153" w:rsidRPr="0052747F">
        <w:t xml:space="preserve">ir </w:t>
      </w:r>
      <w:r w:rsidR="00D32C25">
        <w:t>director</w:t>
      </w:r>
      <w:r w:rsidR="00DB4153" w:rsidRPr="0052747F">
        <w:t>/</w:t>
      </w:r>
      <w:r w:rsidR="00131258">
        <w:t>CRO</w:t>
      </w:r>
      <w:r w:rsidRPr="0052747F">
        <w:t xml:space="preserve"> </w:t>
      </w:r>
      <w:r w:rsidR="002A43D6" w:rsidRPr="0052747F">
        <w:t xml:space="preserve">the need </w:t>
      </w:r>
      <w:r w:rsidRPr="0052747F">
        <w:t xml:space="preserve">to seek expert advice on any specialised aspects of the application from other </w:t>
      </w:r>
      <w:r w:rsidR="00E101C8">
        <w:t xml:space="preserve">sections </w:t>
      </w:r>
      <w:r w:rsidR="006F3E33">
        <w:t>of ARPANSA</w:t>
      </w:r>
      <w:r w:rsidR="006F3E33" w:rsidRPr="0052747F">
        <w:t xml:space="preserve"> </w:t>
      </w:r>
      <w:r w:rsidRPr="0052747F">
        <w:t>or external consultant</w:t>
      </w:r>
      <w:r w:rsidR="00A51F3E">
        <w:t>s</w:t>
      </w:r>
      <w:r w:rsidRPr="0052747F">
        <w:t xml:space="preserve">.  </w:t>
      </w:r>
      <w:r w:rsidR="00A51F3E">
        <w:t>In such cases the t</w:t>
      </w:r>
      <w:r w:rsidRPr="0052747F">
        <w:t xml:space="preserve">erms of reference and deadlines should be clearly stated. </w:t>
      </w:r>
    </w:p>
    <w:p w14:paraId="2102F156" w14:textId="506E26B9" w:rsidR="009D7BE5" w:rsidRPr="0052747F" w:rsidRDefault="009D7BE5" w:rsidP="00DF65C2">
      <w:pPr>
        <w:spacing w:before="120"/>
      </w:pPr>
      <w:r w:rsidRPr="00804091">
        <w:t xml:space="preserve">For applications involving medical sources or facilities the </w:t>
      </w:r>
      <w:r w:rsidR="00F92281">
        <w:t>assessor</w:t>
      </w:r>
      <w:r w:rsidRPr="00804091">
        <w:t xml:space="preserve"> </w:t>
      </w:r>
      <w:r w:rsidR="005E1075" w:rsidRPr="00804091">
        <w:t>should</w:t>
      </w:r>
      <w:r w:rsidR="00BB71EE" w:rsidRPr="00804091">
        <w:t xml:space="preserve"> </w:t>
      </w:r>
      <w:r w:rsidRPr="00804091">
        <w:t xml:space="preserve">liaise with Medical Radiation Services to determine whether there are any special considerations </w:t>
      </w:r>
      <w:proofErr w:type="gramStart"/>
      <w:r w:rsidRPr="00804091">
        <w:t>with regard to</w:t>
      </w:r>
      <w:proofErr w:type="gramEnd"/>
      <w:r w:rsidRPr="00804091">
        <w:t xml:space="preserve"> medical exposure</w:t>
      </w:r>
      <w:r w:rsidR="003472E9">
        <w:t xml:space="preserve">, for example regarding </w:t>
      </w:r>
      <w:r w:rsidR="00E95BB0">
        <w:t>occupational</w:t>
      </w:r>
      <w:r w:rsidRPr="00804091">
        <w:t xml:space="preserve"> and patient protection. </w:t>
      </w:r>
      <w:r w:rsidR="000B273B" w:rsidRPr="00804091">
        <w:t>Similarly, if there is a need for expert advice on radioactive waste</w:t>
      </w:r>
      <w:r w:rsidR="00DC0008">
        <w:t>, dose assessments</w:t>
      </w:r>
      <w:r w:rsidR="000B273B" w:rsidRPr="00804091">
        <w:t xml:space="preserve"> or environment </w:t>
      </w:r>
      <w:r w:rsidR="00DC0008">
        <w:t xml:space="preserve">and public </w:t>
      </w:r>
      <w:r w:rsidR="000B273B" w:rsidRPr="00804091">
        <w:t xml:space="preserve">protection issues, </w:t>
      </w:r>
      <w:r w:rsidR="00AF65B6" w:rsidRPr="00804091">
        <w:t xml:space="preserve">the </w:t>
      </w:r>
      <w:r w:rsidR="00F92281">
        <w:t>assessor</w:t>
      </w:r>
      <w:r w:rsidR="00AF65B6" w:rsidRPr="00804091">
        <w:t xml:space="preserve"> should liaise with </w:t>
      </w:r>
      <w:r w:rsidR="000B273B" w:rsidRPr="00804091">
        <w:t>Radiation Health Services</w:t>
      </w:r>
      <w:r w:rsidR="00AF65B6">
        <w:t xml:space="preserve">. </w:t>
      </w:r>
      <w:r w:rsidR="000B273B">
        <w:t xml:space="preserve"> </w:t>
      </w:r>
    </w:p>
    <w:p w14:paraId="08F12A51" w14:textId="60FAE30B" w:rsidR="009D7BE5" w:rsidRPr="0052747F" w:rsidRDefault="009D7BE5" w:rsidP="0064510A">
      <w:pPr>
        <w:pStyle w:val="Heading3"/>
        <w:numPr>
          <w:ilvl w:val="0"/>
          <w:numId w:val="48"/>
        </w:numPr>
      </w:pPr>
      <w:bookmarkStart w:id="9" w:name="_Ref475526763"/>
      <w:r w:rsidRPr="0052747F">
        <w:t xml:space="preserve">Endorsement of </w:t>
      </w:r>
      <w:r w:rsidR="00DA36E6" w:rsidRPr="0052747F">
        <w:t>s</w:t>
      </w:r>
      <w:r w:rsidRPr="0052747F">
        <w:t xml:space="preserve">ecurity </w:t>
      </w:r>
      <w:r w:rsidR="00DA36E6" w:rsidRPr="0052747F">
        <w:t>p</w:t>
      </w:r>
      <w:r w:rsidRPr="0052747F">
        <w:t xml:space="preserve">lan </w:t>
      </w:r>
      <w:bookmarkEnd w:id="9"/>
    </w:p>
    <w:p w14:paraId="26F11023" w14:textId="39248229" w:rsidR="009D7BE5" w:rsidRPr="0052747F" w:rsidRDefault="009D7BE5" w:rsidP="00DF65C2">
      <w:pPr>
        <w:pStyle w:val="Header"/>
        <w:spacing w:line="276" w:lineRule="auto"/>
      </w:pPr>
      <w:r w:rsidRPr="0052747F">
        <w:t xml:space="preserve">The security plan for a nuclear installation, </w:t>
      </w:r>
      <w:r w:rsidR="004C63C3">
        <w:t>PRF</w:t>
      </w:r>
      <w:r w:rsidRPr="0052747F">
        <w:t xml:space="preserve"> or security</w:t>
      </w:r>
      <w:r w:rsidR="004C748D" w:rsidRPr="0052747F">
        <w:t xml:space="preserve"> </w:t>
      </w:r>
      <w:r w:rsidRPr="0052747F">
        <w:t xml:space="preserve">enhanced source must be endorsed by </w:t>
      </w:r>
      <w:r w:rsidR="00A32EC6" w:rsidRPr="0052747F">
        <w:t>an accredited assessor</w:t>
      </w:r>
      <w:r w:rsidR="00A32EC6" w:rsidRPr="0052747F">
        <w:rPr>
          <w:rStyle w:val="FootnoteReference"/>
        </w:rPr>
        <w:footnoteReference w:id="4"/>
      </w:r>
      <w:r w:rsidRPr="0052747F">
        <w:t xml:space="preserve">. </w:t>
      </w:r>
      <w:r w:rsidRPr="0052747F" w:rsidDel="00487F43">
        <w:t xml:space="preserve">The security plan for a nuclear installation, PRF and security enhanced source cannot be endorsed without a site visit unless it has been previously </w:t>
      </w:r>
      <w:proofErr w:type="gramStart"/>
      <w:r w:rsidRPr="0052747F" w:rsidDel="00487F43">
        <w:t>approved</w:t>
      </w:r>
      <w:proofErr w:type="gramEnd"/>
      <w:r w:rsidRPr="0052747F" w:rsidDel="00487F43">
        <w:t xml:space="preserve"> and the new application has no impact on the current security arrangements.</w:t>
      </w:r>
    </w:p>
    <w:p w14:paraId="0904D6BA" w14:textId="7E9D54D5" w:rsidR="00930F17" w:rsidRPr="0052747F" w:rsidRDefault="00930F17" w:rsidP="0064510A">
      <w:pPr>
        <w:pStyle w:val="Heading3"/>
        <w:numPr>
          <w:ilvl w:val="0"/>
          <w:numId w:val="48"/>
        </w:numPr>
      </w:pPr>
      <w:r w:rsidRPr="0052747F">
        <w:t xml:space="preserve">Public consultation </w:t>
      </w:r>
    </w:p>
    <w:p w14:paraId="36685A36" w14:textId="478CF6D1" w:rsidR="0076779A" w:rsidRDefault="00930F17" w:rsidP="00DF65C2">
      <w:r w:rsidRPr="0052747F">
        <w:rPr>
          <w:szCs w:val="24"/>
        </w:rPr>
        <w:t>If the applicatio</w:t>
      </w:r>
      <w:r w:rsidR="0076779A">
        <w:rPr>
          <w:szCs w:val="24"/>
        </w:rPr>
        <w:t xml:space="preserve">n is for a nuclear installation public consultation must be undertaken. This </w:t>
      </w:r>
      <w:r w:rsidR="007E0C45">
        <w:t>require</w:t>
      </w:r>
      <w:r w:rsidR="0076779A">
        <w:t>s</w:t>
      </w:r>
      <w:r w:rsidRPr="0052747F">
        <w:t xml:space="preserve"> </w:t>
      </w:r>
      <w:r w:rsidR="007E0C45">
        <w:t xml:space="preserve">the </w:t>
      </w:r>
      <w:r w:rsidR="00F92281">
        <w:t>assessor</w:t>
      </w:r>
      <w:r w:rsidR="007E0C45">
        <w:t xml:space="preserve"> to </w:t>
      </w:r>
      <w:r w:rsidRPr="0052747F">
        <w:t>liais</w:t>
      </w:r>
      <w:r w:rsidR="007E0C45">
        <w:t>e</w:t>
      </w:r>
      <w:r w:rsidRPr="0052747F">
        <w:t xml:space="preserve"> with</w:t>
      </w:r>
      <w:r w:rsidR="007E0C45">
        <w:t xml:space="preserve"> the Office of the CEO to arrange for the required information to be p</w:t>
      </w:r>
      <w:r w:rsidR="0076779A">
        <w:t xml:space="preserve">ublished </w:t>
      </w:r>
      <w:r w:rsidR="007E0C45">
        <w:t xml:space="preserve">on the website and to arrange </w:t>
      </w:r>
      <w:r w:rsidRPr="0052747F">
        <w:t>public meetings, media releases, etc.</w:t>
      </w:r>
      <w:r w:rsidR="007E0C45">
        <w:t xml:space="preserve">  </w:t>
      </w:r>
      <w:r w:rsidR="00C52D8E">
        <w:t>T</w:t>
      </w:r>
      <w:r w:rsidR="00C52D8E">
        <w:rPr>
          <w:rFonts w:ascii="Calibri" w:hAnsi="Calibri" w:cs="Calibri"/>
          <w:color w:val="000000"/>
          <w:shd w:val="clear" w:color="auto" w:fill="FFFFFF"/>
        </w:rPr>
        <w:t>his may be a lengthy process and will need to be factored into the agreed assessment time mentioned above.  </w:t>
      </w:r>
    </w:p>
    <w:p w14:paraId="19AE400A" w14:textId="78A376D6" w:rsidR="00930F17" w:rsidRPr="0052747F" w:rsidRDefault="00852DAE" w:rsidP="00DF65C2">
      <w:pPr>
        <w:spacing w:before="120"/>
      </w:pPr>
      <w:r>
        <w:t>I</w:t>
      </w:r>
      <w:r w:rsidRPr="0052747F">
        <w:t xml:space="preserve">n accordance with paragraph </w:t>
      </w:r>
      <w:r w:rsidR="006B12C0">
        <w:t>53</w:t>
      </w:r>
      <w:r w:rsidRPr="0052747F">
        <w:t>(</w:t>
      </w:r>
      <w:r w:rsidR="006B12C0">
        <w:t>h</w:t>
      </w:r>
      <w:r w:rsidRPr="0052747F">
        <w:t>)</w:t>
      </w:r>
      <w:r w:rsidR="006B12C0">
        <w:t xml:space="preserve"> </w:t>
      </w:r>
      <w:r w:rsidRPr="0052747F">
        <w:t>of the Regulations</w:t>
      </w:r>
      <w:r>
        <w:t xml:space="preserve"> the CEO must take </w:t>
      </w:r>
      <w:r w:rsidR="00336E57">
        <w:t xml:space="preserve">the content of any </w:t>
      </w:r>
      <w:r w:rsidR="0076779A" w:rsidRPr="0052747F">
        <w:t>public submissions</w:t>
      </w:r>
      <w:r>
        <w:t xml:space="preserve"> into account when </w:t>
      </w:r>
      <w:proofErr w:type="gramStart"/>
      <w:r>
        <w:t>making a decision</w:t>
      </w:r>
      <w:proofErr w:type="gramEnd"/>
      <w:r>
        <w:t xml:space="preserve"> on whether to issue a licence</w:t>
      </w:r>
      <w:r w:rsidR="0076779A" w:rsidRPr="0052747F">
        <w:t xml:space="preserve">. </w:t>
      </w:r>
      <w:r>
        <w:t xml:space="preserve"> </w:t>
      </w:r>
      <w:r w:rsidR="0076779A">
        <w:t xml:space="preserve">The </w:t>
      </w:r>
      <w:r w:rsidR="00F92281">
        <w:t>assessor</w:t>
      </w:r>
      <w:r w:rsidR="0076779A">
        <w:t xml:space="preserve"> must ensure that the regulatory assessment report (RAR) </w:t>
      </w:r>
      <w:r>
        <w:t>includes a</w:t>
      </w:r>
      <w:r w:rsidR="0076779A" w:rsidRPr="0052747F">
        <w:t xml:space="preserve"> </w:t>
      </w:r>
      <w:hyperlink r:id="rId18" w:history="1">
        <w:r w:rsidR="0076779A" w:rsidRPr="007C388D">
          <w:rPr>
            <w:rStyle w:val="Hyperlink"/>
          </w:rPr>
          <w:t>comments resolution table</w:t>
        </w:r>
      </w:hyperlink>
      <w:r>
        <w:t xml:space="preserve"> </w:t>
      </w:r>
      <w:r w:rsidR="00336E57">
        <w:t xml:space="preserve">in which </w:t>
      </w:r>
      <w:r>
        <w:t>all comments</w:t>
      </w:r>
      <w:r w:rsidR="00336E57">
        <w:t xml:space="preserve"> </w:t>
      </w:r>
      <w:r w:rsidR="00B61F56">
        <w:t>are</w:t>
      </w:r>
      <w:r w:rsidR="00336E57">
        <w:t xml:space="preserve"> addressed</w:t>
      </w:r>
      <w:r>
        <w:t xml:space="preserve">.  </w:t>
      </w:r>
    </w:p>
    <w:p w14:paraId="4CDB8863" w14:textId="77777777" w:rsidR="002A43D6" w:rsidRPr="0052747F" w:rsidRDefault="002A43D6" w:rsidP="001A4A44">
      <w:pPr>
        <w:pStyle w:val="Heading2"/>
      </w:pPr>
      <w:r w:rsidRPr="0052747F">
        <w:lastRenderedPageBreak/>
        <w:t>Documenting the assessment</w:t>
      </w:r>
    </w:p>
    <w:p w14:paraId="1011BFAE" w14:textId="0CCAB18D" w:rsidR="00B01394" w:rsidRDefault="002A43D6" w:rsidP="00DF65C2">
      <w:pPr>
        <w:pStyle w:val="Header"/>
        <w:spacing w:before="120" w:line="276" w:lineRule="auto"/>
      </w:pPr>
      <w:r w:rsidRPr="0052747F">
        <w:rPr>
          <w:szCs w:val="24"/>
        </w:rPr>
        <w:t xml:space="preserve">The </w:t>
      </w:r>
      <w:r w:rsidR="00F92281">
        <w:rPr>
          <w:szCs w:val="24"/>
        </w:rPr>
        <w:t>assessor</w:t>
      </w:r>
      <w:r w:rsidRPr="0052747F">
        <w:rPr>
          <w:szCs w:val="24"/>
        </w:rPr>
        <w:t xml:space="preserve"> </w:t>
      </w:r>
      <w:r w:rsidR="00852DAE">
        <w:rPr>
          <w:szCs w:val="24"/>
        </w:rPr>
        <w:t xml:space="preserve">records </w:t>
      </w:r>
      <w:r w:rsidRPr="0052747F">
        <w:rPr>
          <w:szCs w:val="24"/>
        </w:rPr>
        <w:t>the</w:t>
      </w:r>
      <w:r w:rsidR="00B569A8">
        <w:rPr>
          <w:szCs w:val="24"/>
        </w:rPr>
        <w:t>ir</w:t>
      </w:r>
      <w:r w:rsidRPr="0052747F">
        <w:rPr>
          <w:szCs w:val="24"/>
        </w:rPr>
        <w:t xml:space="preserve"> assessment of the application in a </w:t>
      </w:r>
      <w:r w:rsidR="00B01394" w:rsidRPr="0052747F">
        <w:t xml:space="preserve">RAR </w:t>
      </w:r>
      <w:r w:rsidRPr="0052747F">
        <w:rPr>
          <w:szCs w:val="24"/>
        </w:rPr>
        <w:t xml:space="preserve">using </w:t>
      </w:r>
      <w:r w:rsidR="00B569A8">
        <w:rPr>
          <w:szCs w:val="24"/>
        </w:rPr>
        <w:t>the</w:t>
      </w:r>
      <w:r w:rsidR="00997EA3">
        <w:rPr>
          <w:szCs w:val="24"/>
        </w:rPr>
        <w:t xml:space="preserve"> appropriate template</w:t>
      </w:r>
      <w:r w:rsidR="00B569A8">
        <w:t xml:space="preserve">. </w:t>
      </w:r>
      <w:r w:rsidR="00B01394" w:rsidRPr="0052747F">
        <w:t xml:space="preserve">The template </w:t>
      </w:r>
      <w:r w:rsidR="00B01394">
        <w:t>provides a framework for recording the assessment.</w:t>
      </w:r>
    </w:p>
    <w:p w14:paraId="761F12CE" w14:textId="77777777" w:rsidR="002A43D6" w:rsidRPr="0052747F" w:rsidRDefault="002A43D6" w:rsidP="00DF65C2">
      <w:pPr>
        <w:spacing w:before="120"/>
      </w:pPr>
      <w:r w:rsidRPr="0052747F">
        <w:t>Each RAR must:</w:t>
      </w:r>
    </w:p>
    <w:p w14:paraId="3793F6CF" w14:textId="77777777" w:rsidR="00B569A8" w:rsidRDefault="00B569A8" w:rsidP="00DF65C2">
      <w:pPr>
        <w:pStyle w:val="ListParagraph"/>
        <w:numPr>
          <w:ilvl w:val="0"/>
          <w:numId w:val="33"/>
        </w:numPr>
      </w:pPr>
      <w:r>
        <w:t>clearly describe the assessment criteria and expectations</w:t>
      </w:r>
    </w:p>
    <w:p w14:paraId="2235B357" w14:textId="4C4EFE6C" w:rsidR="00B569A8" w:rsidRPr="0052747F" w:rsidRDefault="00B569A8" w:rsidP="00DF65C2">
      <w:pPr>
        <w:pStyle w:val="ListParagraph"/>
        <w:numPr>
          <w:ilvl w:val="0"/>
          <w:numId w:val="33"/>
        </w:numPr>
      </w:pPr>
      <w:r>
        <w:t xml:space="preserve">include an analysis of </w:t>
      </w:r>
      <w:r w:rsidR="00997EA3">
        <w:t xml:space="preserve">the </w:t>
      </w:r>
      <w:r w:rsidR="003A1341">
        <w:t>cla</w:t>
      </w:r>
      <w:r w:rsidR="00F92281">
        <w:t>ims</w:t>
      </w:r>
      <w:r w:rsidR="003A1341">
        <w:t xml:space="preserve">, </w:t>
      </w:r>
      <w:r w:rsidR="00997EA3">
        <w:t xml:space="preserve">arguments and evidence provided by </w:t>
      </w:r>
      <w:r>
        <w:t xml:space="preserve">the applicant and whether the applicant has met the expectations </w:t>
      </w:r>
      <w:r w:rsidRPr="0052747F">
        <w:t xml:space="preserve"> </w:t>
      </w:r>
    </w:p>
    <w:p w14:paraId="212154BC" w14:textId="71D3A40E" w:rsidR="004F1E2C" w:rsidRPr="0052747F" w:rsidRDefault="002A43D6" w:rsidP="00DF65C2">
      <w:pPr>
        <w:pStyle w:val="ListParagraph"/>
        <w:numPr>
          <w:ilvl w:val="0"/>
          <w:numId w:val="33"/>
        </w:numPr>
      </w:pPr>
      <w:r w:rsidRPr="0052747F">
        <w:t xml:space="preserve">cover all matters that the CEO is required to </w:t>
      </w:r>
      <w:proofErr w:type="gramStart"/>
      <w:r w:rsidRPr="0052747F">
        <w:t>take into account</w:t>
      </w:r>
      <w:proofErr w:type="gramEnd"/>
      <w:r w:rsidRPr="0052747F">
        <w:t xml:space="preserve"> in making a decision on the issue of a licence as per </w:t>
      </w:r>
      <w:r w:rsidR="00771B06">
        <w:t>subsection</w:t>
      </w:r>
      <w:r w:rsidRPr="0052747F">
        <w:t xml:space="preserve">s 32(3) or 33(3) of the Act and </w:t>
      </w:r>
      <w:r w:rsidR="006B12C0">
        <w:t>sections 53 &amp; 54 of the R</w:t>
      </w:r>
      <w:r w:rsidRPr="0052747F">
        <w:t>egulations</w:t>
      </w:r>
    </w:p>
    <w:p w14:paraId="4B72CBED" w14:textId="77777777" w:rsidR="00EF5C65" w:rsidRDefault="004F1E2C" w:rsidP="00DF65C2">
      <w:pPr>
        <w:pStyle w:val="ListParagraph"/>
        <w:numPr>
          <w:ilvl w:val="0"/>
          <w:numId w:val="33"/>
        </w:numPr>
      </w:pPr>
      <w:r w:rsidRPr="0052747F">
        <w:t>include a comments resolution table if public consultation has been conducted</w:t>
      </w:r>
    </w:p>
    <w:p w14:paraId="57884F5B" w14:textId="77777777" w:rsidR="002A43D6" w:rsidRPr="0052747F" w:rsidRDefault="002A43D6" w:rsidP="00DF65C2">
      <w:pPr>
        <w:pStyle w:val="ListParagraph"/>
        <w:numPr>
          <w:ilvl w:val="0"/>
          <w:numId w:val="33"/>
        </w:numPr>
      </w:pPr>
      <w:r w:rsidRPr="0052747F">
        <w:t xml:space="preserve">contain a recommendation on whether a licence should be issued </w:t>
      </w:r>
    </w:p>
    <w:p w14:paraId="235931D9" w14:textId="77777777" w:rsidR="002A43D6" w:rsidRPr="0052747F" w:rsidRDefault="002A43D6" w:rsidP="00DF65C2">
      <w:pPr>
        <w:pStyle w:val="ListParagraph"/>
        <w:numPr>
          <w:ilvl w:val="0"/>
          <w:numId w:val="33"/>
        </w:numPr>
      </w:pPr>
      <w:r w:rsidRPr="0052747F">
        <w:t>contain justification for recommending any licence condition in addition to those in the licence template or amending or deleting any condition in the licence template</w:t>
      </w:r>
    </w:p>
    <w:p w14:paraId="2FDA18DE" w14:textId="3E455A23" w:rsidR="002A43D6" w:rsidRPr="0052747F" w:rsidRDefault="002A43D6" w:rsidP="00DF65C2">
      <w:pPr>
        <w:pStyle w:val="ListParagraph"/>
        <w:numPr>
          <w:ilvl w:val="0"/>
          <w:numId w:val="33"/>
        </w:numPr>
      </w:pPr>
      <w:r w:rsidRPr="0052747F">
        <w:t xml:space="preserve">be signed by the </w:t>
      </w:r>
      <w:r w:rsidR="00F92281">
        <w:t>assessor</w:t>
      </w:r>
      <w:r w:rsidRPr="0052747F">
        <w:t xml:space="preserve"> and a peer reviewer (usually the section</w:t>
      </w:r>
      <w:r w:rsidR="00D32C25">
        <w:t xml:space="preserve"> director</w:t>
      </w:r>
      <w:r w:rsidRPr="0052747F">
        <w:t xml:space="preserve">) </w:t>
      </w:r>
    </w:p>
    <w:p w14:paraId="5CF8B79E" w14:textId="05F60AB0" w:rsidR="002A43D6" w:rsidRPr="0052747F" w:rsidRDefault="002A43D6" w:rsidP="00DF65C2">
      <w:pPr>
        <w:pStyle w:val="ListParagraph"/>
        <w:numPr>
          <w:ilvl w:val="0"/>
          <w:numId w:val="33"/>
        </w:numPr>
      </w:pPr>
      <w:r w:rsidRPr="0052747F">
        <w:t>be independently reviewed</w:t>
      </w:r>
      <w:r w:rsidRPr="0052747F">
        <w:rPr>
          <w:vertAlign w:val="superscript"/>
        </w:rPr>
        <w:footnoteReference w:id="5"/>
      </w:r>
      <w:r w:rsidRPr="007E456C">
        <w:rPr>
          <w:vertAlign w:val="superscript"/>
        </w:rPr>
        <w:t xml:space="preserve"> </w:t>
      </w:r>
      <w:r w:rsidRPr="0052747F">
        <w:t xml:space="preserve">and signed where ARPANSA is the applicant </w:t>
      </w:r>
    </w:p>
    <w:p w14:paraId="4CA9005D" w14:textId="7C58E316" w:rsidR="002A43D6" w:rsidRPr="0052747F" w:rsidRDefault="002A43D6" w:rsidP="00DF65C2">
      <w:pPr>
        <w:pStyle w:val="ListParagraph"/>
        <w:numPr>
          <w:ilvl w:val="0"/>
          <w:numId w:val="33"/>
        </w:numPr>
      </w:pPr>
      <w:r w:rsidRPr="0052747F">
        <w:t xml:space="preserve">be saved in </w:t>
      </w:r>
      <w:r w:rsidR="007D1B21">
        <w:t xml:space="preserve">the licence file in </w:t>
      </w:r>
      <w:r w:rsidR="00184E1D">
        <w:t>CM</w:t>
      </w:r>
      <w:r w:rsidRPr="0052747F">
        <w:t xml:space="preserve"> </w:t>
      </w:r>
    </w:p>
    <w:p w14:paraId="0A7FD312" w14:textId="77777777" w:rsidR="009D7BE5" w:rsidRPr="0052747F" w:rsidRDefault="00930F17" w:rsidP="001A4A44">
      <w:pPr>
        <w:pStyle w:val="Heading2"/>
      </w:pPr>
      <w:bookmarkStart w:id="10" w:name="_Preparing_the_licence"/>
      <w:bookmarkEnd w:id="10"/>
      <w:r w:rsidRPr="0052747F">
        <w:t>Preparing the l</w:t>
      </w:r>
      <w:r w:rsidR="009D7BE5" w:rsidRPr="0052747F">
        <w:t>icence</w:t>
      </w:r>
      <w:r w:rsidR="00A913E6" w:rsidRPr="0052747F">
        <w:t xml:space="preserve"> </w:t>
      </w:r>
    </w:p>
    <w:p w14:paraId="64D10080" w14:textId="223615CC" w:rsidR="009D7BE5" w:rsidRPr="0052747F" w:rsidRDefault="009D7BE5" w:rsidP="00DF65C2">
      <w:pPr>
        <w:spacing w:before="120"/>
      </w:pPr>
      <w:r w:rsidRPr="0052747F">
        <w:t xml:space="preserve">If a licence or amendment to a licence is recommended, the </w:t>
      </w:r>
      <w:r w:rsidR="00F92281">
        <w:t>assessor</w:t>
      </w:r>
      <w:r w:rsidR="00AE3C21">
        <w:t xml:space="preserve"> should </w:t>
      </w:r>
      <w:r w:rsidR="00604668">
        <w:t>use</w:t>
      </w:r>
      <w:r w:rsidR="00AE3C21">
        <w:t xml:space="preserve"> the latest </w:t>
      </w:r>
      <w:r w:rsidRPr="0052747F">
        <w:t>licence</w:t>
      </w:r>
      <w:r w:rsidR="00AE3C21">
        <w:t xml:space="preserve"> template from the </w:t>
      </w:r>
      <w:r w:rsidR="007D1B21">
        <w:t>A</w:t>
      </w:r>
      <w:r w:rsidR="00AE3C21">
        <w:t xml:space="preserve">MS.  The </w:t>
      </w:r>
      <w:r w:rsidRPr="0052747F">
        <w:t xml:space="preserve">amended licence </w:t>
      </w:r>
      <w:r w:rsidRPr="00ED1A65">
        <w:t>and accompanying letter to the applicant</w:t>
      </w:r>
      <w:r w:rsidR="00997EA3">
        <w:t xml:space="preserve"> (using appropriate template)</w:t>
      </w:r>
      <w:r w:rsidRPr="00ED1A65">
        <w:t xml:space="preserve"> are</w:t>
      </w:r>
      <w:r w:rsidRPr="0052747F">
        <w:t xml:space="preserve"> prepared by the </w:t>
      </w:r>
      <w:r w:rsidR="00F92281">
        <w:t>assessor</w:t>
      </w:r>
      <w:r w:rsidRPr="0052747F">
        <w:t xml:space="preserve">. </w:t>
      </w:r>
    </w:p>
    <w:p w14:paraId="2EA0A546" w14:textId="651E067D" w:rsidR="00A913E6" w:rsidRPr="0052747F" w:rsidRDefault="009D7BE5" w:rsidP="00DF65C2">
      <w:pPr>
        <w:spacing w:before="120"/>
      </w:pPr>
      <w:r w:rsidRPr="0052747F">
        <w:t xml:space="preserve">All details on the licence </w:t>
      </w:r>
      <w:r w:rsidR="002A43D6" w:rsidRPr="0052747F">
        <w:t xml:space="preserve">especially </w:t>
      </w:r>
      <w:r w:rsidRPr="0052747F">
        <w:t xml:space="preserve">the </w:t>
      </w:r>
      <w:r w:rsidR="004E48BB" w:rsidRPr="0052747F">
        <w:t>l</w:t>
      </w:r>
      <w:r w:rsidRPr="0052747F">
        <w:t>icence holder</w:t>
      </w:r>
      <w:r w:rsidR="009E1D33" w:rsidRPr="0052747F">
        <w:t>’</w:t>
      </w:r>
      <w:r w:rsidRPr="0052747F">
        <w:t xml:space="preserve">s name must match LAD exactly. </w:t>
      </w:r>
      <w:r w:rsidR="00A913E6" w:rsidRPr="0052747F">
        <w:t>Where the type of dealing in the application does not match an existing item in Schedule 1 of the licence template, consult the section</w:t>
      </w:r>
      <w:r w:rsidR="00D32C25">
        <w:t xml:space="preserve"> director</w:t>
      </w:r>
      <w:r w:rsidR="00A913E6" w:rsidRPr="0052747F">
        <w:t xml:space="preserve"> and branch quality officer to determine whether an additional item </w:t>
      </w:r>
      <w:r w:rsidR="00604668">
        <w:t>is required</w:t>
      </w:r>
      <w:r w:rsidR="00A913E6" w:rsidRPr="0052747F">
        <w:t>.</w:t>
      </w:r>
    </w:p>
    <w:p w14:paraId="3C796FF6" w14:textId="2520D5AD" w:rsidR="00604668" w:rsidRDefault="009D7BE5" w:rsidP="00DF65C2">
      <w:pPr>
        <w:spacing w:before="120"/>
      </w:pPr>
      <w:r w:rsidRPr="0052747F">
        <w:t xml:space="preserve">A licence is subject to </w:t>
      </w:r>
      <w:r w:rsidR="00B20C12" w:rsidRPr="0052747F">
        <w:t>all relevant conditions in the Act and Regulations</w:t>
      </w:r>
      <w:r w:rsidR="008D33FD">
        <w:t xml:space="preserve"> as listed in</w:t>
      </w:r>
      <w:r w:rsidRPr="0052747F">
        <w:t xml:space="preserve"> </w:t>
      </w:r>
      <w:r w:rsidR="004E48BB" w:rsidRPr="0052747F">
        <w:t>S</w:t>
      </w:r>
      <w:r w:rsidRPr="0052747F">
        <w:t xml:space="preserve">chedule 2 of the licence </w:t>
      </w:r>
      <w:r w:rsidR="00B20C12" w:rsidRPr="0052747F">
        <w:t>template</w:t>
      </w:r>
      <w:r w:rsidR="00C90BA7">
        <w:t xml:space="preserve"> </w:t>
      </w:r>
      <w:r w:rsidR="008D33FD">
        <w:t xml:space="preserve">along with other standard conditions </w:t>
      </w:r>
      <w:r w:rsidR="00C90BA7">
        <w:t>including a link to relevant codes and standards on ARPANSA’s website</w:t>
      </w:r>
      <w:r w:rsidRPr="0052747F">
        <w:t>. A</w:t>
      </w:r>
      <w:r w:rsidR="00B20C12" w:rsidRPr="0052747F">
        <w:t>ny ad</w:t>
      </w:r>
      <w:r w:rsidRPr="0052747F">
        <w:t>ditional special licence conditions are based on circumstance</w:t>
      </w:r>
      <w:r w:rsidR="005472B3" w:rsidRPr="0052747F">
        <w:t>s</w:t>
      </w:r>
      <w:r w:rsidRPr="0052747F">
        <w:t xml:space="preserve"> </w:t>
      </w:r>
      <w:r w:rsidR="00B20C12" w:rsidRPr="0052747F">
        <w:t xml:space="preserve">specific </w:t>
      </w:r>
      <w:r w:rsidRPr="0052747F">
        <w:t xml:space="preserve">to </w:t>
      </w:r>
      <w:r w:rsidR="00B20C12" w:rsidRPr="0052747F">
        <w:t xml:space="preserve">a particular </w:t>
      </w:r>
      <w:r w:rsidR="004C748D" w:rsidRPr="0052747F">
        <w:t>application</w:t>
      </w:r>
      <w:r w:rsidRPr="0052747F">
        <w:t>.</w:t>
      </w:r>
    </w:p>
    <w:p w14:paraId="66CD0535" w14:textId="08787ED0" w:rsidR="00C90BA7" w:rsidRDefault="00B20C12" w:rsidP="00DF65C2">
      <w:pPr>
        <w:spacing w:before="120"/>
      </w:pPr>
      <w:r w:rsidRPr="0052747F">
        <w:t>All special licence conditions require legal review to ensure they are lawful and appropriately worded.</w:t>
      </w:r>
      <w:r w:rsidR="00604668">
        <w:t xml:space="preserve"> </w:t>
      </w:r>
      <w:r w:rsidR="009D7BE5" w:rsidRPr="0052747F">
        <w:t>Special licence conditions are not to be used to overcome deficiencies in the application.</w:t>
      </w:r>
    </w:p>
    <w:p w14:paraId="4769062C" w14:textId="1750A697" w:rsidR="00C90BA7" w:rsidRDefault="00C90BA7" w:rsidP="0064510A">
      <w:pPr>
        <w:pStyle w:val="Heading3"/>
        <w:numPr>
          <w:ilvl w:val="0"/>
          <w:numId w:val="48"/>
        </w:numPr>
      </w:pPr>
      <w:r>
        <w:t>Applicable codes and standards</w:t>
      </w:r>
    </w:p>
    <w:p w14:paraId="12DF8496" w14:textId="05FAE1F3" w:rsidR="00C90BA7" w:rsidRDefault="00C90BA7" w:rsidP="00DF65C2">
      <w:pPr>
        <w:spacing w:before="120"/>
      </w:pPr>
      <w:r>
        <w:t xml:space="preserve">Codes and standards applicable to sources and </w:t>
      </w:r>
      <w:r w:rsidR="00AE500B">
        <w:t>PRFs</w:t>
      </w:r>
      <w:r>
        <w:t xml:space="preserve"> as licence conditions are published on the web. The </w:t>
      </w:r>
      <w:r w:rsidR="00F92281">
        <w:t>assessor</w:t>
      </w:r>
      <w:r>
        <w:t xml:space="preserve"> should check that the relevant codes and standards are current. </w:t>
      </w:r>
    </w:p>
    <w:p w14:paraId="5D0EF01D" w14:textId="5B54CCD0" w:rsidR="00C90BA7" w:rsidRPr="00CB443D" w:rsidRDefault="00C90BA7" w:rsidP="00DF65C2">
      <w:pPr>
        <w:spacing w:before="120"/>
      </w:pPr>
      <w:r>
        <w:t xml:space="preserve">If a code or standard has been superseded the </w:t>
      </w:r>
      <w:r w:rsidR="00F92281">
        <w:t>assessor</w:t>
      </w:r>
      <w:r>
        <w:t xml:space="preserve"> should advise the Director, Safety Systems to have the necessary amendments made to the website and the change communicated to licence holders.  </w:t>
      </w:r>
    </w:p>
    <w:p w14:paraId="1280F8F5" w14:textId="77777777" w:rsidR="00156A9A" w:rsidRDefault="00156A9A">
      <w:pPr>
        <w:rPr>
          <w:rFonts w:ascii="Calibri" w:eastAsia="Calibri" w:hAnsi="Calibri" w:cstheme="majorBidi"/>
          <w:b/>
          <w:bCs/>
          <w:snapToGrid w:val="0"/>
          <w:color w:val="4E1A74"/>
          <w:sz w:val="26"/>
          <w:szCs w:val="26"/>
        </w:rPr>
      </w:pPr>
      <w:bookmarkStart w:id="11" w:name="_Review_&amp;_approval"/>
      <w:bookmarkStart w:id="12" w:name="_Ref520712993"/>
      <w:bookmarkEnd w:id="11"/>
      <w:r>
        <w:br w:type="page"/>
      </w:r>
    </w:p>
    <w:p w14:paraId="5A764C55" w14:textId="053E51ED" w:rsidR="009D7BE5" w:rsidRPr="0052747F" w:rsidRDefault="003779BA" w:rsidP="001A4A44">
      <w:pPr>
        <w:pStyle w:val="Heading2"/>
      </w:pPr>
      <w:r w:rsidRPr="0052747F">
        <w:lastRenderedPageBreak/>
        <w:t>Review &amp; a</w:t>
      </w:r>
      <w:r w:rsidR="009D7BE5" w:rsidRPr="0052747F">
        <w:t>pproval</w:t>
      </w:r>
      <w:bookmarkEnd w:id="12"/>
    </w:p>
    <w:p w14:paraId="075B33D8" w14:textId="32B6EC87" w:rsidR="002747E7" w:rsidRPr="0052747F" w:rsidRDefault="00D4567A" w:rsidP="00DF65C2">
      <w:pPr>
        <w:spacing w:before="120"/>
        <w:rPr>
          <w:rFonts w:eastAsia="Times New Roman"/>
        </w:rPr>
      </w:pPr>
      <w:r>
        <w:rPr>
          <w:rFonts w:eastAsia="Times New Roman"/>
        </w:rPr>
        <w:t xml:space="preserve">The </w:t>
      </w:r>
      <w:r w:rsidR="002747E7" w:rsidRPr="0052747F">
        <w:rPr>
          <w:rFonts w:eastAsia="Times New Roman"/>
        </w:rPr>
        <w:t>RAR</w:t>
      </w:r>
      <w:r>
        <w:rPr>
          <w:rFonts w:eastAsia="Times New Roman"/>
        </w:rPr>
        <w:t>,</w:t>
      </w:r>
      <w:r w:rsidR="002747E7" w:rsidRPr="0052747F">
        <w:rPr>
          <w:rFonts w:eastAsia="Times New Roman"/>
        </w:rPr>
        <w:t xml:space="preserve"> </w:t>
      </w:r>
      <w:r w:rsidR="000D4A05" w:rsidRPr="0052747F">
        <w:rPr>
          <w:rFonts w:eastAsia="Times New Roman"/>
        </w:rPr>
        <w:t xml:space="preserve">draft </w:t>
      </w:r>
      <w:r w:rsidR="002747E7" w:rsidRPr="0052747F">
        <w:rPr>
          <w:rFonts w:eastAsia="Times New Roman"/>
        </w:rPr>
        <w:t xml:space="preserve">licence </w:t>
      </w:r>
      <w:r>
        <w:rPr>
          <w:rFonts w:eastAsia="Times New Roman"/>
        </w:rPr>
        <w:t xml:space="preserve">and covering letter </w:t>
      </w:r>
      <w:r w:rsidR="002747E7" w:rsidRPr="0052747F">
        <w:rPr>
          <w:rFonts w:eastAsia="Times New Roman"/>
        </w:rPr>
        <w:t xml:space="preserve">undergo the following reviews prior to </w:t>
      </w:r>
      <w:r w:rsidR="00946004" w:rsidRPr="0052747F">
        <w:rPr>
          <w:rFonts w:eastAsia="Times New Roman"/>
        </w:rPr>
        <w:t xml:space="preserve">final </w:t>
      </w:r>
      <w:r w:rsidR="002747E7" w:rsidRPr="0052747F">
        <w:rPr>
          <w:rFonts w:eastAsia="Times New Roman"/>
        </w:rPr>
        <w:t>sign-off</w:t>
      </w:r>
      <w:r w:rsidR="00B20C12" w:rsidRPr="0052747F">
        <w:rPr>
          <w:rFonts w:eastAsia="Times New Roman"/>
        </w:rPr>
        <w:t>:</w:t>
      </w:r>
      <w:r w:rsidR="0038722C" w:rsidRPr="0052747F">
        <w:rPr>
          <w:rFonts w:eastAsia="Times New Roman"/>
        </w:rPr>
        <w:t xml:space="preserve"> </w:t>
      </w:r>
    </w:p>
    <w:p w14:paraId="50E0AC93" w14:textId="77777777" w:rsidR="00D12602" w:rsidRPr="0052747F" w:rsidRDefault="002747E7" w:rsidP="00DF65C2">
      <w:pPr>
        <w:pStyle w:val="ListParagraph"/>
        <w:numPr>
          <w:ilvl w:val="0"/>
          <w:numId w:val="12"/>
        </w:numPr>
        <w:spacing w:before="120"/>
        <w:rPr>
          <w:rFonts w:eastAsia="Times New Roman"/>
        </w:rPr>
      </w:pPr>
      <w:r w:rsidRPr="00DF5CF2">
        <w:rPr>
          <w:rStyle w:val="QuoteChar"/>
          <w:b/>
          <w:i w:val="0"/>
          <w:color w:val="4E1A74" w:themeColor="accent2"/>
          <w:sz w:val="22"/>
          <w:szCs w:val="22"/>
        </w:rPr>
        <w:t>Peer review</w:t>
      </w:r>
      <w:r w:rsidRPr="00DF5CF2">
        <w:rPr>
          <w:rFonts w:eastAsia="Times New Roman"/>
          <w:color w:val="4E1A74" w:themeColor="accent2"/>
        </w:rPr>
        <w:t xml:space="preserve"> </w:t>
      </w:r>
      <w:r w:rsidRPr="0052747F">
        <w:rPr>
          <w:rFonts w:eastAsia="Times New Roman"/>
        </w:rPr>
        <w:t xml:space="preserve">by alternate inspector or </w:t>
      </w:r>
      <w:r w:rsidR="00D12602" w:rsidRPr="0052747F">
        <w:rPr>
          <w:rFonts w:eastAsia="Times New Roman"/>
        </w:rPr>
        <w:t xml:space="preserve">other </w:t>
      </w:r>
      <w:r w:rsidRPr="0052747F">
        <w:rPr>
          <w:rFonts w:eastAsia="Times New Roman"/>
        </w:rPr>
        <w:t>RO</w:t>
      </w:r>
    </w:p>
    <w:p w14:paraId="56496BB4" w14:textId="31ECEF30" w:rsidR="00D12602" w:rsidRPr="0052747F" w:rsidRDefault="00D12602" w:rsidP="00C81F82">
      <w:pPr>
        <w:pStyle w:val="BodyTextIndent"/>
        <w:ind w:left="284"/>
      </w:pPr>
      <w:r w:rsidRPr="0052747F">
        <w:t xml:space="preserve">Applications with high risk should be peer reviewed prior to submission to the section </w:t>
      </w:r>
      <w:r w:rsidR="00604668">
        <w:t>director</w:t>
      </w:r>
      <w:r w:rsidRPr="0052747F">
        <w:t xml:space="preserve">. For other applications, the need for a peer review should be discussed with the </w:t>
      </w:r>
      <w:r w:rsidR="00D32C25">
        <w:t>director</w:t>
      </w:r>
      <w:r w:rsidRPr="0052747F">
        <w:t xml:space="preserve"> on a case-by-case basis.</w:t>
      </w:r>
    </w:p>
    <w:p w14:paraId="59B5AC3C" w14:textId="7343D35D" w:rsidR="002747E7" w:rsidRPr="00DF5CF2" w:rsidRDefault="00ED721B" w:rsidP="00DF65C2">
      <w:pPr>
        <w:pStyle w:val="ListParagraph"/>
        <w:numPr>
          <w:ilvl w:val="0"/>
          <w:numId w:val="12"/>
        </w:numPr>
        <w:spacing w:before="120"/>
        <w:rPr>
          <w:rFonts w:eastAsia="Times New Roman"/>
          <w:b/>
          <w:color w:val="4E1A74" w:themeColor="accent2"/>
        </w:rPr>
      </w:pPr>
      <w:r w:rsidRPr="00DF5CF2">
        <w:rPr>
          <w:rFonts w:eastAsia="Times New Roman"/>
          <w:b/>
          <w:color w:val="4E1A74" w:themeColor="accent2"/>
        </w:rPr>
        <w:t>D</w:t>
      </w:r>
      <w:r w:rsidR="00D32C25" w:rsidRPr="00DF5CF2">
        <w:rPr>
          <w:rFonts w:eastAsia="Times New Roman"/>
          <w:b/>
          <w:color w:val="4E1A74" w:themeColor="accent2"/>
        </w:rPr>
        <w:t xml:space="preserve">irector </w:t>
      </w:r>
      <w:r w:rsidR="002747E7" w:rsidRPr="00DF5CF2">
        <w:rPr>
          <w:rFonts w:eastAsia="Times New Roman"/>
          <w:b/>
          <w:color w:val="4E1A74" w:themeColor="accent2"/>
        </w:rPr>
        <w:t xml:space="preserve">review </w:t>
      </w:r>
    </w:p>
    <w:p w14:paraId="299D5D74" w14:textId="2CF13D72" w:rsidR="002747E7" w:rsidRPr="007E456C" w:rsidRDefault="00D32C25" w:rsidP="00C81F82">
      <w:pPr>
        <w:ind w:left="284"/>
        <w:rPr>
          <w:rFonts w:eastAsia="Times New Roman"/>
        </w:rPr>
      </w:pPr>
      <w:r w:rsidRPr="007E456C">
        <w:rPr>
          <w:rFonts w:eastAsia="Times New Roman"/>
        </w:rPr>
        <w:t>The directors of Facility Safety and Source Safety and Security</w:t>
      </w:r>
      <w:r w:rsidR="00B20C12" w:rsidRPr="007E456C">
        <w:rPr>
          <w:rFonts w:eastAsia="Times New Roman"/>
        </w:rPr>
        <w:t xml:space="preserve"> </w:t>
      </w:r>
      <w:r w:rsidR="002747E7" w:rsidRPr="007E456C">
        <w:rPr>
          <w:rFonts w:eastAsia="Times New Roman"/>
        </w:rPr>
        <w:t xml:space="preserve">are responsible for the quality of RARs. </w:t>
      </w:r>
      <w:r w:rsidR="00C4298F" w:rsidRPr="007E456C">
        <w:rPr>
          <w:rFonts w:eastAsia="Times New Roman"/>
        </w:rPr>
        <w:t xml:space="preserve"> The</w:t>
      </w:r>
      <w:r w:rsidR="00B20C12" w:rsidRPr="007E456C">
        <w:rPr>
          <w:rFonts w:eastAsia="Times New Roman"/>
        </w:rPr>
        <w:t xml:space="preserve">y </w:t>
      </w:r>
      <w:r w:rsidR="00C4298F" w:rsidRPr="007E456C">
        <w:rPr>
          <w:rFonts w:eastAsia="Times New Roman"/>
        </w:rPr>
        <w:t>should check</w:t>
      </w:r>
      <w:r w:rsidR="00B20C12" w:rsidRPr="007E456C">
        <w:rPr>
          <w:rFonts w:eastAsia="Times New Roman"/>
        </w:rPr>
        <w:t xml:space="preserve"> the following</w:t>
      </w:r>
      <w:r w:rsidR="002747E7" w:rsidRPr="007E456C">
        <w:rPr>
          <w:rFonts w:eastAsia="Times New Roman"/>
        </w:rPr>
        <w:t>:</w:t>
      </w:r>
    </w:p>
    <w:p w14:paraId="1516F4F3" w14:textId="66A5C0FA" w:rsidR="002747E7" w:rsidRPr="0052747F" w:rsidRDefault="005C3436" w:rsidP="00C81F82">
      <w:pPr>
        <w:pStyle w:val="ListParagraph"/>
        <w:numPr>
          <w:ilvl w:val="0"/>
          <w:numId w:val="11"/>
        </w:numPr>
        <w:ind w:left="284" w:firstLine="142"/>
        <w:rPr>
          <w:rFonts w:eastAsia="Times New Roman"/>
        </w:rPr>
      </w:pPr>
      <w:r>
        <w:rPr>
          <w:rFonts w:eastAsia="Times New Roman"/>
        </w:rPr>
        <w:t>c</w:t>
      </w:r>
      <w:r w:rsidR="002747E7" w:rsidRPr="0052747F">
        <w:rPr>
          <w:rFonts w:eastAsia="Times New Roman"/>
        </w:rPr>
        <w:t>orrect template</w:t>
      </w:r>
      <w:r w:rsidR="00B20C12" w:rsidRPr="0052747F">
        <w:rPr>
          <w:rFonts w:eastAsia="Times New Roman"/>
        </w:rPr>
        <w:t xml:space="preserve"> is used</w:t>
      </w:r>
    </w:p>
    <w:p w14:paraId="2CBFBE88" w14:textId="2F8C42E4" w:rsidR="002747E7" w:rsidRPr="0052747F" w:rsidRDefault="005C3436" w:rsidP="00C81F82">
      <w:pPr>
        <w:pStyle w:val="ListParagraph"/>
        <w:numPr>
          <w:ilvl w:val="0"/>
          <w:numId w:val="11"/>
        </w:numPr>
        <w:ind w:left="284" w:firstLine="142"/>
        <w:rPr>
          <w:rFonts w:eastAsia="Times New Roman"/>
        </w:rPr>
      </w:pPr>
      <w:r>
        <w:rPr>
          <w:rFonts w:eastAsia="Times New Roman"/>
        </w:rPr>
        <w:t>a</w:t>
      </w:r>
      <w:r w:rsidR="002747E7" w:rsidRPr="0052747F">
        <w:rPr>
          <w:rFonts w:eastAsia="Times New Roman"/>
        </w:rPr>
        <w:t xml:space="preserve">ssessment and recommendations are clearly described </w:t>
      </w:r>
    </w:p>
    <w:p w14:paraId="52FD4058" w14:textId="11B8E552" w:rsidR="002747E7" w:rsidRPr="0052747F" w:rsidRDefault="005C3436" w:rsidP="00C81F82">
      <w:pPr>
        <w:pStyle w:val="ListParagraph"/>
        <w:numPr>
          <w:ilvl w:val="0"/>
          <w:numId w:val="11"/>
        </w:numPr>
        <w:ind w:left="284" w:firstLine="142"/>
        <w:rPr>
          <w:rFonts w:eastAsia="Times New Roman"/>
        </w:rPr>
      </w:pPr>
      <w:r>
        <w:rPr>
          <w:rFonts w:eastAsia="Times New Roman"/>
        </w:rPr>
        <w:t>b</w:t>
      </w:r>
      <w:r w:rsidR="002747E7" w:rsidRPr="0052747F">
        <w:rPr>
          <w:rFonts w:eastAsia="Times New Roman"/>
        </w:rPr>
        <w:t xml:space="preserve">asis for any special licence conditions including those under </w:t>
      </w:r>
      <w:r w:rsidR="00771B06">
        <w:rPr>
          <w:rFonts w:eastAsia="Times New Roman"/>
        </w:rPr>
        <w:t>subsection</w:t>
      </w:r>
      <w:r w:rsidR="002A6D69">
        <w:rPr>
          <w:rFonts w:eastAsia="Times New Roman"/>
        </w:rPr>
        <w:t>s 64(2) and 65(5)</w:t>
      </w:r>
      <w:r w:rsidR="00B20C12" w:rsidRPr="0052747F">
        <w:rPr>
          <w:rFonts w:eastAsia="Times New Roman"/>
        </w:rPr>
        <w:t xml:space="preserve"> are clearly described</w:t>
      </w:r>
    </w:p>
    <w:p w14:paraId="589A611C" w14:textId="524BDCEC" w:rsidR="00037D87" w:rsidRPr="0052747F" w:rsidRDefault="00D32C25" w:rsidP="00C81F82">
      <w:pPr>
        <w:spacing w:before="120"/>
        <w:ind w:left="284"/>
        <w:rPr>
          <w:rFonts w:eastAsia="Times New Roman"/>
        </w:rPr>
      </w:pPr>
      <w:r>
        <w:rPr>
          <w:rFonts w:eastAsia="Times New Roman"/>
        </w:rPr>
        <w:t>Director</w:t>
      </w:r>
      <w:r w:rsidR="002747E7" w:rsidRPr="0052747F">
        <w:rPr>
          <w:rFonts w:eastAsia="Times New Roman"/>
        </w:rPr>
        <w:t xml:space="preserve">s will determine whether a factual check </w:t>
      </w:r>
      <w:r w:rsidR="004C748D" w:rsidRPr="0052747F">
        <w:rPr>
          <w:rFonts w:eastAsia="Times New Roman"/>
        </w:rPr>
        <w:t xml:space="preserve">is required </w:t>
      </w:r>
      <w:r w:rsidR="002747E7" w:rsidRPr="0052747F">
        <w:rPr>
          <w:rFonts w:eastAsia="Times New Roman"/>
        </w:rPr>
        <w:t xml:space="preserve">by other expertise in ARPANSA and seek as necessary. </w:t>
      </w:r>
      <w:r w:rsidR="00242553" w:rsidRPr="0052747F">
        <w:rPr>
          <w:rFonts w:eastAsia="Times New Roman"/>
        </w:rPr>
        <w:t xml:space="preserve"> </w:t>
      </w:r>
    </w:p>
    <w:p w14:paraId="358C53A7" w14:textId="77777777" w:rsidR="002747E7" w:rsidRPr="00DF5CF2" w:rsidRDefault="00037D87" w:rsidP="00DF65C2">
      <w:pPr>
        <w:pStyle w:val="ListParagraph"/>
        <w:numPr>
          <w:ilvl w:val="0"/>
          <w:numId w:val="12"/>
        </w:numPr>
        <w:spacing w:before="120"/>
        <w:rPr>
          <w:b/>
          <w:color w:val="4E1A74" w:themeColor="accent2"/>
        </w:rPr>
      </w:pPr>
      <w:r w:rsidRPr="00DF5CF2">
        <w:rPr>
          <w:rFonts w:eastAsia="Times New Roman"/>
          <w:b/>
          <w:color w:val="4E1A74" w:themeColor="accent2"/>
        </w:rPr>
        <w:t>Quality review</w:t>
      </w:r>
      <w:r w:rsidR="002747E7" w:rsidRPr="00DF5CF2">
        <w:rPr>
          <w:rFonts w:eastAsia="Times New Roman"/>
          <w:b/>
          <w:color w:val="4E1A74" w:themeColor="accent2"/>
        </w:rPr>
        <w:t xml:space="preserve"> </w:t>
      </w:r>
    </w:p>
    <w:p w14:paraId="10D83B7F" w14:textId="1861E321" w:rsidR="00E75ABB" w:rsidRDefault="00974503" w:rsidP="00C81F82">
      <w:pPr>
        <w:ind w:left="284"/>
        <w:rPr>
          <w:rFonts w:eastAsia="Times New Roman"/>
        </w:rPr>
      </w:pPr>
      <w:r w:rsidRPr="0052747F">
        <w:rPr>
          <w:rFonts w:eastAsia="Times New Roman"/>
        </w:rPr>
        <w:t xml:space="preserve">After </w:t>
      </w:r>
      <w:r w:rsidR="002747E7" w:rsidRPr="0052747F">
        <w:rPr>
          <w:rFonts w:eastAsia="Times New Roman"/>
        </w:rPr>
        <w:t xml:space="preserve">the section </w:t>
      </w:r>
      <w:r w:rsidR="00D32C25">
        <w:rPr>
          <w:rFonts w:eastAsia="Times New Roman"/>
        </w:rPr>
        <w:t>director</w:t>
      </w:r>
      <w:r w:rsidR="002747E7" w:rsidRPr="0052747F">
        <w:rPr>
          <w:rFonts w:eastAsia="Times New Roman"/>
        </w:rPr>
        <w:t xml:space="preserve"> </w:t>
      </w:r>
      <w:r w:rsidRPr="0052747F">
        <w:rPr>
          <w:rFonts w:eastAsia="Times New Roman"/>
        </w:rPr>
        <w:t xml:space="preserve">clears the </w:t>
      </w:r>
      <w:proofErr w:type="gramStart"/>
      <w:r w:rsidRPr="0052747F">
        <w:rPr>
          <w:rFonts w:eastAsia="Times New Roman"/>
        </w:rPr>
        <w:t>draft</w:t>
      </w:r>
      <w:proofErr w:type="gramEnd"/>
      <w:r w:rsidRPr="0052747F">
        <w:rPr>
          <w:rFonts w:eastAsia="Times New Roman"/>
        </w:rPr>
        <w:t xml:space="preserve"> </w:t>
      </w:r>
      <w:r w:rsidR="002747E7" w:rsidRPr="0052747F">
        <w:rPr>
          <w:rFonts w:eastAsia="Times New Roman"/>
        </w:rPr>
        <w:t xml:space="preserve">the </w:t>
      </w:r>
      <w:r w:rsidR="00F92281">
        <w:rPr>
          <w:rFonts w:eastAsia="Times New Roman"/>
        </w:rPr>
        <w:t>assessor</w:t>
      </w:r>
      <w:r w:rsidR="002747E7" w:rsidRPr="0052747F">
        <w:rPr>
          <w:rFonts w:eastAsia="Times New Roman"/>
        </w:rPr>
        <w:t xml:space="preserve"> seeks a </w:t>
      </w:r>
      <w:r w:rsidR="00B20C12" w:rsidRPr="0052747F">
        <w:rPr>
          <w:rFonts w:eastAsia="Times New Roman"/>
        </w:rPr>
        <w:t xml:space="preserve">quality </w:t>
      </w:r>
      <w:r w:rsidR="002747E7" w:rsidRPr="0052747F">
        <w:rPr>
          <w:rFonts w:eastAsia="Times New Roman"/>
        </w:rPr>
        <w:t>review</w:t>
      </w:r>
      <w:r w:rsidR="00A328A5">
        <w:rPr>
          <w:rFonts w:eastAsia="Times New Roman"/>
        </w:rPr>
        <w:t xml:space="preserve">. </w:t>
      </w:r>
      <w:r w:rsidR="002747E7" w:rsidRPr="0052747F">
        <w:rPr>
          <w:rFonts w:eastAsia="Times New Roman"/>
        </w:rPr>
        <w:t xml:space="preserve">The </w:t>
      </w:r>
      <w:r w:rsidR="00F212A8" w:rsidRPr="0052747F">
        <w:rPr>
          <w:rFonts w:eastAsia="Times New Roman"/>
        </w:rPr>
        <w:t xml:space="preserve">reviewing </w:t>
      </w:r>
      <w:r w:rsidR="002747E7" w:rsidRPr="0052747F">
        <w:rPr>
          <w:rFonts w:eastAsia="Times New Roman"/>
        </w:rPr>
        <w:t xml:space="preserve">officer will provide advice on the </w:t>
      </w:r>
      <w:r w:rsidR="00A72E16">
        <w:rPr>
          <w:rFonts w:eastAsia="Times New Roman"/>
        </w:rPr>
        <w:t>documents</w:t>
      </w:r>
      <w:r w:rsidR="00A72E16" w:rsidRPr="0052747F">
        <w:rPr>
          <w:rFonts w:eastAsia="Times New Roman"/>
        </w:rPr>
        <w:t xml:space="preserve"> </w:t>
      </w:r>
      <w:r w:rsidR="002747E7" w:rsidRPr="0052747F">
        <w:rPr>
          <w:rFonts w:eastAsia="Times New Roman"/>
        </w:rPr>
        <w:t xml:space="preserve">to the </w:t>
      </w:r>
      <w:r w:rsidR="00F92281">
        <w:rPr>
          <w:rFonts w:eastAsia="Times New Roman"/>
        </w:rPr>
        <w:t>assessor</w:t>
      </w:r>
      <w:r w:rsidR="002747E7" w:rsidRPr="0052747F">
        <w:rPr>
          <w:rFonts w:eastAsia="Times New Roman"/>
        </w:rPr>
        <w:t xml:space="preserve"> and section </w:t>
      </w:r>
      <w:r w:rsidR="00D32C25">
        <w:rPr>
          <w:rFonts w:eastAsia="Times New Roman"/>
        </w:rPr>
        <w:t>director</w:t>
      </w:r>
      <w:r w:rsidR="002747E7" w:rsidRPr="0052747F">
        <w:rPr>
          <w:rFonts w:eastAsia="Times New Roman"/>
        </w:rPr>
        <w:t xml:space="preserve">. </w:t>
      </w:r>
      <w:r w:rsidRPr="0052747F">
        <w:rPr>
          <w:rFonts w:eastAsia="Times New Roman"/>
        </w:rPr>
        <w:t xml:space="preserve"> </w:t>
      </w:r>
      <w:r w:rsidR="002747E7" w:rsidRPr="0052747F">
        <w:rPr>
          <w:rFonts w:eastAsia="Times New Roman"/>
        </w:rPr>
        <w:t xml:space="preserve">Acceptance of advice is at the discretion of the section </w:t>
      </w:r>
      <w:r w:rsidR="00D32C25">
        <w:rPr>
          <w:rFonts w:eastAsia="Times New Roman"/>
        </w:rPr>
        <w:t>director</w:t>
      </w:r>
      <w:r w:rsidR="002747E7" w:rsidRPr="0052747F">
        <w:rPr>
          <w:rFonts w:eastAsia="Times New Roman"/>
        </w:rPr>
        <w:t xml:space="preserve">. </w:t>
      </w:r>
    </w:p>
    <w:p w14:paraId="262CD3B5" w14:textId="77777777" w:rsidR="00037D87" w:rsidRPr="00DF5CF2" w:rsidRDefault="002747E7" w:rsidP="00DF65C2">
      <w:pPr>
        <w:pStyle w:val="ListParagraph"/>
        <w:numPr>
          <w:ilvl w:val="0"/>
          <w:numId w:val="12"/>
        </w:numPr>
        <w:spacing w:before="120"/>
        <w:rPr>
          <w:rFonts w:eastAsia="Times New Roman"/>
          <w:b/>
          <w:color w:val="4E1A74" w:themeColor="accent2"/>
        </w:rPr>
      </w:pPr>
      <w:r w:rsidRPr="00DF5CF2">
        <w:rPr>
          <w:rFonts w:eastAsia="Times New Roman"/>
          <w:b/>
          <w:color w:val="4E1A74" w:themeColor="accent2"/>
        </w:rPr>
        <w:t xml:space="preserve">Legal review  </w:t>
      </w:r>
    </w:p>
    <w:p w14:paraId="20C27D74" w14:textId="77777777" w:rsidR="00037D87" w:rsidRPr="0052747F" w:rsidRDefault="000D4A05" w:rsidP="00C81F82">
      <w:pPr>
        <w:ind w:left="284"/>
        <w:rPr>
          <w:rFonts w:eastAsia="Times New Roman"/>
          <w:i/>
        </w:rPr>
      </w:pPr>
      <w:r w:rsidRPr="0052747F">
        <w:rPr>
          <w:rFonts w:eastAsia="Times New Roman"/>
        </w:rPr>
        <w:t xml:space="preserve">Legal review is required when </w:t>
      </w:r>
      <w:r w:rsidR="00FE1833" w:rsidRPr="0052747F">
        <w:rPr>
          <w:rFonts w:eastAsia="Times New Roman"/>
        </w:rPr>
        <w:t xml:space="preserve">the licence deviates from the approved template </w:t>
      </w:r>
      <w:proofErr w:type="spellStart"/>
      <w:proofErr w:type="gramStart"/>
      <w:r w:rsidR="00FE1833" w:rsidRPr="0052747F">
        <w:rPr>
          <w:rFonts w:eastAsia="Times New Roman"/>
        </w:rPr>
        <w:t>eg</w:t>
      </w:r>
      <w:proofErr w:type="spellEnd"/>
      <w:proofErr w:type="gramEnd"/>
      <w:r w:rsidR="00FE1833" w:rsidRPr="0052747F">
        <w:rPr>
          <w:rFonts w:eastAsia="Times New Roman"/>
        </w:rPr>
        <w:t xml:space="preserve"> where a </w:t>
      </w:r>
      <w:r w:rsidRPr="0052747F">
        <w:rPr>
          <w:rFonts w:eastAsia="Times New Roman"/>
        </w:rPr>
        <w:t xml:space="preserve">special </w:t>
      </w:r>
      <w:r w:rsidR="00974503" w:rsidRPr="0052747F">
        <w:rPr>
          <w:rFonts w:eastAsia="Times New Roman"/>
        </w:rPr>
        <w:t xml:space="preserve">licence </w:t>
      </w:r>
      <w:r w:rsidRPr="0052747F">
        <w:rPr>
          <w:rFonts w:eastAsia="Times New Roman"/>
        </w:rPr>
        <w:t>condition</w:t>
      </w:r>
      <w:r w:rsidR="00FE1833" w:rsidRPr="0052747F">
        <w:rPr>
          <w:rFonts w:eastAsia="Times New Roman"/>
        </w:rPr>
        <w:t xml:space="preserve"> is</w:t>
      </w:r>
      <w:r w:rsidR="00974503" w:rsidRPr="0052747F">
        <w:rPr>
          <w:rFonts w:eastAsia="Times New Roman"/>
        </w:rPr>
        <w:t xml:space="preserve"> proposed</w:t>
      </w:r>
      <w:r w:rsidRPr="0052747F">
        <w:rPr>
          <w:rFonts w:eastAsia="Times New Roman"/>
        </w:rPr>
        <w:t xml:space="preserve">. </w:t>
      </w:r>
      <w:r w:rsidR="00974503" w:rsidRPr="0052747F">
        <w:rPr>
          <w:rFonts w:eastAsia="Times New Roman"/>
        </w:rPr>
        <w:t xml:space="preserve"> </w:t>
      </w:r>
    </w:p>
    <w:p w14:paraId="6053958B" w14:textId="77777777" w:rsidR="00037D87" w:rsidRPr="00DF5CF2" w:rsidRDefault="00037D87" w:rsidP="00DF65C2">
      <w:pPr>
        <w:pStyle w:val="ListParagraph"/>
        <w:numPr>
          <w:ilvl w:val="0"/>
          <w:numId w:val="12"/>
        </w:numPr>
        <w:spacing w:before="120"/>
        <w:rPr>
          <w:b/>
          <w:color w:val="4E1A74" w:themeColor="accent2"/>
        </w:rPr>
      </w:pPr>
      <w:r w:rsidRPr="00DF5CF2">
        <w:rPr>
          <w:rFonts w:eastAsia="Times New Roman"/>
          <w:b/>
          <w:color w:val="4E1A74" w:themeColor="accent2"/>
        </w:rPr>
        <w:t>Independent review</w:t>
      </w:r>
    </w:p>
    <w:p w14:paraId="03D70B14" w14:textId="77777777" w:rsidR="00EC260D" w:rsidRDefault="00037D87" w:rsidP="00C81F82">
      <w:pPr>
        <w:ind w:left="284"/>
        <w:rPr>
          <w:szCs w:val="24"/>
        </w:rPr>
      </w:pPr>
      <w:r w:rsidRPr="0052747F">
        <w:rPr>
          <w:rFonts w:eastAsia="Times New Roman"/>
        </w:rPr>
        <w:t>Where ARPANSA is the applicant there must be an independent review of the assessment by a state or territory radiation regulator.</w:t>
      </w:r>
      <w:r w:rsidR="00EC260D" w:rsidRPr="00EC260D">
        <w:rPr>
          <w:szCs w:val="24"/>
        </w:rPr>
        <w:t xml:space="preserve"> </w:t>
      </w:r>
    </w:p>
    <w:p w14:paraId="2363E4C4" w14:textId="6BF61CC8" w:rsidR="00AF65B6" w:rsidRDefault="007E123A" w:rsidP="00C81F82">
      <w:pPr>
        <w:spacing w:before="120"/>
        <w:ind w:left="284"/>
      </w:pPr>
      <w:r>
        <w:t xml:space="preserve">A </w:t>
      </w:r>
      <w:r w:rsidR="00A80B4C">
        <w:t xml:space="preserve">review &amp; approval workflow should be initiated </w:t>
      </w:r>
      <w:r w:rsidR="002A6BA1">
        <w:t xml:space="preserve">in </w:t>
      </w:r>
      <w:hyperlink r:id="rId19" w:history="1">
        <w:r w:rsidR="00A80B4C" w:rsidRPr="00EE6851">
          <w:rPr>
            <w:rStyle w:val="Hyperlink"/>
          </w:rPr>
          <w:t>Teams</w:t>
        </w:r>
      </w:hyperlink>
      <w:r w:rsidR="00A80B4C">
        <w:t xml:space="preserve"> </w:t>
      </w:r>
      <w:r w:rsidR="002A6BA1">
        <w:t xml:space="preserve">taking care to attach all </w:t>
      </w:r>
      <w:r w:rsidR="00EC2A13">
        <w:t xml:space="preserve">relevant </w:t>
      </w:r>
      <w:r w:rsidR="002A6BA1">
        <w:t>documents</w:t>
      </w:r>
      <w:r w:rsidR="00EC2A13">
        <w:t>.</w:t>
      </w:r>
    </w:p>
    <w:p w14:paraId="1225C7E6" w14:textId="1D787D6C" w:rsidR="00AF65B6" w:rsidRDefault="00AF65B6" w:rsidP="00C81F82">
      <w:pPr>
        <w:spacing w:before="240"/>
      </w:pPr>
      <w:r w:rsidRPr="0052747F">
        <w:t xml:space="preserve">After all reviews are completed </w:t>
      </w:r>
      <w:r w:rsidR="00A734E5">
        <w:t>li</w:t>
      </w:r>
      <w:r w:rsidR="00A80B4C">
        <w:t>n</w:t>
      </w:r>
      <w:r w:rsidR="00A734E5">
        <w:t>ks to the</w:t>
      </w:r>
      <w:r>
        <w:t xml:space="preserve"> </w:t>
      </w:r>
      <w:r w:rsidRPr="0052747F">
        <w:t xml:space="preserve">RAR, licence, and </w:t>
      </w:r>
      <w:r w:rsidR="00A72E16">
        <w:t>covering</w:t>
      </w:r>
      <w:r w:rsidR="00A72E16" w:rsidRPr="0052747F">
        <w:t xml:space="preserve"> </w:t>
      </w:r>
      <w:r w:rsidRPr="0052747F">
        <w:t xml:space="preserve">letter are </w:t>
      </w:r>
      <w:r w:rsidR="00A72E16">
        <w:t xml:space="preserve">emailed </w:t>
      </w:r>
      <w:r w:rsidRPr="0052747F">
        <w:t>to the CEO</w:t>
      </w:r>
      <w:r w:rsidR="00A80B4C">
        <w:t>/CRO for approval and sign-off</w:t>
      </w:r>
      <w:r w:rsidRPr="0052747F">
        <w:t xml:space="preserve">.  </w:t>
      </w:r>
    </w:p>
    <w:p w14:paraId="79EA2F78" w14:textId="78537029" w:rsidR="00FE1833" w:rsidRPr="0052747F" w:rsidRDefault="00FE1833" w:rsidP="001A4A44">
      <w:pPr>
        <w:pStyle w:val="Heading2"/>
      </w:pPr>
      <w:r w:rsidRPr="0052747F">
        <w:t>Issu</w:t>
      </w:r>
      <w:r w:rsidR="001C7A67">
        <w:t>ing</w:t>
      </w:r>
      <w:r w:rsidRPr="0052747F">
        <w:t xml:space="preserve"> </w:t>
      </w:r>
      <w:r w:rsidR="00F212A8" w:rsidRPr="0052747F">
        <w:t>the l</w:t>
      </w:r>
      <w:r w:rsidRPr="0052747F">
        <w:t>icence</w:t>
      </w:r>
    </w:p>
    <w:p w14:paraId="282C02BC" w14:textId="67B047C1" w:rsidR="009D7BE5" w:rsidRPr="0052747F" w:rsidRDefault="00987422" w:rsidP="00DF65C2">
      <w:pPr>
        <w:spacing w:before="120"/>
      </w:pPr>
      <w:r w:rsidRPr="0052747F">
        <w:t xml:space="preserve">When approved </w:t>
      </w:r>
      <w:r w:rsidR="004C748D" w:rsidRPr="0052747F">
        <w:t xml:space="preserve">an electronic copy of the signature of the </w:t>
      </w:r>
      <w:r w:rsidR="00A076E5" w:rsidRPr="0052747F">
        <w:t>CEO</w:t>
      </w:r>
      <w:r w:rsidR="009B6ECC">
        <w:t>/CRO</w:t>
      </w:r>
      <w:r w:rsidR="00A076E5" w:rsidRPr="0052747F">
        <w:t xml:space="preserve"> </w:t>
      </w:r>
      <w:r w:rsidR="009B6ECC">
        <w:t xml:space="preserve">is </w:t>
      </w:r>
      <w:r w:rsidR="004C748D" w:rsidRPr="0052747F">
        <w:t>added to the licence and letter</w:t>
      </w:r>
      <w:r w:rsidR="00EC260D">
        <w:t xml:space="preserve">.  </w:t>
      </w:r>
    </w:p>
    <w:p w14:paraId="3B71BA24" w14:textId="7EED846F" w:rsidR="005B3B1A" w:rsidRDefault="00987422" w:rsidP="00DF65C2">
      <w:pPr>
        <w:spacing w:before="120"/>
        <w:rPr>
          <w:bCs/>
          <w:szCs w:val="24"/>
        </w:rPr>
      </w:pPr>
      <w:r w:rsidRPr="0052747F">
        <w:t xml:space="preserve">The </w:t>
      </w:r>
      <w:r w:rsidR="004C748D" w:rsidRPr="0052747F">
        <w:t xml:space="preserve">approved </w:t>
      </w:r>
      <w:r w:rsidR="009F4398" w:rsidRPr="0052747F">
        <w:t xml:space="preserve">licence and </w:t>
      </w:r>
      <w:r w:rsidR="00EC260D">
        <w:t xml:space="preserve">covering </w:t>
      </w:r>
      <w:r w:rsidR="009F4398" w:rsidRPr="0052747F">
        <w:t xml:space="preserve">letter </w:t>
      </w:r>
      <w:r w:rsidRPr="0052747F">
        <w:t xml:space="preserve">are converted to pdf, </w:t>
      </w:r>
      <w:r w:rsidR="004335FE" w:rsidRPr="0052747F">
        <w:t>sav</w:t>
      </w:r>
      <w:r w:rsidR="00A076E5" w:rsidRPr="0052747F">
        <w:t>ed</w:t>
      </w:r>
      <w:r w:rsidR="004335FE" w:rsidRPr="0052747F">
        <w:t xml:space="preserve"> </w:t>
      </w:r>
      <w:r w:rsidR="00FE1833" w:rsidRPr="0052747F">
        <w:t xml:space="preserve">over </w:t>
      </w:r>
      <w:r w:rsidR="00A076E5" w:rsidRPr="0052747F">
        <w:t xml:space="preserve">the </w:t>
      </w:r>
      <w:r w:rsidR="009D7BE5" w:rsidRPr="0052747F">
        <w:t xml:space="preserve">Word </w:t>
      </w:r>
      <w:r w:rsidRPr="0052747F">
        <w:t>drafts</w:t>
      </w:r>
      <w:r w:rsidR="009D7BE5" w:rsidRPr="0052747F">
        <w:t xml:space="preserve"> </w:t>
      </w:r>
      <w:r w:rsidR="005B3B1A" w:rsidRPr="0052747F">
        <w:t xml:space="preserve">in </w:t>
      </w:r>
      <w:r w:rsidR="00184E1D">
        <w:t>CM</w:t>
      </w:r>
      <w:r w:rsidRPr="0052747F">
        <w:t xml:space="preserve"> </w:t>
      </w:r>
      <w:r w:rsidR="004C748D" w:rsidRPr="0052747F">
        <w:t xml:space="preserve">then </w:t>
      </w:r>
      <w:r w:rsidRPr="0052747F">
        <w:t>emailed to the applicant</w:t>
      </w:r>
      <w:r w:rsidR="004C748D" w:rsidRPr="0052747F">
        <w:t xml:space="preserve"> or </w:t>
      </w:r>
      <w:r w:rsidRPr="0052747F">
        <w:t>licence holder</w:t>
      </w:r>
      <w:r w:rsidR="00EC260D">
        <w:t xml:space="preserve"> </w:t>
      </w:r>
      <w:r w:rsidR="007A7DE1">
        <w:t xml:space="preserve">and </w:t>
      </w:r>
      <w:r w:rsidR="00C87463">
        <w:t>cop</w:t>
      </w:r>
      <w:r w:rsidR="007A7DE1">
        <w:t>ied</w:t>
      </w:r>
      <w:r w:rsidR="00C87463">
        <w:t xml:space="preserve"> to</w:t>
      </w:r>
      <w:r w:rsidR="004911FD">
        <w:t xml:space="preserve"> </w:t>
      </w:r>
      <w:hyperlink r:id="rId20" w:history="1">
        <w:r w:rsidR="004911FD" w:rsidRPr="006E2974">
          <w:rPr>
            <w:rStyle w:val="Hyperlink"/>
          </w:rPr>
          <w:t>LicenceAdmin@arpansa.gov.au</w:t>
        </w:r>
      </w:hyperlink>
      <w:r w:rsidR="00ED721B">
        <w:t>.</w:t>
      </w:r>
      <w:r w:rsidR="005B3B1A" w:rsidRPr="0052747F">
        <w:rPr>
          <w:bCs/>
          <w:szCs w:val="24"/>
        </w:rPr>
        <w:t xml:space="preserve">  </w:t>
      </w:r>
    </w:p>
    <w:p w14:paraId="5E71C63A" w14:textId="701D4029" w:rsidR="00C87463" w:rsidRPr="0052747F" w:rsidRDefault="00C87463" w:rsidP="001A4A44">
      <w:pPr>
        <w:pStyle w:val="Heading2"/>
      </w:pPr>
      <w:r w:rsidRPr="0052747F">
        <w:lastRenderedPageBreak/>
        <w:t>Calculat</w:t>
      </w:r>
      <w:r w:rsidR="004F4E72">
        <w:t>e</w:t>
      </w:r>
      <w:r w:rsidRPr="0052747F">
        <w:t xml:space="preserve"> annual licence charge </w:t>
      </w:r>
    </w:p>
    <w:p w14:paraId="4DCE77A3" w14:textId="0C71002C" w:rsidR="00C87463" w:rsidRPr="0052747F" w:rsidRDefault="009B6ECC" w:rsidP="00DF65C2">
      <w:pPr>
        <w:pStyle w:val="BodyTextIndent"/>
        <w:spacing w:before="120"/>
        <w:ind w:left="0"/>
      </w:pPr>
      <w:r>
        <w:t>T</w:t>
      </w:r>
      <w:r w:rsidR="00C87463" w:rsidRPr="0052747F">
        <w:t xml:space="preserve">he licence charges from the month of </w:t>
      </w:r>
      <w:r w:rsidR="00AF65B6">
        <w:t xml:space="preserve">licence </w:t>
      </w:r>
      <w:r w:rsidR="00C87463" w:rsidRPr="0052747F">
        <w:t xml:space="preserve">issue </w:t>
      </w:r>
      <w:r>
        <w:t xml:space="preserve">may be pro-rated </w:t>
      </w:r>
      <w:r w:rsidR="00C87463" w:rsidRPr="0052747F">
        <w:t xml:space="preserve">as per </w:t>
      </w:r>
      <w:r w:rsidR="002A6D69">
        <w:t xml:space="preserve">section 70 of the </w:t>
      </w:r>
      <w:r w:rsidR="00C87463" w:rsidRPr="0052747F">
        <w:t>Regulation</w:t>
      </w:r>
      <w:r w:rsidR="002A6D69">
        <w:t>s</w:t>
      </w:r>
      <w:r w:rsidR="00C87463" w:rsidRPr="0052747F">
        <w:t>.</w:t>
      </w:r>
      <w:r w:rsidR="00C87463" w:rsidRPr="0052747F">
        <w:rPr>
          <w:color w:val="FF0000"/>
        </w:rPr>
        <w:t xml:space="preserve"> </w:t>
      </w:r>
      <w:r w:rsidR="00C87463" w:rsidRPr="0052747F">
        <w:t xml:space="preserve">Where appropriate the </w:t>
      </w:r>
      <w:r w:rsidR="00F92281">
        <w:t>assessor</w:t>
      </w:r>
      <w:r w:rsidR="00C87463" w:rsidRPr="0052747F">
        <w:t xml:space="preserve"> calculates the annual charges </w:t>
      </w:r>
      <w:proofErr w:type="gramStart"/>
      <w:r w:rsidR="00C87463" w:rsidRPr="0052747F">
        <w:t>taking into account</w:t>
      </w:r>
      <w:proofErr w:type="gramEnd"/>
      <w:r w:rsidR="00C87463" w:rsidRPr="0052747F">
        <w:t xml:space="preserve"> the month in which the licence is issued. </w:t>
      </w:r>
      <w:r w:rsidR="00A425A5">
        <w:t xml:space="preserve"> </w:t>
      </w:r>
    </w:p>
    <w:p w14:paraId="0536A404" w14:textId="452223E6" w:rsidR="00AF65B6" w:rsidRDefault="00C87463" w:rsidP="00DF65C2">
      <w:pPr>
        <w:spacing w:before="120"/>
        <w:rPr>
          <w:rFonts w:eastAsia="Calibri"/>
          <w:snapToGrid w:val="0"/>
        </w:rPr>
      </w:pPr>
      <w:r w:rsidRPr="0052747F">
        <w:t xml:space="preserve">The </w:t>
      </w:r>
      <w:r w:rsidR="00F92281">
        <w:t>assessor</w:t>
      </w:r>
      <w:r w:rsidRPr="0052747F">
        <w:t xml:space="preserve"> will advise the </w:t>
      </w:r>
      <w:r w:rsidR="00F54671">
        <w:t>LAO</w:t>
      </w:r>
      <w:r w:rsidR="00EC260D">
        <w:t xml:space="preserve"> </w:t>
      </w:r>
      <w:r w:rsidRPr="0052747F">
        <w:t xml:space="preserve">of the licence charges and the </w:t>
      </w:r>
      <w:r w:rsidR="00F54671">
        <w:t>LAO</w:t>
      </w:r>
      <w:r w:rsidR="00EC260D">
        <w:t xml:space="preserve"> </w:t>
      </w:r>
      <w:r w:rsidRPr="0052747F">
        <w:t xml:space="preserve">will </w:t>
      </w:r>
      <w:r w:rsidR="001A5AF9">
        <w:t xml:space="preserve">arrange for </w:t>
      </w:r>
      <w:r w:rsidRPr="0052747F">
        <w:t xml:space="preserve">Finance to issue a </w:t>
      </w:r>
      <w:r w:rsidR="00AF65B6">
        <w:t>d</w:t>
      </w:r>
      <w:r w:rsidRPr="0052747F">
        <w:t xml:space="preserve">ebtor </w:t>
      </w:r>
      <w:r w:rsidR="00AF65B6">
        <w:t>i</w:t>
      </w:r>
      <w:r w:rsidRPr="0052747F">
        <w:t xml:space="preserve">nvoice. </w:t>
      </w:r>
    </w:p>
    <w:p w14:paraId="14FEDABC" w14:textId="4248FD9F" w:rsidR="00E107FD" w:rsidRPr="0052747F" w:rsidRDefault="00E107FD" w:rsidP="001A4A44">
      <w:pPr>
        <w:pStyle w:val="Heading2"/>
      </w:pPr>
      <w:r w:rsidRPr="0052747F">
        <w:t>Record keeping</w:t>
      </w:r>
    </w:p>
    <w:p w14:paraId="101A281B" w14:textId="445EC8EF" w:rsidR="00E107FD" w:rsidRPr="0052747F" w:rsidRDefault="00E107FD" w:rsidP="00DF65C2">
      <w:pPr>
        <w:spacing w:before="120"/>
      </w:pPr>
      <w:r w:rsidRPr="0052747F">
        <w:t>The</w:t>
      </w:r>
      <w:r w:rsidR="00EC260D">
        <w:t xml:space="preserve"> </w:t>
      </w:r>
      <w:r w:rsidR="00F54671">
        <w:t>LAO</w:t>
      </w:r>
      <w:r w:rsidRPr="0052747F">
        <w:t xml:space="preserve"> will:</w:t>
      </w:r>
    </w:p>
    <w:p w14:paraId="56814410" w14:textId="4640B36A" w:rsidR="00E107FD" w:rsidRPr="0052747F" w:rsidRDefault="009B6ECC" w:rsidP="00DF65C2">
      <w:pPr>
        <w:pStyle w:val="ListParagraph"/>
        <w:numPr>
          <w:ilvl w:val="0"/>
          <w:numId w:val="2"/>
        </w:numPr>
        <w:spacing w:before="120"/>
        <w:rPr>
          <w:bCs/>
          <w:iCs/>
          <w:szCs w:val="24"/>
        </w:rPr>
      </w:pPr>
      <w:r>
        <w:rPr>
          <w:bCs/>
          <w:szCs w:val="24"/>
        </w:rPr>
        <w:t>s</w:t>
      </w:r>
      <w:r w:rsidR="005B3B1A" w:rsidRPr="0052747F">
        <w:rPr>
          <w:bCs/>
          <w:szCs w:val="24"/>
        </w:rPr>
        <w:t xml:space="preserve">ave </w:t>
      </w:r>
      <w:r w:rsidR="00E107FD" w:rsidRPr="0052747F">
        <w:rPr>
          <w:bCs/>
          <w:szCs w:val="24"/>
        </w:rPr>
        <w:t xml:space="preserve">the </w:t>
      </w:r>
      <w:r w:rsidR="005B3B1A" w:rsidRPr="0052747F">
        <w:rPr>
          <w:bCs/>
          <w:szCs w:val="24"/>
        </w:rPr>
        <w:t>notification email in the relevant licence file</w:t>
      </w:r>
      <w:r w:rsidR="005B3B1A" w:rsidRPr="0052747F">
        <w:t xml:space="preserve"> </w:t>
      </w:r>
    </w:p>
    <w:p w14:paraId="381CF2C1" w14:textId="185B04CA" w:rsidR="00E107FD" w:rsidRPr="0052747F" w:rsidRDefault="009B6ECC" w:rsidP="00DF65C2">
      <w:pPr>
        <w:pStyle w:val="ListParagraph"/>
        <w:numPr>
          <w:ilvl w:val="0"/>
          <w:numId w:val="2"/>
        </w:numPr>
        <w:rPr>
          <w:bCs/>
        </w:rPr>
      </w:pPr>
      <w:r>
        <w:rPr>
          <w:bCs/>
        </w:rPr>
        <w:t>c</w:t>
      </w:r>
      <w:r w:rsidR="00067337" w:rsidRPr="0052747F">
        <w:rPr>
          <w:bCs/>
        </w:rPr>
        <w:t xml:space="preserve">lose the </w:t>
      </w:r>
      <w:r w:rsidR="00067337" w:rsidRPr="0052747F">
        <w:t>application file</w:t>
      </w:r>
      <w:r w:rsidR="00067337" w:rsidRPr="0052747F">
        <w:rPr>
          <w:bCs/>
        </w:rPr>
        <w:t xml:space="preserve"> and raise a </w:t>
      </w:r>
      <w:r w:rsidR="00067337" w:rsidRPr="0052747F">
        <w:t xml:space="preserve">licence file </w:t>
      </w:r>
    </w:p>
    <w:p w14:paraId="0C5EDC36" w14:textId="43ED0C8E" w:rsidR="000F5B32" w:rsidRDefault="009B6ECC" w:rsidP="00DF65C2">
      <w:pPr>
        <w:pStyle w:val="ListParagraph"/>
        <w:numPr>
          <w:ilvl w:val="0"/>
          <w:numId w:val="2"/>
        </w:numPr>
      </w:pPr>
      <w:r>
        <w:t>c</w:t>
      </w:r>
      <w:r w:rsidR="000F5B32">
        <w:t>reate new licence holder in LAD (if applicable)</w:t>
      </w:r>
    </w:p>
    <w:p w14:paraId="4999A0E4" w14:textId="118F86D8" w:rsidR="00E107FD" w:rsidRPr="0052747F" w:rsidRDefault="009B6ECC" w:rsidP="00DF65C2">
      <w:pPr>
        <w:pStyle w:val="ListParagraph"/>
        <w:numPr>
          <w:ilvl w:val="0"/>
          <w:numId w:val="2"/>
        </w:numPr>
      </w:pPr>
      <w:r>
        <w:t>e</w:t>
      </w:r>
      <w:r w:rsidR="00067337" w:rsidRPr="0052747F">
        <w:t xml:space="preserve">nter relevant information in LAD </w:t>
      </w:r>
    </w:p>
    <w:p w14:paraId="0C29B36F" w14:textId="77777777" w:rsidR="00C4298F" w:rsidRPr="0052747F" w:rsidRDefault="00C4298F" w:rsidP="001A4A44">
      <w:pPr>
        <w:pStyle w:val="Heading2"/>
      </w:pPr>
      <w:r w:rsidRPr="0052747F">
        <w:t>Post-assessment survey</w:t>
      </w:r>
    </w:p>
    <w:p w14:paraId="36D5529C" w14:textId="4A34BD3F" w:rsidR="00C4298F" w:rsidRPr="0052747F" w:rsidRDefault="008B4A5B" w:rsidP="00DF65C2">
      <w:pPr>
        <w:spacing w:before="120"/>
      </w:pPr>
      <w:r>
        <w:t xml:space="preserve">A link to the </w:t>
      </w:r>
      <w:r w:rsidR="0086695A" w:rsidRPr="0052747F">
        <w:t xml:space="preserve">post-assessment survey </w:t>
      </w:r>
      <w:r>
        <w:t>is included in letter &amp; email templates</w:t>
      </w:r>
      <w:r w:rsidR="00F62F4F">
        <w:t>.</w:t>
      </w:r>
    </w:p>
    <w:p w14:paraId="7ABBF64F" w14:textId="1EFE8755" w:rsidR="00050520" w:rsidRPr="0052747F" w:rsidRDefault="00635919" w:rsidP="00DF65C2">
      <w:pPr>
        <w:spacing w:before="120"/>
      </w:pPr>
      <w:r w:rsidRPr="0052747F">
        <w:t xml:space="preserve">Responses </w:t>
      </w:r>
      <w:r w:rsidR="006F3A7D">
        <w:t xml:space="preserve">should be </w:t>
      </w:r>
      <w:r w:rsidRPr="0052747F">
        <w:t xml:space="preserve">periodically analysed to </w:t>
      </w:r>
      <w:r w:rsidR="004C748D" w:rsidRPr="0052747F">
        <w:t>identify</w:t>
      </w:r>
      <w:r w:rsidRPr="0052747F">
        <w:t xml:space="preserve"> opportunities for improvement. </w:t>
      </w:r>
    </w:p>
    <w:p w14:paraId="0351D804" w14:textId="58E21C17" w:rsidR="00F212A8" w:rsidRPr="0052747F" w:rsidRDefault="00212696" w:rsidP="001A4A44">
      <w:pPr>
        <w:pStyle w:val="Heading2"/>
      </w:pPr>
      <w:bookmarkStart w:id="13" w:name="_Toc475614179"/>
      <w:r>
        <w:t>S</w:t>
      </w:r>
      <w:r w:rsidR="00F212A8" w:rsidRPr="0052747F">
        <w:t>tatement of reasons</w:t>
      </w:r>
    </w:p>
    <w:p w14:paraId="794D0863" w14:textId="373D5AE6" w:rsidR="00F4504A" w:rsidRPr="006F3A7D" w:rsidRDefault="00AB6677" w:rsidP="00DF65C2">
      <w:pPr>
        <w:spacing w:before="120"/>
        <w:rPr>
          <w:rStyle w:val="Normalbold"/>
          <w:color w:val="auto"/>
        </w:rPr>
      </w:pPr>
      <w:r w:rsidRPr="006F3A7D">
        <w:rPr>
          <w:rStyle w:val="Normalbold"/>
          <w:color w:val="auto"/>
        </w:rPr>
        <w:t>T</w:t>
      </w:r>
      <w:r w:rsidR="00F212A8" w:rsidRPr="006F3A7D">
        <w:rPr>
          <w:rStyle w:val="Normalbold"/>
          <w:color w:val="auto"/>
        </w:rPr>
        <w:t xml:space="preserve">he CEO may document the reasons for </w:t>
      </w:r>
      <w:r w:rsidR="00300AA5" w:rsidRPr="006F3A7D">
        <w:rPr>
          <w:rStyle w:val="Normalbold"/>
          <w:color w:val="auto"/>
        </w:rPr>
        <w:t xml:space="preserve">the </w:t>
      </w:r>
      <w:r w:rsidR="00F212A8" w:rsidRPr="006F3A7D">
        <w:rPr>
          <w:rStyle w:val="Normalbold"/>
          <w:color w:val="auto"/>
        </w:rPr>
        <w:t xml:space="preserve">decision </w:t>
      </w:r>
      <w:r w:rsidRPr="006F3A7D">
        <w:rPr>
          <w:rStyle w:val="Normalbold"/>
          <w:color w:val="auto"/>
        </w:rPr>
        <w:t xml:space="preserve">to issue a licence </w:t>
      </w:r>
      <w:r w:rsidR="00A328A5" w:rsidRPr="006F3A7D">
        <w:t>(using appropriate template)</w:t>
      </w:r>
      <w:r w:rsidR="00FB3167" w:rsidRPr="006F3A7D">
        <w:rPr>
          <w:rStyle w:val="Normalbold"/>
          <w:color w:val="auto"/>
        </w:rPr>
        <w:t>.</w:t>
      </w:r>
      <w:r w:rsidRPr="006F3A7D">
        <w:rPr>
          <w:rStyle w:val="Normalbold"/>
          <w:color w:val="auto"/>
        </w:rPr>
        <w:t xml:space="preserve"> </w:t>
      </w:r>
      <w:r w:rsidR="00F212A8" w:rsidRPr="006F3A7D">
        <w:rPr>
          <w:rStyle w:val="Normalbold"/>
          <w:color w:val="auto"/>
        </w:rPr>
        <w:t xml:space="preserve"> </w:t>
      </w:r>
      <w:r w:rsidRPr="006F3A7D">
        <w:rPr>
          <w:rStyle w:val="Normalbold"/>
          <w:color w:val="auto"/>
        </w:rPr>
        <w:t xml:space="preserve">A statement of reasons is </w:t>
      </w:r>
      <w:r w:rsidR="004C748D" w:rsidRPr="006F3A7D">
        <w:rPr>
          <w:rStyle w:val="Normalbold"/>
          <w:color w:val="auto"/>
        </w:rPr>
        <w:t xml:space="preserve">prepared </w:t>
      </w:r>
      <w:r w:rsidRPr="006F3A7D">
        <w:rPr>
          <w:rStyle w:val="Normalbold"/>
          <w:color w:val="auto"/>
        </w:rPr>
        <w:t xml:space="preserve">and published for all </w:t>
      </w:r>
      <w:r w:rsidR="00F212A8" w:rsidRPr="006F3A7D">
        <w:rPr>
          <w:rStyle w:val="Normalbold"/>
          <w:color w:val="auto"/>
        </w:rPr>
        <w:t>major facilit</w:t>
      </w:r>
      <w:r w:rsidRPr="006F3A7D">
        <w:rPr>
          <w:rStyle w:val="Normalbold"/>
          <w:color w:val="auto"/>
        </w:rPr>
        <w:t xml:space="preserve">ies and </w:t>
      </w:r>
      <w:r w:rsidR="00BC6CDC" w:rsidRPr="006F3A7D">
        <w:rPr>
          <w:rStyle w:val="Normalbold"/>
          <w:color w:val="auto"/>
        </w:rPr>
        <w:t>any</w:t>
      </w:r>
      <w:r w:rsidR="006F3E33" w:rsidRPr="006F3A7D">
        <w:rPr>
          <w:rStyle w:val="Normalbold"/>
          <w:color w:val="auto"/>
        </w:rPr>
        <w:t xml:space="preserve"> </w:t>
      </w:r>
      <w:r w:rsidR="00AE15FA" w:rsidRPr="006F3A7D">
        <w:rPr>
          <w:rStyle w:val="Normalbold"/>
          <w:color w:val="auto"/>
        </w:rPr>
        <w:t xml:space="preserve">other </w:t>
      </w:r>
      <w:r w:rsidR="00300AA5" w:rsidRPr="006F3A7D">
        <w:rPr>
          <w:rStyle w:val="Normalbold"/>
          <w:color w:val="auto"/>
        </w:rPr>
        <w:t xml:space="preserve">significant </w:t>
      </w:r>
      <w:r w:rsidR="006F3E33" w:rsidRPr="006F3A7D">
        <w:rPr>
          <w:rStyle w:val="Normalbold"/>
          <w:color w:val="auto"/>
        </w:rPr>
        <w:t xml:space="preserve">facilities </w:t>
      </w:r>
      <w:r w:rsidR="009B6ECC" w:rsidRPr="006F3A7D">
        <w:rPr>
          <w:rStyle w:val="Normalbold"/>
          <w:color w:val="auto"/>
        </w:rPr>
        <w:t xml:space="preserve">as </w:t>
      </w:r>
      <w:r w:rsidR="006F3E33" w:rsidRPr="006F3A7D">
        <w:rPr>
          <w:rStyle w:val="Normalbold"/>
          <w:color w:val="auto"/>
        </w:rPr>
        <w:t>determined by the</w:t>
      </w:r>
      <w:r w:rsidR="00472847" w:rsidRPr="006F3A7D">
        <w:rPr>
          <w:rStyle w:val="Normalbold"/>
          <w:color w:val="auto"/>
        </w:rPr>
        <w:t xml:space="preserve"> </w:t>
      </w:r>
      <w:r w:rsidR="006F3E33" w:rsidRPr="006F3A7D">
        <w:rPr>
          <w:rStyle w:val="Normalbold"/>
          <w:color w:val="auto"/>
        </w:rPr>
        <w:t>CEO</w:t>
      </w:r>
      <w:r w:rsidRPr="006F3A7D">
        <w:rPr>
          <w:rStyle w:val="Normalbold"/>
          <w:color w:val="auto"/>
        </w:rPr>
        <w:t xml:space="preserve">. </w:t>
      </w:r>
      <w:r w:rsidR="00F212A8" w:rsidRPr="006F3A7D">
        <w:rPr>
          <w:rStyle w:val="Normalbold"/>
          <w:color w:val="auto"/>
        </w:rPr>
        <w:t xml:space="preserve"> </w:t>
      </w:r>
      <w:r w:rsidR="00A328A5" w:rsidRPr="006F3A7D">
        <w:rPr>
          <w:rStyle w:val="Normalbold"/>
          <w:color w:val="auto"/>
        </w:rPr>
        <w:t xml:space="preserve"> </w:t>
      </w:r>
    </w:p>
    <w:p w14:paraId="08CF1B2C" w14:textId="7854DD0C" w:rsidR="00050520" w:rsidRPr="006F3A7D" w:rsidRDefault="00050520" w:rsidP="00050520">
      <w:pPr>
        <w:pStyle w:val="Heading2"/>
        <w:rPr>
          <w:rStyle w:val="Normalbold"/>
          <w:color w:val="4E1A74" w:themeColor="accent2"/>
        </w:rPr>
      </w:pPr>
      <w:r w:rsidRPr="006F3A7D">
        <w:rPr>
          <w:rStyle w:val="Normalbold"/>
          <w:color w:val="4E1A74" w:themeColor="accent2"/>
        </w:rPr>
        <w:t>Post-assessment review</w:t>
      </w:r>
    </w:p>
    <w:p w14:paraId="2B0815D4" w14:textId="3B053230" w:rsidR="009A5259" w:rsidRPr="006F3A7D" w:rsidRDefault="00D529F1" w:rsidP="00D529F1">
      <w:r w:rsidRPr="006F3A7D">
        <w:t xml:space="preserve">After finalising the assessment of a major </w:t>
      </w:r>
      <w:proofErr w:type="gramStart"/>
      <w:r w:rsidRPr="006F3A7D">
        <w:t>application</w:t>
      </w:r>
      <w:proofErr w:type="gramEnd"/>
      <w:r w:rsidRPr="006F3A7D">
        <w:t xml:space="preserve"> the assessment team should conduct a review of the process to discuss lessons learned and identify changes that may be required to drive continuous improvement. </w:t>
      </w:r>
      <w:r w:rsidR="009B6ECC" w:rsidRPr="006F3A7D">
        <w:t xml:space="preserve"> The outcomes of such reviews should be recorded and saved appropriately in CM. </w:t>
      </w:r>
    </w:p>
    <w:p w14:paraId="6D7BE982" w14:textId="77777777" w:rsidR="00513178" w:rsidRDefault="00513178"/>
    <w:p w14:paraId="102341B1" w14:textId="77777777" w:rsidR="00513178" w:rsidRDefault="00513178"/>
    <w:p w14:paraId="7FA1DE66" w14:textId="77777777" w:rsidR="00513178" w:rsidRDefault="00513178"/>
    <w:p w14:paraId="7D030D3F" w14:textId="77777777" w:rsidR="00513178" w:rsidRDefault="00513178"/>
    <w:p w14:paraId="0EE044A0" w14:textId="2D8C9875" w:rsidR="009A5259" w:rsidRDefault="009A5259">
      <w:r>
        <w:br w:type="page"/>
      </w:r>
    </w:p>
    <w:p w14:paraId="49399027" w14:textId="09E613CA" w:rsidR="009D7BE5" w:rsidRPr="002814C9" w:rsidRDefault="002814C9" w:rsidP="00940751">
      <w:pPr>
        <w:pStyle w:val="Heading1"/>
        <w:ind w:left="567" w:hanging="567"/>
      </w:pPr>
      <w:bookmarkStart w:id="14" w:name="_Requests_for_approval"/>
      <w:bookmarkEnd w:id="14"/>
      <w:r w:rsidRPr="002814C9">
        <w:lastRenderedPageBreak/>
        <w:t>Request f</w:t>
      </w:r>
      <w:r w:rsidR="00CD2E51" w:rsidRPr="002814C9">
        <w:t>or approval</w:t>
      </w:r>
      <w:r w:rsidR="008D6FEC" w:rsidRPr="002814C9">
        <w:t xml:space="preserve"> to make </w:t>
      </w:r>
      <w:r w:rsidR="00F542F3" w:rsidRPr="002814C9">
        <w:t xml:space="preserve">certain </w:t>
      </w:r>
      <w:r w:rsidR="008D6FEC" w:rsidRPr="002814C9">
        <w:t>changes</w:t>
      </w:r>
      <w:r w:rsidR="009D7BE5" w:rsidRPr="002814C9">
        <w:t xml:space="preserve"> </w:t>
      </w:r>
      <w:bookmarkEnd w:id="13"/>
    </w:p>
    <w:p w14:paraId="608D3E38" w14:textId="08068FEB" w:rsidR="008D6FEC" w:rsidRDefault="008D6FEC" w:rsidP="00DF65C2">
      <w:pPr>
        <w:spacing w:before="120"/>
      </w:pPr>
      <w:r>
        <w:t xml:space="preserve">Applications may be made by a licence holder </w:t>
      </w:r>
      <w:r w:rsidR="002D741F">
        <w:t xml:space="preserve">seeking approval </w:t>
      </w:r>
      <w:r>
        <w:t>to:</w:t>
      </w:r>
    </w:p>
    <w:p w14:paraId="0843ED59" w14:textId="67206012" w:rsidR="008D6FEC" w:rsidRDefault="008D6FEC" w:rsidP="00DF65C2">
      <w:pPr>
        <w:pStyle w:val="ListParagraph"/>
        <w:numPr>
          <w:ilvl w:val="0"/>
          <w:numId w:val="28"/>
        </w:numPr>
        <w:spacing w:before="120"/>
      </w:pPr>
      <w:r>
        <w:t>make a change with significant implications for safety under section 63 of the Regulations</w:t>
      </w:r>
    </w:p>
    <w:p w14:paraId="302C7CAA" w14:textId="40693F5D" w:rsidR="008D6FEC" w:rsidRDefault="008D6FEC" w:rsidP="00DF65C2">
      <w:pPr>
        <w:pStyle w:val="ListParagraph"/>
        <w:numPr>
          <w:ilvl w:val="0"/>
          <w:numId w:val="28"/>
        </w:numPr>
      </w:pPr>
      <w:r>
        <w:t>construct an item important for safety under section 66 of the Regulations</w:t>
      </w:r>
    </w:p>
    <w:p w14:paraId="44CEB4DA" w14:textId="2BFBA6AE" w:rsidR="008D6FEC" w:rsidRDefault="008D6FEC" w:rsidP="00DF65C2">
      <w:pPr>
        <w:pStyle w:val="ListParagraph"/>
        <w:numPr>
          <w:ilvl w:val="0"/>
          <w:numId w:val="28"/>
        </w:numPr>
      </w:pPr>
      <w:r>
        <w:t>load nuclear fuel under section 67 of the Regulations</w:t>
      </w:r>
    </w:p>
    <w:p w14:paraId="6684175A" w14:textId="4A135552" w:rsidR="000A0664" w:rsidRPr="00804091" w:rsidRDefault="000A0664" w:rsidP="001A4A44">
      <w:pPr>
        <w:pStyle w:val="Heading2"/>
      </w:pPr>
      <w:r w:rsidRPr="00804091">
        <w:t>Receiving the application</w:t>
      </w:r>
    </w:p>
    <w:p w14:paraId="0D9C69CA" w14:textId="11929B50" w:rsidR="003450A9" w:rsidRPr="000A0664" w:rsidRDefault="000A0664" w:rsidP="00DF65C2">
      <w:pPr>
        <w:spacing w:before="120"/>
      </w:pPr>
      <w:r w:rsidRPr="000A0664">
        <w:t>All requests should be received by</w:t>
      </w:r>
      <w:r w:rsidR="004911FD">
        <w:t xml:space="preserve"> </w:t>
      </w:r>
      <w:hyperlink r:id="rId21" w:history="1">
        <w:r w:rsidR="004911FD" w:rsidRPr="006E2974">
          <w:rPr>
            <w:rStyle w:val="Hyperlink"/>
          </w:rPr>
          <w:t>LicenceAdmin@arpansa.gov.au</w:t>
        </w:r>
      </w:hyperlink>
      <w:r w:rsidRPr="000A0664">
        <w:rPr>
          <w:color w:val="0000FF" w:themeColor="hyperlink"/>
          <w:u w:val="single"/>
        </w:rPr>
        <w:t>.</w:t>
      </w:r>
      <w:r w:rsidRPr="000A0664">
        <w:t xml:space="preserve"> If an officer receives a direct </w:t>
      </w:r>
      <w:proofErr w:type="gramStart"/>
      <w:r w:rsidRPr="000A0664">
        <w:t>request</w:t>
      </w:r>
      <w:proofErr w:type="gramEnd"/>
      <w:r w:rsidRPr="000A0664">
        <w:t xml:space="preserve"> it must be forwarded to</w:t>
      </w:r>
      <w:r w:rsidR="00B43548">
        <w:t xml:space="preserve"> the</w:t>
      </w:r>
      <w:r w:rsidRPr="000A0664">
        <w:t xml:space="preserve"> LA </w:t>
      </w:r>
      <w:r w:rsidR="00B43548">
        <w:t>mail</w:t>
      </w:r>
      <w:r w:rsidRPr="000A0664">
        <w:t xml:space="preserve">box.  </w:t>
      </w:r>
    </w:p>
    <w:p w14:paraId="31267771" w14:textId="034F46E7" w:rsidR="002153DA" w:rsidRDefault="004861A2" w:rsidP="00DF65C2">
      <w:pPr>
        <w:spacing w:before="120"/>
      </w:pPr>
      <w:r>
        <w:t>When the application is received in the shared mailbox t</w:t>
      </w:r>
      <w:r w:rsidR="000A0664" w:rsidRPr="000A0664">
        <w:t xml:space="preserve">he </w:t>
      </w:r>
      <w:r w:rsidR="00F54671">
        <w:t>LAO</w:t>
      </w:r>
      <w:r w:rsidR="002153DA">
        <w:t xml:space="preserve">: </w:t>
      </w:r>
    </w:p>
    <w:p w14:paraId="18D8329C" w14:textId="0DD13251" w:rsidR="00B43548" w:rsidRDefault="00F65851" w:rsidP="00DF65C2">
      <w:pPr>
        <w:pStyle w:val="ListParagraph"/>
        <w:numPr>
          <w:ilvl w:val="0"/>
          <w:numId w:val="29"/>
        </w:numPr>
      </w:pPr>
      <w:r>
        <w:t>s</w:t>
      </w:r>
      <w:r w:rsidR="00B43548" w:rsidRPr="000A0664">
        <w:t>ave</w:t>
      </w:r>
      <w:r w:rsidR="00B43548">
        <w:t>s</w:t>
      </w:r>
      <w:r w:rsidR="00B43548" w:rsidRPr="000A0664">
        <w:t xml:space="preserve"> the application into </w:t>
      </w:r>
      <w:r w:rsidR="00B43548">
        <w:t>CM</w:t>
      </w:r>
    </w:p>
    <w:p w14:paraId="23B0065D" w14:textId="0465E8C8" w:rsidR="002153DA" w:rsidRDefault="00F65851" w:rsidP="00DF65C2">
      <w:pPr>
        <w:pStyle w:val="ListParagraph"/>
        <w:numPr>
          <w:ilvl w:val="0"/>
          <w:numId w:val="29"/>
        </w:numPr>
      </w:pPr>
      <w:r>
        <w:t>e</w:t>
      </w:r>
      <w:r w:rsidR="000A0664" w:rsidRPr="000A0664">
        <w:t>nter</w:t>
      </w:r>
      <w:r w:rsidR="002153DA">
        <w:t>s</w:t>
      </w:r>
      <w:r w:rsidR="000A0664" w:rsidRPr="000A0664">
        <w:t xml:space="preserve"> the required information into LAD</w:t>
      </w:r>
      <w:r w:rsidR="00B43548">
        <w:t xml:space="preserve"> </w:t>
      </w:r>
    </w:p>
    <w:p w14:paraId="40B63BFB" w14:textId="59B65294" w:rsidR="002153DA" w:rsidRDefault="00F65851" w:rsidP="00DF65C2">
      <w:pPr>
        <w:pStyle w:val="ListParagraph"/>
        <w:numPr>
          <w:ilvl w:val="0"/>
          <w:numId w:val="29"/>
        </w:numPr>
      </w:pPr>
      <w:r>
        <w:t>a</w:t>
      </w:r>
      <w:r w:rsidR="002153DA">
        <w:t xml:space="preserve">ssigns the application to </w:t>
      </w:r>
      <w:r w:rsidR="001903E9">
        <w:t xml:space="preserve">an </w:t>
      </w:r>
      <w:r w:rsidR="00137C8C">
        <w:t>assessor</w:t>
      </w:r>
      <w:r w:rsidR="00B43548">
        <w:t xml:space="preserve"> </w:t>
      </w:r>
      <w:r w:rsidR="001903E9">
        <w:t>(usually the lead inspector)</w:t>
      </w:r>
    </w:p>
    <w:p w14:paraId="4E90CC18" w14:textId="5C88F18E" w:rsidR="000A0664" w:rsidRDefault="00F65851" w:rsidP="00DF65C2">
      <w:pPr>
        <w:pStyle w:val="ListParagraph"/>
        <w:numPr>
          <w:ilvl w:val="0"/>
          <w:numId w:val="29"/>
        </w:numPr>
      </w:pPr>
      <w:r>
        <w:t>a</w:t>
      </w:r>
      <w:r w:rsidR="000A0664" w:rsidRPr="000A0664">
        <w:t>cknowledge</w:t>
      </w:r>
      <w:r w:rsidR="002153DA">
        <w:t>s</w:t>
      </w:r>
      <w:r w:rsidR="000A0664" w:rsidRPr="000A0664">
        <w:t xml:space="preserve"> receipt </w:t>
      </w:r>
      <w:r w:rsidR="002153DA">
        <w:t>of the application</w:t>
      </w:r>
      <w:r w:rsidR="000A0664" w:rsidRPr="000A0664">
        <w:t xml:space="preserve"> with a copy to the </w:t>
      </w:r>
      <w:r w:rsidR="001903E9">
        <w:t>assessor</w:t>
      </w:r>
    </w:p>
    <w:p w14:paraId="23F28E7C" w14:textId="78CE5825" w:rsidR="000A0664" w:rsidRPr="000A0664" w:rsidRDefault="000A0664" w:rsidP="00297B19">
      <w:pPr>
        <w:pStyle w:val="Heading2"/>
        <w:spacing w:before="200"/>
      </w:pPr>
      <w:r w:rsidRPr="000A0664">
        <w:t>Assessing the application</w:t>
      </w:r>
    </w:p>
    <w:p w14:paraId="77D90BBC" w14:textId="7408EB10" w:rsidR="00A442A7" w:rsidRDefault="00261ABF" w:rsidP="00DF65C2">
      <w:pPr>
        <w:pStyle w:val="Header"/>
        <w:spacing w:before="120" w:line="276" w:lineRule="auto"/>
      </w:pPr>
      <w:r w:rsidRPr="000A0664">
        <w:t xml:space="preserve">Assessment of a change follows similar processes to that for </w:t>
      </w:r>
      <w:r w:rsidR="006A3C71">
        <w:t xml:space="preserve">a </w:t>
      </w:r>
      <w:r w:rsidRPr="000A0664">
        <w:t>licence</w:t>
      </w:r>
      <w:r w:rsidR="006A3C71">
        <w:t xml:space="preserve"> application</w:t>
      </w:r>
      <w:r w:rsidRPr="000A0664">
        <w:t xml:space="preserve"> </w:t>
      </w:r>
      <w:r>
        <w:t xml:space="preserve">in </w:t>
      </w:r>
      <w:r w:rsidRPr="000A0664">
        <w:t xml:space="preserve">section </w:t>
      </w:r>
      <w:r w:rsidR="00F301EA">
        <w:t>2</w:t>
      </w:r>
      <w:r w:rsidRPr="000A0664">
        <w:t xml:space="preserve">.  </w:t>
      </w:r>
    </w:p>
    <w:p w14:paraId="0E4BE538" w14:textId="187A5B36" w:rsidR="00C22A93" w:rsidRPr="00ED1A65" w:rsidRDefault="00C22A93" w:rsidP="00297B19">
      <w:pPr>
        <w:pStyle w:val="Header"/>
        <w:numPr>
          <w:ilvl w:val="0"/>
          <w:numId w:val="48"/>
        </w:numPr>
        <w:spacing w:before="120"/>
        <w:rPr>
          <w:b/>
          <w:color w:val="4E1A74" w:themeColor="accent2"/>
        </w:rPr>
      </w:pPr>
      <w:r w:rsidRPr="00ED1A65">
        <w:rPr>
          <w:b/>
          <w:color w:val="4E1A74" w:themeColor="accent2"/>
        </w:rPr>
        <w:t>Agreed assessment time</w:t>
      </w:r>
    </w:p>
    <w:p w14:paraId="0AA9F6BD" w14:textId="3B40DF1E" w:rsidR="00A442A7" w:rsidRDefault="00A442A7" w:rsidP="00DF65C2">
      <w:pPr>
        <w:pStyle w:val="Header"/>
        <w:spacing w:before="120" w:line="276" w:lineRule="auto"/>
      </w:pPr>
      <w:r>
        <w:t>I</w:t>
      </w:r>
      <w:r w:rsidRPr="000A0664">
        <w:t xml:space="preserve">f no further information is </w:t>
      </w:r>
      <w:proofErr w:type="gramStart"/>
      <w:r w:rsidRPr="000A0664">
        <w:t>required</w:t>
      </w:r>
      <w:proofErr w:type="gramEnd"/>
      <w:r w:rsidRPr="000A0664">
        <w:t xml:space="preserve"> the </w:t>
      </w:r>
      <w:r w:rsidR="0002491A">
        <w:t>assessor</w:t>
      </w:r>
      <w:r w:rsidRPr="000A0664">
        <w:t xml:space="preserve"> should agree a timeframe for completion of the assessment with the applicant. This should be done by email and must be recorded</w:t>
      </w:r>
      <w:r w:rsidR="00002146">
        <w:t xml:space="preserve"> in </w:t>
      </w:r>
      <w:hyperlink r:id="rId22" w:history="1">
        <w:proofErr w:type="spellStart"/>
        <w:r w:rsidR="002D4888" w:rsidRPr="008C4845">
          <w:rPr>
            <w:rStyle w:val="Hyperlink"/>
          </w:rPr>
          <w:t>Sharepoint</w:t>
        </w:r>
        <w:proofErr w:type="spellEnd"/>
      </w:hyperlink>
      <w:r w:rsidRPr="000A0664">
        <w:t xml:space="preserve">. </w:t>
      </w:r>
      <w:r w:rsidRPr="008B6E96">
        <w:t xml:space="preserve">No agreement is required if the assessment is expected to take </w:t>
      </w:r>
      <w:r w:rsidR="008C4845">
        <w:t>5</w:t>
      </w:r>
      <w:r w:rsidRPr="008B6E96">
        <w:t xml:space="preserve"> working days or less</w:t>
      </w:r>
      <w:r w:rsidR="0023405F" w:rsidRPr="008B6E96">
        <w:t xml:space="preserve"> and be approved within </w:t>
      </w:r>
      <w:r w:rsidR="006A3C71">
        <w:t>2</w:t>
      </w:r>
      <w:r w:rsidR="0023405F" w:rsidRPr="008B6E96">
        <w:t xml:space="preserve"> weeks</w:t>
      </w:r>
      <w:r w:rsidRPr="008B6E96">
        <w:t>.</w:t>
      </w:r>
      <w:r w:rsidRPr="000A0664">
        <w:t xml:space="preserve">  </w:t>
      </w:r>
    </w:p>
    <w:p w14:paraId="49922035" w14:textId="35AFAC5F" w:rsidR="0020124B" w:rsidRDefault="00A442A7" w:rsidP="00C131F8">
      <w:pPr>
        <w:pStyle w:val="Heading3"/>
        <w:numPr>
          <w:ilvl w:val="0"/>
          <w:numId w:val="39"/>
        </w:numPr>
        <w:spacing w:before="120"/>
      </w:pPr>
      <w:r>
        <w:t xml:space="preserve">Assessment </w:t>
      </w:r>
      <w:r w:rsidR="0020124B">
        <w:t>criteria</w:t>
      </w:r>
    </w:p>
    <w:p w14:paraId="014ED9CF" w14:textId="41A5FA88" w:rsidR="0020124B" w:rsidRPr="00001B60" w:rsidRDefault="00AD5C3D" w:rsidP="00EE4264">
      <w:pPr>
        <w:spacing w:before="120"/>
      </w:pPr>
      <w:r w:rsidRPr="000A0664">
        <w:t>The</w:t>
      </w:r>
      <w:r>
        <w:t xml:space="preserve"> RAR template</w:t>
      </w:r>
      <w:r w:rsidRPr="000A0664">
        <w:t xml:space="preserve"> </w:t>
      </w:r>
      <w:r>
        <w:t xml:space="preserve">provides the framework for recording the </w:t>
      </w:r>
      <w:r w:rsidRPr="00C619F8">
        <w:t>assessment.</w:t>
      </w:r>
      <w:r>
        <w:t xml:space="preserve"> </w:t>
      </w:r>
      <w:r w:rsidR="0020124B">
        <w:t xml:space="preserve">The headings in the </w:t>
      </w:r>
      <w:r w:rsidR="00D52AD4">
        <w:t>template</w:t>
      </w:r>
      <w:r w:rsidR="0020124B">
        <w:t xml:space="preserve"> guide the </w:t>
      </w:r>
      <w:r w:rsidR="0002491A">
        <w:t>assessor</w:t>
      </w:r>
      <w:r w:rsidR="0020124B">
        <w:t xml:space="preserve"> through the assessment criteria. </w:t>
      </w:r>
      <w:r w:rsidR="00D52AD4">
        <w:t xml:space="preserve"> Other criteria may be added as required.  </w:t>
      </w:r>
      <w:r w:rsidR="0020124B" w:rsidRPr="00001B60">
        <w:t>The expectation</w:t>
      </w:r>
      <w:r w:rsidR="0020124B">
        <w:t>s</w:t>
      </w:r>
      <w:r w:rsidR="0020124B" w:rsidRPr="00001B60">
        <w:t xml:space="preserve"> under each </w:t>
      </w:r>
      <w:proofErr w:type="gramStart"/>
      <w:r w:rsidR="0020124B">
        <w:t>criteria</w:t>
      </w:r>
      <w:proofErr w:type="gramEnd"/>
      <w:r w:rsidR="0020124B" w:rsidRPr="00001B60">
        <w:t xml:space="preserve"> </w:t>
      </w:r>
      <w:r w:rsidR="0020124B">
        <w:t xml:space="preserve">must </w:t>
      </w:r>
      <w:r w:rsidR="0020124B" w:rsidRPr="00001B60">
        <w:t>be clearly stated</w:t>
      </w:r>
      <w:r w:rsidR="0020124B">
        <w:t xml:space="preserve">. The </w:t>
      </w:r>
      <w:r w:rsidR="0002491A">
        <w:t>assessor</w:t>
      </w:r>
      <w:r w:rsidR="0020124B">
        <w:t xml:space="preserve"> should analyse</w:t>
      </w:r>
      <w:r w:rsidR="0020124B" w:rsidRPr="00001B60">
        <w:t xml:space="preserve"> </w:t>
      </w:r>
      <w:r>
        <w:t>the cla</w:t>
      </w:r>
      <w:r w:rsidR="0002491A">
        <w:t>ims</w:t>
      </w:r>
      <w:r>
        <w:t xml:space="preserve">, arguments and evidence </w:t>
      </w:r>
      <w:r w:rsidR="00D52AD4">
        <w:t xml:space="preserve">provided by the </w:t>
      </w:r>
      <w:r>
        <w:t xml:space="preserve">applicant to determine </w:t>
      </w:r>
      <w:r w:rsidR="008C4845">
        <w:t xml:space="preserve">if </w:t>
      </w:r>
      <w:r w:rsidR="00D52AD4">
        <w:t xml:space="preserve">they </w:t>
      </w:r>
      <w:r w:rsidR="0020124B">
        <w:t>meet the expectation</w:t>
      </w:r>
      <w:r>
        <w:t>s</w:t>
      </w:r>
      <w:r w:rsidR="0020124B">
        <w:t>. S</w:t>
      </w:r>
      <w:r w:rsidR="0020124B" w:rsidRPr="00BF0835">
        <w:t xml:space="preserve">ound reasoning </w:t>
      </w:r>
      <w:r w:rsidR="0020124B">
        <w:t xml:space="preserve">must be provided </w:t>
      </w:r>
      <w:r w:rsidR="0020124B" w:rsidRPr="00BF0835">
        <w:t>for conclusions and recommendations</w:t>
      </w:r>
      <w:r w:rsidR="0020124B">
        <w:t xml:space="preserve">; these should reflect international best practice </w:t>
      </w:r>
      <w:r>
        <w:t>and</w:t>
      </w:r>
      <w:r w:rsidR="0020124B">
        <w:t xml:space="preserve"> should be clearly referenced</w:t>
      </w:r>
      <w:r w:rsidR="0020124B" w:rsidRPr="00BF0835">
        <w:t xml:space="preserve">. If professional judgement is used it should be stated as such and a detailed explanation provided.  </w:t>
      </w:r>
    </w:p>
    <w:p w14:paraId="7A392E8F" w14:textId="59CFBE8B" w:rsidR="000A0664" w:rsidRPr="00C65DC2" w:rsidRDefault="000A0664" w:rsidP="00C131F8">
      <w:pPr>
        <w:pStyle w:val="Heading3"/>
        <w:numPr>
          <w:ilvl w:val="0"/>
          <w:numId w:val="38"/>
        </w:numPr>
        <w:spacing w:before="120"/>
      </w:pPr>
      <w:r w:rsidRPr="00C65DC2">
        <w:t>Further information &amp; site visits</w:t>
      </w:r>
    </w:p>
    <w:p w14:paraId="0F262790" w14:textId="2A33746F" w:rsidR="000A0664" w:rsidRPr="000A0664" w:rsidRDefault="000A0664" w:rsidP="00010F0F">
      <w:pPr>
        <w:spacing w:before="120"/>
      </w:pPr>
      <w:r w:rsidRPr="000A0664">
        <w:t xml:space="preserve">Where required, the </w:t>
      </w:r>
      <w:r w:rsidR="00EE4264">
        <w:t>assessor</w:t>
      </w:r>
      <w:r w:rsidRPr="000A0664">
        <w:t xml:space="preserve"> requests further information </w:t>
      </w:r>
      <w:r w:rsidR="00010F0F">
        <w:t xml:space="preserve">as described in paragraph 2.3. </w:t>
      </w:r>
    </w:p>
    <w:p w14:paraId="45C869A6" w14:textId="361BF6CB" w:rsidR="000A0664" w:rsidRPr="000A0664" w:rsidRDefault="000A0664" w:rsidP="00ED1A65">
      <w:pPr>
        <w:spacing w:before="120"/>
      </w:pPr>
      <w:r w:rsidRPr="000A0664">
        <w:t xml:space="preserve">If there is no response to the request for further information after </w:t>
      </w:r>
      <w:r w:rsidR="008C4845">
        <w:t>6</w:t>
      </w:r>
      <w:r w:rsidRPr="000A0664">
        <w:t xml:space="preserve"> </w:t>
      </w:r>
      <w:proofErr w:type="gramStart"/>
      <w:r w:rsidRPr="000A0664">
        <w:t>weeks</w:t>
      </w:r>
      <w:proofErr w:type="gramEnd"/>
      <w:r w:rsidRPr="000A0664">
        <w:t xml:space="preserve"> the </w:t>
      </w:r>
      <w:r w:rsidR="0002491A">
        <w:t>assessor</w:t>
      </w:r>
      <w:r w:rsidRPr="000A0664">
        <w:t xml:space="preserve"> should confirm whether the licence holder wishes to proceed with the application.  If there is still no response after </w:t>
      </w:r>
      <w:r w:rsidR="0002491A">
        <w:t>2</w:t>
      </w:r>
      <w:r w:rsidRPr="000A0664">
        <w:t xml:space="preserve"> </w:t>
      </w:r>
      <w:proofErr w:type="gramStart"/>
      <w:r w:rsidRPr="000A0664">
        <w:t>months</w:t>
      </w:r>
      <w:proofErr w:type="gramEnd"/>
      <w:r w:rsidRPr="000A0664">
        <w:t xml:space="preserve"> the application may be considered withdrawn and the applicant advised accordingly. </w:t>
      </w:r>
    </w:p>
    <w:p w14:paraId="3489D0D5" w14:textId="0DEE366C" w:rsidR="000A0664" w:rsidRPr="000A0664" w:rsidRDefault="000A0664" w:rsidP="00297B19">
      <w:pPr>
        <w:pStyle w:val="Heading3"/>
        <w:numPr>
          <w:ilvl w:val="0"/>
          <w:numId w:val="38"/>
        </w:numPr>
        <w:spacing w:before="120"/>
      </w:pPr>
      <w:r w:rsidRPr="000A0664">
        <w:t>Expert Advice</w:t>
      </w:r>
    </w:p>
    <w:p w14:paraId="261D58D1" w14:textId="700DD1DA" w:rsidR="000A0664" w:rsidRPr="000A0664" w:rsidRDefault="000A0664" w:rsidP="00ED1A65">
      <w:pPr>
        <w:spacing w:before="120"/>
      </w:pPr>
      <w:r w:rsidRPr="000A0664">
        <w:t xml:space="preserve">Where appropriate, the </w:t>
      </w:r>
      <w:r w:rsidR="00EE4264">
        <w:t xml:space="preserve">assessor </w:t>
      </w:r>
      <w:r w:rsidRPr="000A0664">
        <w:t xml:space="preserve">should seek expert advice on any specialised aspects of the application either from other branches of ARPANSA or an external consultant.  For applications involving medical sources or facilities the </w:t>
      </w:r>
      <w:r w:rsidR="00EE4264">
        <w:t xml:space="preserve">assessor </w:t>
      </w:r>
      <w:r w:rsidRPr="000A0664">
        <w:t xml:space="preserve">will liaise with Medical Radiation Services to determine </w:t>
      </w:r>
      <w:r w:rsidR="00EE4264">
        <w:t>if</w:t>
      </w:r>
      <w:r w:rsidRPr="000A0664">
        <w:t xml:space="preserve"> there are any special considerations </w:t>
      </w:r>
      <w:proofErr w:type="gramStart"/>
      <w:r w:rsidRPr="000A0664">
        <w:t>with regard to</w:t>
      </w:r>
      <w:proofErr w:type="gramEnd"/>
      <w:r w:rsidRPr="000A0664">
        <w:t xml:space="preserve"> medical exposure and patient protection. Similarly, for advice on </w:t>
      </w:r>
      <w:r w:rsidRPr="000A0664">
        <w:lastRenderedPageBreak/>
        <w:t xml:space="preserve">radioactive waste or environment protection issues the </w:t>
      </w:r>
      <w:r w:rsidR="00B97D2C">
        <w:t xml:space="preserve">assessor </w:t>
      </w:r>
      <w:r w:rsidRPr="000A0664">
        <w:t xml:space="preserve">should liaise with Radiation Health Services.  </w:t>
      </w:r>
    </w:p>
    <w:p w14:paraId="4EE510CF" w14:textId="77777777" w:rsidR="000A0664" w:rsidRPr="000A0664" w:rsidRDefault="000A0664" w:rsidP="00D85F6C">
      <w:pPr>
        <w:spacing w:before="120"/>
      </w:pPr>
      <w:r w:rsidRPr="000A0664">
        <w:t>Where the change impacts an endorsed security plan, re-endorsement of the plan must be obtained.</w:t>
      </w:r>
    </w:p>
    <w:p w14:paraId="44C2A898" w14:textId="760D9AD3" w:rsidR="000A0664" w:rsidRPr="000A0664" w:rsidRDefault="00AB21E6" w:rsidP="00297B19">
      <w:pPr>
        <w:pStyle w:val="Heading2"/>
        <w:spacing w:before="200"/>
      </w:pPr>
      <w:r>
        <w:t>Documenting the assessment</w:t>
      </w:r>
    </w:p>
    <w:p w14:paraId="7ACAAF6C" w14:textId="7B9B83AF" w:rsidR="000A0664" w:rsidRPr="000A0664" w:rsidRDefault="000A0664" w:rsidP="00ED1A65">
      <w:pPr>
        <w:spacing w:before="120"/>
      </w:pPr>
      <w:r w:rsidRPr="000A0664">
        <w:t xml:space="preserve">The </w:t>
      </w:r>
      <w:r w:rsidR="00EE084F">
        <w:t>assessor</w:t>
      </w:r>
      <w:r w:rsidRPr="000A0664">
        <w:t xml:space="preserve"> will complete (as appropriate):</w:t>
      </w:r>
    </w:p>
    <w:p w14:paraId="2D7801B4" w14:textId="467BD068" w:rsidR="00261ABF" w:rsidRPr="000A0664" w:rsidRDefault="00261ABF" w:rsidP="00103EAC">
      <w:pPr>
        <w:pStyle w:val="ListParagraph"/>
        <w:numPr>
          <w:ilvl w:val="0"/>
          <w:numId w:val="8"/>
        </w:numPr>
        <w:ind w:left="851" w:hanging="425"/>
      </w:pPr>
      <w:r w:rsidRPr="000A0664">
        <w:t xml:space="preserve">RAR using the appropriate template </w:t>
      </w:r>
    </w:p>
    <w:p w14:paraId="4CB8CB21" w14:textId="29A42C7A" w:rsidR="000A0664" w:rsidRDefault="005E7099" w:rsidP="00103EAC">
      <w:pPr>
        <w:pStyle w:val="ListParagraph"/>
        <w:numPr>
          <w:ilvl w:val="0"/>
          <w:numId w:val="8"/>
        </w:numPr>
        <w:ind w:left="851" w:hanging="425"/>
      </w:pPr>
      <w:r>
        <w:t>e</w:t>
      </w:r>
      <w:r w:rsidR="000A0664" w:rsidRPr="000A0664">
        <w:t xml:space="preserve">mail to the </w:t>
      </w:r>
      <w:r w:rsidR="00131258">
        <w:t>CRO</w:t>
      </w:r>
      <w:r w:rsidR="000A0664" w:rsidRPr="000A0664">
        <w:t xml:space="preserve"> summarising the request and recommended action</w:t>
      </w:r>
    </w:p>
    <w:p w14:paraId="334F844D" w14:textId="2926174C" w:rsidR="00D051D6" w:rsidRPr="000A0664" w:rsidRDefault="005E7099" w:rsidP="00103EAC">
      <w:pPr>
        <w:pStyle w:val="ListParagraph"/>
        <w:numPr>
          <w:ilvl w:val="0"/>
          <w:numId w:val="8"/>
        </w:numPr>
        <w:ind w:left="851" w:hanging="425"/>
      </w:pPr>
      <w:r>
        <w:t>a</w:t>
      </w:r>
      <w:r w:rsidR="00D051D6">
        <w:t>mended licence (</w:t>
      </w:r>
      <w:r>
        <w:t>if</w:t>
      </w:r>
      <w:r w:rsidR="00D051D6">
        <w:t xml:space="preserve"> necessary) following the process in section </w:t>
      </w:r>
      <w:r w:rsidR="00DF2FEE">
        <w:t>2</w:t>
      </w:r>
      <w:r w:rsidR="00D051D6">
        <w:t xml:space="preserve"> </w:t>
      </w:r>
    </w:p>
    <w:p w14:paraId="00495F36" w14:textId="74024B09" w:rsidR="000A0664" w:rsidRPr="000A0664" w:rsidRDefault="000A0664" w:rsidP="00297B19">
      <w:pPr>
        <w:pStyle w:val="Heading2"/>
        <w:spacing w:before="200"/>
      </w:pPr>
      <w:r w:rsidRPr="000A0664">
        <w:t>Review &amp; approval</w:t>
      </w:r>
    </w:p>
    <w:p w14:paraId="733F6298" w14:textId="51F56E5C" w:rsidR="0020124B" w:rsidRDefault="000A0664" w:rsidP="00ED1A65">
      <w:pPr>
        <w:spacing w:before="120"/>
      </w:pPr>
      <w:r w:rsidRPr="000A0664">
        <w:t xml:space="preserve">The review </w:t>
      </w:r>
      <w:r w:rsidR="0020124B">
        <w:t xml:space="preserve">and approval </w:t>
      </w:r>
      <w:r w:rsidRPr="000A0664">
        <w:t xml:space="preserve">process </w:t>
      </w:r>
      <w:proofErr w:type="gramStart"/>
      <w:r w:rsidRPr="000A0664">
        <w:t>is</w:t>
      </w:r>
      <w:proofErr w:type="gramEnd"/>
      <w:r w:rsidRPr="000A0664">
        <w:t xml:space="preserve"> the same as for a licence application in </w:t>
      </w:r>
      <w:hyperlink w:anchor="_Review_&amp;_approval" w:history="1">
        <w:r w:rsidRPr="007C6BAB">
          <w:rPr>
            <w:rStyle w:val="Hyperlink"/>
          </w:rPr>
          <w:t>paragrap</w:t>
        </w:r>
        <w:r w:rsidR="007C6BAB">
          <w:rPr>
            <w:rStyle w:val="Hyperlink"/>
          </w:rPr>
          <w:t>h</w:t>
        </w:r>
        <w:r w:rsidR="006664A0">
          <w:rPr>
            <w:rStyle w:val="Hyperlink"/>
          </w:rPr>
          <w:t xml:space="preserve"> </w:t>
        </w:r>
        <w:r w:rsidR="00DF2FEE">
          <w:rPr>
            <w:rStyle w:val="Hyperlink"/>
          </w:rPr>
          <w:t>2</w:t>
        </w:r>
        <w:r w:rsidR="006664A0">
          <w:rPr>
            <w:rStyle w:val="Hyperlink"/>
          </w:rPr>
          <w:t>.6</w:t>
        </w:r>
      </w:hyperlink>
      <w:r w:rsidRPr="000A0664">
        <w:t xml:space="preserve"> of this manual, noting that legal review is not required for approvals </w:t>
      </w:r>
      <w:r w:rsidR="00357B03">
        <w:t xml:space="preserve">under section 63 </w:t>
      </w:r>
      <w:r w:rsidRPr="000A0664">
        <w:t xml:space="preserve">where </w:t>
      </w:r>
      <w:r w:rsidR="00357B03">
        <w:t>reissue of the licence is not required</w:t>
      </w:r>
      <w:r w:rsidRPr="000A0664">
        <w:t xml:space="preserve">. </w:t>
      </w:r>
    </w:p>
    <w:p w14:paraId="19D65A02" w14:textId="5106217C" w:rsidR="000A0664" w:rsidRPr="000A0664" w:rsidRDefault="00AE5B25" w:rsidP="00ED1A65">
      <w:pPr>
        <w:spacing w:before="120"/>
      </w:pPr>
      <w:r>
        <w:t xml:space="preserve">The section director should check that all conclusions and recommendations are justified.  </w:t>
      </w:r>
      <w:r w:rsidR="000A0664" w:rsidRPr="000A0664">
        <w:t xml:space="preserve">  </w:t>
      </w:r>
    </w:p>
    <w:p w14:paraId="4F47CBD4" w14:textId="18FCBD6E" w:rsidR="000A0664" w:rsidRPr="000A0664" w:rsidRDefault="00C65175" w:rsidP="00D85F6C">
      <w:pPr>
        <w:spacing w:before="120"/>
      </w:pPr>
      <w:r>
        <w:t xml:space="preserve">The </w:t>
      </w:r>
      <w:r w:rsidR="00261ABF">
        <w:t>C</w:t>
      </w:r>
      <w:r>
        <w:t>RO</w:t>
      </w:r>
      <w:r w:rsidR="000A0664" w:rsidRPr="000A0664">
        <w:t xml:space="preserve"> will </w:t>
      </w:r>
      <w:proofErr w:type="gramStart"/>
      <w:r w:rsidR="000A0664" w:rsidRPr="000A0664">
        <w:t>make a decision</w:t>
      </w:r>
      <w:proofErr w:type="gramEnd"/>
      <w:r w:rsidR="000A0664" w:rsidRPr="000A0664">
        <w:t xml:space="preserve"> in accordance with the powers delegated by the CEO. In some circumstances </w:t>
      </w:r>
      <w:r>
        <w:t>particularly regarding nuclear installations</w:t>
      </w:r>
      <w:r w:rsidR="00593F26">
        <w:t>,</w:t>
      </w:r>
      <w:r>
        <w:t xml:space="preserve"> decisions are made by </w:t>
      </w:r>
      <w:r w:rsidR="000A0664" w:rsidRPr="000A0664">
        <w:t>the CEO.</w:t>
      </w:r>
      <w:r w:rsidR="00144843">
        <w:t xml:space="preserve"> </w:t>
      </w:r>
      <w:r>
        <w:t xml:space="preserve"> See </w:t>
      </w:r>
      <w:hyperlink r:id="rId23" w:history="1">
        <w:r w:rsidRPr="00DC2343">
          <w:rPr>
            <w:rStyle w:val="Hyperlink"/>
          </w:rPr>
          <w:t>Delegation relating to Regulatory Functions and Powers</w:t>
        </w:r>
      </w:hyperlink>
      <w:r>
        <w:t xml:space="preserve"> for details. </w:t>
      </w:r>
    </w:p>
    <w:p w14:paraId="106368B4" w14:textId="3000C9B5" w:rsidR="000A0664" w:rsidRPr="000A0664" w:rsidRDefault="000A0664" w:rsidP="00D85F6C">
      <w:pPr>
        <w:spacing w:before="120"/>
      </w:pPr>
      <w:r w:rsidRPr="000A0664">
        <w:t xml:space="preserve">The </w:t>
      </w:r>
      <w:r w:rsidR="00EE084F">
        <w:t xml:space="preserve">assessor </w:t>
      </w:r>
      <w:r w:rsidRPr="000A0664">
        <w:t xml:space="preserve">will advise the applicant </w:t>
      </w:r>
      <w:r w:rsidR="007C6BAB">
        <w:t xml:space="preserve">about </w:t>
      </w:r>
      <w:r w:rsidRPr="000A0664">
        <w:t xml:space="preserve">the outcome of the assessment using one of the following templates and with relevant documents attached: </w:t>
      </w:r>
    </w:p>
    <w:p w14:paraId="50B48187" w14:textId="61FA4CBF" w:rsidR="000A0664" w:rsidRPr="000A0664" w:rsidRDefault="009B763C" w:rsidP="00103EAC">
      <w:pPr>
        <w:pStyle w:val="ListParagraph"/>
        <w:numPr>
          <w:ilvl w:val="1"/>
          <w:numId w:val="30"/>
        </w:numPr>
        <w:spacing w:before="120"/>
      </w:pPr>
      <w:hyperlink w:anchor="_Approval_of_Reg_1" w:history="1">
        <w:r w:rsidR="00B97D2C">
          <w:t>S</w:t>
        </w:r>
        <w:r w:rsidR="00357B03">
          <w:t>ection 63</w:t>
        </w:r>
        <w:r w:rsidR="000A0664" w:rsidRPr="000A0664">
          <w:t xml:space="preserve"> </w:t>
        </w:r>
        <w:r w:rsidR="00D051D6">
          <w:t>a</w:t>
        </w:r>
        <w:r w:rsidR="000A0664" w:rsidRPr="000A0664">
          <w:t xml:space="preserve">pproval no licence amendment </w:t>
        </w:r>
      </w:hyperlink>
    </w:p>
    <w:p w14:paraId="37DA0477" w14:textId="0C9E852B" w:rsidR="000A0664" w:rsidRPr="000A0664" w:rsidRDefault="009B763C" w:rsidP="00103EAC">
      <w:pPr>
        <w:pStyle w:val="ListParagraph"/>
        <w:numPr>
          <w:ilvl w:val="1"/>
          <w:numId w:val="30"/>
        </w:numPr>
      </w:pPr>
      <w:hyperlink w:anchor="_Approval_of_Reg" w:history="1">
        <w:r w:rsidR="00B97D2C">
          <w:t>S</w:t>
        </w:r>
        <w:r w:rsidR="00357B03">
          <w:t xml:space="preserve">ection 63 </w:t>
        </w:r>
        <w:r w:rsidR="00D051D6">
          <w:t>a</w:t>
        </w:r>
        <w:r w:rsidR="000A0664" w:rsidRPr="000A0664">
          <w:t xml:space="preserve">pproval with licence amendment </w:t>
        </w:r>
      </w:hyperlink>
    </w:p>
    <w:p w14:paraId="41EA1CB3" w14:textId="75248380" w:rsidR="000A0664" w:rsidRPr="000A0664" w:rsidRDefault="009B763C" w:rsidP="00103EAC">
      <w:pPr>
        <w:pStyle w:val="ListParagraph"/>
        <w:numPr>
          <w:ilvl w:val="1"/>
          <w:numId w:val="30"/>
        </w:numPr>
      </w:pPr>
      <w:hyperlink w:anchor="_Refusal_of_Reg" w:history="1">
        <w:r w:rsidR="00B97D2C">
          <w:t>S</w:t>
        </w:r>
        <w:r w:rsidR="00357B03">
          <w:t xml:space="preserve">ection 63 </w:t>
        </w:r>
        <w:r w:rsidR="00D051D6">
          <w:t>r</w:t>
        </w:r>
        <w:r w:rsidR="000A0664" w:rsidRPr="000A0664">
          <w:t>efusal</w:t>
        </w:r>
      </w:hyperlink>
      <w:r w:rsidR="000A0664" w:rsidRPr="000A0664">
        <w:t xml:space="preserve"> </w:t>
      </w:r>
    </w:p>
    <w:p w14:paraId="4D5BE634" w14:textId="3D32202B" w:rsidR="000A0664" w:rsidRPr="000A0664" w:rsidRDefault="000A0664" w:rsidP="00297B19">
      <w:pPr>
        <w:pStyle w:val="Heading2"/>
        <w:spacing w:before="200"/>
      </w:pPr>
      <w:r w:rsidRPr="000A0664">
        <w:t xml:space="preserve">Record keeping </w:t>
      </w:r>
    </w:p>
    <w:p w14:paraId="599B374D" w14:textId="423A3611" w:rsidR="000A0664" w:rsidRPr="000A0664" w:rsidRDefault="000A0664" w:rsidP="00ED1A65">
      <w:pPr>
        <w:spacing w:before="120"/>
      </w:pPr>
      <w:r w:rsidRPr="000A0664">
        <w:t xml:space="preserve">The </w:t>
      </w:r>
      <w:r w:rsidR="00EE084F">
        <w:t>assessor</w:t>
      </w:r>
      <w:r w:rsidRPr="000A0664">
        <w:t xml:space="preserve"> must update LAD, </w:t>
      </w:r>
      <w:r w:rsidR="0016396C">
        <w:t>record</w:t>
      </w:r>
      <w:r w:rsidRPr="000A0664">
        <w:t xml:space="preserve"> </w:t>
      </w:r>
      <w:r w:rsidRPr="000A0664">
        <w:rPr>
          <w:szCs w:val="24"/>
        </w:rPr>
        <w:t>agreed timeframe</w:t>
      </w:r>
      <w:r w:rsidR="00EB16D6">
        <w:rPr>
          <w:szCs w:val="24"/>
        </w:rPr>
        <w:t xml:space="preserve"> in </w:t>
      </w:r>
      <w:hyperlink r:id="rId24" w:history="1">
        <w:proofErr w:type="spellStart"/>
        <w:r w:rsidR="002D4888" w:rsidRPr="00DF2FEE">
          <w:rPr>
            <w:rStyle w:val="Hyperlink"/>
            <w:szCs w:val="24"/>
          </w:rPr>
          <w:t>Sharepoint</w:t>
        </w:r>
        <w:proofErr w:type="spellEnd"/>
      </w:hyperlink>
      <w:r w:rsidRPr="000A0664">
        <w:t xml:space="preserve"> and ensure all documents are saved in </w:t>
      </w:r>
      <w:r w:rsidR="00184E1D">
        <w:t>CM</w:t>
      </w:r>
      <w:r w:rsidRPr="000A0664">
        <w:t>.</w:t>
      </w:r>
    </w:p>
    <w:p w14:paraId="32A559B8" w14:textId="08CA0CAA" w:rsidR="000A0664" w:rsidRPr="000A0664" w:rsidRDefault="000A0664" w:rsidP="00297B19">
      <w:pPr>
        <w:pStyle w:val="Heading2"/>
        <w:spacing w:before="200"/>
      </w:pPr>
      <w:r w:rsidRPr="000A0664">
        <w:t>Post-</w:t>
      </w:r>
      <w:r w:rsidRPr="00500260">
        <w:t>assessment</w:t>
      </w:r>
      <w:r w:rsidRPr="000A0664">
        <w:t xml:space="preserve"> survey </w:t>
      </w:r>
    </w:p>
    <w:p w14:paraId="0C6FAC08" w14:textId="0B1D5E78" w:rsidR="000A0664" w:rsidRPr="000A0664" w:rsidRDefault="000A0664" w:rsidP="00ED1A65">
      <w:pPr>
        <w:spacing w:before="120"/>
      </w:pPr>
      <w:r w:rsidRPr="000A0664">
        <w:t xml:space="preserve">The </w:t>
      </w:r>
      <w:r w:rsidR="00EE084F">
        <w:t xml:space="preserve">assessor </w:t>
      </w:r>
      <w:r w:rsidRPr="000A0664">
        <w:t xml:space="preserve">should arrange for the post-assessment survey to be sent </w:t>
      </w:r>
      <w:r w:rsidR="0016396C">
        <w:t>(</w:t>
      </w:r>
      <w:r w:rsidR="0016396C" w:rsidRPr="0052747F">
        <w:t>using</w:t>
      </w:r>
      <w:r w:rsidR="0016396C">
        <w:t xml:space="preserve"> appropriate email template)</w:t>
      </w:r>
      <w:r w:rsidR="0016396C" w:rsidRPr="0052747F">
        <w:t xml:space="preserve"> </w:t>
      </w:r>
      <w:r w:rsidRPr="000A0664">
        <w:t xml:space="preserve">if the assessment notification did not include the survey link. </w:t>
      </w:r>
    </w:p>
    <w:p w14:paraId="33276D9F" w14:textId="0559C342" w:rsidR="000A0664" w:rsidRDefault="000A0664" w:rsidP="00D85F6C">
      <w:pPr>
        <w:spacing w:before="120"/>
      </w:pPr>
      <w:r w:rsidRPr="000A0664">
        <w:t xml:space="preserve">Responses </w:t>
      </w:r>
      <w:r w:rsidR="00D47236">
        <w:t xml:space="preserve">should be </w:t>
      </w:r>
      <w:r w:rsidRPr="000A0664">
        <w:t xml:space="preserve">periodically analysed to identify opportunities for improvement. </w:t>
      </w:r>
    </w:p>
    <w:p w14:paraId="0B00A5A1" w14:textId="77777777" w:rsidR="00AB6BA4" w:rsidRPr="00024D5A" w:rsidRDefault="00AB6BA4" w:rsidP="00AB6BA4">
      <w:pPr>
        <w:pStyle w:val="Heading2"/>
        <w:rPr>
          <w:rStyle w:val="Normalbold"/>
          <w:color w:val="4E1A74" w:themeColor="accent2"/>
        </w:rPr>
      </w:pPr>
      <w:r w:rsidRPr="00024D5A">
        <w:rPr>
          <w:rStyle w:val="Normalbold"/>
          <w:color w:val="4E1A74" w:themeColor="accent2"/>
        </w:rPr>
        <w:t>Post-assessment review</w:t>
      </w:r>
    </w:p>
    <w:p w14:paraId="584C7DFF" w14:textId="08544996" w:rsidR="00B76D38" w:rsidRPr="00297B19" w:rsidRDefault="00297B19" w:rsidP="00297B19">
      <w:bookmarkStart w:id="15" w:name="_Toc475614180"/>
      <w:r>
        <w:t xml:space="preserve">After finalising the assessment of a major </w:t>
      </w:r>
      <w:proofErr w:type="gramStart"/>
      <w:r>
        <w:t>application</w:t>
      </w:r>
      <w:proofErr w:type="gramEnd"/>
      <w:r>
        <w:t xml:space="preserve"> the assessment team should conduct a review of the process to discuss lessons learned and identify changes that may be required to drive continuous improvement. </w:t>
      </w:r>
      <w:r w:rsidR="00DF2FEE">
        <w:t xml:space="preserve">The outcomes of such reviews should be recorded and saved appropriately in CM. </w:t>
      </w:r>
      <w:r w:rsidR="00B76D38" w:rsidRPr="0052747F">
        <w:br w:type="page"/>
      </w:r>
    </w:p>
    <w:p w14:paraId="098A76A2" w14:textId="4D8B6414" w:rsidR="009D7BE5" w:rsidRPr="002814C9" w:rsidRDefault="009D7BE5" w:rsidP="00940751">
      <w:pPr>
        <w:pStyle w:val="Heading1"/>
        <w:ind w:left="567" w:hanging="567"/>
      </w:pPr>
      <w:bookmarkStart w:id="16" w:name="_Disposals_&amp;_transfers"/>
      <w:bookmarkEnd w:id="16"/>
      <w:r w:rsidRPr="00ED1A65">
        <w:rPr>
          <w:rStyle w:val="TitleChar"/>
          <w:caps w:val="0"/>
          <w:color w:val="4E1A74" w:themeColor="accent2"/>
          <w:spacing w:val="0"/>
          <w:kern w:val="0"/>
          <w:sz w:val="44"/>
          <w:szCs w:val="44"/>
        </w:rPr>
        <w:lastRenderedPageBreak/>
        <w:t>Disposal</w:t>
      </w:r>
      <w:r w:rsidR="005150F1" w:rsidRPr="00ED1A65">
        <w:rPr>
          <w:rStyle w:val="TitleChar"/>
          <w:caps w:val="0"/>
          <w:color w:val="4E1A74" w:themeColor="accent2"/>
          <w:spacing w:val="0"/>
          <w:kern w:val="0"/>
          <w:sz w:val="44"/>
          <w:szCs w:val="44"/>
        </w:rPr>
        <w:t xml:space="preserve"> </w:t>
      </w:r>
      <w:r w:rsidR="002C6740">
        <w:rPr>
          <w:rStyle w:val="TitleChar"/>
          <w:caps w:val="0"/>
          <w:color w:val="4E1A74" w:themeColor="accent2"/>
          <w:spacing w:val="0"/>
          <w:kern w:val="0"/>
          <w:sz w:val="44"/>
          <w:szCs w:val="44"/>
        </w:rPr>
        <w:t>or</w:t>
      </w:r>
      <w:r w:rsidRPr="00ED1A65">
        <w:rPr>
          <w:rStyle w:val="TitleChar"/>
          <w:caps w:val="0"/>
          <w:color w:val="4E1A74" w:themeColor="accent2"/>
          <w:spacing w:val="0"/>
          <w:kern w:val="0"/>
          <w:sz w:val="44"/>
          <w:szCs w:val="44"/>
        </w:rPr>
        <w:t xml:space="preserve"> </w:t>
      </w:r>
      <w:r w:rsidR="005150F1" w:rsidRPr="00ED1A65">
        <w:rPr>
          <w:rStyle w:val="TitleChar"/>
          <w:caps w:val="0"/>
          <w:color w:val="4E1A74" w:themeColor="accent2"/>
          <w:spacing w:val="0"/>
          <w:kern w:val="0"/>
          <w:sz w:val="44"/>
          <w:szCs w:val="44"/>
        </w:rPr>
        <w:t>t</w:t>
      </w:r>
      <w:r w:rsidRPr="00ED1A65">
        <w:rPr>
          <w:rStyle w:val="TitleChar"/>
          <w:caps w:val="0"/>
          <w:color w:val="4E1A74" w:themeColor="accent2"/>
          <w:spacing w:val="0"/>
          <w:kern w:val="0"/>
          <w:sz w:val="44"/>
          <w:szCs w:val="44"/>
        </w:rPr>
        <w:t>ransfer</w:t>
      </w:r>
      <w:bookmarkEnd w:id="15"/>
    </w:p>
    <w:p w14:paraId="1FF5D3E9" w14:textId="219FAFAD" w:rsidR="009D7BE5" w:rsidRPr="0052747F" w:rsidRDefault="009D7BE5" w:rsidP="001A4A44">
      <w:pPr>
        <w:pStyle w:val="Heading2"/>
      </w:pPr>
      <w:r w:rsidRPr="00ED1A65">
        <w:t>Recei</w:t>
      </w:r>
      <w:r w:rsidR="00CF2C5B" w:rsidRPr="00ED1A65">
        <w:t>ving</w:t>
      </w:r>
      <w:r w:rsidR="00CF2C5B" w:rsidRPr="0052747F">
        <w:t xml:space="preserve"> the</w:t>
      </w:r>
      <w:r w:rsidRPr="0052747F">
        <w:t xml:space="preserve"> application</w:t>
      </w:r>
    </w:p>
    <w:p w14:paraId="34CF47D2" w14:textId="30DCB611" w:rsidR="004E00BD" w:rsidRPr="0052747F" w:rsidRDefault="009D7BE5" w:rsidP="00ED1A65">
      <w:pPr>
        <w:spacing w:before="120"/>
      </w:pPr>
      <w:r w:rsidRPr="0052747F">
        <w:t>All requests should be received by</w:t>
      </w:r>
      <w:r w:rsidR="004911FD">
        <w:t xml:space="preserve"> </w:t>
      </w:r>
      <w:hyperlink r:id="rId25" w:history="1">
        <w:r w:rsidR="004911FD" w:rsidRPr="006E2974">
          <w:rPr>
            <w:rStyle w:val="Hyperlink"/>
          </w:rPr>
          <w:t>LicenceAdmin@arpansa.gov.au</w:t>
        </w:r>
      </w:hyperlink>
      <w:r w:rsidR="00493188">
        <w:rPr>
          <w:rStyle w:val="Hyperlink"/>
        </w:rPr>
        <w:t>.</w:t>
      </w:r>
      <w:r w:rsidRPr="0052747F">
        <w:t xml:space="preserve"> </w:t>
      </w:r>
      <w:r w:rsidR="00493188">
        <w:t>I</w:t>
      </w:r>
      <w:r w:rsidR="007B2BB1" w:rsidRPr="0052747F">
        <w:t xml:space="preserve">f </w:t>
      </w:r>
      <w:r w:rsidRPr="0052747F">
        <w:t xml:space="preserve">a </w:t>
      </w:r>
      <w:r w:rsidR="00110ACA">
        <w:t>R</w:t>
      </w:r>
      <w:r w:rsidR="008C6238">
        <w:t>O</w:t>
      </w:r>
      <w:r w:rsidR="00110ACA">
        <w:t xml:space="preserve"> </w:t>
      </w:r>
      <w:r w:rsidRPr="0052747F">
        <w:t xml:space="preserve">receives a </w:t>
      </w:r>
      <w:r w:rsidR="00493188">
        <w:t xml:space="preserve">direct </w:t>
      </w:r>
      <w:proofErr w:type="gramStart"/>
      <w:r w:rsidRPr="0052747F">
        <w:t>request</w:t>
      </w:r>
      <w:proofErr w:type="gramEnd"/>
      <w:r w:rsidRPr="0052747F">
        <w:t xml:space="preserve"> it should be forwarded to</w:t>
      </w:r>
      <w:r w:rsidR="007B2BB1" w:rsidRPr="0052747F">
        <w:t xml:space="preserve"> the </w:t>
      </w:r>
      <w:r w:rsidRPr="0052747F">
        <w:t>LA inbox.</w:t>
      </w:r>
    </w:p>
    <w:p w14:paraId="6325EE74" w14:textId="59203ABA" w:rsidR="000E76D0" w:rsidRPr="000E76D0" w:rsidRDefault="000E76D0" w:rsidP="00D85F6C">
      <w:pPr>
        <w:spacing w:before="120"/>
      </w:pPr>
      <w:r>
        <w:t xml:space="preserve">The </w:t>
      </w:r>
      <w:r w:rsidR="00F54671">
        <w:t>LAO</w:t>
      </w:r>
      <w:r>
        <w:t xml:space="preserve"> acknowledges receipt of the application </w:t>
      </w:r>
      <w:r w:rsidR="0016396C">
        <w:t>(</w:t>
      </w:r>
      <w:r w:rsidR="0016396C" w:rsidRPr="0052747F">
        <w:t>using</w:t>
      </w:r>
      <w:r w:rsidR="0016396C">
        <w:t xml:space="preserve"> appropriate email template)</w:t>
      </w:r>
      <w:r w:rsidR="0016396C" w:rsidRPr="0052747F">
        <w:t xml:space="preserve"> </w:t>
      </w:r>
      <w:r>
        <w:rPr>
          <w:rStyle w:val="Hyperlink"/>
          <w:color w:val="auto"/>
          <w:u w:val="none"/>
        </w:rPr>
        <w:t xml:space="preserve">then refers the application to </w:t>
      </w:r>
      <w:r w:rsidR="007D5C0B">
        <w:rPr>
          <w:rStyle w:val="Hyperlink"/>
          <w:color w:val="auto"/>
          <w:u w:val="none"/>
        </w:rPr>
        <w:t>an</w:t>
      </w:r>
      <w:r>
        <w:rPr>
          <w:rStyle w:val="Hyperlink"/>
          <w:color w:val="auto"/>
          <w:u w:val="none"/>
        </w:rPr>
        <w:t xml:space="preserve"> assessing officer (AO).</w:t>
      </w:r>
      <w:r w:rsidR="00BC708B">
        <w:rPr>
          <w:rStyle w:val="Hyperlink"/>
          <w:color w:val="auto"/>
          <w:u w:val="none"/>
        </w:rPr>
        <w:t xml:space="preserve"> The A</w:t>
      </w:r>
      <w:r w:rsidR="007C4DBF">
        <w:rPr>
          <w:rStyle w:val="Hyperlink"/>
          <w:color w:val="auto"/>
          <w:u w:val="none"/>
        </w:rPr>
        <w:t>O</w:t>
      </w:r>
      <w:r w:rsidR="00BC708B">
        <w:rPr>
          <w:rStyle w:val="Hyperlink"/>
          <w:color w:val="auto"/>
          <w:u w:val="none"/>
        </w:rPr>
        <w:t xml:space="preserve"> may be a RO or another officer supporting the</w:t>
      </w:r>
      <w:r w:rsidR="00DF6B1B">
        <w:rPr>
          <w:rStyle w:val="Hyperlink"/>
          <w:color w:val="auto"/>
          <w:u w:val="none"/>
        </w:rPr>
        <w:t xml:space="preserve"> role</w:t>
      </w:r>
      <w:r w:rsidR="00BC708B">
        <w:rPr>
          <w:rStyle w:val="Hyperlink"/>
          <w:color w:val="auto"/>
          <w:u w:val="none"/>
        </w:rPr>
        <w:t xml:space="preserve">. </w:t>
      </w:r>
    </w:p>
    <w:p w14:paraId="269B6388" w14:textId="756845E7" w:rsidR="000E76D0" w:rsidRDefault="000E76D0" w:rsidP="00D85F6C">
      <w:pPr>
        <w:spacing w:before="120"/>
      </w:pPr>
      <w:r>
        <w:t xml:space="preserve">The AO saves the application in </w:t>
      </w:r>
      <w:r w:rsidR="00184E1D">
        <w:t>CM</w:t>
      </w:r>
      <w:r w:rsidR="00FB6DE8">
        <w:t xml:space="preserve">; the </w:t>
      </w:r>
      <w:r w:rsidR="00DF6B1B">
        <w:t xml:space="preserve">record </w:t>
      </w:r>
      <w:r w:rsidR="00110ACA">
        <w:t xml:space="preserve">number </w:t>
      </w:r>
      <w:r w:rsidR="00FB6DE8">
        <w:t xml:space="preserve">becomes the </w:t>
      </w:r>
      <w:r w:rsidR="00DF6B1B">
        <w:t>application number</w:t>
      </w:r>
      <w:r>
        <w:t>.</w:t>
      </w:r>
      <w:r w:rsidR="003119AD">
        <w:t xml:space="preserve"> </w:t>
      </w:r>
      <w:r>
        <w:t xml:space="preserve"> </w:t>
      </w:r>
    </w:p>
    <w:p w14:paraId="01A19948" w14:textId="64CDF5F7" w:rsidR="009D7BE5" w:rsidRPr="0052747F" w:rsidRDefault="009D7BE5" w:rsidP="001A4A44">
      <w:pPr>
        <w:pStyle w:val="Heading2"/>
      </w:pPr>
      <w:r w:rsidRPr="00500260">
        <w:t>A</w:t>
      </w:r>
      <w:r w:rsidR="00CF2C5B" w:rsidRPr="0098030D">
        <w:t>ssessing</w:t>
      </w:r>
      <w:r w:rsidR="00CF2C5B" w:rsidRPr="0052747F">
        <w:t xml:space="preserve"> the a</w:t>
      </w:r>
      <w:r w:rsidRPr="0052747F">
        <w:t xml:space="preserve">pplication </w:t>
      </w:r>
    </w:p>
    <w:p w14:paraId="2F821482" w14:textId="4C61E1F1" w:rsidR="009D7BE5" w:rsidRPr="0052747F" w:rsidRDefault="009D7BE5" w:rsidP="00ED1A65">
      <w:pPr>
        <w:spacing w:before="120"/>
      </w:pPr>
      <w:r w:rsidRPr="0052747F">
        <w:t xml:space="preserve">The information required for disposal varies depending on whether </w:t>
      </w:r>
      <w:r w:rsidR="008E1D2F" w:rsidRPr="0052747F">
        <w:t xml:space="preserve">it </w:t>
      </w:r>
      <w:r w:rsidRPr="0052747F">
        <w:t xml:space="preserve">is a controlled apparatus or controlled material. </w:t>
      </w:r>
      <w:r w:rsidR="008E1D2F" w:rsidRPr="0052747F">
        <w:t xml:space="preserve">For disposals of </w:t>
      </w:r>
      <w:r w:rsidRPr="0052747F">
        <w:t xml:space="preserve">apparatus containing controlled material, the assessment should be based on the controlled material. </w:t>
      </w:r>
    </w:p>
    <w:p w14:paraId="2C597F4B" w14:textId="77777777" w:rsidR="009D7BE5" w:rsidRPr="0052747F" w:rsidRDefault="009D7BE5" w:rsidP="00D85F6C">
      <w:pPr>
        <w:spacing w:before="120"/>
      </w:pPr>
      <w:r w:rsidRPr="0052747F">
        <w:t>The AO will:</w:t>
      </w:r>
    </w:p>
    <w:p w14:paraId="00752AD7" w14:textId="77777777" w:rsidR="009D7BE5" w:rsidRPr="0052747F" w:rsidRDefault="009D7BE5" w:rsidP="008C6238">
      <w:pPr>
        <w:pStyle w:val="ListParagraph"/>
        <w:numPr>
          <w:ilvl w:val="0"/>
          <w:numId w:val="3"/>
        </w:numPr>
        <w:spacing w:before="120"/>
        <w:ind w:left="851" w:hanging="425"/>
        <w:contextualSpacing w:val="0"/>
      </w:pPr>
      <w:r w:rsidRPr="0052747F">
        <w:t xml:space="preserve">check that all the details on the Transfer/Disposal Request Form have been completed  </w:t>
      </w:r>
    </w:p>
    <w:p w14:paraId="29F939FC" w14:textId="50DDD308" w:rsidR="009D7BE5" w:rsidRPr="0052747F" w:rsidRDefault="009D7BE5" w:rsidP="008C6238">
      <w:pPr>
        <w:pStyle w:val="ListParagraph"/>
        <w:numPr>
          <w:ilvl w:val="0"/>
          <w:numId w:val="3"/>
        </w:numPr>
        <w:spacing w:before="120"/>
        <w:ind w:left="850" w:hanging="425"/>
        <w:contextualSpacing w:val="0"/>
      </w:pPr>
      <w:r w:rsidRPr="0052747F">
        <w:t xml:space="preserve">check the details of the described disposal are appropriate </w:t>
      </w:r>
      <w:r w:rsidR="00CA30FC">
        <w:t xml:space="preserve">  </w:t>
      </w:r>
    </w:p>
    <w:p w14:paraId="59323966" w14:textId="36357FB3" w:rsidR="009D7BE5" w:rsidRPr="0052747F" w:rsidRDefault="009D7BE5" w:rsidP="008C6238">
      <w:pPr>
        <w:pStyle w:val="ListParagraph"/>
        <w:numPr>
          <w:ilvl w:val="0"/>
          <w:numId w:val="3"/>
        </w:numPr>
        <w:spacing w:before="120"/>
        <w:ind w:left="850" w:hanging="425"/>
        <w:contextualSpacing w:val="0"/>
      </w:pPr>
      <w:r w:rsidRPr="0052747F">
        <w:t>confirm with the relevant regulatory authority that any licence number provided belongs to the person/organisation quoted and is relevant for the sources concerned (for transfers</w:t>
      </w:r>
      <w:r w:rsidR="00110ACA">
        <w:t xml:space="preserve"> outside the Commonwealth</w:t>
      </w:r>
      <w:r w:rsidRPr="0052747F">
        <w:t>)</w:t>
      </w:r>
    </w:p>
    <w:p w14:paraId="76D0D844" w14:textId="77777777" w:rsidR="009D7BE5" w:rsidRPr="0052747F" w:rsidRDefault="009D7BE5" w:rsidP="008C6238">
      <w:pPr>
        <w:pStyle w:val="ListParagraph"/>
        <w:numPr>
          <w:ilvl w:val="0"/>
          <w:numId w:val="3"/>
        </w:numPr>
        <w:spacing w:before="120"/>
        <w:ind w:left="850" w:hanging="425"/>
        <w:contextualSpacing w:val="0"/>
      </w:pPr>
      <w:r w:rsidRPr="0052747F">
        <w:t>assess the request to ensure that the pathway is appropriate and there is minimal hazard to persons or the environment relating to the disposal</w:t>
      </w:r>
    </w:p>
    <w:p w14:paraId="45059D37" w14:textId="77777777" w:rsidR="008A6CFC" w:rsidRPr="0052747F" w:rsidRDefault="009D7BE5" w:rsidP="008C6238">
      <w:pPr>
        <w:pStyle w:val="ListParagraph"/>
        <w:numPr>
          <w:ilvl w:val="0"/>
          <w:numId w:val="3"/>
        </w:numPr>
        <w:spacing w:before="120"/>
        <w:ind w:left="850" w:hanging="425"/>
        <w:contextualSpacing w:val="0"/>
      </w:pPr>
      <w:r w:rsidRPr="0052747F">
        <w:t xml:space="preserve">recommend approval (or otherwise) by forwarding the request via email to an appropriately delegated </w:t>
      </w:r>
      <w:r w:rsidR="00325FDF" w:rsidRPr="0052747F">
        <w:t>RO</w:t>
      </w:r>
      <w:r w:rsidRPr="0052747F">
        <w:t xml:space="preserve"> with a brie</w:t>
      </w:r>
      <w:r w:rsidR="004E00BD" w:rsidRPr="0052747F">
        <w:t>f description of the assessment</w:t>
      </w:r>
    </w:p>
    <w:p w14:paraId="036D3235" w14:textId="6225B2E4" w:rsidR="008A6CFC" w:rsidRPr="0052747F" w:rsidRDefault="008A6CFC" w:rsidP="008C6238">
      <w:pPr>
        <w:pStyle w:val="ListParagraph"/>
        <w:numPr>
          <w:ilvl w:val="0"/>
          <w:numId w:val="3"/>
        </w:numPr>
        <w:spacing w:before="120"/>
        <w:ind w:left="850" w:hanging="425"/>
        <w:contextualSpacing w:val="0"/>
      </w:pPr>
      <w:r w:rsidRPr="0052747F">
        <w:t xml:space="preserve">save relevant emails in </w:t>
      </w:r>
      <w:r w:rsidR="00184E1D">
        <w:t>CM</w:t>
      </w:r>
      <w:r w:rsidRPr="0052747F">
        <w:t xml:space="preserve"> with any other relevant information and ensure the request and decision are recorded in LAD </w:t>
      </w:r>
    </w:p>
    <w:p w14:paraId="1E3C5265" w14:textId="3AA3B919" w:rsidR="009D7BE5" w:rsidRPr="0052747F" w:rsidRDefault="009460D7" w:rsidP="00110ACA">
      <w:pPr>
        <w:spacing w:before="120"/>
      </w:pPr>
      <w:r w:rsidRPr="0052747F">
        <w:t xml:space="preserve">Where </w:t>
      </w:r>
      <w:r w:rsidR="007656AE" w:rsidRPr="0052747F">
        <w:t>necessary,</w:t>
      </w:r>
      <w:r w:rsidRPr="0052747F">
        <w:t xml:space="preserve"> the AO requests further information</w:t>
      </w:r>
      <w:r w:rsidR="007656AE" w:rsidRPr="0052747F">
        <w:t>.  The relevant RO should be contacted if the</w:t>
      </w:r>
      <w:r w:rsidR="0088280A">
        <w:t xml:space="preserve"> AO is uncertain</w:t>
      </w:r>
      <w:r w:rsidR="009D7BE5" w:rsidRPr="0052747F">
        <w:t xml:space="preserve"> </w:t>
      </w:r>
      <w:r w:rsidR="007656AE" w:rsidRPr="0052747F">
        <w:t xml:space="preserve">about any of </w:t>
      </w:r>
      <w:r w:rsidR="009D7BE5" w:rsidRPr="0052747F">
        <w:t>the requirements</w:t>
      </w:r>
      <w:r w:rsidR="007656AE" w:rsidRPr="0052747F">
        <w:t>.</w:t>
      </w:r>
      <w:r w:rsidRPr="0052747F">
        <w:t xml:space="preserve">  </w:t>
      </w:r>
    </w:p>
    <w:p w14:paraId="0B319EBF" w14:textId="2F7EF8C6" w:rsidR="009D7BE5" w:rsidRPr="0052747F" w:rsidRDefault="001C7A67" w:rsidP="001A4A44">
      <w:pPr>
        <w:pStyle w:val="Heading2"/>
      </w:pPr>
      <w:r>
        <w:t>Review &amp; a</w:t>
      </w:r>
      <w:r w:rsidR="009D7BE5" w:rsidRPr="00500260">
        <w:t>pprov</w:t>
      </w:r>
      <w:r>
        <w:t>al</w:t>
      </w:r>
      <w:r w:rsidR="0020124B">
        <w:t xml:space="preserve"> </w:t>
      </w:r>
    </w:p>
    <w:p w14:paraId="09A3C5C1" w14:textId="4D0A73BF" w:rsidR="005150F1" w:rsidRPr="0052747F" w:rsidRDefault="005150F1" w:rsidP="00ED1A65">
      <w:pPr>
        <w:spacing w:before="120"/>
      </w:pPr>
      <w:r w:rsidRPr="0052747F">
        <w:t>Only ROs with written delegation</w:t>
      </w:r>
      <w:r w:rsidR="00AC3F78">
        <w:rPr>
          <w:rStyle w:val="FootnoteReference"/>
        </w:rPr>
        <w:footnoteReference w:id="6"/>
      </w:r>
      <w:r w:rsidRPr="0052747F">
        <w:t xml:space="preserve"> from the CEO can approve disposals and transfers.  </w:t>
      </w:r>
    </w:p>
    <w:p w14:paraId="6AE631B6" w14:textId="77777777" w:rsidR="009D7BE5" w:rsidRPr="0052747F" w:rsidRDefault="009D7BE5" w:rsidP="00ED1A65">
      <w:pPr>
        <w:spacing w:before="120"/>
      </w:pPr>
      <w:r w:rsidRPr="0052747F">
        <w:t xml:space="preserve">The </w:t>
      </w:r>
      <w:r w:rsidR="005150F1" w:rsidRPr="0052747F">
        <w:t>delegate</w:t>
      </w:r>
      <w:r w:rsidRPr="0052747F">
        <w:t xml:space="preserve"> will:</w:t>
      </w:r>
      <w:r w:rsidR="004612B7" w:rsidRPr="0052747F">
        <w:t xml:space="preserve"> </w:t>
      </w:r>
    </w:p>
    <w:p w14:paraId="1C0E0097" w14:textId="46EA3188" w:rsidR="009D7BE5" w:rsidRPr="0052747F" w:rsidRDefault="00EB16D6" w:rsidP="008C6238">
      <w:pPr>
        <w:pStyle w:val="ListParagraph"/>
        <w:numPr>
          <w:ilvl w:val="0"/>
          <w:numId w:val="3"/>
        </w:numPr>
        <w:spacing w:before="120"/>
        <w:ind w:left="850" w:hanging="425"/>
        <w:contextualSpacing w:val="0"/>
      </w:pPr>
      <w:r>
        <w:t>c</w:t>
      </w:r>
      <w:r w:rsidR="009D7BE5" w:rsidRPr="0052747F">
        <w:t xml:space="preserve">heck that the </w:t>
      </w:r>
      <w:r w:rsidR="000F5B32">
        <w:t>AO</w:t>
      </w:r>
      <w:r w:rsidR="009D7BE5" w:rsidRPr="0052747F">
        <w:t xml:space="preserve"> has provided an appropriate statement regarding their assessment of the request and taken relevant information into account</w:t>
      </w:r>
    </w:p>
    <w:p w14:paraId="3B24F83D" w14:textId="7DBD2FC5" w:rsidR="008C6238" w:rsidRPr="0052747F" w:rsidRDefault="0038287A" w:rsidP="008C6238">
      <w:pPr>
        <w:pStyle w:val="ListParagraph"/>
        <w:numPr>
          <w:ilvl w:val="0"/>
          <w:numId w:val="3"/>
        </w:numPr>
        <w:spacing w:before="120"/>
        <w:ind w:left="850" w:hanging="425"/>
        <w:contextualSpacing w:val="0"/>
      </w:pPr>
      <w:r w:rsidRPr="0052747F">
        <w:t xml:space="preserve">send it back to AO </w:t>
      </w:r>
      <w:r w:rsidR="008C6238">
        <w:t>i</w:t>
      </w:r>
      <w:r w:rsidR="008C6238" w:rsidRPr="0052747F">
        <w:t xml:space="preserve">f not satisfied with the assessment or information provided </w:t>
      </w:r>
      <w:r w:rsidRPr="0052747F">
        <w:t>giving suggestions for follow up</w:t>
      </w:r>
      <w:r>
        <w:t xml:space="preserve"> </w:t>
      </w:r>
    </w:p>
    <w:p w14:paraId="603962DE" w14:textId="77C03C79" w:rsidR="009D7BE5" w:rsidRPr="0052747F" w:rsidRDefault="00EB16D6" w:rsidP="008C6238">
      <w:pPr>
        <w:pStyle w:val="ListParagraph"/>
        <w:numPr>
          <w:ilvl w:val="0"/>
          <w:numId w:val="3"/>
        </w:numPr>
        <w:spacing w:before="120"/>
        <w:ind w:left="850" w:hanging="425"/>
        <w:contextualSpacing w:val="0"/>
      </w:pPr>
      <w:r>
        <w:lastRenderedPageBreak/>
        <w:t>m</w:t>
      </w:r>
      <w:r w:rsidR="009D7BE5" w:rsidRPr="0052747F">
        <w:t>ake their decision based on the AO’s comments (and licence holder details if necessary)</w:t>
      </w:r>
      <w:r w:rsidR="008C6238">
        <w:t xml:space="preserve"> and sign to approve</w:t>
      </w:r>
    </w:p>
    <w:p w14:paraId="4F58B1AD" w14:textId="17162895" w:rsidR="008C6238" w:rsidRDefault="008C6238" w:rsidP="008C6238">
      <w:pPr>
        <w:pStyle w:val="ListParagraph"/>
        <w:numPr>
          <w:ilvl w:val="0"/>
          <w:numId w:val="3"/>
        </w:numPr>
        <w:spacing w:before="120"/>
        <w:ind w:left="850" w:hanging="425"/>
        <w:contextualSpacing w:val="0"/>
      </w:pPr>
      <w:r>
        <w:t>emails the signed request to the AO</w:t>
      </w:r>
    </w:p>
    <w:p w14:paraId="5BE1C366" w14:textId="67AC2F35" w:rsidR="004E00BD" w:rsidRPr="008C6238" w:rsidRDefault="008C6238" w:rsidP="008C6238">
      <w:pPr>
        <w:spacing w:before="120"/>
        <w:ind w:left="425"/>
        <w:rPr>
          <w:sz w:val="18"/>
          <w:szCs w:val="18"/>
        </w:rPr>
      </w:pPr>
      <w:r w:rsidRPr="008C6238">
        <w:rPr>
          <w:sz w:val="18"/>
          <w:szCs w:val="18"/>
        </w:rPr>
        <w:t xml:space="preserve">NOTE: </w:t>
      </w:r>
      <w:r w:rsidR="00110ACA" w:rsidRPr="008C6238">
        <w:rPr>
          <w:sz w:val="18"/>
          <w:szCs w:val="18"/>
        </w:rPr>
        <w:t xml:space="preserve">‘Delegate of the CEO of ARPANSA’ </w:t>
      </w:r>
      <w:r w:rsidR="00EB16D6" w:rsidRPr="008C6238">
        <w:rPr>
          <w:sz w:val="18"/>
          <w:szCs w:val="18"/>
        </w:rPr>
        <w:t xml:space="preserve">should be </w:t>
      </w:r>
      <w:r w:rsidR="00110ACA" w:rsidRPr="008C6238">
        <w:rPr>
          <w:sz w:val="18"/>
          <w:szCs w:val="18"/>
        </w:rPr>
        <w:t xml:space="preserve">included in the signature </w:t>
      </w:r>
      <w:r w:rsidR="009D7BE5" w:rsidRPr="008C6238">
        <w:rPr>
          <w:sz w:val="18"/>
          <w:szCs w:val="18"/>
        </w:rPr>
        <w:t>block</w:t>
      </w:r>
      <w:r w:rsidR="00727E17" w:rsidRPr="008C6238">
        <w:rPr>
          <w:sz w:val="18"/>
          <w:szCs w:val="18"/>
        </w:rPr>
        <w:t xml:space="preserve"> below the officer’s name and position</w:t>
      </w:r>
      <w:r w:rsidR="00110ACA" w:rsidRPr="008C6238">
        <w:rPr>
          <w:sz w:val="18"/>
          <w:szCs w:val="18"/>
        </w:rPr>
        <w:t xml:space="preserve">. </w:t>
      </w:r>
    </w:p>
    <w:p w14:paraId="7F121098" w14:textId="18FB9842" w:rsidR="004E00BD" w:rsidRPr="0052747F" w:rsidRDefault="009D7BE5" w:rsidP="00103EAC">
      <w:pPr>
        <w:pStyle w:val="ListParagraph"/>
        <w:numPr>
          <w:ilvl w:val="0"/>
          <w:numId w:val="3"/>
        </w:numPr>
        <w:ind w:left="851" w:hanging="425"/>
      </w:pPr>
      <w:r w:rsidRPr="0052747F">
        <w:t xml:space="preserve">set out reasons </w:t>
      </w:r>
      <w:r w:rsidR="008C6238">
        <w:t xml:space="preserve">for declining a request </w:t>
      </w:r>
      <w:r w:rsidRPr="0052747F">
        <w:t>in an email to the AO</w:t>
      </w:r>
      <w:r w:rsidR="00F7144B">
        <w:t xml:space="preserve"> if applicable</w:t>
      </w:r>
    </w:p>
    <w:p w14:paraId="731390AD" w14:textId="0464F7B9" w:rsidR="009D7BE5" w:rsidRPr="0052747F" w:rsidRDefault="009D7BE5" w:rsidP="001A4A44">
      <w:pPr>
        <w:pStyle w:val="Heading2"/>
      </w:pPr>
      <w:r w:rsidRPr="00500260">
        <w:t>Notif</w:t>
      </w:r>
      <w:r w:rsidR="00D16E1C" w:rsidRPr="0098030D">
        <w:t>y</w:t>
      </w:r>
      <w:r w:rsidR="005C54E4">
        <w:t xml:space="preserve">ing </w:t>
      </w:r>
      <w:r w:rsidR="001C7A67">
        <w:t xml:space="preserve">the </w:t>
      </w:r>
      <w:r w:rsidR="00D16E1C">
        <w:t>applicant</w:t>
      </w:r>
    </w:p>
    <w:p w14:paraId="50A2279F" w14:textId="70C6A860" w:rsidR="009D7BE5" w:rsidRPr="00A04BE7" w:rsidRDefault="00F7144B" w:rsidP="0016396C">
      <w:pPr>
        <w:spacing w:before="120"/>
      </w:pPr>
      <w:r>
        <w:t>T</w:t>
      </w:r>
      <w:r w:rsidR="009D7BE5" w:rsidRPr="00A04BE7">
        <w:t xml:space="preserve">he AO </w:t>
      </w:r>
      <w:r w:rsidR="00504315" w:rsidRPr="00A04BE7">
        <w:t xml:space="preserve">will notify </w:t>
      </w:r>
      <w:r w:rsidR="009D7BE5" w:rsidRPr="00A04BE7">
        <w:t>the licence holder</w:t>
      </w:r>
      <w:r w:rsidR="00504315" w:rsidRPr="00A04BE7">
        <w:t xml:space="preserve"> that the application has been approved </w:t>
      </w:r>
      <w:r w:rsidR="0057311B" w:rsidRPr="00A04BE7">
        <w:t xml:space="preserve">by attaching </w:t>
      </w:r>
      <w:r w:rsidR="001A02F3">
        <w:t>a</w:t>
      </w:r>
      <w:r w:rsidR="0057311B" w:rsidRPr="00A04BE7">
        <w:t xml:space="preserve"> pdf copy of the signed request.  </w:t>
      </w:r>
    </w:p>
    <w:p w14:paraId="53B8BBA6" w14:textId="48D26E2A" w:rsidR="005B3D57" w:rsidRPr="00A04BE7" w:rsidRDefault="009D7BE5" w:rsidP="0016396C">
      <w:pPr>
        <w:spacing w:before="120"/>
      </w:pPr>
      <w:r w:rsidRPr="00A04BE7">
        <w:t xml:space="preserve">If </w:t>
      </w:r>
      <w:r w:rsidR="00F7144B">
        <w:t xml:space="preserve">the request is declined </w:t>
      </w:r>
      <w:r w:rsidRPr="00A04BE7">
        <w:t xml:space="preserve">the AO </w:t>
      </w:r>
      <w:r w:rsidR="005150F1" w:rsidRPr="00A04BE7">
        <w:t xml:space="preserve">will </w:t>
      </w:r>
      <w:r w:rsidR="00127254" w:rsidRPr="00A04BE7">
        <w:t>notify</w:t>
      </w:r>
      <w:r w:rsidRPr="00A04BE7">
        <w:t xml:space="preserve"> the licence holder setting out the reasons why and giving them an opportunity to respond within 14 days. Any response </w:t>
      </w:r>
      <w:r w:rsidR="00CA5899" w:rsidRPr="00A04BE7">
        <w:t xml:space="preserve">will be </w:t>
      </w:r>
      <w:r w:rsidRPr="00A04BE7">
        <w:t xml:space="preserve">forwarded to the </w:t>
      </w:r>
      <w:r w:rsidR="008C6238">
        <w:t>delegate</w:t>
      </w:r>
      <w:r w:rsidR="0057311B" w:rsidRPr="00A04BE7">
        <w:t xml:space="preserve"> </w:t>
      </w:r>
      <w:r w:rsidRPr="00A04BE7">
        <w:t>who may reconsider</w:t>
      </w:r>
      <w:r w:rsidR="0057311B" w:rsidRPr="00A04BE7">
        <w:t xml:space="preserve"> the request. </w:t>
      </w:r>
      <w:r w:rsidRPr="00A04BE7">
        <w:t xml:space="preserve"> </w:t>
      </w:r>
    </w:p>
    <w:p w14:paraId="34FE1C4B" w14:textId="591D6A9B" w:rsidR="005B3D57" w:rsidRDefault="005B3D57">
      <w:pPr>
        <w:spacing w:after="200"/>
      </w:pPr>
    </w:p>
    <w:p w14:paraId="6D19E144" w14:textId="77777777" w:rsidR="001378C6" w:rsidRDefault="001378C6">
      <w:pPr>
        <w:rPr>
          <w:rStyle w:val="Normalbold"/>
          <w:b/>
          <w:color w:val="3A1356" w:themeColor="accent2" w:themeShade="BF"/>
          <w:sz w:val="44"/>
          <w:szCs w:val="44"/>
        </w:rPr>
      </w:pPr>
      <w:bookmarkStart w:id="17" w:name="_Extension_of_sealed"/>
      <w:bookmarkEnd w:id="17"/>
      <w:r>
        <w:rPr>
          <w:rStyle w:val="Normalbold"/>
        </w:rPr>
        <w:br w:type="page"/>
      </w:r>
    </w:p>
    <w:p w14:paraId="7161CD1A" w14:textId="05D8E6C6" w:rsidR="005B3D57" w:rsidRPr="00ED1A65" w:rsidRDefault="005B3D57" w:rsidP="005B3D57">
      <w:pPr>
        <w:pStyle w:val="Heading1"/>
        <w:ind w:left="567" w:hanging="567"/>
        <w:rPr>
          <w:rStyle w:val="Normalbold"/>
        </w:rPr>
      </w:pPr>
      <w:r w:rsidRPr="4D92D8AA">
        <w:rPr>
          <w:rStyle w:val="Normalbold"/>
        </w:rPr>
        <w:lastRenderedPageBreak/>
        <w:t xml:space="preserve">Extension of sealed source working life </w:t>
      </w:r>
    </w:p>
    <w:p w14:paraId="50064685" w14:textId="77777777" w:rsidR="005B3D57" w:rsidRPr="0052747F" w:rsidRDefault="005B3D57" w:rsidP="005B3D57">
      <w:pPr>
        <w:pStyle w:val="Heading2"/>
        <w:ind w:left="1145" w:hanging="578"/>
      </w:pPr>
      <w:r w:rsidRPr="0052747F">
        <w:tab/>
        <w:t>Receiving the application</w:t>
      </w:r>
    </w:p>
    <w:p w14:paraId="1BCC41B2" w14:textId="77777777" w:rsidR="005B3D57" w:rsidRPr="0052747F" w:rsidRDefault="005B3D57" w:rsidP="00A04BE7">
      <w:pPr>
        <w:spacing w:before="120"/>
      </w:pPr>
      <w:r w:rsidRPr="0052747F">
        <w:t>All requests should be received by</w:t>
      </w:r>
      <w:r>
        <w:t xml:space="preserve"> </w:t>
      </w:r>
      <w:hyperlink r:id="rId26" w:history="1">
        <w:r w:rsidRPr="006E2974">
          <w:rPr>
            <w:rStyle w:val="Hyperlink"/>
          </w:rPr>
          <w:t>LicenceAdmin@arpansa.gov.au</w:t>
        </w:r>
      </w:hyperlink>
      <w:r>
        <w:rPr>
          <w:rStyle w:val="Hyperlink"/>
        </w:rPr>
        <w:t>.</w:t>
      </w:r>
      <w:r w:rsidRPr="0052747F">
        <w:t xml:space="preserve"> </w:t>
      </w:r>
      <w:r>
        <w:t>I</w:t>
      </w:r>
      <w:r w:rsidRPr="0052747F">
        <w:t xml:space="preserve">f an officer receives a </w:t>
      </w:r>
      <w:r>
        <w:t xml:space="preserve">direct </w:t>
      </w:r>
      <w:proofErr w:type="gramStart"/>
      <w:r w:rsidRPr="0052747F">
        <w:t>request</w:t>
      </w:r>
      <w:proofErr w:type="gramEnd"/>
      <w:r w:rsidRPr="0052747F">
        <w:t xml:space="preserve"> it should be forwarded to the LA inbox.</w:t>
      </w:r>
    </w:p>
    <w:p w14:paraId="06011A4A" w14:textId="5CCB0584" w:rsidR="005B3D57" w:rsidRDefault="005B3D57" w:rsidP="00A04BE7">
      <w:pPr>
        <w:spacing w:before="120"/>
      </w:pPr>
      <w:r w:rsidRPr="0052747F">
        <w:t xml:space="preserve">The </w:t>
      </w:r>
      <w:r w:rsidR="00F54671">
        <w:t>LAO</w:t>
      </w:r>
      <w:r>
        <w:t xml:space="preserve">: </w:t>
      </w:r>
    </w:p>
    <w:p w14:paraId="735A4D70" w14:textId="79C1808C" w:rsidR="005B3D57" w:rsidRDefault="00D80725" w:rsidP="0064510A">
      <w:pPr>
        <w:pStyle w:val="ListParagraph"/>
        <w:numPr>
          <w:ilvl w:val="0"/>
          <w:numId w:val="43"/>
        </w:numPr>
        <w:spacing w:before="120"/>
      </w:pPr>
      <w:r>
        <w:t>s</w:t>
      </w:r>
      <w:r w:rsidR="005B3D57" w:rsidRPr="0052747F">
        <w:t>ave</w:t>
      </w:r>
      <w:r w:rsidR="005B3D57">
        <w:t>s</w:t>
      </w:r>
      <w:r w:rsidR="005B3D57" w:rsidRPr="0052747F">
        <w:t xml:space="preserve"> the application in </w:t>
      </w:r>
      <w:r w:rsidR="005B3D57">
        <w:t>CM</w:t>
      </w:r>
    </w:p>
    <w:p w14:paraId="64D649A2" w14:textId="77777777" w:rsidR="00D80725" w:rsidRDefault="00D80725" w:rsidP="00D80725">
      <w:pPr>
        <w:pStyle w:val="ListParagraph"/>
        <w:numPr>
          <w:ilvl w:val="0"/>
          <w:numId w:val="43"/>
        </w:numPr>
        <w:spacing w:before="120"/>
      </w:pPr>
      <w:r>
        <w:t>r</w:t>
      </w:r>
      <w:r w:rsidR="005B3D57">
        <w:t>ecords it in LAD</w:t>
      </w:r>
    </w:p>
    <w:p w14:paraId="4079D812" w14:textId="416DB2BC" w:rsidR="00D80725" w:rsidRDefault="00D80725" w:rsidP="00D80725">
      <w:pPr>
        <w:pStyle w:val="ListParagraph"/>
        <w:numPr>
          <w:ilvl w:val="0"/>
          <w:numId w:val="43"/>
        </w:numPr>
        <w:spacing w:before="120"/>
      </w:pPr>
      <w:r>
        <w:t>a</w:t>
      </w:r>
      <w:r w:rsidR="005B3D57">
        <w:t xml:space="preserve">ssigns it to </w:t>
      </w:r>
      <w:r w:rsidR="00DD5892">
        <w:t xml:space="preserve">an </w:t>
      </w:r>
      <w:r w:rsidR="001E3187">
        <w:t>assessor</w:t>
      </w:r>
      <w:r w:rsidR="00DD5892">
        <w:t xml:space="preserve"> (usually the lead inspector)</w:t>
      </w:r>
    </w:p>
    <w:p w14:paraId="15E9775F" w14:textId="26273410" w:rsidR="005B3D57" w:rsidRDefault="00D80725" w:rsidP="00D80725">
      <w:pPr>
        <w:pStyle w:val="ListParagraph"/>
        <w:numPr>
          <w:ilvl w:val="0"/>
          <w:numId w:val="43"/>
        </w:numPr>
        <w:spacing w:before="120"/>
      </w:pPr>
      <w:r>
        <w:t>a</w:t>
      </w:r>
      <w:r w:rsidR="005B3D57">
        <w:t xml:space="preserve">cknowledges receipt </w:t>
      </w:r>
      <w:r w:rsidR="005B3D57" w:rsidRPr="0052747F">
        <w:t xml:space="preserve">of the request </w:t>
      </w:r>
      <w:r w:rsidR="005B3D57">
        <w:t>w</w:t>
      </w:r>
      <w:r w:rsidR="005B3D57" w:rsidRPr="0052747F">
        <w:t xml:space="preserve">ith copy to the </w:t>
      </w:r>
      <w:r w:rsidR="00DD5892">
        <w:t>assessor</w:t>
      </w:r>
      <w:r w:rsidR="005B3D57" w:rsidRPr="0052747F">
        <w:t>.</w:t>
      </w:r>
    </w:p>
    <w:p w14:paraId="38953DB8" w14:textId="77777777" w:rsidR="005B3D57" w:rsidRPr="0052747F" w:rsidRDefault="005B3D57" w:rsidP="005B3D57">
      <w:pPr>
        <w:pStyle w:val="Heading2"/>
        <w:spacing w:line="240" w:lineRule="auto"/>
        <w:ind w:left="1145" w:hanging="578"/>
      </w:pPr>
      <w:r>
        <w:t xml:space="preserve">Assessing the application </w:t>
      </w:r>
    </w:p>
    <w:p w14:paraId="7915985C" w14:textId="4DB83FB5" w:rsidR="00832BDF" w:rsidRPr="00832BDF" w:rsidRDefault="00EF49A5" w:rsidP="00832BDF">
      <w:pPr>
        <w:spacing w:before="120"/>
      </w:pPr>
      <w:r w:rsidRPr="00832BDF">
        <w:rPr>
          <w:bCs/>
        </w:rPr>
        <w:t>ARPANSA allows continued use of a Group 1 sealed source</w:t>
      </w:r>
      <w:r w:rsidR="00832BDF">
        <w:rPr>
          <w:bCs/>
        </w:rPr>
        <w:t xml:space="preserve"> </w:t>
      </w:r>
      <w:r w:rsidRPr="00832BDF">
        <w:rPr>
          <w:bCs/>
        </w:rPr>
        <w:t xml:space="preserve">for one additional </w:t>
      </w:r>
      <w:r w:rsidR="00BD69CD">
        <w:rPr>
          <w:bCs/>
        </w:rPr>
        <w:t>recommended working life (</w:t>
      </w:r>
      <w:r w:rsidR="00832BDF">
        <w:rPr>
          <w:bCs/>
        </w:rPr>
        <w:t>RWL</w:t>
      </w:r>
      <w:r w:rsidR="00BD69CD">
        <w:rPr>
          <w:bCs/>
        </w:rPr>
        <w:t>)</w:t>
      </w:r>
      <w:r w:rsidR="00832BDF">
        <w:rPr>
          <w:bCs/>
        </w:rPr>
        <w:t xml:space="preserve"> </w:t>
      </w:r>
      <w:r w:rsidRPr="00832BDF">
        <w:rPr>
          <w:bCs/>
        </w:rPr>
        <w:t>without the need for prior approval subject to the conditions</w:t>
      </w:r>
      <w:r w:rsidR="00832BDF" w:rsidRPr="00832BDF">
        <w:t xml:space="preserve"> </w:t>
      </w:r>
      <w:r w:rsidR="00832BDF">
        <w:t xml:space="preserve">in </w:t>
      </w:r>
      <w:hyperlink r:id="rId27" w:history="1">
        <w:r w:rsidR="00832BDF" w:rsidRPr="00832BDF">
          <w:rPr>
            <w:rStyle w:val="Hyperlink"/>
            <w:rFonts w:cstheme="minorHAnsi"/>
          </w:rPr>
          <w:t>Wipe testing of sealed sources and use beyond recommended working life</w:t>
        </w:r>
      </w:hyperlink>
      <w:r w:rsidR="00832BDF" w:rsidRPr="00832BDF">
        <w:rPr>
          <w:rStyle w:val="Hyperlink"/>
          <w:rFonts w:cstheme="minorHAnsi"/>
        </w:rPr>
        <w:t>:</w:t>
      </w:r>
      <w:r w:rsidR="00832BDF" w:rsidRPr="00832BDF">
        <w:rPr>
          <w:rFonts w:cstheme="minorHAnsi"/>
        </w:rPr>
        <w:t xml:space="preserve"> </w:t>
      </w:r>
    </w:p>
    <w:p w14:paraId="730C8DAA" w14:textId="203E2FF8" w:rsidR="00EF49A5" w:rsidRPr="00832BDF" w:rsidRDefault="00776C0E" w:rsidP="00832BDF">
      <w:pPr>
        <w:pStyle w:val="ListParagraph"/>
        <w:numPr>
          <w:ilvl w:val="0"/>
          <w:numId w:val="31"/>
        </w:numPr>
        <w:spacing w:before="120"/>
        <w:ind w:left="714" w:hanging="357"/>
        <w:contextualSpacing w:val="0"/>
      </w:pPr>
      <w:r>
        <w:rPr>
          <w:bCs/>
        </w:rPr>
        <w:t>W</w:t>
      </w:r>
      <w:r w:rsidR="00EF49A5" w:rsidRPr="00832BDF">
        <w:rPr>
          <w:bCs/>
        </w:rPr>
        <w:t>ipe or smear tested at 12</w:t>
      </w:r>
      <w:r w:rsidR="004C053F">
        <w:rPr>
          <w:bCs/>
        </w:rPr>
        <w:t>-</w:t>
      </w:r>
      <w:r w:rsidR="00EF49A5" w:rsidRPr="00832BDF">
        <w:rPr>
          <w:bCs/>
        </w:rPr>
        <w:t>month intervals</w:t>
      </w:r>
      <w:r w:rsidR="00B771EB">
        <w:rPr>
          <w:bCs/>
        </w:rPr>
        <w:t xml:space="preserve"> (6 months for portable density</w:t>
      </w:r>
      <w:r w:rsidR="004C053F">
        <w:rPr>
          <w:bCs/>
        </w:rPr>
        <w:t xml:space="preserve">/moisture gauges) </w:t>
      </w:r>
    </w:p>
    <w:p w14:paraId="17619F5B" w14:textId="2EB075E9" w:rsidR="00954F09" w:rsidRPr="00954F09" w:rsidRDefault="00776C0E" w:rsidP="00EF49A5">
      <w:pPr>
        <w:pStyle w:val="ListParagraph"/>
        <w:numPr>
          <w:ilvl w:val="0"/>
          <w:numId w:val="31"/>
        </w:numPr>
        <w:spacing w:before="120"/>
        <w:ind w:left="714" w:hanging="357"/>
        <w:contextualSpacing w:val="0"/>
      </w:pPr>
      <w:r>
        <w:rPr>
          <w:bCs/>
        </w:rPr>
        <w:t>R</w:t>
      </w:r>
      <w:r w:rsidR="00EF49A5" w:rsidRPr="00B22BA0">
        <w:rPr>
          <w:bCs/>
        </w:rPr>
        <w:t>esults of wipe</w:t>
      </w:r>
      <w:r w:rsidR="00EF49A5">
        <w:rPr>
          <w:bCs/>
        </w:rPr>
        <w:t xml:space="preserve"> or smear </w:t>
      </w:r>
      <w:r w:rsidR="00EF49A5" w:rsidRPr="00B22BA0">
        <w:rPr>
          <w:bCs/>
        </w:rPr>
        <w:t>test</w:t>
      </w:r>
      <w:r w:rsidR="00EF49A5">
        <w:rPr>
          <w:bCs/>
        </w:rPr>
        <w:t>s</w:t>
      </w:r>
      <w:r w:rsidR="00EF49A5" w:rsidRPr="00B22BA0">
        <w:rPr>
          <w:bCs/>
        </w:rPr>
        <w:t xml:space="preserve"> </w:t>
      </w:r>
      <w:r w:rsidR="00EF49A5">
        <w:rPr>
          <w:bCs/>
        </w:rPr>
        <w:t>must</w:t>
      </w:r>
      <w:r w:rsidR="00EF49A5" w:rsidRPr="00B22BA0">
        <w:rPr>
          <w:bCs/>
        </w:rPr>
        <w:t xml:space="preserve"> be recorded and retained with the source records</w:t>
      </w:r>
    </w:p>
    <w:p w14:paraId="100D00E7" w14:textId="48C70286" w:rsidR="00832BDF" w:rsidRPr="00832BDF" w:rsidRDefault="00776C0E" w:rsidP="00832BDF">
      <w:pPr>
        <w:pStyle w:val="ListParagraph"/>
        <w:numPr>
          <w:ilvl w:val="0"/>
          <w:numId w:val="31"/>
        </w:numPr>
        <w:rPr>
          <w:bCs/>
        </w:rPr>
      </w:pPr>
      <w:r>
        <w:rPr>
          <w:rFonts w:cstheme="minorHAnsi"/>
          <w:bCs/>
        </w:rPr>
        <w:t>I</w:t>
      </w:r>
      <w:r w:rsidR="00832BDF" w:rsidRPr="00832BDF">
        <w:rPr>
          <w:rFonts w:cstheme="minorHAnsi"/>
          <w:bCs/>
        </w:rPr>
        <w:t xml:space="preserve">f </w:t>
      </w:r>
      <w:r w:rsidR="007C5B08">
        <w:rPr>
          <w:rFonts w:cstheme="minorHAnsi"/>
          <w:bCs/>
        </w:rPr>
        <w:t xml:space="preserve">contamination </w:t>
      </w:r>
      <w:r w:rsidR="0001730F">
        <w:rPr>
          <w:rFonts w:cstheme="minorHAnsi"/>
          <w:bCs/>
        </w:rPr>
        <w:t xml:space="preserve">of more than </w:t>
      </w:r>
      <w:r w:rsidR="00832BDF" w:rsidRPr="00832BDF">
        <w:rPr>
          <w:rFonts w:cstheme="minorHAnsi"/>
          <w:bCs/>
        </w:rPr>
        <w:t xml:space="preserve">200 </w:t>
      </w:r>
      <w:proofErr w:type="spellStart"/>
      <w:r w:rsidR="00832BDF" w:rsidRPr="00832BDF">
        <w:rPr>
          <w:rFonts w:cstheme="minorHAnsi"/>
          <w:bCs/>
        </w:rPr>
        <w:t>Bq</w:t>
      </w:r>
      <w:proofErr w:type="spellEnd"/>
      <w:r w:rsidR="00832BDF" w:rsidRPr="00832BDF">
        <w:rPr>
          <w:rFonts w:cstheme="minorHAnsi"/>
          <w:bCs/>
        </w:rPr>
        <w:t xml:space="preserve"> </w:t>
      </w:r>
      <w:r w:rsidR="0001730F">
        <w:rPr>
          <w:rFonts w:cstheme="minorHAnsi"/>
          <w:bCs/>
        </w:rPr>
        <w:t xml:space="preserve">is detected </w:t>
      </w:r>
      <w:r w:rsidR="00832BDF" w:rsidRPr="00832BDF">
        <w:rPr>
          <w:rFonts w:cstheme="minorHAnsi"/>
          <w:bCs/>
        </w:rPr>
        <w:t>the sealed source is not considered leak tight and must be withdrawn from use</w:t>
      </w:r>
      <w:r w:rsidR="00832BDF" w:rsidRPr="00FD7E15">
        <w:rPr>
          <w:rStyle w:val="FootnoteReference"/>
        </w:rPr>
        <w:footnoteReference w:id="7"/>
      </w:r>
      <w:r w:rsidR="00832BDF" w:rsidRPr="00832BDF">
        <w:rPr>
          <w:rFonts w:cstheme="minorHAnsi"/>
          <w:bCs/>
        </w:rPr>
        <w:t>.</w:t>
      </w:r>
    </w:p>
    <w:p w14:paraId="269E8E6D" w14:textId="0F458CB1" w:rsidR="00832BDF" w:rsidRPr="00832BDF" w:rsidRDefault="00776C0E" w:rsidP="00832BDF">
      <w:pPr>
        <w:pStyle w:val="ListParagraph"/>
        <w:numPr>
          <w:ilvl w:val="0"/>
          <w:numId w:val="31"/>
        </w:numPr>
        <w:ind w:left="714" w:hanging="357"/>
        <w:contextualSpacing w:val="0"/>
      </w:pPr>
      <w:r>
        <w:t>I</w:t>
      </w:r>
      <w:r w:rsidR="00832BDF" w:rsidRPr="00832BDF">
        <w:t xml:space="preserve">f contamination is detected that does not exceed 200 </w:t>
      </w:r>
      <w:proofErr w:type="spellStart"/>
      <w:r w:rsidR="00832BDF" w:rsidRPr="00832BDF">
        <w:t>Bq</w:t>
      </w:r>
      <w:proofErr w:type="spellEnd"/>
      <w:r w:rsidR="00832BDF" w:rsidRPr="00832BDF">
        <w:t xml:space="preserve"> then action should be taken to establish whether this </w:t>
      </w:r>
      <w:r w:rsidR="00832BDF">
        <w:t xml:space="preserve">is </w:t>
      </w:r>
      <w:r w:rsidR="00832BDF" w:rsidRPr="00832BDF">
        <w:t xml:space="preserve">from source leakage. </w:t>
      </w:r>
      <w:r w:rsidR="00832BDF">
        <w:t>More frequent testing will indicate whether leakage is increasing over time</w:t>
      </w:r>
      <w:r w:rsidR="00832BDF" w:rsidRPr="00832BDF">
        <w:t>.</w:t>
      </w:r>
    </w:p>
    <w:p w14:paraId="2BCABAB9" w14:textId="24E3EE5F" w:rsidR="00832BDF" w:rsidRPr="00832BDF" w:rsidRDefault="00832BDF" w:rsidP="00832BDF">
      <w:pPr>
        <w:pStyle w:val="ListParagraph"/>
        <w:numPr>
          <w:ilvl w:val="0"/>
          <w:numId w:val="31"/>
        </w:numPr>
        <w:spacing w:before="120"/>
        <w:ind w:left="714" w:hanging="357"/>
        <w:contextualSpacing w:val="0"/>
        <w:rPr>
          <w:rFonts w:cstheme="minorHAnsi"/>
        </w:rPr>
      </w:pPr>
      <w:r>
        <w:t xml:space="preserve">Where access to the sealed source is neither possible nor desirable because of the unjustified exposure of personnel, a wipe or smear test may be carried out on the nearest accessible surface to the sealed source. </w:t>
      </w:r>
      <w:r w:rsidRPr="00832BDF">
        <w:rPr>
          <w:rFonts w:cstheme="minorHAnsi"/>
        </w:rPr>
        <w:t xml:space="preserve">Under these circumstances, if contamination is detected </w:t>
      </w:r>
      <w:proofErr w:type="gramStart"/>
      <w:r w:rsidRPr="00832BDF">
        <w:rPr>
          <w:rFonts w:cstheme="minorHAnsi"/>
        </w:rPr>
        <w:t>in excess of</w:t>
      </w:r>
      <w:proofErr w:type="gramEnd"/>
      <w:r w:rsidRPr="00832BDF">
        <w:rPr>
          <w:rFonts w:cstheme="minorHAnsi"/>
        </w:rPr>
        <w:t xml:space="preserve"> 20 </w:t>
      </w:r>
      <w:proofErr w:type="spellStart"/>
      <w:r w:rsidRPr="00832BDF">
        <w:rPr>
          <w:rFonts w:cstheme="minorHAnsi"/>
        </w:rPr>
        <w:t>Bq</w:t>
      </w:r>
      <w:proofErr w:type="spellEnd"/>
      <w:r>
        <w:rPr>
          <w:rStyle w:val="FootnoteReference"/>
          <w:rFonts w:cstheme="minorHAnsi"/>
        </w:rPr>
        <w:footnoteReference w:id="8"/>
      </w:r>
      <w:r w:rsidRPr="00832BDF">
        <w:rPr>
          <w:rFonts w:cstheme="minorHAnsi"/>
        </w:rPr>
        <w:t xml:space="preserve"> </w:t>
      </w:r>
      <w:r w:rsidRPr="00832BDF">
        <w:rPr>
          <w:bCs/>
        </w:rPr>
        <w:t>the sealed source is not considered to be leak tight and must be immediately withdrawn from use and the nature and extent of the contamination must be investigated.</w:t>
      </w:r>
    </w:p>
    <w:p w14:paraId="43A3AB8B" w14:textId="0589BE79" w:rsidR="00EF49A5" w:rsidRPr="00EF49A5" w:rsidRDefault="00EF49A5" w:rsidP="00EF49A5">
      <w:pPr>
        <w:pStyle w:val="ListParagraph"/>
        <w:numPr>
          <w:ilvl w:val="0"/>
          <w:numId w:val="31"/>
        </w:numPr>
        <w:spacing w:before="120"/>
        <w:ind w:left="714" w:hanging="357"/>
        <w:contextualSpacing w:val="0"/>
      </w:pPr>
      <w:r>
        <w:t>E</w:t>
      </w:r>
      <w:r w:rsidRPr="0052747F">
        <w:t>xtension must be recorded in source inventory workbook (SIW)</w:t>
      </w:r>
      <w:r>
        <w:t xml:space="preserve"> </w:t>
      </w:r>
    </w:p>
    <w:p w14:paraId="7A843577" w14:textId="4CD01E50" w:rsidR="00EF49A5" w:rsidRPr="00B22BA0" w:rsidRDefault="00EF49A5" w:rsidP="00EF49A5">
      <w:r w:rsidRPr="00B22BA0">
        <w:t xml:space="preserve">ARPANSA </w:t>
      </w:r>
      <w:r>
        <w:t xml:space="preserve">also allows </w:t>
      </w:r>
      <w:r w:rsidRPr="00B22BA0">
        <w:t xml:space="preserve">continued use of the following types of </w:t>
      </w:r>
      <w:proofErr w:type="gramStart"/>
      <w:r w:rsidRPr="00B22BA0">
        <w:t>Group</w:t>
      </w:r>
      <w:proofErr w:type="gramEnd"/>
      <w:r w:rsidRPr="00B22BA0">
        <w:t xml:space="preserve"> 2</w:t>
      </w:r>
      <w:r>
        <w:rPr>
          <w:vertAlign w:val="superscript"/>
        </w:rPr>
        <w:t xml:space="preserve"> </w:t>
      </w:r>
      <w:r>
        <w:t>sealed s</w:t>
      </w:r>
      <w:r w:rsidRPr="00B22BA0">
        <w:t>ource</w:t>
      </w:r>
      <w:r>
        <w:t>s</w:t>
      </w:r>
      <w:r w:rsidRPr="00B22BA0">
        <w:t xml:space="preserve"> beyond </w:t>
      </w:r>
      <w:r>
        <w:t>the</w:t>
      </w:r>
      <w:r w:rsidRPr="00B22BA0">
        <w:t xml:space="preserve"> </w:t>
      </w:r>
      <w:r w:rsidR="00D452B4">
        <w:t xml:space="preserve">RWL </w:t>
      </w:r>
      <w:r>
        <w:t xml:space="preserve">- </w:t>
      </w:r>
      <w:r>
        <w:rPr>
          <w:bCs/>
        </w:rPr>
        <w:t xml:space="preserve">up to a period of one additional working life </w:t>
      </w:r>
      <w:r w:rsidRPr="00EF49A5">
        <w:rPr>
          <w:b/>
          <w:bCs/>
        </w:rPr>
        <w:t>without the need for prior approval</w:t>
      </w:r>
      <w:r w:rsidRPr="00B22BA0">
        <w:t>:</w:t>
      </w:r>
    </w:p>
    <w:p w14:paraId="3D040A72" w14:textId="090FD0C9" w:rsidR="00EF49A5" w:rsidRPr="00B22BA0" w:rsidRDefault="00CC6C06" w:rsidP="00DE5412">
      <w:pPr>
        <w:numPr>
          <w:ilvl w:val="0"/>
          <w:numId w:val="62"/>
        </w:numPr>
        <w:spacing w:before="120" w:line="240" w:lineRule="auto"/>
        <w:ind w:left="1208" w:hanging="357"/>
        <w:jc w:val="both"/>
      </w:pPr>
      <w:r>
        <w:t>p</w:t>
      </w:r>
      <w:r w:rsidR="00EF49A5" w:rsidRPr="00B22BA0">
        <w:t xml:space="preserve">ortable density/moisture gauges containing </w:t>
      </w:r>
      <w:r w:rsidR="00EF49A5">
        <w:t xml:space="preserve">sealed </w:t>
      </w:r>
      <w:r w:rsidR="00EF49A5" w:rsidRPr="00B22BA0">
        <w:t>sources</w:t>
      </w:r>
    </w:p>
    <w:p w14:paraId="5F1186C3" w14:textId="4D16E7DB" w:rsidR="00EF49A5" w:rsidRPr="00B22BA0" w:rsidRDefault="00CC6C06" w:rsidP="00DE5412">
      <w:pPr>
        <w:numPr>
          <w:ilvl w:val="0"/>
          <w:numId w:val="62"/>
        </w:numPr>
        <w:spacing w:before="120" w:line="240" w:lineRule="auto"/>
        <w:ind w:left="1208" w:hanging="357"/>
        <w:jc w:val="both"/>
      </w:pPr>
      <w:r>
        <w:t>f</w:t>
      </w:r>
      <w:r w:rsidR="00EF49A5" w:rsidRPr="00B22BA0">
        <w:t xml:space="preserve">ixed radiation gauges containing </w:t>
      </w:r>
      <w:r w:rsidR="00EF49A5">
        <w:t xml:space="preserve">sealed </w:t>
      </w:r>
      <w:r w:rsidR="00EF49A5" w:rsidRPr="00B22BA0">
        <w:t>sources</w:t>
      </w:r>
    </w:p>
    <w:p w14:paraId="3E6BCE64" w14:textId="14F1DB2B" w:rsidR="00EF49A5" w:rsidRPr="00B22BA0" w:rsidRDefault="00EF49A5" w:rsidP="00EF49A5">
      <w:r w:rsidRPr="00B22BA0">
        <w:t xml:space="preserve">This extension of </w:t>
      </w:r>
      <w:r w:rsidR="00285CAB">
        <w:t>RWL</w:t>
      </w:r>
      <w:r w:rsidRPr="00B22BA0">
        <w:t xml:space="preserve"> is subject to the following conditions:</w:t>
      </w:r>
    </w:p>
    <w:p w14:paraId="48D9AD37" w14:textId="08FC455F" w:rsidR="00EF49A5" w:rsidRPr="00283F60" w:rsidRDefault="00EF49A5" w:rsidP="004A4067">
      <w:pPr>
        <w:numPr>
          <w:ilvl w:val="0"/>
          <w:numId w:val="82"/>
        </w:numPr>
        <w:spacing w:before="240" w:after="0" w:line="264" w:lineRule="auto"/>
      </w:pPr>
      <w:r w:rsidRPr="00B22BA0">
        <w:lastRenderedPageBreak/>
        <w:t xml:space="preserve">For </w:t>
      </w:r>
      <w:r w:rsidRPr="00031E55">
        <w:rPr>
          <w:b/>
        </w:rPr>
        <w:t>portable density/moisture gauges</w:t>
      </w:r>
      <w:r w:rsidRPr="00B22BA0">
        <w:t xml:space="preserve"> containing </w:t>
      </w:r>
      <w:r>
        <w:t xml:space="preserve">sealed </w:t>
      </w:r>
      <w:r w:rsidRPr="00B22BA0">
        <w:t>sources</w:t>
      </w:r>
      <w:r>
        <w:t xml:space="preserve"> -</w:t>
      </w:r>
      <w:r w:rsidRPr="00B22BA0">
        <w:t xml:space="preserve"> the source, or its housing at </w:t>
      </w:r>
      <w:r>
        <w:t xml:space="preserve">a </w:t>
      </w:r>
      <w:r w:rsidRPr="00B22BA0">
        <w:t xml:space="preserve">point of closest approach to the source, </w:t>
      </w:r>
      <w:r>
        <w:t xml:space="preserve">must </w:t>
      </w:r>
      <w:r w:rsidRPr="00B22BA0">
        <w:t xml:space="preserve">be </w:t>
      </w:r>
      <w:r w:rsidRPr="00283F60">
        <w:t>wipe</w:t>
      </w:r>
      <w:r>
        <w:t xml:space="preserve"> or smear</w:t>
      </w:r>
      <w:r w:rsidRPr="00283F60">
        <w:t xml:space="preserve"> tested at </w:t>
      </w:r>
      <w:r>
        <w:t xml:space="preserve">6 </w:t>
      </w:r>
      <w:r w:rsidRPr="00283F60">
        <w:t>month</w:t>
      </w:r>
      <w:r>
        <w:t>ly</w:t>
      </w:r>
      <w:r w:rsidRPr="00283F60">
        <w:t xml:space="preserve"> intervals in accordance with Annex F of R</w:t>
      </w:r>
      <w:r>
        <w:t>PS13</w:t>
      </w:r>
      <w:r w:rsidRPr="00283F60">
        <w:t>. (Note that the relevant code of practice</w:t>
      </w:r>
      <w:r>
        <w:t xml:space="preserve"> for portable density/moisture gauges, </w:t>
      </w:r>
      <w:r w:rsidRPr="00283F60">
        <w:t>R</w:t>
      </w:r>
      <w:r>
        <w:t xml:space="preserve">PS </w:t>
      </w:r>
      <w:r w:rsidRPr="00283F60">
        <w:t>5</w:t>
      </w:r>
      <w:r w:rsidRPr="00D801A4">
        <w:rPr>
          <w:vertAlign w:val="superscript"/>
        </w:rPr>
        <w:footnoteReference w:id="9"/>
      </w:r>
      <w:r>
        <w:t xml:space="preserve"> </w:t>
      </w:r>
      <w:r w:rsidRPr="00283F60">
        <w:t>does not provide specific guidance on this matter.)</w:t>
      </w:r>
    </w:p>
    <w:p w14:paraId="61D6FD7B" w14:textId="77777777" w:rsidR="00EF49A5" w:rsidRPr="00283F60" w:rsidRDefault="00EF49A5" w:rsidP="004A4067">
      <w:pPr>
        <w:numPr>
          <w:ilvl w:val="0"/>
          <w:numId w:val="82"/>
        </w:numPr>
        <w:spacing w:before="240" w:after="0" w:line="264" w:lineRule="auto"/>
      </w:pPr>
      <w:r w:rsidRPr="00C60773">
        <w:t xml:space="preserve">For </w:t>
      </w:r>
      <w:r w:rsidRPr="00C60773">
        <w:rPr>
          <w:b/>
        </w:rPr>
        <w:t>fixed radiation gauges</w:t>
      </w:r>
      <w:r>
        <w:t xml:space="preserve"> - </w:t>
      </w:r>
      <w:r w:rsidRPr="00C60773">
        <w:t xml:space="preserve">the </w:t>
      </w:r>
      <w:r>
        <w:t xml:space="preserve">sealed </w:t>
      </w:r>
      <w:r w:rsidRPr="00C60773">
        <w:t>source, or its housing</w:t>
      </w:r>
      <w:r>
        <w:t xml:space="preserve">, </w:t>
      </w:r>
      <w:r w:rsidRPr="00C60773">
        <w:t>at</w:t>
      </w:r>
      <w:r w:rsidRPr="00C60773">
        <w:rPr>
          <w:color w:val="000000"/>
        </w:rPr>
        <w:t xml:space="preserve"> or immediately adjacent to the gauge shutter or source control mechanism</w:t>
      </w:r>
      <w:r w:rsidRPr="00B22BA0">
        <w:t xml:space="preserve">, </w:t>
      </w:r>
      <w:r>
        <w:t>must</w:t>
      </w:r>
      <w:r w:rsidRPr="00283F60">
        <w:t xml:space="preserve"> be wipe </w:t>
      </w:r>
      <w:r>
        <w:t xml:space="preserve">or smear </w:t>
      </w:r>
      <w:r w:rsidRPr="00283F60">
        <w:t xml:space="preserve">tested at </w:t>
      </w:r>
      <w:r>
        <w:t xml:space="preserve">12 </w:t>
      </w:r>
      <w:r w:rsidRPr="00283F60">
        <w:t>monthly intervals in accordance with Annex F of R</w:t>
      </w:r>
      <w:r>
        <w:t>PS13</w:t>
      </w:r>
      <w:r w:rsidRPr="00283F60">
        <w:t>.</w:t>
      </w:r>
    </w:p>
    <w:p w14:paraId="0FC7441C" w14:textId="77777777" w:rsidR="00EF49A5" w:rsidRDefault="00EF49A5" w:rsidP="004A4067">
      <w:pPr>
        <w:numPr>
          <w:ilvl w:val="0"/>
          <w:numId w:val="82"/>
        </w:numPr>
        <w:spacing w:before="240" w:after="0" w:line="264" w:lineRule="auto"/>
      </w:pPr>
      <w:r w:rsidRPr="00B22BA0">
        <w:t xml:space="preserve">For both types of </w:t>
      </w:r>
      <w:proofErr w:type="gramStart"/>
      <w:r w:rsidRPr="00B22BA0">
        <w:t>gauge</w:t>
      </w:r>
      <w:proofErr w:type="gramEnd"/>
      <w:r w:rsidRPr="00B22BA0">
        <w:t xml:space="preserve">, all results of wipe </w:t>
      </w:r>
      <w:r>
        <w:t xml:space="preserve">or smear </w:t>
      </w:r>
      <w:r w:rsidRPr="00B22BA0">
        <w:t xml:space="preserve">tests </w:t>
      </w:r>
      <w:r>
        <w:t>must</w:t>
      </w:r>
      <w:r w:rsidRPr="00B22BA0">
        <w:t xml:space="preserve"> be recorded and retained with the source records.</w:t>
      </w:r>
    </w:p>
    <w:p w14:paraId="6A8C9347" w14:textId="5A26D881" w:rsidR="00EF49A5" w:rsidRPr="00B22BA0" w:rsidRDefault="00EF49A5" w:rsidP="00EF49A5">
      <w:pPr>
        <w:rPr>
          <w:bCs/>
        </w:rPr>
      </w:pPr>
      <w:r w:rsidRPr="00B22BA0">
        <w:rPr>
          <w:bCs/>
        </w:rPr>
        <w:t xml:space="preserve">Continued use of other higher hazard </w:t>
      </w:r>
      <w:r>
        <w:rPr>
          <w:bCs/>
        </w:rPr>
        <w:t xml:space="preserve">sealed </w:t>
      </w:r>
      <w:r w:rsidRPr="00B22BA0">
        <w:rPr>
          <w:bCs/>
        </w:rPr>
        <w:t xml:space="preserve">sources in Group 2 or 3 </w:t>
      </w:r>
      <w:r>
        <w:rPr>
          <w:bCs/>
        </w:rPr>
        <w:t xml:space="preserve">beyond one </w:t>
      </w:r>
      <w:r w:rsidR="004A4067">
        <w:rPr>
          <w:bCs/>
        </w:rPr>
        <w:t>RWL</w:t>
      </w:r>
      <w:r>
        <w:rPr>
          <w:bCs/>
        </w:rPr>
        <w:t xml:space="preserve"> or </w:t>
      </w:r>
      <w:r w:rsidRPr="00154037">
        <w:rPr>
          <w:b/>
        </w:rPr>
        <w:t>any</w:t>
      </w:r>
      <w:r>
        <w:t xml:space="preserve"> source beyond a second </w:t>
      </w:r>
      <w:r w:rsidR="004A4067">
        <w:t xml:space="preserve">RWL </w:t>
      </w:r>
      <w:r>
        <w:rPr>
          <w:bCs/>
        </w:rPr>
        <w:t xml:space="preserve">(whether Group 1, 2 or 3) </w:t>
      </w:r>
      <w:r w:rsidRPr="00B22BA0">
        <w:rPr>
          <w:bCs/>
        </w:rPr>
        <w:t xml:space="preserve">will be considered on a case-by-case basis, </w:t>
      </w:r>
      <w:proofErr w:type="gramStart"/>
      <w:r w:rsidRPr="00B22BA0">
        <w:rPr>
          <w:bCs/>
        </w:rPr>
        <w:t>taking into account</w:t>
      </w:r>
      <w:proofErr w:type="gramEnd"/>
      <w:r w:rsidRPr="00B22BA0">
        <w:rPr>
          <w:bCs/>
        </w:rPr>
        <w:t>:</w:t>
      </w:r>
    </w:p>
    <w:p w14:paraId="2DFAF1F8" w14:textId="1EB1016A" w:rsidR="00EF49A5" w:rsidRPr="00B22BA0" w:rsidRDefault="00782C6E" w:rsidP="00DE5412">
      <w:pPr>
        <w:numPr>
          <w:ilvl w:val="0"/>
          <w:numId w:val="61"/>
        </w:numPr>
        <w:spacing w:before="120" w:line="240" w:lineRule="auto"/>
        <w:ind w:left="1077" w:hanging="357"/>
        <w:jc w:val="both"/>
        <w:rPr>
          <w:bCs/>
        </w:rPr>
      </w:pPr>
      <w:r>
        <w:rPr>
          <w:bCs/>
        </w:rPr>
        <w:t>a</w:t>
      </w:r>
      <w:r w:rsidR="00EF49A5" w:rsidRPr="00B22BA0">
        <w:rPr>
          <w:bCs/>
        </w:rPr>
        <w:t>ctivity of the source</w:t>
      </w:r>
    </w:p>
    <w:p w14:paraId="0F219582" w14:textId="38669F59" w:rsidR="00EF49A5" w:rsidRPr="00B22BA0" w:rsidRDefault="00782C6E" w:rsidP="00DE5412">
      <w:pPr>
        <w:numPr>
          <w:ilvl w:val="0"/>
          <w:numId w:val="61"/>
        </w:numPr>
        <w:spacing w:before="120" w:line="240" w:lineRule="auto"/>
        <w:ind w:left="1077" w:hanging="357"/>
        <w:jc w:val="both"/>
        <w:rPr>
          <w:bCs/>
        </w:rPr>
      </w:pPr>
      <w:r>
        <w:rPr>
          <w:bCs/>
        </w:rPr>
        <w:t>t</w:t>
      </w:r>
      <w:r w:rsidR="00EF49A5" w:rsidRPr="00B22BA0">
        <w:rPr>
          <w:bCs/>
        </w:rPr>
        <w:t>oxicity of the radionuclide and its half life</w:t>
      </w:r>
    </w:p>
    <w:p w14:paraId="16714A9C" w14:textId="04398A53" w:rsidR="00EF49A5" w:rsidRPr="00B22BA0" w:rsidRDefault="00782C6E" w:rsidP="00DE5412">
      <w:pPr>
        <w:numPr>
          <w:ilvl w:val="0"/>
          <w:numId w:val="61"/>
        </w:numPr>
        <w:spacing w:before="120" w:line="240" w:lineRule="auto"/>
        <w:ind w:left="1077" w:hanging="357"/>
        <w:jc w:val="both"/>
        <w:rPr>
          <w:bCs/>
        </w:rPr>
      </w:pPr>
      <w:r>
        <w:rPr>
          <w:bCs/>
        </w:rPr>
        <w:t>s</w:t>
      </w:r>
      <w:r w:rsidR="00EF49A5" w:rsidRPr="00B22BA0">
        <w:rPr>
          <w:bCs/>
        </w:rPr>
        <w:t>ource construction</w:t>
      </w:r>
    </w:p>
    <w:p w14:paraId="134806DC" w14:textId="6EF2B564" w:rsidR="00EF49A5" w:rsidRPr="00B22BA0" w:rsidRDefault="00782C6E" w:rsidP="00DE5412">
      <w:pPr>
        <w:numPr>
          <w:ilvl w:val="0"/>
          <w:numId w:val="61"/>
        </w:numPr>
        <w:spacing w:before="120" w:line="240" w:lineRule="auto"/>
        <w:ind w:left="1077" w:hanging="357"/>
        <w:jc w:val="both"/>
        <w:rPr>
          <w:bCs/>
        </w:rPr>
      </w:pPr>
      <w:r>
        <w:rPr>
          <w:bCs/>
        </w:rPr>
        <w:t>t</w:t>
      </w:r>
      <w:r w:rsidR="00EF49A5" w:rsidRPr="00B22BA0">
        <w:rPr>
          <w:bCs/>
        </w:rPr>
        <w:t xml:space="preserve">ype of dealing </w:t>
      </w:r>
    </w:p>
    <w:p w14:paraId="4D3BE4A3" w14:textId="73AB3327" w:rsidR="00EF49A5" w:rsidRDefault="00782C6E" w:rsidP="00DE5412">
      <w:pPr>
        <w:numPr>
          <w:ilvl w:val="0"/>
          <w:numId w:val="61"/>
        </w:numPr>
        <w:spacing w:before="120" w:line="240" w:lineRule="auto"/>
        <w:ind w:left="1077" w:hanging="357"/>
        <w:jc w:val="both"/>
        <w:rPr>
          <w:bCs/>
        </w:rPr>
      </w:pPr>
      <w:r>
        <w:rPr>
          <w:bCs/>
        </w:rPr>
        <w:t>e</w:t>
      </w:r>
      <w:r w:rsidR="00EF49A5" w:rsidRPr="00B22BA0">
        <w:rPr>
          <w:bCs/>
        </w:rPr>
        <w:t>nvironment in which the source has been/will be used</w:t>
      </w:r>
    </w:p>
    <w:p w14:paraId="0DBF1C55" w14:textId="7DA8AD30" w:rsidR="00EF49A5" w:rsidRDefault="00782C6E" w:rsidP="00DE5412">
      <w:pPr>
        <w:numPr>
          <w:ilvl w:val="0"/>
          <w:numId w:val="61"/>
        </w:numPr>
        <w:spacing w:before="120" w:line="240" w:lineRule="auto"/>
        <w:ind w:left="1077" w:hanging="357"/>
        <w:jc w:val="both"/>
        <w:rPr>
          <w:bCs/>
        </w:rPr>
      </w:pPr>
      <w:r>
        <w:rPr>
          <w:bCs/>
        </w:rPr>
        <w:t>d</w:t>
      </w:r>
      <w:r w:rsidR="00EF49A5">
        <w:rPr>
          <w:bCs/>
        </w:rPr>
        <w:t>etails on source use</w:t>
      </w:r>
    </w:p>
    <w:p w14:paraId="77AE978E" w14:textId="370F0EB3" w:rsidR="00EF49A5" w:rsidRDefault="00782C6E" w:rsidP="00DE5412">
      <w:pPr>
        <w:numPr>
          <w:ilvl w:val="0"/>
          <w:numId w:val="61"/>
        </w:numPr>
        <w:spacing w:before="120" w:line="240" w:lineRule="auto"/>
        <w:ind w:left="1077" w:hanging="357"/>
        <w:jc w:val="both"/>
        <w:rPr>
          <w:bCs/>
        </w:rPr>
      </w:pPr>
      <w:r>
        <w:rPr>
          <w:bCs/>
        </w:rPr>
        <w:t>a</w:t>
      </w:r>
      <w:r w:rsidR="00EF49A5">
        <w:rPr>
          <w:bCs/>
        </w:rPr>
        <w:t>ny other inspections or examinations that have been performed (</w:t>
      </w:r>
      <w:proofErr w:type="gramStart"/>
      <w:r w:rsidR="00EF49A5">
        <w:rPr>
          <w:bCs/>
        </w:rPr>
        <w:t>e.g.</w:t>
      </w:r>
      <w:proofErr w:type="gramEnd"/>
      <w:r w:rsidR="00EF49A5">
        <w:rPr>
          <w:bCs/>
        </w:rPr>
        <w:t xml:space="preserve"> 6 monthly or annual wipe tests)</w:t>
      </w:r>
    </w:p>
    <w:p w14:paraId="7FF92901" w14:textId="074E82AF" w:rsidR="00EF49A5" w:rsidRDefault="00EF49A5" w:rsidP="00EF49A5">
      <w:r>
        <w:t xml:space="preserve">A written submission </w:t>
      </w:r>
      <w:r w:rsidR="004A4067">
        <w:t>must</w:t>
      </w:r>
      <w:r>
        <w:t xml:space="preserve"> be made to ARPANSA </w:t>
      </w:r>
      <w:r w:rsidR="00C87F04">
        <w:t>in</w:t>
      </w:r>
      <w:r>
        <w:t xml:space="preserve"> such cases.  </w:t>
      </w:r>
    </w:p>
    <w:p w14:paraId="45860FD4" w14:textId="77777777" w:rsidR="005B3D57" w:rsidRPr="0052747F" w:rsidRDefault="005B3D57" w:rsidP="005B3D57">
      <w:pPr>
        <w:pStyle w:val="Heading3"/>
        <w:numPr>
          <w:ilvl w:val="0"/>
          <w:numId w:val="38"/>
        </w:numPr>
        <w:spacing w:line="240" w:lineRule="auto"/>
      </w:pPr>
      <w:r>
        <w:t>Assessment criteria</w:t>
      </w:r>
    </w:p>
    <w:p w14:paraId="4319FF33" w14:textId="2CEF9A60" w:rsidR="005B3D57" w:rsidRPr="0052747F" w:rsidRDefault="005B3D57" w:rsidP="00A04BE7">
      <w:pPr>
        <w:spacing w:before="120"/>
      </w:pPr>
      <w:r>
        <w:t>C</w:t>
      </w:r>
      <w:r w:rsidRPr="0052747F">
        <w:t xml:space="preserve">ontinued use of sealed sources beyond one </w:t>
      </w:r>
      <w:r w:rsidR="00782C6E">
        <w:t>RWL</w:t>
      </w:r>
      <w:r w:rsidRPr="0052747F">
        <w:t xml:space="preserve"> other than in accordance with the above, or beyond a second </w:t>
      </w:r>
      <w:r w:rsidR="00782C6E">
        <w:t>RWL</w:t>
      </w:r>
      <w:r w:rsidRPr="0052747F">
        <w:t xml:space="preserve"> will be considered on a case-by-case basis </w:t>
      </w:r>
      <w:proofErr w:type="gramStart"/>
      <w:r w:rsidRPr="0052747F">
        <w:t>taking into account</w:t>
      </w:r>
      <w:proofErr w:type="gramEnd"/>
      <w:r w:rsidRPr="0052747F">
        <w:t xml:space="preserve">: </w:t>
      </w:r>
    </w:p>
    <w:p w14:paraId="5760106E" w14:textId="77777777" w:rsidR="005B3D57" w:rsidRPr="0052747F" w:rsidRDefault="005B3D57" w:rsidP="00A04BE7">
      <w:pPr>
        <w:pStyle w:val="ListParagraph"/>
        <w:numPr>
          <w:ilvl w:val="0"/>
          <w:numId w:val="32"/>
        </w:numPr>
        <w:spacing w:before="120"/>
      </w:pPr>
      <w:r w:rsidRPr="0052747F">
        <w:t xml:space="preserve">activity of the source </w:t>
      </w:r>
    </w:p>
    <w:p w14:paraId="1B63420D" w14:textId="77777777" w:rsidR="005B3D57" w:rsidRPr="0052747F" w:rsidRDefault="005B3D57" w:rsidP="00A04BE7">
      <w:pPr>
        <w:pStyle w:val="ListParagraph"/>
        <w:numPr>
          <w:ilvl w:val="0"/>
          <w:numId w:val="32"/>
        </w:numPr>
        <w:spacing w:before="120"/>
      </w:pPr>
      <w:r w:rsidRPr="0052747F">
        <w:t>toxicity of the radionuclide and its half-life</w:t>
      </w:r>
    </w:p>
    <w:p w14:paraId="49E9AA63" w14:textId="77777777" w:rsidR="005B3D57" w:rsidRPr="0052747F" w:rsidRDefault="005B3D57" w:rsidP="00A04BE7">
      <w:pPr>
        <w:pStyle w:val="ListParagraph"/>
        <w:numPr>
          <w:ilvl w:val="0"/>
          <w:numId w:val="32"/>
        </w:numPr>
        <w:spacing w:before="120"/>
      </w:pPr>
      <w:r w:rsidRPr="0052747F">
        <w:t xml:space="preserve">source construction </w:t>
      </w:r>
    </w:p>
    <w:p w14:paraId="243A849D" w14:textId="77777777" w:rsidR="005B3D57" w:rsidRPr="0052747F" w:rsidRDefault="005B3D57" w:rsidP="00A04BE7">
      <w:pPr>
        <w:pStyle w:val="ListParagraph"/>
        <w:numPr>
          <w:ilvl w:val="0"/>
          <w:numId w:val="32"/>
        </w:numPr>
        <w:spacing w:before="120"/>
      </w:pPr>
      <w:r w:rsidRPr="0052747F">
        <w:t xml:space="preserve">type of dealing </w:t>
      </w:r>
    </w:p>
    <w:p w14:paraId="73FE3D0B" w14:textId="77777777" w:rsidR="005B3D57" w:rsidRPr="0052747F" w:rsidRDefault="005B3D57" w:rsidP="00A04BE7">
      <w:pPr>
        <w:pStyle w:val="ListParagraph"/>
        <w:numPr>
          <w:ilvl w:val="0"/>
          <w:numId w:val="32"/>
        </w:numPr>
        <w:spacing w:before="120"/>
      </w:pPr>
      <w:r w:rsidRPr="0052747F">
        <w:t xml:space="preserve">environment in which the source has been/will be used </w:t>
      </w:r>
    </w:p>
    <w:p w14:paraId="7B78D02B" w14:textId="77777777" w:rsidR="005B3D57" w:rsidRPr="0052747F" w:rsidRDefault="005B3D57" w:rsidP="00A04BE7">
      <w:pPr>
        <w:pStyle w:val="ListParagraph"/>
        <w:numPr>
          <w:ilvl w:val="0"/>
          <w:numId w:val="32"/>
        </w:numPr>
        <w:spacing w:before="120"/>
      </w:pPr>
      <w:r w:rsidRPr="0052747F">
        <w:t>details o</w:t>
      </w:r>
      <w:r>
        <w:t>f</w:t>
      </w:r>
      <w:r w:rsidRPr="0052747F">
        <w:t xml:space="preserve"> source use</w:t>
      </w:r>
    </w:p>
    <w:p w14:paraId="64D70784" w14:textId="77777777" w:rsidR="005B3D57" w:rsidRPr="0052747F" w:rsidRDefault="005B3D57" w:rsidP="00A04BE7">
      <w:pPr>
        <w:pStyle w:val="ListParagraph"/>
        <w:numPr>
          <w:ilvl w:val="0"/>
          <w:numId w:val="32"/>
        </w:numPr>
        <w:spacing w:before="120"/>
      </w:pPr>
      <w:r w:rsidRPr="0052747F">
        <w:t>any other inspections or examinations that have been performed (</w:t>
      </w:r>
      <w:proofErr w:type="spellStart"/>
      <w:proofErr w:type="gramStart"/>
      <w:r w:rsidRPr="0052747F">
        <w:t>eg</w:t>
      </w:r>
      <w:proofErr w:type="spellEnd"/>
      <w:proofErr w:type="gramEnd"/>
      <w:r w:rsidRPr="0052747F">
        <w:t xml:space="preserve"> 6 monthly or annual wipe tests) </w:t>
      </w:r>
    </w:p>
    <w:p w14:paraId="28484392" w14:textId="77777777" w:rsidR="005B3D57" w:rsidRPr="0052747F" w:rsidRDefault="005B3D57" w:rsidP="005B3D57">
      <w:pPr>
        <w:pStyle w:val="Heading3"/>
        <w:numPr>
          <w:ilvl w:val="0"/>
          <w:numId w:val="41"/>
        </w:numPr>
        <w:spacing w:line="240" w:lineRule="auto"/>
      </w:pPr>
      <w:r w:rsidRPr="0052747F">
        <w:t>Further information &amp; site visits</w:t>
      </w:r>
    </w:p>
    <w:p w14:paraId="7755121A" w14:textId="405E6AD0" w:rsidR="005B3D57" w:rsidRPr="0052747F" w:rsidRDefault="005B3D57" w:rsidP="00A04BE7">
      <w:pPr>
        <w:spacing w:before="120"/>
      </w:pPr>
      <w:r w:rsidRPr="0052747F">
        <w:t xml:space="preserve">Where appropriate, the </w:t>
      </w:r>
      <w:r w:rsidR="005B7CEB">
        <w:t xml:space="preserve">assessor </w:t>
      </w:r>
      <w:r w:rsidRPr="0052747F">
        <w:t>requests further information</w:t>
      </w:r>
      <w:r>
        <w:t xml:space="preserve"> using the appropriate email template.  </w:t>
      </w:r>
      <w:r w:rsidRPr="0052747F">
        <w:t xml:space="preserve">Meetings or </w:t>
      </w:r>
      <w:r w:rsidR="00782C6E">
        <w:t xml:space="preserve">a </w:t>
      </w:r>
      <w:r w:rsidRPr="0052747F">
        <w:t xml:space="preserve">site visit may also be considered. </w:t>
      </w:r>
    </w:p>
    <w:p w14:paraId="15A45606" w14:textId="77777777" w:rsidR="005B3D57" w:rsidRPr="0052747F" w:rsidRDefault="005B3D57" w:rsidP="005B3D57">
      <w:pPr>
        <w:pStyle w:val="Heading3"/>
        <w:numPr>
          <w:ilvl w:val="0"/>
          <w:numId w:val="41"/>
        </w:numPr>
        <w:spacing w:line="240" w:lineRule="auto"/>
      </w:pPr>
      <w:r w:rsidRPr="0052747F">
        <w:lastRenderedPageBreak/>
        <w:t>Expert Advice</w:t>
      </w:r>
    </w:p>
    <w:p w14:paraId="5C84F148" w14:textId="77777777" w:rsidR="005B3D57" w:rsidRPr="0052747F" w:rsidRDefault="005B3D57" w:rsidP="00A04BE7">
      <w:pPr>
        <w:spacing w:before="120"/>
      </w:pPr>
      <w:r w:rsidRPr="0052747F">
        <w:t>Where the change impacts an endorsed security plan, re-endorsement of the plan may be necessary.</w:t>
      </w:r>
    </w:p>
    <w:p w14:paraId="73292D79" w14:textId="77777777" w:rsidR="005B3D57" w:rsidRPr="0052747F" w:rsidRDefault="005B3D57" w:rsidP="005B3D57">
      <w:pPr>
        <w:pStyle w:val="Heading2"/>
        <w:spacing w:line="240" w:lineRule="auto"/>
        <w:ind w:left="1145" w:hanging="578"/>
      </w:pPr>
      <w:r w:rsidRPr="00500260">
        <w:t>Documenting</w:t>
      </w:r>
      <w:r w:rsidRPr="0052747F">
        <w:t xml:space="preserve"> the assessment</w:t>
      </w:r>
      <w:r w:rsidRPr="0052747F">
        <w:tab/>
      </w:r>
    </w:p>
    <w:p w14:paraId="0DC25E64" w14:textId="7A77D327" w:rsidR="005B3D57" w:rsidRPr="0052747F" w:rsidRDefault="005B3D57" w:rsidP="00A04BE7">
      <w:pPr>
        <w:spacing w:before="120"/>
      </w:pPr>
      <w:r w:rsidRPr="0052747F">
        <w:t xml:space="preserve">The </w:t>
      </w:r>
      <w:r w:rsidR="00C5276C">
        <w:t xml:space="preserve">assessor </w:t>
      </w:r>
      <w:r w:rsidRPr="0052747F">
        <w:t xml:space="preserve">prepares an email to the </w:t>
      </w:r>
      <w:r w:rsidR="00131258">
        <w:t>CRO</w:t>
      </w:r>
      <w:r w:rsidRPr="0052747F">
        <w:t xml:space="preserve"> with their recommendation.</w:t>
      </w:r>
    </w:p>
    <w:p w14:paraId="74ABD74D" w14:textId="77777777" w:rsidR="005B3D57" w:rsidRPr="0052747F" w:rsidRDefault="005B3D57" w:rsidP="005B3D57">
      <w:pPr>
        <w:pStyle w:val="Heading2"/>
        <w:spacing w:line="240" w:lineRule="auto"/>
        <w:ind w:left="1145" w:hanging="578"/>
      </w:pPr>
      <w:r>
        <w:t>Approval</w:t>
      </w:r>
    </w:p>
    <w:p w14:paraId="7F6F8EEB" w14:textId="2F3BBA44" w:rsidR="005B3D57" w:rsidRPr="0052747F" w:rsidRDefault="005B3D57" w:rsidP="00A04BE7">
      <w:pPr>
        <w:spacing w:before="120"/>
        <w:rPr>
          <w:bCs/>
          <w:szCs w:val="24"/>
        </w:rPr>
      </w:pPr>
      <w:r w:rsidRPr="0052747F">
        <w:t xml:space="preserve">The </w:t>
      </w:r>
      <w:r w:rsidR="00131258">
        <w:t>CRO</w:t>
      </w:r>
      <w:r w:rsidRPr="0052747F">
        <w:t xml:space="preserve"> approve</w:t>
      </w:r>
      <w:r w:rsidR="007B5656">
        <w:t>s</w:t>
      </w:r>
      <w:r w:rsidRPr="0052747F">
        <w:t xml:space="preserve"> an extension of RWL.  The </w:t>
      </w:r>
      <w:r w:rsidR="00C5276C">
        <w:t>assessor</w:t>
      </w:r>
      <w:r>
        <w:t xml:space="preserve"> sends </w:t>
      </w:r>
      <w:r w:rsidRPr="0052747F">
        <w:t>the approval using</w:t>
      </w:r>
      <w:r>
        <w:t xml:space="preserve"> the appropr</w:t>
      </w:r>
      <w:r w:rsidR="00A04BE7">
        <w:t>i</w:t>
      </w:r>
      <w:r>
        <w:t>ate template</w:t>
      </w:r>
      <w:r w:rsidRPr="0052747F">
        <w:t xml:space="preserve">. </w:t>
      </w:r>
    </w:p>
    <w:p w14:paraId="75CAC794" w14:textId="77777777" w:rsidR="005B3D57" w:rsidRPr="0052747F" w:rsidRDefault="005B3D57" w:rsidP="005B3D57">
      <w:pPr>
        <w:pStyle w:val="Heading2"/>
        <w:spacing w:line="240" w:lineRule="auto"/>
        <w:ind w:left="1145" w:hanging="578"/>
      </w:pPr>
      <w:r>
        <w:t>Record keeping</w:t>
      </w:r>
    </w:p>
    <w:p w14:paraId="77D6D274" w14:textId="7F575C7E" w:rsidR="009D7BE5" w:rsidRPr="0052747F" w:rsidRDefault="005B3D57" w:rsidP="00A04BE7">
      <w:pPr>
        <w:spacing w:before="120"/>
      </w:pPr>
      <w:r>
        <w:t>The lead inspector</w:t>
      </w:r>
      <w:r w:rsidRPr="0052747F">
        <w:t xml:space="preserve"> saves the relevant documents in </w:t>
      </w:r>
      <w:r>
        <w:t>CM</w:t>
      </w:r>
      <w:r w:rsidRPr="0052747F">
        <w:t xml:space="preserve"> and updates LAD.</w:t>
      </w:r>
      <w:r w:rsidR="009D7BE5" w:rsidRPr="0052747F">
        <w:t xml:space="preserve"> </w:t>
      </w:r>
    </w:p>
    <w:p w14:paraId="0754A83A" w14:textId="0C121ED0" w:rsidR="006C0D9C" w:rsidRDefault="006C0D9C" w:rsidP="001A5AF9">
      <w:pPr>
        <w:rPr>
          <w:rFonts w:ascii="Calibri" w:eastAsiaTheme="majorEastAsia" w:hAnsi="Calibri" w:cstheme="majorBidi"/>
          <w:color w:val="4E1A74"/>
          <w:sz w:val="32"/>
          <w:szCs w:val="28"/>
        </w:rPr>
      </w:pPr>
      <w:r>
        <w:br w:type="page"/>
      </w:r>
    </w:p>
    <w:p w14:paraId="35546626" w14:textId="017EDCB5" w:rsidR="009D7BE5" w:rsidRPr="00E20F69" w:rsidRDefault="002C6740" w:rsidP="002149E3">
      <w:pPr>
        <w:pStyle w:val="Heading1"/>
        <w:ind w:left="426" w:hanging="426"/>
      </w:pPr>
      <w:bookmarkStart w:id="18" w:name="_Extension_of_source"/>
      <w:bookmarkStart w:id="19" w:name="_Exemptions"/>
      <w:bookmarkStart w:id="20" w:name="_Toc475614181"/>
      <w:bookmarkEnd w:id="18"/>
      <w:bookmarkEnd w:id="19"/>
      <w:r>
        <w:rPr>
          <w:rStyle w:val="Heading1Char"/>
          <w:b/>
          <w:bCs/>
        </w:rPr>
        <w:lastRenderedPageBreak/>
        <w:t>Application for e</w:t>
      </w:r>
      <w:r w:rsidR="009D7BE5" w:rsidRPr="00E20F69">
        <w:rPr>
          <w:rStyle w:val="Heading1Char"/>
          <w:b/>
          <w:bCs/>
        </w:rPr>
        <w:t>xemption</w:t>
      </w:r>
      <w:bookmarkEnd w:id="20"/>
      <w:r w:rsidR="009D7BE5" w:rsidRPr="00E20F69">
        <w:rPr>
          <w:rStyle w:val="Heading1Char"/>
          <w:b/>
          <w:bCs/>
        </w:rPr>
        <w:t xml:space="preserve"> </w:t>
      </w:r>
    </w:p>
    <w:p w14:paraId="01DF8737" w14:textId="2CA3CA78" w:rsidR="009D7BE5" w:rsidRPr="0052747F" w:rsidRDefault="009D7BE5" w:rsidP="0064510A">
      <w:pPr>
        <w:pStyle w:val="Heading2"/>
        <w:numPr>
          <w:ilvl w:val="1"/>
          <w:numId w:val="47"/>
        </w:numPr>
        <w:tabs>
          <w:tab w:val="clear" w:pos="851"/>
          <w:tab w:val="left" w:pos="850"/>
        </w:tabs>
      </w:pPr>
      <w:r w:rsidRPr="00500260">
        <w:t>Recei</w:t>
      </w:r>
      <w:r w:rsidR="00CD63CD" w:rsidRPr="0098030D">
        <w:t>ving</w:t>
      </w:r>
      <w:r w:rsidR="00CD63CD" w:rsidRPr="0052747F">
        <w:t xml:space="preserve"> the </w:t>
      </w:r>
      <w:r w:rsidRPr="0052747F">
        <w:t>application</w:t>
      </w:r>
    </w:p>
    <w:p w14:paraId="7753006D" w14:textId="1C6770D4" w:rsidR="00FE2CB4" w:rsidRPr="0052747F" w:rsidRDefault="009D7BE5" w:rsidP="00ED1A65">
      <w:pPr>
        <w:spacing w:before="120"/>
      </w:pPr>
      <w:r w:rsidRPr="0052747F">
        <w:t>All requests should be received by</w:t>
      </w:r>
      <w:r w:rsidR="004911FD">
        <w:t xml:space="preserve"> </w:t>
      </w:r>
      <w:hyperlink r:id="rId28" w:history="1">
        <w:r w:rsidR="004911FD" w:rsidRPr="006E2974">
          <w:rPr>
            <w:rStyle w:val="Hyperlink"/>
          </w:rPr>
          <w:t>LicenceAdmin@arpansa.gov.au</w:t>
        </w:r>
      </w:hyperlink>
      <w:r w:rsidR="00281377">
        <w:rPr>
          <w:rStyle w:val="Hyperlink"/>
        </w:rPr>
        <w:t>.</w:t>
      </w:r>
      <w:r w:rsidRPr="0052747F">
        <w:t xml:space="preserve"> </w:t>
      </w:r>
      <w:r w:rsidR="00281377">
        <w:t>I</w:t>
      </w:r>
      <w:r w:rsidRPr="0052747F">
        <w:t xml:space="preserve">f an officer receives a </w:t>
      </w:r>
      <w:r w:rsidR="00281377">
        <w:t xml:space="preserve">direct </w:t>
      </w:r>
      <w:proofErr w:type="gramStart"/>
      <w:r w:rsidRPr="0052747F">
        <w:t>request</w:t>
      </w:r>
      <w:proofErr w:type="gramEnd"/>
      <w:r w:rsidRPr="0052747F">
        <w:t xml:space="preserve"> it should be forwarded to </w:t>
      </w:r>
      <w:r w:rsidR="00FE2CB4" w:rsidRPr="0052747F">
        <w:t xml:space="preserve">the </w:t>
      </w:r>
      <w:r w:rsidRPr="0052747F">
        <w:t xml:space="preserve">LA inbox. </w:t>
      </w:r>
      <w:r w:rsidR="00FE2CB4" w:rsidRPr="0052747F">
        <w:t xml:space="preserve"> </w:t>
      </w:r>
    </w:p>
    <w:p w14:paraId="262153FC" w14:textId="739F9016" w:rsidR="00570F4E" w:rsidRDefault="00570F4E" w:rsidP="00570F4E">
      <w:pPr>
        <w:spacing w:before="120"/>
      </w:pPr>
      <w:r w:rsidRPr="000A0664">
        <w:t xml:space="preserve">The </w:t>
      </w:r>
      <w:r w:rsidR="00F54671">
        <w:t>LAO</w:t>
      </w:r>
      <w:r>
        <w:t xml:space="preserve">: </w:t>
      </w:r>
    </w:p>
    <w:p w14:paraId="0B4B9439" w14:textId="6D5C56BD" w:rsidR="00570F4E" w:rsidRDefault="007B5656" w:rsidP="008D76A0">
      <w:pPr>
        <w:pStyle w:val="ListParagraph"/>
        <w:numPr>
          <w:ilvl w:val="0"/>
          <w:numId w:val="29"/>
        </w:numPr>
        <w:spacing w:before="120"/>
      </w:pPr>
      <w:r>
        <w:t>s</w:t>
      </w:r>
      <w:r w:rsidR="00570F4E" w:rsidRPr="000A0664">
        <w:t>ave</w:t>
      </w:r>
      <w:r w:rsidR="00570F4E">
        <w:t>s</w:t>
      </w:r>
      <w:r w:rsidR="00570F4E" w:rsidRPr="000A0664">
        <w:t xml:space="preserve"> the application into </w:t>
      </w:r>
      <w:r w:rsidR="00570F4E">
        <w:t>CM</w:t>
      </w:r>
    </w:p>
    <w:p w14:paraId="679FA12B" w14:textId="4A0F41FE" w:rsidR="00570F4E" w:rsidRDefault="007B5656" w:rsidP="00103EAC">
      <w:pPr>
        <w:pStyle w:val="ListParagraph"/>
        <w:numPr>
          <w:ilvl w:val="0"/>
          <w:numId w:val="29"/>
        </w:numPr>
      </w:pPr>
      <w:r>
        <w:t>e</w:t>
      </w:r>
      <w:r w:rsidR="00570F4E" w:rsidRPr="000A0664">
        <w:t>nter</w:t>
      </w:r>
      <w:r w:rsidR="00570F4E">
        <w:t>s</w:t>
      </w:r>
      <w:r w:rsidR="00570F4E" w:rsidRPr="000A0664">
        <w:t xml:space="preserve"> the required information into LAD</w:t>
      </w:r>
      <w:r w:rsidR="00570F4E">
        <w:t xml:space="preserve"> </w:t>
      </w:r>
    </w:p>
    <w:p w14:paraId="261C22E3" w14:textId="707A48EC" w:rsidR="00570F4E" w:rsidRDefault="007B5656" w:rsidP="00103EAC">
      <w:pPr>
        <w:pStyle w:val="ListParagraph"/>
        <w:numPr>
          <w:ilvl w:val="0"/>
          <w:numId w:val="29"/>
        </w:numPr>
      </w:pPr>
      <w:r>
        <w:t>f</w:t>
      </w:r>
      <w:r w:rsidR="00570F4E" w:rsidRPr="0052747F">
        <w:t>orward</w:t>
      </w:r>
      <w:r w:rsidR="00570F4E">
        <w:t>s</w:t>
      </w:r>
      <w:r w:rsidR="00570F4E" w:rsidRPr="0052747F">
        <w:t xml:space="preserve"> </w:t>
      </w:r>
      <w:r w:rsidR="00570F4E">
        <w:t xml:space="preserve">request </w:t>
      </w:r>
      <w:r w:rsidR="00570F4E" w:rsidRPr="0052747F">
        <w:t xml:space="preserve">to the relevant section </w:t>
      </w:r>
      <w:r w:rsidR="00570F4E">
        <w:t>director</w:t>
      </w:r>
      <w:r w:rsidR="00570F4E" w:rsidRPr="0052747F">
        <w:t xml:space="preserve"> who will assign </w:t>
      </w:r>
      <w:r w:rsidR="00570F4E">
        <w:t xml:space="preserve">it to </w:t>
      </w:r>
      <w:r w:rsidR="00570F4E" w:rsidRPr="0052747F">
        <w:t>a</w:t>
      </w:r>
      <w:r w:rsidR="009370E7">
        <w:t>n assessor</w:t>
      </w:r>
    </w:p>
    <w:p w14:paraId="21372A50" w14:textId="22140323" w:rsidR="00570F4E" w:rsidRDefault="007B5656" w:rsidP="00103EAC">
      <w:pPr>
        <w:pStyle w:val="ListParagraph"/>
        <w:numPr>
          <w:ilvl w:val="0"/>
          <w:numId w:val="29"/>
        </w:numPr>
      </w:pPr>
      <w:r>
        <w:t>a</w:t>
      </w:r>
      <w:r w:rsidR="00570F4E" w:rsidRPr="000A0664">
        <w:t>cknowledge</w:t>
      </w:r>
      <w:r w:rsidR="00570F4E">
        <w:t>s</w:t>
      </w:r>
      <w:r w:rsidR="00570F4E" w:rsidRPr="000A0664">
        <w:t xml:space="preserve"> receipt </w:t>
      </w:r>
      <w:r w:rsidR="00570F4E">
        <w:t>of the application</w:t>
      </w:r>
      <w:r w:rsidR="007B7046">
        <w:t xml:space="preserve"> with </w:t>
      </w:r>
      <w:r w:rsidR="00570F4E" w:rsidRPr="000A0664">
        <w:t xml:space="preserve">a copy to the </w:t>
      </w:r>
      <w:r w:rsidR="009370E7">
        <w:t>assessor</w:t>
      </w:r>
      <w:r w:rsidR="00570F4E" w:rsidRPr="000A0664">
        <w:t xml:space="preserve"> </w:t>
      </w:r>
    </w:p>
    <w:p w14:paraId="42B5A4EE" w14:textId="078DD1A9" w:rsidR="009D7BE5" w:rsidRPr="0052747F" w:rsidRDefault="009D7BE5" w:rsidP="001A4A44">
      <w:pPr>
        <w:pStyle w:val="Heading2"/>
      </w:pPr>
      <w:r w:rsidRPr="0052747F">
        <w:t>A</w:t>
      </w:r>
      <w:r w:rsidR="00CD63CD" w:rsidRPr="0052747F">
        <w:t>ssessing the a</w:t>
      </w:r>
      <w:r w:rsidRPr="0052747F">
        <w:t xml:space="preserve">pplication </w:t>
      </w:r>
    </w:p>
    <w:p w14:paraId="5581CD58" w14:textId="5969A5F0" w:rsidR="003A45AD" w:rsidRDefault="003A45AD" w:rsidP="008D76A0">
      <w:pPr>
        <w:pStyle w:val="Heading3"/>
        <w:numPr>
          <w:ilvl w:val="0"/>
          <w:numId w:val="41"/>
        </w:numPr>
        <w:spacing w:before="200"/>
      </w:pPr>
      <w:r>
        <w:t>Agreed assessment time</w:t>
      </w:r>
    </w:p>
    <w:p w14:paraId="4814E1B7" w14:textId="77F64A25" w:rsidR="003A45AD" w:rsidRPr="0052747F" w:rsidRDefault="003A45AD" w:rsidP="008D76A0">
      <w:pPr>
        <w:spacing w:before="120"/>
        <w:rPr>
          <w:rFonts w:cs="Calibri"/>
        </w:rPr>
      </w:pPr>
      <w:r w:rsidRPr="0052747F">
        <w:t xml:space="preserve">If no further information is </w:t>
      </w:r>
      <w:proofErr w:type="gramStart"/>
      <w:r w:rsidRPr="0052747F">
        <w:t>required</w:t>
      </w:r>
      <w:proofErr w:type="gramEnd"/>
      <w:r w:rsidRPr="0052747F">
        <w:t xml:space="preserve"> the </w:t>
      </w:r>
      <w:r w:rsidR="009370E7">
        <w:t>assessor</w:t>
      </w:r>
      <w:r w:rsidRPr="0052747F">
        <w:t xml:space="preserve"> should agree a timeframe for </w:t>
      </w:r>
      <w:r w:rsidR="000A4750">
        <w:t xml:space="preserve">completing the </w:t>
      </w:r>
      <w:r w:rsidRPr="0052747F">
        <w:t>assessment with the applicant. This should be done by email and must be recorded</w:t>
      </w:r>
      <w:r w:rsidR="007B7046">
        <w:t xml:space="preserve"> in </w:t>
      </w:r>
      <w:hyperlink r:id="rId29" w:history="1">
        <w:proofErr w:type="spellStart"/>
        <w:r w:rsidR="002D4888" w:rsidRPr="00C76015">
          <w:rPr>
            <w:rStyle w:val="Hyperlink"/>
          </w:rPr>
          <w:t>Sharepoint</w:t>
        </w:r>
        <w:proofErr w:type="spellEnd"/>
      </w:hyperlink>
      <w:r w:rsidRPr="0052747F">
        <w:t>.</w:t>
      </w:r>
      <w:r>
        <w:t xml:space="preserve"> No agreement is required where the assessment is expected to take </w:t>
      </w:r>
      <w:r w:rsidR="00C76015">
        <w:t>5</w:t>
      </w:r>
      <w:r>
        <w:t xml:space="preserve"> working days or less.</w:t>
      </w:r>
    </w:p>
    <w:p w14:paraId="51297F61" w14:textId="575BC288" w:rsidR="003A45AD" w:rsidRDefault="003A45AD" w:rsidP="008D76A0">
      <w:pPr>
        <w:pStyle w:val="Heading3"/>
        <w:numPr>
          <w:ilvl w:val="0"/>
          <w:numId w:val="41"/>
        </w:numPr>
        <w:spacing w:before="200"/>
      </w:pPr>
      <w:r>
        <w:t>Assessment criteria</w:t>
      </w:r>
    </w:p>
    <w:p w14:paraId="4D851035" w14:textId="7F6CB01B" w:rsidR="009D7BE5" w:rsidRDefault="00751FF8" w:rsidP="008D76A0">
      <w:pPr>
        <w:spacing w:before="120"/>
      </w:pPr>
      <w:r w:rsidRPr="00751FF8">
        <w:t xml:space="preserve">The </w:t>
      </w:r>
      <w:r w:rsidR="009370E7">
        <w:t xml:space="preserve">assessor </w:t>
      </w:r>
      <w:r w:rsidRPr="00751FF8">
        <w:t xml:space="preserve">will consider </w:t>
      </w:r>
      <w:r w:rsidR="00652464">
        <w:t xml:space="preserve">each </w:t>
      </w:r>
      <w:r>
        <w:t>application</w:t>
      </w:r>
      <w:r w:rsidRPr="00751FF8">
        <w:t xml:space="preserve"> on its merits to determine whether the required statutory tests have been met. Decisions should be based on international best practice </w:t>
      </w:r>
      <w:proofErr w:type="gramStart"/>
      <w:r w:rsidRPr="00751FF8">
        <w:t>taking into account</w:t>
      </w:r>
      <w:proofErr w:type="gramEnd"/>
      <w:r w:rsidRPr="00751FF8">
        <w:t xml:space="preserve"> studies published by scientific and technology</w:t>
      </w:r>
      <w:r w:rsidR="00012CD0">
        <w:t>-</w:t>
      </w:r>
      <w:r w:rsidRPr="00751FF8">
        <w:t xml:space="preserve">based organisations or other regulatory bodies to substantiate conclusions.  The implications of unregulated disposal should also be considered. </w:t>
      </w:r>
      <w:r>
        <w:t xml:space="preserve"> The required statutory test</w:t>
      </w:r>
      <w:r w:rsidR="007B7046">
        <w:t>s</w:t>
      </w:r>
      <w:r>
        <w:t xml:space="preserve"> are described below</w:t>
      </w:r>
      <w:r w:rsidR="00012CD0">
        <w:t>.</w:t>
      </w:r>
      <w:r>
        <w:t xml:space="preserve"> </w:t>
      </w:r>
    </w:p>
    <w:p w14:paraId="07ACEFF4" w14:textId="68BF32EF" w:rsidR="00C5276C" w:rsidRPr="00F90B26" w:rsidRDefault="00C5276C" w:rsidP="008D76A0">
      <w:pPr>
        <w:spacing w:before="120"/>
        <w:rPr>
          <w:b/>
          <w:bCs/>
          <w:i/>
          <w:iCs/>
          <w:color w:val="207220" w:themeColor="accent1" w:themeShade="BF"/>
          <w:sz w:val="24"/>
          <w:szCs w:val="24"/>
        </w:rPr>
      </w:pPr>
      <w:r w:rsidRPr="00F90B26">
        <w:rPr>
          <w:b/>
          <w:bCs/>
          <w:i/>
          <w:iCs/>
          <w:color w:val="207220" w:themeColor="accent1" w:themeShade="BF"/>
          <w:sz w:val="24"/>
          <w:szCs w:val="24"/>
        </w:rPr>
        <w:tab/>
      </w:r>
      <w:r w:rsidR="009A5AC1" w:rsidRPr="00F90B26">
        <w:rPr>
          <w:b/>
          <w:bCs/>
          <w:i/>
          <w:iCs/>
          <w:color w:val="207220" w:themeColor="accent1" w:themeShade="BF"/>
          <w:sz w:val="24"/>
          <w:szCs w:val="24"/>
        </w:rPr>
        <w:t xml:space="preserve">Apparatus that produces harmful </w:t>
      </w:r>
      <w:r w:rsidR="00837EB9" w:rsidRPr="00F90B26">
        <w:rPr>
          <w:b/>
          <w:bCs/>
          <w:i/>
          <w:iCs/>
          <w:color w:val="207220" w:themeColor="accent1" w:themeShade="BF"/>
          <w:sz w:val="24"/>
          <w:szCs w:val="24"/>
        </w:rPr>
        <w:t>non-</w:t>
      </w:r>
      <w:r w:rsidR="009A5AC1" w:rsidRPr="00F90B26">
        <w:rPr>
          <w:b/>
          <w:bCs/>
          <w:i/>
          <w:iCs/>
          <w:color w:val="207220" w:themeColor="accent1" w:themeShade="BF"/>
          <w:sz w:val="24"/>
          <w:szCs w:val="24"/>
        </w:rPr>
        <w:t>ionising radiation</w:t>
      </w:r>
    </w:p>
    <w:p w14:paraId="1303CE24" w14:textId="7ED07AF5" w:rsidR="00281345" w:rsidRPr="0052747F" w:rsidRDefault="009D7BE5" w:rsidP="00837EB9">
      <w:r w:rsidRPr="0052747F">
        <w:t xml:space="preserve">Under </w:t>
      </w:r>
      <w:r w:rsidR="00771B06">
        <w:t>subsection</w:t>
      </w:r>
      <w:r w:rsidR="00357B03">
        <w:t xml:space="preserve"> 9</w:t>
      </w:r>
      <w:r w:rsidR="00E50313">
        <w:t>(2)</w:t>
      </w:r>
      <w:r w:rsidR="00357B03">
        <w:t xml:space="preserve"> of the Regulations</w:t>
      </w:r>
      <w:r w:rsidRPr="0052747F">
        <w:t xml:space="preserve"> the CEO may declare </w:t>
      </w:r>
      <w:r w:rsidR="00193B8A">
        <w:t xml:space="preserve">in writing </w:t>
      </w:r>
      <w:r w:rsidRPr="0052747F">
        <w:t xml:space="preserve">that </w:t>
      </w:r>
      <w:r w:rsidR="00193B8A">
        <w:t xml:space="preserve">a particular </w:t>
      </w:r>
      <w:r w:rsidRPr="0052747F">
        <w:t xml:space="preserve">apparatus </w:t>
      </w:r>
      <w:r w:rsidR="00E50313">
        <w:t xml:space="preserve">producing non-ionising radiation </w:t>
      </w:r>
      <w:r w:rsidRPr="0052747F">
        <w:t xml:space="preserve">is not a controlled apparatus thereby removing the </w:t>
      </w:r>
      <w:r w:rsidR="00E50313">
        <w:t xml:space="preserve">requirement </w:t>
      </w:r>
      <w:r w:rsidR="00193B8A">
        <w:t>for a licence</w:t>
      </w:r>
      <w:r w:rsidR="00E50313">
        <w:t>.</w:t>
      </w:r>
      <w:r w:rsidR="00281345" w:rsidRPr="0052747F">
        <w:t xml:space="preserve"> </w:t>
      </w:r>
    </w:p>
    <w:p w14:paraId="14080735" w14:textId="553AD7FB" w:rsidR="00281345" w:rsidRPr="0052747F" w:rsidRDefault="00A658EF" w:rsidP="00D85F6C">
      <w:pPr>
        <w:spacing w:before="120"/>
      </w:pPr>
      <w:r>
        <w:t>Under subsection 9(3) t</w:t>
      </w:r>
      <w:r w:rsidR="00281345" w:rsidRPr="0052747F">
        <w:t xml:space="preserve">he CEO </w:t>
      </w:r>
      <w:r w:rsidR="007F5918" w:rsidRPr="0052747F">
        <w:t xml:space="preserve">must not declare </w:t>
      </w:r>
      <w:r w:rsidR="00281345" w:rsidRPr="0052747F">
        <w:t>a non-ionising radiation apparatus</w:t>
      </w:r>
      <w:r w:rsidR="007F5918" w:rsidRPr="0052747F">
        <w:t xml:space="preserve"> exempt unless</w:t>
      </w:r>
      <w:r w:rsidR="00281345" w:rsidRPr="0052747F">
        <w:t xml:space="preserve"> satisfied that:</w:t>
      </w:r>
    </w:p>
    <w:p w14:paraId="130944B6" w14:textId="77777777" w:rsidR="00281345" w:rsidRPr="00C76015" w:rsidRDefault="00281345" w:rsidP="008D76A0">
      <w:pPr>
        <w:pStyle w:val="ListParagraph"/>
        <w:numPr>
          <w:ilvl w:val="0"/>
          <w:numId w:val="5"/>
        </w:numPr>
        <w:spacing w:before="0"/>
        <w:rPr>
          <w:i/>
        </w:rPr>
      </w:pPr>
      <w:r w:rsidRPr="00C76015">
        <w:rPr>
          <w:i/>
        </w:rPr>
        <w:t xml:space="preserve">the apparatus does not pose an unacceptable potential hazard to the health and safety of people or to the environment; </w:t>
      </w:r>
      <w:r w:rsidR="007F5918" w:rsidRPr="00C76015">
        <w:rPr>
          <w:i/>
        </w:rPr>
        <w:t>or</w:t>
      </w:r>
    </w:p>
    <w:p w14:paraId="659DC664" w14:textId="4637CDD4" w:rsidR="00281345" w:rsidRPr="00C76015" w:rsidRDefault="00281345" w:rsidP="00103EAC">
      <w:pPr>
        <w:pStyle w:val="ListParagraph"/>
        <w:numPr>
          <w:ilvl w:val="0"/>
          <w:numId w:val="5"/>
        </w:numPr>
        <w:rPr>
          <w:i/>
        </w:rPr>
      </w:pPr>
      <w:r w:rsidRPr="00C76015">
        <w:rPr>
          <w:i/>
        </w:rPr>
        <w:t>it would be inappropriate for the apparatus to be a controlled apparatus.</w:t>
      </w:r>
    </w:p>
    <w:p w14:paraId="70D0E715" w14:textId="7DF21097" w:rsidR="007F5918" w:rsidRPr="0052747F" w:rsidRDefault="007F5918" w:rsidP="00D85F6C">
      <w:pPr>
        <w:spacing w:before="120"/>
      </w:pPr>
      <w:r w:rsidRPr="0052747F">
        <w:t xml:space="preserve">The </w:t>
      </w:r>
      <w:r w:rsidR="00266C9F">
        <w:t xml:space="preserve">assessor </w:t>
      </w:r>
      <w:r w:rsidRPr="0052747F">
        <w:t xml:space="preserve">must be satisfied that the applicant has provided sufficient evidence for the CEO to conclude that the apparatus meets the criteria under paragraph (a) </w:t>
      </w:r>
      <w:r w:rsidRPr="00A923B9">
        <w:rPr>
          <w:b/>
          <w:u w:val="single"/>
        </w:rPr>
        <w:t>or</w:t>
      </w:r>
      <w:r w:rsidRPr="0052747F">
        <w:t xml:space="preserve"> (b) in normal conditions as well as under all reasonably foreseeable abnormal events or conditions.  </w:t>
      </w:r>
    </w:p>
    <w:p w14:paraId="193DFB08" w14:textId="04D80F6C" w:rsidR="009D7BE5" w:rsidRPr="006F245A" w:rsidRDefault="00F11972" w:rsidP="00111A0E">
      <w:pPr>
        <w:pStyle w:val="Heading4"/>
        <w:numPr>
          <w:ilvl w:val="0"/>
          <w:numId w:val="0"/>
        </w:numPr>
        <w:ind w:left="720"/>
        <w:rPr>
          <w:rStyle w:val="SubtleEmphasis"/>
          <w:color w:val="207220" w:themeColor="accent1" w:themeShade="BF"/>
          <w:sz w:val="24"/>
          <w:szCs w:val="24"/>
        </w:rPr>
      </w:pPr>
      <w:r w:rsidRPr="006F245A">
        <w:rPr>
          <w:rStyle w:val="SubtleEmphasis"/>
          <w:color w:val="207220" w:themeColor="accent1" w:themeShade="BF"/>
          <w:sz w:val="24"/>
          <w:szCs w:val="24"/>
        </w:rPr>
        <w:tab/>
      </w:r>
      <w:r w:rsidR="009D7BE5" w:rsidRPr="006F245A">
        <w:rPr>
          <w:rStyle w:val="SubtleEmphasis"/>
          <w:color w:val="207220" w:themeColor="accent1" w:themeShade="BF"/>
          <w:sz w:val="24"/>
          <w:szCs w:val="24"/>
        </w:rPr>
        <w:t xml:space="preserve">Prescribed radiation facilities </w:t>
      </w:r>
      <w:r w:rsidR="0060320E" w:rsidRPr="006F245A">
        <w:rPr>
          <w:rStyle w:val="SubtleEmphasis"/>
          <w:color w:val="207220" w:themeColor="accent1" w:themeShade="BF"/>
          <w:sz w:val="24"/>
          <w:szCs w:val="24"/>
        </w:rPr>
        <w:t>(PRF)</w:t>
      </w:r>
    </w:p>
    <w:p w14:paraId="79D412AE" w14:textId="159C7BA0" w:rsidR="009D7BE5" w:rsidRPr="0052747F" w:rsidRDefault="009D7BE5" w:rsidP="008D76A0">
      <w:pPr>
        <w:spacing w:before="0"/>
      </w:pPr>
      <w:r w:rsidRPr="0052747F">
        <w:t xml:space="preserve">Under </w:t>
      </w:r>
      <w:r w:rsidR="00D757AC">
        <w:t>subsection</w:t>
      </w:r>
      <w:r w:rsidRPr="0052747F">
        <w:t xml:space="preserve"> </w:t>
      </w:r>
      <w:r w:rsidR="00E50313">
        <w:t>13</w:t>
      </w:r>
      <w:r w:rsidRPr="0052747F">
        <w:t>(</w:t>
      </w:r>
      <w:r w:rsidR="00E50313">
        <w:t>2</w:t>
      </w:r>
      <w:r w:rsidRPr="0052747F">
        <w:t xml:space="preserve">) </w:t>
      </w:r>
      <w:r w:rsidR="00E50313">
        <w:t xml:space="preserve">of the Regulations </w:t>
      </w:r>
      <w:r w:rsidRPr="0052747F">
        <w:t xml:space="preserve">the CEO may declare in writing that a facility is not a prescribed radiation facility thereby removing the </w:t>
      </w:r>
      <w:r w:rsidR="00E50313">
        <w:t>requirement for licensing</w:t>
      </w:r>
      <w:r w:rsidRPr="0052747F">
        <w:t xml:space="preserve"> o</w:t>
      </w:r>
      <w:r w:rsidR="00E50313">
        <w:t>f</w:t>
      </w:r>
      <w:r w:rsidRPr="0052747F">
        <w:t xml:space="preserve"> that</w:t>
      </w:r>
      <w:r w:rsidR="00C71903">
        <w:t xml:space="preserve"> facility</w:t>
      </w:r>
      <w:r w:rsidRPr="0052747F">
        <w:t>.</w:t>
      </w:r>
    </w:p>
    <w:p w14:paraId="57DDA6EE" w14:textId="77777777" w:rsidR="00281345" w:rsidRPr="0052747F" w:rsidRDefault="007F5918" w:rsidP="00D85F6C">
      <w:pPr>
        <w:spacing w:before="120"/>
      </w:pPr>
      <w:r w:rsidRPr="0052747F">
        <w:t xml:space="preserve">The CEO must not declare a </w:t>
      </w:r>
      <w:r w:rsidR="00281345" w:rsidRPr="0052747F">
        <w:t>PRF</w:t>
      </w:r>
      <w:r w:rsidRPr="0052747F">
        <w:t xml:space="preserve"> exempt unless </w:t>
      </w:r>
      <w:r w:rsidR="00281345" w:rsidRPr="0052747F">
        <w:t>satisfied that:</w:t>
      </w:r>
    </w:p>
    <w:p w14:paraId="6D59CCE7" w14:textId="77777777" w:rsidR="00281345" w:rsidRPr="00C76015" w:rsidRDefault="00281345" w:rsidP="00207A04">
      <w:pPr>
        <w:spacing w:before="120" w:after="0"/>
        <w:ind w:left="709" w:hanging="283"/>
        <w:rPr>
          <w:i/>
        </w:rPr>
      </w:pPr>
      <w:r w:rsidRPr="0052747F">
        <w:lastRenderedPageBreak/>
        <w:t>a)</w:t>
      </w:r>
      <w:r w:rsidRPr="0052747F">
        <w:tab/>
      </w:r>
      <w:r w:rsidRPr="00C76015">
        <w:rPr>
          <w:i/>
        </w:rPr>
        <w:t xml:space="preserve">the facility does not pose an unacceptable potential hazard to the health and safety of people or to the environment; </w:t>
      </w:r>
      <w:r w:rsidR="007F5918" w:rsidRPr="00C76015">
        <w:rPr>
          <w:i/>
        </w:rPr>
        <w:t>and</w:t>
      </w:r>
    </w:p>
    <w:p w14:paraId="2916AEF5" w14:textId="077CFE42" w:rsidR="00281345" w:rsidRPr="00C76015" w:rsidRDefault="00281345" w:rsidP="00207A04">
      <w:pPr>
        <w:spacing w:before="0"/>
        <w:ind w:left="709" w:hanging="283"/>
        <w:rPr>
          <w:i/>
        </w:rPr>
      </w:pPr>
      <w:r w:rsidRPr="00C76015">
        <w:rPr>
          <w:i/>
        </w:rPr>
        <w:t>b)</w:t>
      </w:r>
      <w:r w:rsidRPr="00C76015">
        <w:rPr>
          <w:i/>
        </w:rPr>
        <w:tab/>
        <w:t xml:space="preserve">it would be inappropriate for the </w:t>
      </w:r>
      <w:r w:rsidR="007F5918" w:rsidRPr="00C76015">
        <w:rPr>
          <w:i/>
        </w:rPr>
        <w:t xml:space="preserve">facility </w:t>
      </w:r>
      <w:r w:rsidRPr="00C76015">
        <w:rPr>
          <w:i/>
        </w:rPr>
        <w:t xml:space="preserve">to be a </w:t>
      </w:r>
      <w:r w:rsidR="007F5918" w:rsidRPr="00C76015">
        <w:rPr>
          <w:i/>
        </w:rPr>
        <w:t>prescribed radiation facility</w:t>
      </w:r>
      <w:r w:rsidRPr="00C76015">
        <w:rPr>
          <w:i/>
        </w:rPr>
        <w:t>.</w:t>
      </w:r>
    </w:p>
    <w:p w14:paraId="6642BC5A" w14:textId="73C3CAF8" w:rsidR="009D7BE5" w:rsidRPr="0052747F" w:rsidRDefault="009D7BE5" w:rsidP="00D85F6C">
      <w:pPr>
        <w:spacing w:before="120"/>
      </w:pPr>
      <w:r w:rsidRPr="0052747F">
        <w:t xml:space="preserve">The </w:t>
      </w:r>
      <w:r w:rsidR="00266C9F">
        <w:t>assessor</w:t>
      </w:r>
      <w:r w:rsidRPr="0052747F">
        <w:t xml:space="preserve"> must be satisfied that the applicant has provided sufficient evidence for the CEO to conclude that the apparatus meets the criteria under paragraphs (a) </w:t>
      </w:r>
      <w:r w:rsidRPr="00A923B9">
        <w:rPr>
          <w:b/>
          <w:u w:val="single"/>
        </w:rPr>
        <w:t>and</w:t>
      </w:r>
      <w:r w:rsidRPr="0052747F">
        <w:t xml:space="preserve"> (b) in normal conditions as well as under all reasonably foreseeable abnormal events or conditions.  </w:t>
      </w:r>
    </w:p>
    <w:p w14:paraId="2940B03F" w14:textId="3BA3D20C" w:rsidR="009D7BE5" w:rsidRPr="00F90B26" w:rsidRDefault="00F11972" w:rsidP="00DD4825">
      <w:pPr>
        <w:pStyle w:val="Heading4"/>
        <w:numPr>
          <w:ilvl w:val="0"/>
          <w:numId w:val="0"/>
        </w:numPr>
        <w:ind w:left="720"/>
        <w:rPr>
          <w:i/>
          <w:iCs/>
          <w:sz w:val="24"/>
          <w:szCs w:val="24"/>
        </w:rPr>
      </w:pPr>
      <w:r w:rsidRPr="00F90B26">
        <w:rPr>
          <w:i/>
          <w:iCs/>
          <w:sz w:val="24"/>
          <w:szCs w:val="24"/>
        </w:rPr>
        <w:tab/>
      </w:r>
      <w:r w:rsidR="009D7BE5" w:rsidRPr="00F90B26">
        <w:rPr>
          <w:i/>
          <w:iCs/>
          <w:sz w:val="24"/>
          <w:szCs w:val="24"/>
        </w:rPr>
        <w:t>One or more conducts in relation to a controlled facility</w:t>
      </w:r>
    </w:p>
    <w:p w14:paraId="31B63BC7" w14:textId="72F74FEA" w:rsidR="009D7BE5" w:rsidRPr="0052747F" w:rsidRDefault="00771B06" w:rsidP="00207A04">
      <w:pPr>
        <w:spacing w:before="0"/>
      </w:pPr>
      <w:r>
        <w:t>Subsection</w:t>
      </w:r>
      <w:r w:rsidR="00E50313">
        <w:t xml:space="preserve"> 43</w:t>
      </w:r>
      <w:r w:rsidR="009D7BE5" w:rsidRPr="0052747F">
        <w:t xml:space="preserve">(1) </w:t>
      </w:r>
      <w:r w:rsidR="00F0586C" w:rsidRPr="0052747F">
        <w:t>gives</w:t>
      </w:r>
      <w:r w:rsidR="009D7BE5" w:rsidRPr="0052747F">
        <w:t xml:space="preserve"> the CEO the power to exempt any of the conducts mentioned in </w:t>
      </w:r>
      <w:r w:rsidR="0007011B">
        <w:t>p</w:t>
      </w:r>
      <w:r w:rsidR="009D7BE5" w:rsidRPr="0052747F">
        <w:t>aragraph 30(1)(a), (b), (c), (d)</w:t>
      </w:r>
      <w:r w:rsidR="00244AA4">
        <w:t>,</w:t>
      </w:r>
      <w:r w:rsidR="009D7BE5" w:rsidRPr="0052747F">
        <w:t xml:space="preserve"> (e)</w:t>
      </w:r>
      <w:r w:rsidR="00244AA4">
        <w:t xml:space="preserve"> or (</w:t>
      </w:r>
      <w:proofErr w:type="spellStart"/>
      <w:r w:rsidR="00244AA4">
        <w:t>ea</w:t>
      </w:r>
      <w:proofErr w:type="spellEnd"/>
      <w:r w:rsidR="00244AA4">
        <w:t>)</w:t>
      </w:r>
      <w:r w:rsidR="009D7BE5" w:rsidRPr="0052747F">
        <w:t xml:space="preserve"> of the Act</w:t>
      </w:r>
      <w:r w:rsidR="000649B4" w:rsidRPr="0052747F">
        <w:t xml:space="preserve"> </w:t>
      </w:r>
      <w:r w:rsidR="009D7BE5" w:rsidRPr="0052747F">
        <w:t xml:space="preserve">provided </w:t>
      </w:r>
      <w:r w:rsidR="000649B4" w:rsidRPr="0052747F">
        <w:t xml:space="preserve">it </w:t>
      </w:r>
      <w:r w:rsidR="009D7BE5" w:rsidRPr="0052747F">
        <w:t>does not or will not pose an unacceptable potential hazard to the health and safety of people or to the environment.</w:t>
      </w:r>
      <w:r w:rsidR="000649B4" w:rsidRPr="0052747F">
        <w:t xml:space="preserve"> </w:t>
      </w:r>
    </w:p>
    <w:p w14:paraId="43DF4842" w14:textId="77777777" w:rsidR="00EA2390" w:rsidRPr="00786349" w:rsidRDefault="00EA2390" w:rsidP="00EA2390">
      <w:pPr>
        <w:spacing w:before="120"/>
      </w:pPr>
      <w:r w:rsidRPr="00160F74">
        <w:t xml:space="preserve">Applications for an exemption in relation to a controlled facility occur infrequently.  </w:t>
      </w:r>
      <w:r>
        <w:t xml:space="preserve">The majority of </w:t>
      </w:r>
      <w:r w:rsidRPr="00160F74">
        <w:t xml:space="preserve">exemptions </w:t>
      </w:r>
      <w:r>
        <w:t xml:space="preserve">declared to date have </w:t>
      </w:r>
      <w:r w:rsidRPr="00160F74">
        <w:t xml:space="preserve">been </w:t>
      </w:r>
      <w:r>
        <w:t xml:space="preserve">to decommission a particle accelerator but there have also been exemptions </w:t>
      </w:r>
      <w:r w:rsidRPr="00160F74">
        <w:t xml:space="preserve">granted </w:t>
      </w:r>
      <w:r>
        <w:t>to</w:t>
      </w:r>
      <w:r w:rsidRPr="00160F74">
        <w:t xml:space="preserve"> sit</w:t>
      </w:r>
      <w:r>
        <w:t>e and</w:t>
      </w:r>
      <w:r w:rsidRPr="00160F74">
        <w:t xml:space="preserve"> construct</w:t>
      </w:r>
      <w:r>
        <w:t xml:space="preserve"> a particle accelerator </w:t>
      </w:r>
      <w:r w:rsidRPr="00160F74">
        <w:t xml:space="preserve">– see exemptions log </w:t>
      </w:r>
      <w:hyperlink r:id="rId30" w:history="1">
        <w:r w:rsidRPr="00160F74">
          <w:rPr>
            <w:color w:val="0000FF"/>
            <w:u w:val="single"/>
          </w:rPr>
          <w:t>2020/01080</w:t>
        </w:r>
      </w:hyperlink>
      <w:r w:rsidRPr="00160F74">
        <w:t xml:space="preserve"> </w:t>
      </w:r>
      <w:r>
        <w:t xml:space="preserve">for details. </w:t>
      </w:r>
      <w:r w:rsidRPr="00786349">
        <w:t xml:space="preserve">In all requests for a siting/construction exemption the </w:t>
      </w:r>
      <w:r>
        <w:t xml:space="preserve">applicant </w:t>
      </w:r>
      <w:r w:rsidRPr="00786349">
        <w:t xml:space="preserve">proposed to replace an existing </w:t>
      </w:r>
      <w:r>
        <w:t xml:space="preserve">particle </w:t>
      </w:r>
      <w:proofErr w:type="gramStart"/>
      <w:r>
        <w:t>accelerator</w:t>
      </w:r>
      <w:proofErr w:type="gramEnd"/>
      <w:r w:rsidRPr="00786349">
        <w:t xml:space="preserve"> so no </w:t>
      </w:r>
      <w:r>
        <w:t xml:space="preserve">site </w:t>
      </w:r>
      <w:r w:rsidRPr="00786349">
        <w:t>prepar</w:t>
      </w:r>
      <w:r>
        <w:t xml:space="preserve">ation was necessary </w:t>
      </w:r>
      <w:r w:rsidRPr="00786349">
        <w:t>and the required structural features</w:t>
      </w:r>
      <w:r>
        <w:t>/shielding</w:t>
      </w:r>
      <w:r w:rsidRPr="00786349">
        <w:t xml:space="preserve"> were already in place.  </w:t>
      </w:r>
    </w:p>
    <w:p w14:paraId="67E3EDD5" w14:textId="72E1B6D9" w:rsidR="00EA2390" w:rsidRPr="00786349" w:rsidRDefault="00EA2390" w:rsidP="00EA2390">
      <w:pPr>
        <w:spacing w:before="120"/>
      </w:pPr>
      <w:r w:rsidRPr="00786349">
        <w:t xml:space="preserve">The </w:t>
      </w:r>
      <w:r w:rsidR="00266C9F">
        <w:t>assessor</w:t>
      </w:r>
      <w:r w:rsidRPr="00786349">
        <w:t xml:space="preserve"> should consider</w:t>
      </w:r>
      <w:r>
        <w:t xml:space="preserve"> the claims, arguments and evidence provided by the applicant to decide whether it is reasonable to conclude that the activity </w:t>
      </w:r>
      <w:r w:rsidRPr="00786349">
        <w:t>will not pose an unacceptable potential hazard to the health and safety of people and the environment</w:t>
      </w:r>
      <w:r>
        <w:t>.  This should be considered</w:t>
      </w:r>
      <w:r w:rsidRPr="00786349">
        <w:t xml:space="preserve"> </w:t>
      </w:r>
      <w:r>
        <w:t xml:space="preserve">under both </w:t>
      </w:r>
      <w:r w:rsidRPr="00786349">
        <w:t xml:space="preserve">normal conditions as well as under all reasonably foreseeable abnormal events or conditions. This </w:t>
      </w:r>
      <w:r>
        <w:t>will usually b</w:t>
      </w:r>
      <w:r w:rsidRPr="00786349">
        <w:t xml:space="preserve">e in the form of </w:t>
      </w:r>
      <w:r>
        <w:t xml:space="preserve">a </w:t>
      </w:r>
      <w:r w:rsidRPr="00786349">
        <w:t>risk assessment</w:t>
      </w:r>
      <w:r>
        <w:t xml:space="preserve"> and may include health physics </w:t>
      </w:r>
      <w:r w:rsidRPr="00786349">
        <w:t>survey</w:t>
      </w:r>
      <w:r>
        <w:t>s</w:t>
      </w:r>
      <w:r w:rsidRPr="00786349">
        <w:t xml:space="preserve">, </w:t>
      </w:r>
      <w:r>
        <w:t xml:space="preserve">dose estimates, </w:t>
      </w:r>
      <w:r w:rsidRPr="00786349">
        <w:t xml:space="preserve">etc. </w:t>
      </w:r>
      <w:r>
        <w:t xml:space="preserve"> </w:t>
      </w:r>
    </w:p>
    <w:p w14:paraId="2E27E6C3" w14:textId="77777777" w:rsidR="00EA2390" w:rsidRPr="00786349" w:rsidRDefault="00EA2390" w:rsidP="00EA2390">
      <w:pPr>
        <w:spacing w:before="120"/>
      </w:pPr>
      <w:r w:rsidRPr="00786349">
        <w:t xml:space="preserve">Matters to consider </w:t>
      </w:r>
      <w:r>
        <w:t xml:space="preserve">for a </w:t>
      </w:r>
      <w:r w:rsidRPr="00786349">
        <w:t xml:space="preserve">siting or construction </w:t>
      </w:r>
      <w:r>
        <w:t>exemption should include whether</w:t>
      </w:r>
      <w:r w:rsidRPr="00786349">
        <w:t xml:space="preserve">: </w:t>
      </w:r>
    </w:p>
    <w:p w14:paraId="4BCC8D46" w14:textId="477016D1" w:rsidR="00EA2390" w:rsidRPr="00786349" w:rsidRDefault="009020C4" w:rsidP="00710F32">
      <w:pPr>
        <w:pStyle w:val="ListParagraph"/>
        <w:numPr>
          <w:ilvl w:val="0"/>
          <w:numId w:val="66"/>
        </w:numPr>
        <w:spacing w:before="60" w:after="0" w:line="264" w:lineRule="auto"/>
        <w:contextualSpacing w:val="0"/>
      </w:pPr>
      <w:r>
        <w:t>a</w:t>
      </w:r>
      <w:r w:rsidR="00EA2390" w:rsidRPr="00786349">
        <w:t xml:space="preserve">n existing </w:t>
      </w:r>
      <w:r w:rsidR="00EA2390">
        <w:t xml:space="preserve">facility is being replaced and if so whether it is like-for-like replacement </w:t>
      </w:r>
    </w:p>
    <w:p w14:paraId="01548662" w14:textId="494D1C15" w:rsidR="00EA2390" w:rsidRDefault="009020C4" w:rsidP="00710F32">
      <w:pPr>
        <w:pStyle w:val="ListParagraph"/>
        <w:numPr>
          <w:ilvl w:val="0"/>
          <w:numId w:val="66"/>
        </w:numPr>
        <w:spacing w:before="60" w:after="0" w:line="264" w:lineRule="auto"/>
        <w:contextualSpacing w:val="0"/>
      </w:pPr>
      <w:r>
        <w:t>e</w:t>
      </w:r>
      <w:r w:rsidR="00EA2390" w:rsidRPr="00786349">
        <w:t>xisting structur</w:t>
      </w:r>
      <w:r w:rsidR="00EA2390">
        <w:t>es</w:t>
      </w:r>
      <w:r w:rsidR="00EA2390" w:rsidRPr="00786349">
        <w:t xml:space="preserve"> </w:t>
      </w:r>
      <w:r w:rsidR="00EA2390">
        <w:t xml:space="preserve">and/or safety features such as </w:t>
      </w:r>
      <w:proofErr w:type="gramStart"/>
      <w:r w:rsidR="00EA2390">
        <w:t>shielding</w:t>
      </w:r>
      <w:proofErr w:type="gramEnd"/>
      <w:r w:rsidR="00EA2390">
        <w:t xml:space="preserve"> or interlocks need </w:t>
      </w:r>
      <w:r w:rsidR="00EA2390" w:rsidRPr="00786349">
        <w:t>upgrading</w:t>
      </w:r>
    </w:p>
    <w:p w14:paraId="22B409D0" w14:textId="77777777" w:rsidR="00EA2390" w:rsidRPr="00786349" w:rsidRDefault="00EA2390" w:rsidP="00EA2390">
      <w:r w:rsidRPr="00786349">
        <w:t xml:space="preserve">Matters to consider </w:t>
      </w:r>
      <w:r>
        <w:t xml:space="preserve">for a </w:t>
      </w:r>
      <w:r w:rsidRPr="00786349">
        <w:t xml:space="preserve">decommissioning </w:t>
      </w:r>
      <w:r>
        <w:t>exemption should include</w:t>
      </w:r>
      <w:r w:rsidRPr="00786349">
        <w:t xml:space="preserve">: </w:t>
      </w:r>
    </w:p>
    <w:p w14:paraId="6FE92A7B" w14:textId="5D1F32B3" w:rsidR="00EA2390" w:rsidRDefault="00382D1D" w:rsidP="00710F32">
      <w:pPr>
        <w:pStyle w:val="ListParagraph"/>
        <w:numPr>
          <w:ilvl w:val="0"/>
          <w:numId w:val="66"/>
        </w:numPr>
        <w:spacing w:before="60" w:after="0" w:line="264" w:lineRule="auto"/>
        <w:contextualSpacing w:val="0"/>
      </w:pPr>
      <w:r>
        <w:t>e</w:t>
      </w:r>
      <w:r w:rsidR="00EA2390" w:rsidRPr="00273132">
        <w:t xml:space="preserve">nergy of the accelerator to determine the likelihood of activation products within components or shielding material </w:t>
      </w:r>
    </w:p>
    <w:p w14:paraId="5F0FA5AF" w14:textId="5096082A" w:rsidR="00EA2390" w:rsidRPr="00273132" w:rsidRDefault="00382D1D" w:rsidP="00710F32">
      <w:pPr>
        <w:pStyle w:val="ListParagraph"/>
        <w:numPr>
          <w:ilvl w:val="0"/>
          <w:numId w:val="66"/>
        </w:numPr>
        <w:spacing w:before="60" w:after="0" w:line="264" w:lineRule="auto"/>
        <w:contextualSpacing w:val="0"/>
      </w:pPr>
      <w:r>
        <w:t>p</w:t>
      </w:r>
      <w:r w:rsidR="00EA2390" w:rsidRPr="00273132">
        <w:t>otential for contamination</w:t>
      </w:r>
    </w:p>
    <w:p w14:paraId="76540981" w14:textId="499650FF" w:rsidR="00EA2390" w:rsidRDefault="00382D1D" w:rsidP="00710F32">
      <w:pPr>
        <w:pStyle w:val="ListParagraph"/>
        <w:numPr>
          <w:ilvl w:val="0"/>
          <w:numId w:val="66"/>
        </w:numPr>
        <w:spacing w:before="60" w:after="0" w:line="264" w:lineRule="auto"/>
        <w:contextualSpacing w:val="0"/>
      </w:pPr>
      <w:r>
        <w:t>c</w:t>
      </w:r>
      <w:r w:rsidR="00EA2390">
        <w:t>onstruction materials (noting that some older accelerators used depleted uranium as shielding)</w:t>
      </w:r>
    </w:p>
    <w:p w14:paraId="10FD9F64" w14:textId="012679BD" w:rsidR="00EA2390" w:rsidRDefault="00382D1D" w:rsidP="00710F32">
      <w:pPr>
        <w:pStyle w:val="ListParagraph"/>
        <w:numPr>
          <w:ilvl w:val="0"/>
          <w:numId w:val="66"/>
        </w:numPr>
        <w:spacing w:before="60" w:after="0" w:line="264" w:lineRule="auto"/>
        <w:contextualSpacing w:val="0"/>
      </w:pPr>
      <w:r>
        <w:t>h</w:t>
      </w:r>
      <w:r w:rsidR="00EA2390">
        <w:t>ow the accelerator has been rendered permanently inoperable</w:t>
      </w:r>
    </w:p>
    <w:p w14:paraId="6CD866D0" w14:textId="2419CE64" w:rsidR="00EA2390" w:rsidRPr="00123E54" w:rsidRDefault="00382D1D" w:rsidP="00710F32">
      <w:pPr>
        <w:pStyle w:val="ListParagraph"/>
        <w:numPr>
          <w:ilvl w:val="0"/>
          <w:numId w:val="66"/>
        </w:numPr>
        <w:spacing w:before="60" w:after="0" w:line="264" w:lineRule="auto"/>
        <w:contextualSpacing w:val="0"/>
      </w:pPr>
      <w:r>
        <w:t>o</w:t>
      </w:r>
      <w:r w:rsidR="00EA2390" w:rsidRPr="005B435B">
        <w:t xml:space="preserve">perational history </w:t>
      </w:r>
      <w:r w:rsidR="00EA2390">
        <w:t xml:space="preserve">including any </w:t>
      </w:r>
      <w:r w:rsidR="00EA2390" w:rsidRPr="00123E54">
        <w:t xml:space="preserve">modifications </w:t>
      </w:r>
    </w:p>
    <w:p w14:paraId="44ED2F33" w14:textId="2BD9EFFA" w:rsidR="00EA2390" w:rsidRPr="000321E9" w:rsidRDefault="00382D1D" w:rsidP="00710F32">
      <w:pPr>
        <w:pStyle w:val="ListParagraph"/>
        <w:numPr>
          <w:ilvl w:val="0"/>
          <w:numId w:val="66"/>
        </w:numPr>
        <w:spacing w:before="60" w:after="0" w:line="264" w:lineRule="auto"/>
        <w:contextualSpacing w:val="0"/>
      </w:pPr>
      <w:r>
        <w:t>p</w:t>
      </w:r>
      <w:r w:rsidR="00EA2390" w:rsidRPr="000321E9">
        <w:t xml:space="preserve">lan for decommissioning including dismantling activities, decontamination </w:t>
      </w:r>
      <w:r w:rsidR="00EA2390">
        <w:t xml:space="preserve">and </w:t>
      </w:r>
      <w:r w:rsidR="00EA2390" w:rsidRPr="000321E9">
        <w:t>disposal</w:t>
      </w:r>
      <w:r w:rsidR="00EA2390">
        <w:t>,</w:t>
      </w:r>
      <w:r w:rsidR="00EA2390" w:rsidRPr="000321E9">
        <w:t xml:space="preserve"> </w:t>
      </w:r>
      <w:r w:rsidR="00EA2390">
        <w:t xml:space="preserve">and </w:t>
      </w:r>
      <w:r w:rsidR="00EA2390" w:rsidRPr="000321E9">
        <w:t>radioactive waste management considerations</w:t>
      </w:r>
      <w:r w:rsidR="00EA2390">
        <w:t xml:space="preserve"> as necessary</w:t>
      </w:r>
    </w:p>
    <w:p w14:paraId="5A389842" w14:textId="31564C08" w:rsidR="00EA2390" w:rsidRPr="00786349" w:rsidRDefault="00EA2390" w:rsidP="00EA2390">
      <w:r w:rsidRPr="00786349">
        <w:t xml:space="preserve">The </w:t>
      </w:r>
      <w:r w:rsidR="00266C9F">
        <w:t>assessor’s review</w:t>
      </w:r>
      <w:r w:rsidRPr="00786349">
        <w:t xml:space="preserve"> </w:t>
      </w:r>
      <w:r>
        <w:t>must</w:t>
      </w:r>
      <w:r w:rsidRPr="00786349">
        <w:t xml:space="preserve"> provide sufficient evidence to support a recommendation that the CEO approve the exemption. </w:t>
      </w:r>
    </w:p>
    <w:p w14:paraId="483608EC" w14:textId="77777777" w:rsidR="00EA2390" w:rsidRDefault="00EA2390" w:rsidP="00330DD8">
      <w:pPr>
        <w:tabs>
          <w:tab w:val="left" w:pos="567"/>
        </w:tabs>
        <w:spacing w:before="120"/>
        <w:rPr>
          <w:sz w:val="18"/>
          <w:szCs w:val="18"/>
        </w:rPr>
      </w:pPr>
      <w:r w:rsidRPr="00F07976">
        <w:rPr>
          <w:sz w:val="18"/>
          <w:szCs w:val="18"/>
        </w:rPr>
        <w:t>NOTE:</w:t>
      </w:r>
      <w:r>
        <w:rPr>
          <w:sz w:val="18"/>
          <w:szCs w:val="18"/>
        </w:rPr>
        <w:tab/>
      </w:r>
      <w:r w:rsidRPr="00F07976">
        <w:rPr>
          <w:sz w:val="18"/>
          <w:szCs w:val="18"/>
        </w:rPr>
        <w:t>Although section 43 relates to nuclear installations it is hard to contemplate a case where the CEO would approve an exemption relating to such a facility.  However, should an application be received, subsection 43(5) of the Regulations requires the CEO to invite people and bodies to make submissions on the proposed exemption.  The period for submissions and the procedure for making submissions must be included in the notice of proposed declaration made under subsection 43(4).  If comments are received on the proposed declaration, the RO must resolve them using the appropriate comments resolution template.</w:t>
      </w:r>
    </w:p>
    <w:p w14:paraId="5C01239E" w14:textId="77777777" w:rsidR="00EA2390" w:rsidRPr="00CF541D" w:rsidRDefault="009B763C" w:rsidP="00EA2390">
      <w:pPr>
        <w:tabs>
          <w:tab w:val="left" w:pos="993"/>
        </w:tabs>
      </w:pPr>
      <w:hyperlink r:id="rId31" w:history="1">
        <w:r w:rsidR="00EA2390" w:rsidRPr="008F23F5">
          <w:rPr>
            <w:rStyle w:val="Hyperlink"/>
          </w:rPr>
          <w:t xml:space="preserve">ARPANSA-GDE-1737 </w:t>
        </w:r>
        <w:r w:rsidR="00EA2390" w:rsidRPr="008F23F5">
          <w:rPr>
            <w:rStyle w:val="Hyperlink"/>
            <w:i/>
            <w:iCs/>
          </w:rPr>
          <w:t>Regulatory Guide: Seeking an exemption</w:t>
        </w:r>
      </w:hyperlink>
      <w:r w:rsidR="00EA2390" w:rsidRPr="00CF541D">
        <w:t xml:space="preserve"> contains guidance on exemptions for low energy particle accelerators.</w:t>
      </w:r>
    </w:p>
    <w:p w14:paraId="7A181412" w14:textId="60180DBA" w:rsidR="009D7BE5" w:rsidRPr="00A3425D" w:rsidRDefault="00F11972" w:rsidP="00710F32">
      <w:pPr>
        <w:pStyle w:val="Heading4"/>
        <w:numPr>
          <w:ilvl w:val="0"/>
          <w:numId w:val="0"/>
        </w:numPr>
        <w:ind w:left="720"/>
        <w:rPr>
          <w:i/>
          <w:iCs/>
          <w:sz w:val="24"/>
          <w:szCs w:val="24"/>
        </w:rPr>
      </w:pPr>
      <w:r w:rsidRPr="00A3425D">
        <w:rPr>
          <w:i/>
          <w:iCs/>
          <w:sz w:val="24"/>
          <w:szCs w:val="24"/>
        </w:rPr>
        <w:tab/>
      </w:r>
      <w:r w:rsidR="0007011B" w:rsidRPr="00A3425D">
        <w:rPr>
          <w:i/>
          <w:iCs/>
          <w:sz w:val="24"/>
          <w:szCs w:val="24"/>
        </w:rPr>
        <w:t>Dealing with c</w:t>
      </w:r>
      <w:r w:rsidR="009D7BE5" w:rsidRPr="00A3425D">
        <w:rPr>
          <w:i/>
          <w:iCs/>
          <w:sz w:val="24"/>
          <w:szCs w:val="24"/>
        </w:rPr>
        <w:t>ontrolled apparatus or controlled material</w:t>
      </w:r>
    </w:p>
    <w:p w14:paraId="3A2A4F84" w14:textId="1E0A1815" w:rsidR="00F25503" w:rsidRDefault="009D7BE5" w:rsidP="00207A04">
      <w:pPr>
        <w:spacing w:before="0"/>
      </w:pPr>
      <w:r w:rsidRPr="0052747F">
        <w:t xml:space="preserve">Dealing with controlled apparatus </w:t>
      </w:r>
      <w:r w:rsidR="008E5029">
        <w:t xml:space="preserve">or controlled material </w:t>
      </w:r>
      <w:r w:rsidR="00E71C16">
        <w:t xml:space="preserve">prescribed </w:t>
      </w:r>
      <w:r w:rsidRPr="0052747F">
        <w:t xml:space="preserve">in </w:t>
      </w:r>
      <w:r w:rsidR="00771B06">
        <w:t>subsection</w:t>
      </w:r>
      <w:r w:rsidR="0007011B">
        <w:t xml:space="preserve"> 44(1) of the Regulations</w:t>
      </w:r>
      <w:r w:rsidR="008E5029">
        <w:t xml:space="preserve"> </w:t>
      </w:r>
      <w:r w:rsidR="0007011B">
        <w:t xml:space="preserve">is exempt unless declared otherwise under </w:t>
      </w:r>
      <w:r w:rsidR="00771B06">
        <w:t>subsection</w:t>
      </w:r>
      <w:r w:rsidR="0007011B">
        <w:t xml:space="preserve"> 44(2)</w:t>
      </w:r>
      <w:r w:rsidR="00EF5E88">
        <w:t xml:space="preserve"> because of the risk of </w:t>
      </w:r>
      <w:r w:rsidR="00E230C0">
        <w:t>non-trivial</w:t>
      </w:r>
      <w:r w:rsidR="00EF5E88">
        <w:t xml:space="preserve"> dose</w:t>
      </w:r>
      <w:r w:rsidRPr="0052747F">
        <w:t xml:space="preserve">. </w:t>
      </w:r>
    </w:p>
    <w:p w14:paraId="08C6DDB8" w14:textId="0B759D90" w:rsidR="009D7BE5" w:rsidRPr="0052747F" w:rsidRDefault="008E5029" w:rsidP="00207A04">
      <w:pPr>
        <w:spacing w:before="0"/>
      </w:pPr>
      <w:r>
        <w:t>I</w:t>
      </w:r>
      <w:r w:rsidR="009D7BE5" w:rsidRPr="0052747F">
        <w:t xml:space="preserve">f a controlled apparatus or controlled material is not listed in </w:t>
      </w:r>
      <w:r w:rsidR="00771B06">
        <w:t>subsection</w:t>
      </w:r>
      <w:r w:rsidR="0007011B">
        <w:t xml:space="preserve"> 4</w:t>
      </w:r>
      <w:r w:rsidR="00EB2BC9">
        <w:t>4</w:t>
      </w:r>
      <w:r w:rsidR="0007011B">
        <w:t>(1)</w:t>
      </w:r>
      <w:r w:rsidR="009D7BE5" w:rsidRPr="0052747F">
        <w:t xml:space="preserve"> the CEO can </w:t>
      </w:r>
      <w:proofErr w:type="gramStart"/>
      <w:r w:rsidR="009D7BE5" w:rsidRPr="0052747F">
        <w:t>exempt</w:t>
      </w:r>
      <w:proofErr w:type="gramEnd"/>
      <w:r w:rsidR="009D7BE5" w:rsidRPr="0052747F">
        <w:t xml:space="preserve"> </w:t>
      </w:r>
      <w:r w:rsidR="000649B4" w:rsidRPr="0052747F">
        <w:t xml:space="preserve">it </w:t>
      </w:r>
      <w:r w:rsidR="009D7BE5" w:rsidRPr="0052747F">
        <w:t xml:space="preserve">provided </w:t>
      </w:r>
      <w:r w:rsidR="00E71C16">
        <w:t xml:space="preserve">he/she </w:t>
      </w:r>
      <w:r w:rsidR="00332901">
        <w:t xml:space="preserve">is satisfied </w:t>
      </w:r>
      <w:r>
        <w:t xml:space="preserve">it meets the criteria </w:t>
      </w:r>
      <w:r w:rsidR="00332901">
        <w:t xml:space="preserve">of a </w:t>
      </w:r>
      <w:r w:rsidR="00332901" w:rsidRPr="00332901">
        <w:rPr>
          <w:i/>
        </w:rPr>
        <w:t>low-dose</w:t>
      </w:r>
      <w:r w:rsidR="00332901">
        <w:t xml:space="preserve"> or </w:t>
      </w:r>
      <w:r w:rsidR="00332901" w:rsidRPr="00332901">
        <w:rPr>
          <w:i/>
        </w:rPr>
        <w:t>low-risk</w:t>
      </w:r>
      <w:r w:rsidR="00332901">
        <w:t xml:space="preserve"> dealing in </w:t>
      </w:r>
      <w:r w:rsidR="00771B06">
        <w:t>subsection</w:t>
      </w:r>
      <w:r w:rsidR="00332901">
        <w:t xml:space="preserve">s 44(4) &amp; 44(5) of the Regulations. </w:t>
      </w:r>
      <w:r w:rsidR="009D7BE5" w:rsidRPr="0052747F">
        <w:t xml:space="preserve">  </w:t>
      </w:r>
    </w:p>
    <w:p w14:paraId="503493F7" w14:textId="474DF95B" w:rsidR="009D7BE5" w:rsidRPr="0052747F" w:rsidRDefault="001A6220" w:rsidP="00ED1A65">
      <w:pPr>
        <w:spacing w:before="120"/>
      </w:pPr>
      <w:r>
        <w:t>U</w:t>
      </w:r>
      <w:r w:rsidR="00332901">
        <w:t xml:space="preserve">nder </w:t>
      </w:r>
      <w:r w:rsidR="00771B06">
        <w:t>subsection</w:t>
      </w:r>
      <w:r w:rsidR="00061E84">
        <w:t xml:space="preserve"> </w:t>
      </w:r>
      <w:r w:rsidR="00332901">
        <w:t>44(4) t</w:t>
      </w:r>
      <w:r w:rsidR="009D7BE5" w:rsidRPr="0052747F">
        <w:t>he applican</w:t>
      </w:r>
      <w:r w:rsidR="00332901">
        <w:t>t</w:t>
      </w:r>
      <w:r w:rsidR="009D7BE5" w:rsidRPr="0052747F">
        <w:t xml:space="preserve"> must demonstrate that for the </w:t>
      </w:r>
      <w:proofErr w:type="gramStart"/>
      <w:r w:rsidR="009D7BE5" w:rsidRPr="0052747F">
        <w:t>particular dealing</w:t>
      </w:r>
      <w:proofErr w:type="gramEnd"/>
      <w:r w:rsidR="009D7BE5" w:rsidRPr="0052747F">
        <w:t>:</w:t>
      </w:r>
    </w:p>
    <w:p w14:paraId="0C1D4672" w14:textId="77777777" w:rsidR="009D7BE5" w:rsidRPr="00710F32" w:rsidRDefault="009D7BE5" w:rsidP="00207A04">
      <w:pPr>
        <w:pStyle w:val="ListParagraph"/>
        <w:numPr>
          <w:ilvl w:val="0"/>
          <w:numId w:val="4"/>
        </w:numPr>
        <w:spacing w:before="120"/>
        <w:ind w:left="714" w:hanging="357"/>
        <w:contextualSpacing w:val="0"/>
        <w:rPr>
          <w:i/>
          <w:iCs/>
        </w:rPr>
      </w:pPr>
      <w:r w:rsidRPr="00710F32">
        <w:rPr>
          <w:i/>
          <w:iCs/>
        </w:rPr>
        <w:t xml:space="preserve">The annual effective dose to an individual during normal operations is not likely to exceed 10 </w:t>
      </w:r>
      <w:r w:rsidRPr="00710F32">
        <w:rPr>
          <w:rFonts w:ascii="Calibri" w:hAnsi="Calibri"/>
          <w:i/>
          <w:iCs/>
        </w:rPr>
        <w:sym w:font="Symbol" w:char="F06D"/>
      </w:r>
      <w:proofErr w:type="spellStart"/>
      <w:r w:rsidRPr="00710F32">
        <w:rPr>
          <w:i/>
          <w:iCs/>
        </w:rPr>
        <w:t>Sv</w:t>
      </w:r>
      <w:proofErr w:type="spellEnd"/>
      <w:r w:rsidRPr="00710F32">
        <w:rPr>
          <w:i/>
          <w:iCs/>
        </w:rPr>
        <w:t>; or</w:t>
      </w:r>
    </w:p>
    <w:p w14:paraId="5A24437A" w14:textId="163FA32E" w:rsidR="009D7BE5" w:rsidRPr="00710F32" w:rsidRDefault="009D7BE5" w:rsidP="00103EAC">
      <w:pPr>
        <w:pStyle w:val="ListParagraph"/>
        <w:numPr>
          <w:ilvl w:val="0"/>
          <w:numId w:val="4"/>
        </w:numPr>
        <w:rPr>
          <w:i/>
          <w:iCs/>
        </w:rPr>
      </w:pPr>
      <w:r w:rsidRPr="00710F32">
        <w:rPr>
          <w:i/>
          <w:iCs/>
        </w:rPr>
        <w:t>An accident, misuse or exceptional circumstance affecting the dealing is not likely to produce a dose greater than the effective dose limits. That is, for occupational exposure - not greater than 20 mSv per year averaged over 5 consecutive calendar years</w:t>
      </w:r>
      <w:r w:rsidR="00244AA4" w:rsidRPr="00710F32">
        <w:rPr>
          <w:i/>
          <w:iCs/>
        </w:rPr>
        <w:t xml:space="preserve"> for a person who is at least 18</w:t>
      </w:r>
      <w:r w:rsidRPr="00710F32">
        <w:rPr>
          <w:i/>
          <w:iCs/>
        </w:rPr>
        <w:t>, and not more than 50 mSv in one year; and for the public not greater than 1 mSv annually.</w:t>
      </w:r>
      <w:r w:rsidR="00244AA4" w:rsidRPr="00710F32">
        <w:rPr>
          <w:i/>
          <w:iCs/>
        </w:rPr>
        <w:t xml:space="preserve"> The limit on effective dose for occupational exposure of a person who is 16 or 17 is 6 mSv annually.</w:t>
      </w:r>
    </w:p>
    <w:p w14:paraId="4C52D666" w14:textId="0E855282" w:rsidR="00D63A42" w:rsidRPr="00A65E5F" w:rsidRDefault="009D7BE5" w:rsidP="00D63A42">
      <w:pPr>
        <w:spacing w:before="120"/>
      </w:pPr>
      <w:r w:rsidRPr="0052747F">
        <w:t>The CEO has determined that the more restrictive of the</w:t>
      </w:r>
      <w:r w:rsidR="000649B4" w:rsidRPr="0052747F">
        <w:t>se</w:t>
      </w:r>
      <w:r w:rsidRPr="0052747F">
        <w:t xml:space="preserve"> two tests must be met. </w:t>
      </w:r>
      <w:r w:rsidR="00D85F6C">
        <w:t>T</w:t>
      </w:r>
      <w:r w:rsidR="00E71C16">
        <w:t xml:space="preserve">he </w:t>
      </w:r>
      <w:r w:rsidR="00B264CF">
        <w:t>assessor</w:t>
      </w:r>
      <w:r w:rsidR="00332901" w:rsidRPr="0052747F">
        <w:t xml:space="preserve"> must ensure there is sufficient information to satisfy the more restrictive requirements before making a recommendation to the CEO or delegate.  </w:t>
      </w:r>
      <w:r w:rsidR="00D63A42">
        <w:t xml:space="preserve"> </w:t>
      </w:r>
      <w:r w:rsidR="00D63A42">
        <w:rPr>
          <w:i/>
        </w:rPr>
        <w:t xml:space="preserve">[See </w:t>
      </w:r>
      <w:hyperlink r:id="rId32" w:history="1">
        <w:r w:rsidR="00D63A42">
          <w:rPr>
            <w:rStyle w:val="Hyperlink"/>
            <w:rFonts w:eastAsia="Times New Roman"/>
          </w:rPr>
          <w:t>R20/05299</w:t>
        </w:r>
      </w:hyperlink>
      <w:r w:rsidR="00D63A42">
        <w:rPr>
          <w:rFonts w:eastAsia="Times New Roman"/>
        </w:rPr>
        <w:t xml:space="preserve"> </w:t>
      </w:r>
      <w:r w:rsidR="00D63A42">
        <w:rPr>
          <w:rFonts w:eastAsia="Times New Roman"/>
          <w:i/>
        </w:rPr>
        <w:t xml:space="preserve">for </w:t>
      </w:r>
      <w:r w:rsidR="00D63A42">
        <w:rPr>
          <w:i/>
        </w:rPr>
        <w:t xml:space="preserve">example]  </w:t>
      </w:r>
    </w:p>
    <w:p w14:paraId="7BE47D2B" w14:textId="77777777" w:rsidR="00193B8A" w:rsidRPr="00193B8A" w:rsidRDefault="00193B8A" w:rsidP="00710F32">
      <w:pPr>
        <w:spacing w:before="120" w:after="0"/>
      </w:pPr>
      <w:r w:rsidRPr="00193B8A">
        <w:t>Any submission for an exemption under paragraph 44(4)(a) should address annual effective doses for:</w:t>
      </w:r>
    </w:p>
    <w:p w14:paraId="07A2DE80" w14:textId="77777777" w:rsidR="00193B8A" w:rsidRPr="00193B8A" w:rsidRDefault="00193B8A" w:rsidP="00C92E88">
      <w:pPr>
        <w:numPr>
          <w:ilvl w:val="0"/>
          <w:numId w:val="34"/>
        </w:numPr>
        <w:spacing w:before="80" w:after="0" w:line="264" w:lineRule="auto"/>
      </w:pPr>
      <w:r w:rsidRPr="00193B8A">
        <w:t>normal use</w:t>
      </w:r>
    </w:p>
    <w:p w14:paraId="0E3E7BFE" w14:textId="77777777" w:rsidR="00193B8A" w:rsidRPr="00193B8A" w:rsidRDefault="00193B8A" w:rsidP="00C92E88">
      <w:pPr>
        <w:numPr>
          <w:ilvl w:val="0"/>
          <w:numId w:val="34"/>
        </w:numPr>
        <w:spacing w:before="120" w:after="0"/>
        <w:ind w:left="765" w:hanging="357"/>
        <w:contextualSpacing/>
      </w:pPr>
      <w:r w:rsidRPr="00193B8A">
        <w:t>accident scenarios</w:t>
      </w:r>
    </w:p>
    <w:p w14:paraId="0E276830" w14:textId="77777777" w:rsidR="00193B8A" w:rsidRPr="00193B8A" w:rsidRDefault="00193B8A" w:rsidP="00C92E88">
      <w:pPr>
        <w:numPr>
          <w:ilvl w:val="0"/>
          <w:numId w:val="34"/>
        </w:numPr>
        <w:spacing w:before="120" w:after="0"/>
        <w:ind w:left="765" w:hanging="357"/>
        <w:contextualSpacing/>
      </w:pPr>
      <w:r w:rsidRPr="00193B8A">
        <w:t>ultimate disposal scenarios</w:t>
      </w:r>
    </w:p>
    <w:p w14:paraId="18D4B3A9" w14:textId="77777777" w:rsidR="00193B8A" w:rsidRPr="00193B8A" w:rsidRDefault="00193B8A" w:rsidP="00C92E88">
      <w:pPr>
        <w:numPr>
          <w:ilvl w:val="0"/>
          <w:numId w:val="34"/>
        </w:numPr>
        <w:spacing w:before="120" w:after="0"/>
        <w:ind w:left="765" w:hanging="357"/>
        <w:contextualSpacing/>
      </w:pPr>
      <w:r w:rsidRPr="00193B8A">
        <w:t>routine maintenance scenarios</w:t>
      </w:r>
    </w:p>
    <w:p w14:paraId="32FD130B" w14:textId="77777777" w:rsidR="00193B8A" w:rsidRPr="00193B8A" w:rsidRDefault="00193B8A" w:rsidP="00C92E88">
      <w:pPr>
        <w:numPr>
          <w:ilvl w:val="0"/>
          <w:numId w:val="34"/>
        </w:numPr>
        <w:spacing w:before="120" w:after="0"/>
        <w:ind w:left="765" w:hanging="357"/>
        <w:contextualSpacing/>
      </w:pPr>
      <w:r w:rsidRPr="00193B8A">
        <w:t>source repair scenarios</w:t>
      </w:r>
    </w:p>
    <w:p w14:paraId="3855E3F4" w14:textId="112E97A4" w:rsidR="00BB6C0A" w:rsidRDefault="001A6220" w:rsidP="00710F32">
      <w:pPr>
        <w:spacing w:before="120" w:after="0"/>
      </w:pPr>
      <w:r>
        <w:t xml:space="preserve">Under </w:t>
      </w:r>
      <w:r w:rsidR="00771B06">
        <w:t>subsection</w:t>
      </w:r>
      <w:r>
        <w:t xml:space="preserve"> 44(5) the </w:t>
      </w:r>
      <w:r w:rsidR="00BB6C0A">
        <w:t xml:space="preserve">Regulations there are certain low risk dealings that the CEO may declare </w:t>
      </w:r>
      <w:r w:rsidR="00EF5E88">
        <w:t>are</w:t>
      </w:r>
      <w:r w:rsidR="00BB6C0A">
        <w:t xml:space="preserve"> exempt</w:t>
      </w:r>
      <w:r w:rsidR="00EF5E88">
        <w:t xml:space="preserve">: </w:t>
      </w:r>
    </w:p>
    <w:p w14:paraId="64924A5F" w14:textId="044A9228" w:rsidR="00BB6C0A" w:rsidRDefault="00AB1550" w:rsidP="00710F32">
      <w:pPr>
        <w:pStyle w:val="ListParagraph"/>
        <w:numPr>
          <w:ilvl w:val="0"/>
          <w:numId w:val="21"/>
        </w:numPr>
        <w:spacing w:before="0"/>
      </w:pPr>
      <w:r>
        <w:t>a</w:t>
      </w:r>
      <w:r w:rsidR="00BB6C0A">
        <w:t xml:space="preserve"> radiological emergency or its after-effects</w:t>
      </w:r>
    </w:p>
    <w:p w14:paraId="158F58F7" w14:textId="3BD5C8AC" w:rsidR="00BB6C0A" w:rsidRDefault="00AB1550" w:rsidP="00103EAC">
      <w:pPr>
        <w:pStyle w:val="ListParagraph"/>
        <w:numPr>
          <w:ilvl w:val="0"/>
          <w:numId w:val="21"/>
        </w:numPr>
      </w:pPr>
      <w:r>
        <w:t>t</w:t>
      </w:r>
      <w:r w:rsidR="00BB6C0A">
        <w:t>he after-effects of a previous dealing</w:t>
      </w:r>
    </w:p>
    <w:p w14:paraId="2F5A3467" w14:textId="1380348C" w:rsidR="00BB6C0A" w:rsidRDefault="00AB1550" w:rsidP="00103EAC">
      <w:pPr>
        <w:pStyle w:val="ListParagraph"/>
        <w:numPr>
          <w:ilvl w:val="0"/>
          <w:numId w:val="21"/>
        </w:numPr>
      </w:pPr>
      <w:r>
        <w:t>n</w:t>
      </w:r>
      <w:r w:rsidR="00BB6C0A">
        <w:t>aturally occurring materials</w:t>
      </w:r>
    </w:p>
    <w:p w14:paraId="081AECC3" w14:textId="386C8BF8" w:rsidR="00BB6C0A" w:rsidRDefault="00AB1550" w:rsidP="00103EAC">
      <w:pPr>
        <w:pStyle w:val="ListParagraph"/>
        <w:numPr>
          <w:ilvl w:val="0"/>
          <w:numId w:val="21"/>
        </w:numPr>
      </w:pPr>
      <w:r>
        <w:t>b</w:t>
      </w:r>
      <w:r w:rsidR="00BB6C0A">
        <w:t>ulk material with a mass of more than 1000 kg</w:t>
      </w:r>
    </w:p>
    <w:p w14:paraId="6D80BDA2" w14:textId="437C3A1B" w:rsidR="003A640C" w:rsidRDefault="00EF5E88" w:rsidP="00ED1A65">
      <w:pPr>
        <w:spacing w:before="120"/>
      </w:pPr>
      <w:r>
        <w:t>T</w:t>
      </w:r>
      <w:r w:rsidR="00BB6C0A">
        <w:t xml:space="preserve">he </w:t>
      </w:r>
      <w:r>
        <w:t xml:space="preserve">applicant must demonstrate that the magnitude of individual doses, the number of people exposed and the likelihood that potential exposure will </w:t>
      </w:r>
      <w:proofErr w:type="gramStart"/>
      <w:r>
        <w:t>actually occur</w:t>
      </w:r>
      <w:proofErr w:type="gramEnd"/>
      <w:r>
        <w:t xml:space="preserve"> justifies the dealing being exempt</w:t>
      </w:r>
      <w:r w:rsidR="00BB6C0A">
        <w:t xml:space="preserve">. </w:t>
      </w:r>
    </w:p>
    <w:p w14:paraId="71280F72" w14:textId="040E2A9D" w:rsidR="00856584" w:rsidRPr="00ED1A65" w:rsidRDefault="00856584" w:rsidP="00103EAC">
      <w:pPr>
        <w:pStyle w:val="ListParagraph"/>
        <w:numPr>
          <w:ilvl w:val="0"/>
          <w:numId w:val="41"/>
        </w:numPr>
        <w:spacing w:before="120"/>
        <w:rPr>
          <w:b/>
          <w:color w:val="4E1A74" w:themeColor="accent2"/>
        </w:rPr>
      </w:pPr>
      <w:r w:rsidRPr="00ED1A65">
        <w:rPr>
          <w:b/>
          <w:color w:val="4E1A74" w:themeColor="accent2"/>
        </w:rPr>
        <w:t>Further information &amp; site visits</w:t>
      </w:r>
    </w:p>
    <w:p w14:paraId="625F8BC2" w14:textId="6B46538D" w:rsidR="009D7BE5" w:rsidRPr="0052747F" w:rsidRDefault="009D7BE5" w:rsidP="00C92E88">
      <w:pPr>
        <w:spacing w:before="120"/>
      </w:pPr>
      <w:r w:rsidRPr="0052747F">
        <w:t xml:space="preserve">Where </w:t>
      </w:r>
      <w:r w:rsidR="00BB2502" w:rsidRPr="0052747F">
        <w:t>necessary</w:t>
      </w:r>
      <w:r w:rsidRPr="0052747F">
        <w:t xml:space="preserve">, the </w:t>
      </w:r>
      <w:r w:rsidR="00B264CF">
        <w:t>assessor</w:t>
      </w:r>
      <w:r w:rsidRPr="0052747F">
        <w:t xml:space="preserve"> </w:t>
      </w:r>
      <w:r w:rsidR="006D70C6" w:rsidRPr="0052747F">
        <w:t xml:space="preserve">will </w:t>
      </w:r>
      <w:r w:rsidRPr="0052747F">
        <w:t>request further information</w:t>
      </w:r>
      <w:r w:rsidR="00317662" w:rsidRPr="0052747F">
        <w:t xml:space="preserve"> </w:t>
      </w:r>
      <w:r w:rsidR="00A87D5E">
        <w:t>(</w:t>
      </w:r>
      <w:r w:rsidR="00317662" w:rsidRPr="0052747F">
        <w:t>using</w:t>
      </w:r>
      <w:r w:rsidR="00A87D5E">
        <w:t xml:space="preserve"> appropriate email template).</w:t>
      </w:r>
      <w:r w:rsidR="00472E72" w:rsidRPr="0052747F">
        <w:t xml:space="preserve"> Meetings or</w:t>
      </w:r>
      <w:r w:rsidR="006D70C6" w:rsidRPr="0052747F">
        <w:t xml:space="preserve"> </w:t>
      </w:r>
      <w:r w:rsidRPr="0052747F">
        <w:t>site visit</w:t>
      </w:r>
      <w:r w:rsidR="00472E72" w:rsidRPr="0052747F">
        <w:t>s may also be considered</w:t>
      </w:r>
      <w:r w:rsidRPr="0052747F">
        <w:t xml:space="preserve">. </w:t>
      </w:r>
    </w:p>
    <w:p w14:paraId="4C20BB34" w14:textId="0E90441B" w:rsidR="003A45AD" w:rsidRDefault="003A45AD" w:rsidP="001A4A44">
      <w:pPr>
        <w:pStyle w:val="Heading2"/>
      </w:pPr>
      <w:r>
        <w:t>Documenting the assessment</w:t>
      </w:r>
    </w:p>
    <w:p w14:paraId="6ED5A208" w14:textId="161D6585" w:rsidR="00D861AF" w:rsidRDefault="003A45AD" w:rsidP="00ED1A65">
      <w:pPr>
        <w:spacing w:before="120"/>
      </w:pPr>
      <w:r w:rsidRPr="0052747F">
        <w:t xml:space="preserve">If satisfied that the applicant has addressed the relevant statutory criteria, the </w:t>
      </w:r>
      <w:r w:rsidR="00B264CF">
        <w:t>assessor</w:t>
      </w:r>
      <w:r w:rsidRPr="0052747F">
        <w:t xml:space="preserve"> prepares </w:t>
      </w:r>
      <w:r w:rsidR="006A239C">
        <w:t xml:space="preserve">a </w:t>
      </w:r>
      <w:r w:rsidR="008E46AC">
        <w:t>RAR</w:t>
      </w:r>
      <w:r w:rsidR="002B427D">
        <w:t xml:space="preserve"> using </w:t>
      </w:r>
      <w:r w:rsidR="00D90FF5">
        <w:t xml:space="preserve">one of </w:t>
      </w:r>
      <w:r w:rsidR="002B427D">
        <w:t xml:space="preserve">the </w:t>
      </w:r>
      <w:r w:rsidR="00D90FF5">
        <w:t xml:space="preserve">following </w:t>
      </w:r>
      <w:r w:rsidR="002B427D">
        <w:t>template</w:t>
      </w:r>
      <w:r w:rsidR="00D90FF5">
        <w:t>s</w:t>
      </w:r>
      <w:r w:rsidR="008E46AC">
        <w:t xml:space="preserve"> </w:t>
      </w:r>
      <w:r w:rsidRPr="0052747F">
        <w:t>setting out the basis</w:t>
      </w:r>
      <w:r>
        <w:t xml:space="preserve"> for recommending</w:t>
      </w:r>
      <w:r w:rsidRPr="0052747F">
        <w:t xml:space="preserve"> </w:t>
      </w:r>
      <w:r w:rsidR="0091375F">
        <w:t xml:space="preserve">the </w:t>
      </w:r>
      <w:r w:rsidRPr="0052747F">
        <w:t xml:space="preserve">exemption.  </w:t>
      </w:r>
    </w:p>
    <w:p w14:paraId="0A043B7F" w14:textId="77777777" w:rsidR="00FE6D6F" w:rsidRPr="00710F32" w:rsidRDefault="00D861AF" w:rsidP="00FE6D6F">
      <w:pPr>
        <w:pStyle w:val="ListParagraph"/>
        <w:numPr>
          <w:ilvl w:val="0"/>
          <w:numId w:val="67"/>
        </w:numPr>
        <w:spacing w:before="120"/>
        <w:rPr>
          <w:rStyle w:val="Hyperlink"/>
          <w:color w:val="auto"/>
          <w:u w:val="none"/>
        </w:rPr>
      </w:pPr>
      <w:r>
        <w:lastRenderedPageBreak/>
        <w:t>IR source</w:t>
      </w:r>
      <w:r w:rsidR="00FE6D6F">
        <w:t xml:space="preserve"> </w:t>
      </w:r>
      <w:hyperlink r:id="rId33" w:history="1">
        <w:r w:rsidRPr="002B427D">
          <w:rPr>
            <w:rStyle w:val="Hyperlink"/>
          </w:rPr>
          <w:t>ARPANSA-TMP-1900</w:t>
        </w:r>
      </w:hyperlink>
    </w:p>
    <w:p w14:paraId="7F959ED7" w14:textId="77777777" w:rsidR="0094455E" w:rsidRPr="00710F32" w:rsidRDefault="00FE6D6F" w:rsidP="00FE6D6F">
      <w:pPr>
        <w:pStyle w:val="ListParagraph"/>
        <w:numPr>
          <w:ilvl w:val="0"/>
          <w:numId w:val="67"/>
        </w:numPr>
        <w:spacing w:before="120"/>
        <w:rPr>
          <w:rStyle w:val="Hyperlink"/>
          <w:color w:val="auto"/>
          <w:u w:val="none"/>
        </w:rPr>
      </w:pPr>
      <w:r>
        <w:t xml:space="preserve">NIR source </w:t>
      </w:r>
      <w:hyperlink r:id="rId34" w:history="1">
        <w:r w:rsidR="00D861AF" w:rsidRPr="002B427D">
          <w:rPr>
            <w:rStyle w:val="Hyperlink"/>
          </w:rPr>
          <w:t>ARPANSA-TMP-1730</w:t>
        </w:r>
      </w:hyperlink>
      <w:r w:rsidR="00D861AF" w:rsidRPr="007E27A8">
        <w:rPr>
          <w:rStyle w:val="Hyperlink"/>
          <w:u w:val="none"/>
        </w:rPr>
        <w:t xml:space="preserve"> </w:t>
      </w:r>
    </w:p>
    <w:p w14:paraId="63E7151A" w14:textId="1A9F60C6" w:rsidR="00D63A42" w:rsidRDefault="00FE6D6F" w:rsidP="00710F32">
      <w:pPr>
        <w:pStyle w:val="ListParagraph"/>
        <w:numPr>
          <w:ilvl w:val="0"/>
          <w:numId w:val="67"/>
        </w:numPr>
        <w:spacing w:before="120"/>
      </w:pPr>
      <w:r w:rsidRPr="007E27A8">
        <w:rPr>
          <w:rStyle w:val="Hyperlink"/>
          <w:color w:val="auto"/>
          <w:u w:val="none"/>
        </w:rPr>
        <w:t>Facility</w:t>
      </w:r>
      <w:r w:rsidR="0094455E" w:rsidRPr="00815882">
        <w:rPr>
          <w:rStyle w:val="Hyperlink"/>
          <w:u w:val="none"/>
        </w:rPr>
        <w:t xml:space="preserve"> </w:t>
      </w:r>
      <w:hyperlink r:id="rId35" w:history="1">
        <w:r w:rsidR="00922E6A" w:rsidRPr="00922E6A">
          <w:rPr>
            <w:rStyle w:val="Hyperlink"/>
          </w:rPr>
          <w:t>ARPANSA-TMP-2083</w:t>
        </w:r>
      </w:hyperlink>
    </w:p>
    <w:p w14:paraId="4A9899BD" w14:textId="77777777" w:rsidR="002761B2" w:rsidRDefault="002761B2" w:rsidP="002761B2">
      <w:pPr>
        <w:pStyle w:val="Heading2"/>
      </w:pPr>
      <w:r>
        <w:t>Preparing public notices</w:t>
      </w:r>
    </w:p>
    <w:p w14:paraId="5B4ED61A" w14:textId="28059A8C" w:rsidR="002761B2" w:rsidRPr="00367907" w:rsidRDefault="002761B2" w:rsidP="00710F32">
      <w:pPr>
        <w:spacing w:before="120"/>
      </w:pPr>
      <w:r w:rsidRPr="00367907">
        <w:t xml:space="preserve">For exemptions relating to </w:t>
      </w:r>
      <w:r w:rsidRPr="00367907">
        <w:rPr>
          <w:b/>
          <w:bCs/>
        </w:rPr>
        <w:t>sources</w:t>
      </w:r>
      <w:r w:rsidRPr="00367907">
        <w:t xml:space="preserve"> the </w:t>
      </w:r>
      <w:r w:rsidR="00B264CF">
        <w:t>assessor</w:t>
      </w:r>
      <w:r w:rsidRPr="00367907">
        <w:t xml:space="preserve"> prepares</w:t>
      </w:r>
      <w:r>
        <w:t xml:space="preserve"> the relevant declaration</w:t>
      </w:r>
      <w:r w:rsidRPr="00367907">
        <w:t xml:space="preserve">: </w:t>
      </w:r>
    </w:p>
    <w:p w14:paraId="7A78999B" w14:textId="77777777" w:rsidR="002761B2" w:rsidRDefault="009B763C" w:rsidP="00710F32">
      <w:pPr>
        <w:pStyle w:val="ListParagraph"/>
        <w:numPr>
          <w:ilvl w:val="0"/>
          <w:numId w:val="68"/>
        </w:numPr>
        <w:spacing w:before="60" w:after="0"/>
        <w:ind w:left="851" w:hanging="425"/>
        <w:contextualSpacing w:val="0"/>
        <w:rPr>
          <w:rStyle w:val="Hyperlink"/>
        </w:rPr>
      </w:pPr>
      <w:hyperlink w:anchor="_Public_declaration_of_1" w:history="1">
        <w:r w:rsidR="002761B2" w:rsidRPr="0052747F">
          <w:rPr>
            <w:rStyle w:val="Hyperlink"/>
          </w:rPr>
          <w:t xml:space="preserve">Declaration of exemption under </w:t>
        </w:r>
        <w:r w:rsidR="002761B2">
          <w:rPr>
            <w:rStyle w:val="Hyperlink"/>
          </w:rPr>
          <w:t>s44</w:t>
        </w:r>
        <w:r w:rsidR="002761B2" w:rsidRPr="0052747F">
          <w:rPr>
            <w:rStyle w:val="Hyperlink"/>
          </w:rPr>
          <w:t>(</w:t>
        </w:r>
        <w:r w:rsidR="002761B2">
          <w:rPr>
            <w:rStyle w:val="Hyperlink"/>
          </w:rPr>
          <w:t>4)/44(5)</w:t>
        </w:r>
      </w:hyperlink>
      <w:r w:rsidR="002761B2">
        <w:rPr>
          <w:rStyle w:val="Hyperlink"/>
        </w:rPr>
        <w:t xml:space="preserve"> </w:t>
      </w:r>
    </w:p>
    <w:p w14:paraId="7FA9BA4D" w14:textId="77777777" w:rsidR="002761B2" w:rsidRPr="00E85506" w:rsidRDefault="009B763C" w:rsidP="00710F32">
      <w:pPr>
        <w:pStyle w:val="ListParagraph"/>
        <w:numPr>
          <w:ilvl w:val="0"/>
          <w:numId w:val="68"/>
        </w:numPr>
        <w:spacing w:before="60" w:after="0"/>
        <w:ind w:left="851" w:hanging="425"/>
        <w:contextualSpacing w:val="0"/>
      </w:pPr>
      <w:hyperlink w:anchor="_Public_declaration_of" w:history="1">
        <w:r w:rsidR="002761B2" w:rsidRPr="0052747F">
          <w:rPr>
            <w:rStyle w:val="Hyperlink"/>
          </w:rPr>
          <w:t xml:space="preserve">Declaration of exemption under </w:t>
        </w:r>
        <w:r w:rsidR="002761B2">
          <w:rPr>
            <w:rStyle w:val="Hyperlink"/>
          </w:rPr>
          <w:t>s9</w:t>
        </w:r>
        <w:r w:rsidR="002761B2" w:rsidRPr="0052747F">
          <w:rPr>
            <w:rStyle w:val="Hyperlink"/>
          </w:rPr>
          <w:t>(</w:t>
        </w:r>
        <w:r w:rsidR="002761B2">
          <w:rPr>
            <w:rStyle w:val="Hyperlink"/>
          </w:rPr>
          <w:t>2</w:t>
        </w:r>
        <w:r w:rsidR="002761B2" w:rsidRPr="0052747F">
          <w:rPr>
            <w:rStyle w:val="Hyperlink"/>
          </w:rPr>
          <w:t>)</w:t>
        </w:r>
      </w:hyperlink>
      <w:r w:rsidR="002761B2">
        <w:rPr>
          <w:rStyle w:val="Hyperlink"/>
        </w:rPr>
        <w:t xml:space="preserve"> </w:t>
      </w:r>
    </w:p>
    <w:p w14:paraId="2D5D2ADD" w14:textId="33078A21" w:rsidR="002761B2" w:rsidRPr="00246266" w:rsidRDefault="002761B2" w:rsidP="002761B2">
      <w:r w:rsidRPr="00246266">
        <w:t xml:space="preserve">For declarations relating to a </w:t>
      </w:r>
      <w:r w:rsidRPr="00246266">
        <w:rPr>
          <w:b/>
          <w:bCs/>
        </w:rPr>
        <w:t>facility</w:t>
      </w:r>
      <w:r w:rsidRPr="00246266">
        <w:t xml:space="preserve"> under subsection 43(2) of the Regulations the </w:t>
      </w:r>
      <w:r w:rsidR="00B264CF">
        <w:t>assessor</w:t>
      </w:r>
      <w:r w:rsidRPr="00246266">
        <w:t xml:space="preserve"> prepares:</w:t>
      </w:r>
    </w:p>
    <w:p w14:paraId="6A4222BF" w14:textId="77777777" w:rsidR="002761B2" w:rsidRPr="00710F32" w:rsidRDefault="009B763C" w:rsidP="00710F32">
      <w:pPr>
        <w:pStyle w:val="ListParagraph"/>
        <w:numPr>
          <w:ilvl w:val="0"/>
          <w:numId w:val="69"/>
        </w:numPr>
        <w:spacing w:before="60" w:after="0"/>
        <w:contextualSpacing w:val="0"/>
        <w:rPr>
          <w:u w:val="single"/>
        </w:rPr>
      </w:pPr>
      <w:hyperlink w:anchor="_Public_notice_of" w:history="1">
        <w:r w:rsidR="002761B2">
          <w:rPr>
            <w:rStyle w:val="Hyperlink"/>
          </w:rPr>
          <w:t>N</w:t>
        </w:r>
        <w:r w:rsidR="002761B2" w:rsidRPr="0052747F">
          <w:rPr>
            <w:rStyle w:val="Hyperlink"/>
          </w:rPr>
          <w:t xml:space="preserve">otice of </w:t>
        </w:r>
        <w:r w:rsidR="002761B2">
          <w:rPr>
            <w:rStyle w:val="Hyperlink"/>
          </w:rPr>
          <w:t>proposal</w:t>
        </w:r>
        <w:r w:rsidR="002761B2" w:rsidRPr="0052747F">
          <w:rPr>
            <w:rStyle w:val="Hyperlink"/>
          </w:rPr>
          <w:t xml:space="preserve"> to make a declaration</w:t>
        </w:r>
      </w:hyperlink>
      <w:r w:rsidR="002761B2" w:rsidRPr="006A239C">
        <w:rPr>
          <w:rStyle w:val="Hyperlink"/>
        </w:rPr>
        <w:t xml:space="preserve"> </w:t>
      </w:r>
      <w:r w:rsidR="002761B2" w:rsidRPr="00246266">
        <w:t xml:space="preserve">which the CEO must publish in a daily newspaper circulating nationally and on the ARPANSA </w:t>
      </w:r>
      <w:r w:rsidR="002761B2" w:rsidRPr="00710F32">
        <w:t>website</w:t>
      </w:r>
      <w:r w:rsidR="002761B2" w:rsidRPr="00710F32">
        <w:rPr>
          <w:i/>
        </w:rPr>
        <w:t xml:space="preserve"> </w:t>
      </w:r>
      <w:r w:rsidR="002761B2" w:rsidRPr="00710F32">
        <w:rPr>
          <w:b/>
          <w:bCs/>
          <w:u w:val="single"/>
        </w:rPr>
        <w:t>BEFORE the declaration is published</w:t>
      </w:r>
      <w:r w:rsidR="002761B2" w:rsidRPr="00710F32">
        <w:rPr>
          <w:u w:val="single"/>
        </w:rPr>
        <w:t>.</w:t>
      </w:r>
    </w:p>
    <w:p w14:paraId="063BD7A6" w14:textId="4B5A6E7A" w:rsidR="002761B2" w:rsidRPr="00710F32" w:rsidRDefault="009B763C" w:rsidP="00B65AD1">
      <w:pPr>
        <w:pStyle w:val="ListParagraph"/>
        <w:numPr>
          <w:ilvl w:val="0"/>
          <w:numId w:val="69"/>
        </w:numPr>
        <w:spacing w:before="60" w:after="0"/>
        <w:contextualSpacing w:val="0"/>
        <w:rPr>
          <w:rFonts w:ascii="Calibri" w:eastAsiaTheme="majorEastAsia" w:hAnsi="Calibri" w:cstheme="majorBidi"/>
          <w:b/>
          <w:bCs/>
          <w:sz w:val="26"/>
          <w:szCs w:val="26"/>
        </w:rPr>
      </w:pPr>
      <w:hyperlink w:anchor="_Public_declaration_of_1" w:history="1">
        <w:r w:rsidR="002761B2" w:rsidRPr="00710F32">
          <w:rPr>
            <w:rStyle w:val="Hyperlink"/>
            <w:color w:val="auto"/>
            <w:u w:val="none"/>
          </w:rPr>
          <w:t>Declaration of exemption</w:t>
        </w:r>
      </w:hyperlink>
      <w:r w:rsidR="002761B2" w:rsidRPr="00710F32">
        <w:rPr>
          <w:rStyle w:val="Hyperlink"/>
          <w:color w:val="auto"/>
          <w:u w:val="none"/>
        </w:rPr>
        <w:t xml:space="preserve"> </w:t>
      </w:r>
      <w:r w:rsidR="002761B2" w:rsidRPr="00710F32">
        <w:t xml:space="preserve">which the CEO must publish on the ARPANSA website as soon as practicable after making the exemption. NOTE: The declaration must </w:t>
      </w:r>
      <w:r w:rsidR="002761B2" w:rsidRPr="00710F32">
        <w:rPr>
          <w:b/>
          <w:bCs/>
        </w:rPr>
        <w:t>NOT</w:t>
      </w:r>
      <w:r w:rsidR="002761B2" w:rsidRPr="00710F32">
        <w:t xml:space="preserve"> be published until </w:t>
      </w:r>
      <w:r w:rsidR="002761B2" w:rsidRPr="00710F32">
        <w:rPr>
          <w:b/>
          <w:bCs/>
        </w:rPr>
        <w:t xml:space="preserve">at least 7 days AFTER </w:t>
      </w:r>
      <w:r w:rsidR="002761B2" w:rsidRPr="00710F32">
        <w:t xml:space="preserve">the proposal. </w:t>
      </w:r>
    </w:p>
    <w:p w14:paraId="66083233" w14:textId="5E62E84F" w:rsidR="009D7BE5" w:rsidRPr="00710F32" w:rsidRDefault="00281345" w:rsidP="001A4A44">
      <w:pPr>
        <w:pStyle w:val="Heading2"/>
        <w:rPr>
          <w:color w:val="auto"/>
        </w:rPr>
      </w:pPr>
      <w:r w:rsidRPr="00710F32">
        <w:rPr>
          <w:color w:val="auto"/>
        </w:rPr>
        <w:t xml:space="preserve">Review &amp; </w:t>
      </w:r>
      <w:r w:rsidR="001C7A67" w:rsidRPr="00710F32">
        <w:rPr>
          <w:color w:val="auto"/>
        </w:rPr>
        <w:t>a</w:t>
      </w:r>
      <w:r w:rsidR="009D7BE5" w:rsidRPr="00710F32">
        <w:rPr>
          <w:color w:val="auto"/>
        </w:rPr>
        <w:t>pproval</w:t>
      </w:r>
    </w:p>
    <w:p w14:paraId="0D678A33" w14:textId="14F38D08" w:rsidR="00D543F8" w:rsidRPr="00246266" w:rsidRDefault="00D543F8" w:rsidP="00D543F8">
      <w:pPr>
        <w:spacing w:before="120"/>
      </w:pPr>
      <w:r w:rsidRPr="00246266">
        <w:t>For</w:t>
      </w:r>
      <w:r w:rsidRPr="00246266">
        <w:rPr>
          <w:b/>
          <w:bCs/>
        </w:rPr>
        <w:t xml:space="preserve"> source exemptions </w:t>
      </w:r>
      <w:r w:rsidRPr="00246266">
        <w:t xml:space="preserve">the RAR, declaration and letter to the applicant are subject to the review </w:t>
      </w:r>
      <w:r>
        <w:t xml:space="preserve">and approval </w:t>
      </w:r>
      <w:r w:rsidRPr="00246266">
        <w:t xml:space="preserve">process described in paragraph 2.6 of this manual. </w:t>
      </w:r>
    </w:p>
    <w:p w14:paraId="582D8EAF" w14:textId="77777777" w:rsidR="00D543F8" w:rsidRPr="00295CB7" w:rsidRDefault="00D543F8" w:rsidP="00D543F8">
      <w:pPr>
        <w:rPr>
          <w:color w:val="4E1A74"/>
        </w:rPr>
      </w:pPr>
      <w:r w:rsidRPr="00246266">
        <w:t xml:space="preserve">For </w:t>
      </w:r>
      <w:r w:rsidRPr="00246266">
        <w:rPr>
          <w:b/>
          <w:bCs/>
        </w:rPr>
        <w:t>facility exemptions</w:t>
      </w:r>
      <w:r>
        <w:rPr>
          <w:b/>
          <w:bCs/>
        </w:rPr>
        <w:t xml:space="preserve"> </w:t>
      </w:r>
      <w:r>
        <w:t>th</w:t>
      </w:r>
      <w:r w:rsidRPr="00246266">
        <w:t>e RAR</w:t>
      </w:r>
      <w:r>
        <w:t>,</w:t>
      </w:r>
      <w:r w:rsidRPr="00246266">
        <w:t xml:space="preserve"> </w:t>
      </w:r>
      <w:r>
        <w:t>notice of p</w:t>
      </w:r>
      <w:r w:rsidRPr="00246266">
        <w:t>roposal to make a declaration</w:t>
      </w:r>
      <w:r>
        <w:t>, declaration of exemption, and letter to the applicant are subject to the</w:t>
      </w:r>
      <w:r w:rsidRPr="00246266">
        <w:t xml:space="preserve"> review and approval</w:t>
      </w:r>
      <w:r>
        <w:t xml:space="preserve"> process.</w:t>
      </w:r>
    </w:p>
    <w:p w14:paraId="27E07765" w14:textId="77777777" w:rsidR="00B65AD1" w:rsidRDefault="00B65AD1" w:rsidP="00B65AD1">
      <w:pPr>
        <w:pStyle w:val="Heading2"/>
        <w:spacing w:before="360"/>
      </w:pPr>
      <w:r>
        <w:t>Publishing the declaration</w:t>
      </w:r>
    </w:p>
    <w:p w14:paraId="69513222" w14:textId="7639DB7C" w:rsidR="00B65AD1" w:rsidRPr="00710F32" w:rsidRDefault="00B65AD1" w:rsidP="00710F32">
      <w:pPr>
        <w:spacing w:before="120"/>
      </w:pPr>
      <w:r w:rsidRPr="00710F32">
        <w:t xml:space="preserve">For </w:t>
      </w:r>
      <w:r w:rsidRPr="00710F32">
        <w:rPr>
          <w:b/>
          <w:bCs/>
        </w:rPr>
        <w:t xml:space="preserve">sources </w:t>
      </w:r>
      <w:r w:rsidRPr="00710F32">
        <w:t xml:space="preserve">the </w:t>
      </w:r>
      <w:r w:rsidR="00B264CF" w:rsidRPr="00710F32">
        <w:t>assessor</w:t>
      </w:r>
      <w:r w:rsidRPr="00710F32">
        <w:t xml:space="preserve"> should send the approved declaration to the LAO with a request to publish. The LAO will liaise with Comms to have the notice published on the website.   </w:t>
      </w:r>
    </w:p>
    <w:p w14:paraId="6AFD3763" w14:textId="601079B3" w:rsidR="00B65AD1" w:rsidRPr="00710F32" w:rsidRDefault="00B65AD1" w:rsidP="00B65AD1">
      <w:r w:rsidRPr="00710F32">
        <w:t xml:space="preserve">For </w:t>
      </w:r>
      <w:r w:rsidRPr="00710F32">
        <w:rPr>
          <w:b/>
          <w:bCs/>
        </w:rPr>
        <w:t>facilities</w:t>
      </w:r>
      <w:r w:rsidRPr="00710F32">
        <w:t xml:space="preserve"> the </w:t>
      </w:r>
      <w:r w:rsidR="00B264CF" w:rsidRPr="00710F32">
        <w:t>assessor</w:t>
      </w:r>
      <w:r w:rsidRPr="00710F32">
        <w:t xml:space="preserve"> should: </w:t>
      </w:r>
    </w:p>
    <w:p w14:paraId="0F42C688" w14:textId="77777777" w:rsidR="00B65AD1" w:rsidRPr="00710F32" w:rsidRDefault="00B65AD1" w:rsidP="00B65AD1">
      <w:pPr>
        <w:pStyle w:val="ListParagraph"/>
        <w:numPr>
          <w:ilvl w:val="0"/>
          <w:numId w:val="70"/>
        </w:numPr>
        <w:spacing w:before="120" w:after="0" w:line="264" w:lineRule="auto"/>
        <w:contextualSpacing w:val="0"/>
      </w:pPr>
      <w:r w:rsidRPr="00710F32">
        <w:t xml:space="preserve">Send the approved </w:t>
      </w:r>
      <w:r w:rsidRPr="00710F32">
        <w:rPr>
          <w:b/>
          <w:bCs/>
        </w:rPr>
        <w:t xml:space="preserve">notice of proposal to make a declaration </w:t>
      </w:r>
      <w:r w:rsidRPr="00710F32">
        <w:t xml:space="preserve">to the LAO with a request to publish. The LAO will liaise with Comms to have the notice published on the website and in a national newspaper. </w:t>
      </w:r>
    </w:p>
    <w:p w14:paraId="0FC702BC" w14:textId="77777777" w:rsidR="00B65AD1" w:rsidRPr="00710F32" w:rsidRDefault="00B65AD1" w:rsidP="00B65AD1">
      <w:pPr>
        <w:pStyle w:val="ListParagraph"/>
        <w:numPr>
          <w:ilvl w:val="0"/>
          <w:numId w:val="70"/>
        </w:numPr>
        <w:spacing w:before="120" w:after="0" w:line="264" w:lineRule="auto"/>
        <w:contextualSpacing w:val="0"/>
      </w:pPr>
      <w:r w:rsidRPr="00710F32">
        <w:t xml:space="preserve">Send the approved </w:t>
      </w:r>
      <w:r w:rsidRPr="00710F32">
        <w:rPr>
          <w:b/>
          <w:bCs/>
        </w:rPr>
        <w:t>declaration</w:t>
      </w:r>
      <w:r w:rsidRPr="00710F32">
        <w:t xml:space="preserve"> to the LAO </w:t>
      </w:r>
      <w:r w:rsidRPr="00710F32">
        <w:rPr>
          <w:b/>
          <w:bCs/>
        </w:rPr>
        <w:t>at least 7 days</w:t>
      </w:r>
      <w:r w:rsidRPr="00710F32">
        <w:t xml:space="preserve"> </w:t>
      </w:r>
      <w:r w:rsidRPr="00710F32">
        <w:rPr>
          <w:b/>
          <w:bCs/>
          <w:u w:val="single"/>
        </w:rPr>
        <w:t>after</w:t>
      </w:r>
      <w:r w:rsidRPr="00710F32">
        <w:t xml:space="preserve"> the proposal notice has been published. The LAO will liaise with Comms to have the notice published on the website and the proposal notice removed.     </w:t>
      </w:r>
    </w:p>
    <w:p w14:paraId="60C0AA08" w14:textId="5E76223A" w:rsidR="00B65AD1" w:rsidRPr="00E83C4F" w:rsidRDefault="00B65AD1" w:rsidP="00710F32">
      <w:pPr>
        <w:pStyle w:val="Heading2"/>
      </w:pPr>
      <w:r>
        <w:t>Notifying the applicant</w:t>
      </w:r>
    </w:p>
    <w:p w14:paraId="5A47D689" w14:textId="7697877F" w:rsidR="00B65AD1" w:rsidRPr="00246266" w:rsidRDefault="0047790C" w:rsidP="00B65AD1">
      <w:pPr>
        <w:spacing w:before="120"/>
      </w:pPr>
      <w:r>
        <w:t>The</w:t>
      </w:r>
      <w:r w:rsidR="00B65AD1" w:rsidRPr="00246266">
        <w:t xml:space="preserve"> notification of </w:t>
      </w:r>
      <w:r>
        <w:t xml:space="preserve">an </w:t>
      </w:r>
      <w:r w:rsidR="00B65AD1" w:rsidRPr="00246266">
        <w:t xml:space="preserve">approved exemption should be sent to the applicant via the licence admin mailbox.  This will usually be done by the LAO but if unavailable should be done by the </w:t>
      </w:r>
      <w:r w:rsidR="00B264CF">
        <w:t>assessor</w:t>
      </w:r>
      <w:r w:rsidR="00B65AD1" w:rsidRPr="00246266">
        <w:t xml:space="preserve"> and copied to licence admin.   </w:t>
      </w:r>
    </w:p>
    <w:p w14:paraId="03F4E879" w14:textId="77777777" w:rsidR="00B65AD1" w:rsidRPr="0052747F" w:rsidRDefault="00B65AD1" w:rsidP="00710F32">
      <w:pPr>
        <w:pStyle w:val="Heading2"/>
      </w:pPr>
      <w:r w:rsidRPr="0052747F">
        <w:t>Record keeping</w:t>
      </w:r>
    </w:p>
    <w:p w14:paraId="6587126B" w14:textId="101F71DD" w:rsidR="00B65AD1" w:rsidRPr="00330081" w:rsidRDefault="00B65AD1" w:rsidP="00B65AD1">
      <w:pPr>
        <w:spacing w:before="120"/>
        <w:rPr>
          <w:iCs/>
        </w:rPr>
      </w:pPr>
      <w:r w:rsidRPr="00246266">
        <w:t xml:space="preserve">All documentation must be saved in CM and LAD updated accordingly.  The </w:t>
      </w:r>
      <w:r w:rsidR="00B264CF">
        <w:t>assessor</w:t>
      </w:r>
      <w:r w:rsidRPr="00246266">
        <w:t xml:space="preserve"> should ensure a copy of the declaration is saved in the exemptions </w:t>
      </w:r>
      <w:r>
        <w:t xml:space="preserve">log </w:t>
      </w:r>
      <w:hyperlink r:id="rId36" w:history="1">
        <w:r>
          <w:rPr>
            <w:rStyle w:val="Hyperlink"/>
          </w:rPr>
          <w:t>2020/01080</w:t>
        </w:r>
      </w:hyperlink>
      <w:r>
        <w:rPr>
          <w:rStyle w:val="Hyperlink"/>
        </w:rPr>
        <w:t xml:space="preserve"> </w:t>
      </w:r>
      <w:r w:rsidRPr="0047790C">
        <w:rPr>
          <w:rStyle w:val="Hyperlink"/>
          <w:color w:val="auto"/>
          <w:u w:val="none"/>
        </w:rPr>
        <w:t>noting that this is often done by the LAO.</w:t>
      </w:r>
    </w:p>
    <w:p w14:paraId="69234366" w14:textId="77777777" w:rsidR="00CD7929" w:rsidRPr="0052747F" w:rsidRDefault="00CD7929" w:rsidP="001A4A44">
      <w:pPr>
        <w:pStyle w:val="Heading2"/>
      </w:pPr>
      <w:bookmarkStart w:id="21" w:name="_Toc475614182"/>
      <w:r w:rsidRPr="0052747F">
        <w:lastRenderedPageBreak/>
        <w:t>Revo</w:t>
      </w:r>
      <w:r w:rsidR="008F4EE5" w:rsidRPr="0052747F">
        <w:t xml:space="preserve">cation of </w:t>
      </w:r>
      <w:r w:rsidRPr="0052747F">
        <w:t>exemption</w:t>
      </w:r>
    </w:p>
    <w:p w14:paraId="5AE866AB" w14:textId="1B1F7000" w:rsidR="00C96576" w:rsidRDefault="00CD7929" w:rsidP="00C92E88">
      <w:pPr>
        <w:pStyle w:val="Header"/>
        <w:spacing w:before="120" w:line="276" w:lineRule="auto"/>
      </w:pPr>
      <w:r w:rsidRPr="0052747F">
        <w:t xml:space="preserve">A declaration issued under </w:t>
      </w:r>
      <w:r w:rsidR="00771B06">
        <w:t>subsection</w:t>
      </w:r>
      <w:r w:rsidR="00570A25">
        <w:t>s</w:t>
      </w:r>
      <w:r w:rsidRPr="0052747F">
        <w:t xml:space="preserve"> </w:t>
      </w:r>
      <w:r w:rsidR="00570A25">
        <w:t>9</w:t>
      </w:r>
      <w:r w:rsidRPr="0052747F">
        <w:t>(</w:t>
      </w:r>
      <w:r w:rsidR="00570A25">
        <w:t>2</w:t>
      </w:r>
      <w:r w:rsidRPr="0052747F">
        <w:t xml:space="preserve">), </w:t>
      </w:r>
      <w:r w:rsidR="008C32BD">
        <w:t>13</w:t>
      </w:r>
      <w:r w:rsidRPr="0052747F">
        <w:t>(</w:t>
      </w:r>
      <w:r w:rsidR="008C32BD">
        <w:t>2</w:t>
      </w:r>
      <w:r w:rsidRPr="0052747F">
        <w:t xml:space="preserve">), </w:t>
      </w:r>
      <w:r w:rsidR="008C32BD">
        <w:t>43</w:t>
      </w:r>
      <w:r w:rsidRPr="0052747F">
        <w:t>(</w:t>
      </w:r>
      <w:r w:rsidR="008C32BD">
        <w:t>2</w:t>
      </w:r>
      <w:r w:rsidRPr="0052747F">
        <w:t>)</w:t>
      </w:r>
      <w:r w:rsidR="00390C36">
        <w:t>,</w:t>
      </w:r>
      <w:r w:rsidRPr="0052747F">
        <w:t xml:space="preserve"> </w:t>
      </w:r>
      <w:r w:rsidR="008C32BD">
        <w:t>44</w:t>
      </w:r>
      <w:r w:rsidRPr="0052747F">
        <w:t>(</w:t>
      </w:r>
      <w:r w:rsidR="00390C36">
        <w:t>4</w:t>
      </w:r>
      <w:r w:rsidRPr="0052747F">
        <w:t>)</w:t>
      </w:r>
      <w:r w:rsidR="00390C36">
        <w:t>, or 44(5)</w:t>
      </w:r>
      <w:r w:rsidRPr="0052747F">
        <w:t xml:space="preserve"> may be revoked by the CEO if the circumstances under which </w:t>
      </w:r>
      <w:r w:rsidR="008F4EE5" w:rsidRPr="0052747F">
        <w:t xml:space="preserve">it was issued </w:t>
      </w:r>
      <w:r w:rsidRPr="0052747F">
        <w:t>ha</w:t>
      </w:r>
      <w:r w:rsidR="008F4EE5" w:rsidRPr="0052747F">
        <w:t>ve</w:t>
      </w:r>
      <w:r w:rsidRPr="0052747F">
        <w:t xml:space="preserve"> changed in such a manner that the controlled person can no longer satisfy the statutory criteria on which </w:t>
      </w:r>
      <w:r w:rsidR="008F4EE5" w:rsidRPr="0052747F">
        <w:t>it was based</w:t>
      </w:r>
      <w:r w:rsidRPr="0052747F">
        <w:t>.</w:t>
      </w:r>
    </w:p>
    <w:p w14:paraId="20186DF8" w14:textId="643F7EE2" w:rsidR="00A3425D" w:rsidRDefault="00A3425D" w:rsidP="00C92E88">
      <w:pPr>
        <w:pStyle w:val="Header"/>
        <w:spacing w:before="120" w:line="276" w:lineRule="auto"/>
      </w:pPr>
    </w:p>
    <w:p w14:paraId="72F3A25A" w14:textId="07A85960" w:rsidR="00A3425D" w:rsidRDefault="00A3425D" w:rsidP="00C92E88">
      <w:pPr>
        <w:pStyle w:val="Header"/>
        <w:spacing w:before="120" w:line="276" w:lineRule="auto"/>
      </w:pPr>
    </w:p>
    <w:p w14:paraId="607962F5" w14:textId="2BD63BDA" w:rsidR="00A3425D" w:rsidRDefault="00A3425D" w:rsidP="00C92E88">
      <w:pPr>
        <w:pStyle w:val="Header"/>
        <w:spacing w:before="120" w:line="276" w:lineRule="auto"/>
      </w:pPr>
    </w:p>
    <w:p w14:paraId="56358DA6" w14:textId="77777777" w:rsidR="00A3425D" w:rsidRDefault="00A3425D" w:rsidP="00A3425D">
      <w:pPr>
        <w:rPr>
          <w:color w:val="207220" w:themeColor="accent1" w:themeShade="BF"/>
        </w:rPr>
      </w:pPr>
      <w:r>
        <w:rPr>
          <w:color w:val="207220" w:themeColor="accent1" w:themeShade="BF"/>
        </w:rPr>
        <w:t>________________________________________</w:t>
      </w:r>
    </w:p>
    <w:p w14:paraId="5F87EFD8" w14:textId="77777777" w:rsidR="00A3425D" w:rsidRPr="00710F32" w:rsidRDefault="00A3425D" w:rsidP="00A3425D">
      <w:pPr>
        <w:spacing w:line="240" w:lineRule="auto"/>
        <w:outlineLvl w:val="0"/>
        <w:rPr>
          <w:b/>
          <w:u w:val="single"/>
        </w:rPr>
      </w:pPr>
      <w:r w:rsidRPr="00710F32">
        <w:rPr>
          <w:b/>
          <w:u w:val="single"/>
        </w:rPr>
        <w:t>References</w:t>
      </w:r>
    </w:p>
    <w:p w14:paraId="7D0929CD" w14:textId="77777777" w:rsidR="00A3425D" w:rsidRPr="00710F32" w:rsidRDefault="00A3425D" w:rsidP="00A3425D">
      <w:pPr>
        <w:spacing w:before="120"/>
        <w:ind w:left="360" w:hanging="360"/>
        <w:rPr>
          <w:rFonts w:cs="Arial"/>
          <w:i/>
          <w:iCs/>
          <w:u w:val="single"/>
        </w:rPr>
      </w:pPr>
      <w:r w:rsidRPr="00710F32">
        <w:t>[1]</w:t>
      </w:r>
      <w:r w:rsidRPr="00710F32">
        <w:tab/>
        <w:t xml:space="preserve">International Atomic Energy Agency, Nuclear Energy Series No. NW-T-2.9 </w:t>
      </w:r>
      <w:hyperlink r:id="rId37" w:history="1">
        <w:r w:rsidRPr="00710F32">
          <w:rPr>
            <w:rFonts w:cs="Arial"/>
            <w:i/>
            <w:iCs/>
            <w:u w:val="single"/>
          </w:rPr>
          <w:t>Decommissioning of Particle Accelerators (</w:t>
        </w:r>
        <w:r w:rsidRPr="00710F32">
          <w:rPr>
            <w:rFonts w:cs="Arial"/>
            <w:u w:val="single"/>
          </w:rPr>
          <w:t>2020)</w:t>
        </w:r>
      </w:hyperlink>
    </w:p>
    <w:p w14:paraId="639592BC" w14:textId="77777777" w:rsidR="00A3425D" w:rsidRPr="00710F32" w:rsidRDefault="00A3425D" w:rsidP="00A3425D">
      <w:pPr>
        <w:spacing w:before="120"/>
        <w:ind w:left="360" w:hanging="360"/>
        <w:rPr>
          <w:rFonts w:cs="Arial"/>
          <w:u w:val="single"/>
        </w:rPr>
      </w:pPr>
      <w:r w:rsidRPr="00710F32">
        <w:rPr>
          <w:rFonts w:cs="Arial"/>
          <w:u w:val="single"/>
        </w:rPr>
        <w:t>[2]</w:t>
      </w:r>
      <w:r w:rsidRPr="00710F32">
        <w:rPr>
          <w:rFonts w:cs="Arial"/>
          <w:u w:val="single"/>
        </w:rPr>
        <w:tab/>
        <w:t xml:space="preserve">European Commission, </w:t>
      </w:r>
      <w:r w:rsidRPr="00710F32">
        <w:rPr>
          <w:rFonts w:cstheme="minorHAnsi"/>
        </w:rPr>
        <w:t>Nuclear Safety and the Environment,</w:t>
      </w:r>
      <w:r w:rsidRPr="00710F32">
        <w:rPr>
          <w:rFonts w:cs="Arial"/>
          <w:u w:val="single"/>
        </w:rPr>
        <w:t xml:space="preserve"> </w:t>
      </w:r>
      <w:hyperlink r:id="rId38" w:history="1">
        <w:r w:rsidRPr="00710F32">
          <w:rPr>
            <w:rFonts w:cs="Arial"/>
            <w:i/>
            <w:iCs/>
            <w:u w:val="single"/>
          </w:rPr>
          <w:t xml:space="preserve">Evaluation of the radiological and economic consequences of decommissioning particle accelerators </w:t>
        </w:r>
        <w:r w:rsidRPr="00710F32">
          <w:rPr>
            <w:rFonts w:cs="Arial"/>
            <w:u w:val="single"/>
          </w:rPr>
          <w:t>EUR19151 (1999)</w:t>
        </w:r>
      </w:hyperlink>
    </w:p>
    <w:p w14:paraId="7C2B1A79" w14:textId="77777777" w:rsidR="00A3425D" w:rsidRPr="00710F32" w:rsidRDefault="00A3425D" w:rsidP="00A3425D">
      <w:pPr>
        <w:spacing w:before="120"/>
        <w:ind w:left="360" w:hanging="360"/>
      </w:pPr>
      <w:r w:rsidRPr="00710F32">
        <w:t xml:space="preserve">[3] </w:t>
      </w:r>
      <w:r w:rsidRPr="00710F32">
        <w:tab/>
        <w:t xml:space="preserve">International Atomic Energy Agency, Technical Report Series No. 414 </w:t>
      </w:r>
      <w:hyperlink r:id="rId39" w:history="1">
        <w:r w:rsidRPr="00710F32">
          <w:rPr>
            <w:i/>
            <w:iCs/>
            <w:u w:val="single"/>
          </w:rPr>
          <w:t xml:space="preserve">Decommissioning of Small Medical, Industrial and Research Facilities </w:t>
        </w:r>
        <w:r w:rsidRPr="00710F32">
          <w:rPr>
            <w:u w:val="single"/>
          </w:rPr>
          <w:t>(2003)</w:t>
        </w:r>
      </w:hyperlink>
    </w:p>
    <w:p w14:paraId="54C2F4C8" w14:textId="77777777" w:rsidR="00A3425D" w:rsidRDefault="00A3425D" w:rsidP="00C92E88">
      <w:pPr>
        <w:pStyle w:val="Header"/>
        <w:spacing w:before="120" w:line="276" w:lineRule="auto"/>
      </w:pPr>
    </w:p>
    <w:p w14:paraId="29B5751B" w14:textId="1F9C2045" w:rsidR="00A3425D" w:rsidRDefault="00A3425D">
      <w:pPr>
        <w:rPr>
          <w:b/>
          <w:color w:val="4E1A74" w:themeColor="accent2"/>
          <w:sz w:val="44"/>
          <w:szCs w:val="44"/>
        </w:rPr>
      </w:pPr>
      <w:r>
        <w:br w:type="page"/>
      </w:r>
    </w:p>
    <w:p w14:paraId="236F62E8" w14:textId="256CE28C" w:rsidR="009D7BE5" w:rsidRPr="00E20F69" w:rsidRDefault="00FE639B" w:rsidP="001E1C54">
      <w:pPr>
        <w:pStyle w:val="Heading1"/>
        <w:spacing w:before="480"/>
        <w:ind w:left="567" w:hanging="567"/>
      </w:pPr>
      <w:bookmarkStart w:id="22" w:name="_Surrender_a_licence"/>
      <w:bookmarkEnd w:id="22"/>
      <w:r>
        <w:rPr>
          <w:rStyle w:val="TitleChar"/>
          <w:caps w:val="0"/>
          <w:color w:val="4E1A74" w:themeColor="accent2"/>
          <w:spacing w:val="0"/>
          <w:kern w:val="0"/>
          <w:sz w:val="44"/>
          <w:szCs w:val="44"/>
        </w:rPr>
        <w:lastRenderedPageBreak/>
        <w:t>Request to s</w:t>
      </w:r>
      <w:r w:rsidR="009D7BE5" w:rsidRPr="00ED1A65">
        <w:rPr>
          <w:rStyle w:val="TitleChar"/>
          <w:caps w:val="0"/>
          <w:color w:val="4E1A74" w:themeColor="accent2"/>
          <w:spacing w:val="0"/>
          <w:kern w:val="0"/>
          <w:sz w:val="44"/>
          <w:szCs w:val="44"/>
        </w:rPr>
        <w:t>urrende</w:t>
      </w:r>
      <w:r w:rsidR="002C7E58" w:rsidRPr="002C7E58">
        <w:rPr>
          <w:rStyle w:val="TitleChar"/>
          <w:caps w:val="0"/>
          <w:color w:val="4E1A74" w:themeColor="accent2"/>
          <w:spacing w:val="0"/>
          <w:kern w:val="0"/>
          <w:sz w:val="44"/>
          <w:szCs w:val="44"/>
        </w:rPr>
        <w:t>r a licence</w:t>
      </w:r>
      <w:bookmarkEnd w:id="21"/>
    </w:p>
    <w:p w14:paraId="33E5A561" w14:textId="77777777" w:rsidR="009D7BE5" w:rsidRPr="0052747F" w:rsidRDefault="009D7BE5" w:rsidP="001A4A44">
      <w:pPr>
        <w:pStyle w:val="Heading2"/>
      </w:pPr>
      <w:r w:rsidRPr="00ED1A65">
        <w:t>Receiving</w:t>
      </w:r>
      <w:r w:rsidRPr="0052747F">
        <w:t xml:space="preserve"> a request</w:t>
      </w:r>
    </w:p>
    <w:p w14:paraId="0C065C40" w14:textId="1E18DF63" w:rsidR="009D7BE5" w:rsidRPr="0052747F" w:rsidRDefault="009D7BE5" w:rsidP="00ED1A65">
      <w:pPr>
        <w:spacing w:before="120"/>
      </w:pPr>
      <w:r w:rsidRPr="0052747F">
        <w:t>All requests should be received by</w:t>
      </w:r>
      <w:r w:rsidR="004911FD">
        <w:t xml:space="preserve"> </w:t>
      </w:r>
      <w:hyperlink r:id="rId40" w:history="1">
        <w:r w:rsidR="004911FD" w:rsidRPr="006E2974">
          <w:rPr>
            <w:rStyle w:val="Hyperlink"/>
          </w:rPr>
          <w:t>LicenceAdmin@arpansa.gov.au</w:t>
        </w:r>
      </w:hyperlink>
      <w:r w:rsidR="00CD639B">
        <w:rPr>
          <w:rStyle w:val="Hyperlink"/>
        </w:rPr>
        <w:t>.</w:t>
      </w:r>
      <w:r w:rsidRPr="0052747F">
        <w:t xml:space="preserve"> </w:t>
      </w:r>
      <w:r w:rsidR="00CD639B">
        <w:t>I</w:t>
      </w:r>
      <w:r w:rsidRPr="0052747F">
        <w:t xml:space="preserve">f an officer receives a </w:t>
      </w:r>
      <w:r w:rsidR="00CD639B">
        <w:t xml:space="preserve">direct </w:t>
      </w:r>
      <w:proofErr w:type="gramStart"/>
      <w:r w:rsidRPr="0052747F">
        <w:t>request</w:t>
      </w:r>
      <w:proofErr w:type="gramEnd"/>
      <w:r w:rsidRPr="0052747F">
        <w:t xml:space="preserve"> it should be forwarded to</w:t>
      </w:r>
      <w:r w:rsidR="00CD639B">
        <w:t xml:space="preserve"> the</w:t>
      </w:r>
      <w:r w:rsidRPr="0052747F">
        <w:t xml:space="preserve"> LA inbox.</w:t>
      </w:r>
    </w:p>
    <w:p w14:paraId="6B0DBDD7" w14:textId="77777777" w:rsidR="00BB4BBA" w:rsidRPr="0052747F" w:rsidRDefault="00BB4BBA" w:rsidP="00ED1A65">
      <w:pPr>
        <w:spacing w:before="120"/>
      </w:pPr>
      <w:r w:rsidRPr="0052747F">
        <w:t>Such requests will be either:</w:t>
      </w:r>
    </w:p>
    <w:p w14:paraId="0938E2F6" w14:textId="479CDD4B" w:rsidR="00BB4BBA" w:rsidRPr="0052747F" w:rsidRDefault="00BB4BBA" w:rsidP="00B264CF">
      <w:pPr>
        <w:pStyle w:val="ListParagraph"/>
        <w:numPr>
          <w:ilvl w:val="0"/>
          <w:numId w:val="19"/>
        </w:numPr>
        <w:spacing w:before="120"/>
      </w:pPr>
      <w:r w:rsidRPr="0052747F">
        <w:t xml:space="preserve">seeking approval to surrender a licence and release from regulatory control OR </w:t>
      </w:r>
    </w:p>
    <w:p w14:paraId="6667A299" w14:textId="77777777" w:rsidR="00BB4BBA" w:rsidRPr="0052747F" w:rsidRDefault="00BB4BBA" w:rsidP="00103EAC">
      <w:pPr>
        <w:pStyle w:val="ListParagraph"/>
        <w:numPr>
          <w:ilvl w:val="0"/>
          <w:numId w:val="19"/>
        </w:numPr>
      </w:pPr>
      <w:r w:rsidRPr="0052747F">
        <w:t>seeking approval to surrender a licence and reissue of another licence</w:t>
      </w:r>
    </w:p>
    <w:p w14:paraId="5872F7A7" w14:textId="620B9BE5" w:rsidR="00597DD1" w:rsidRPr="00597DD1" w:rsidRDefault="00597DD1" w:rsidP="00597DD1">
      <w:pPr>
        <w:spacing w:before="120"/>
      </w:pPr>
      <w:r w:rsidRPr="00597DD1">
        <w:t xml:space="preserve">The </w:t>
      </w:r>
      <w:r w:rsidR="00F54671">
        <w:t>LAO</w:t>
      </w:r>
      <w:r w:rsidRPr="00597DD1">
        <w:t xml:space="preserve">: </w:t>
      </w:r>
    </w:p>
    <w:p w14:paraId="53AD1521" w14:textId="716DEF8E" w:rsidR="00597DD1" w:rsidRPr="00597DD1" w:rsidRDefault="008E46AC" w:rsidP="00B264CF">
      <w:pPr>
        <w:numPr>
          <w:ilvl w:val="0"/>
          <w:numId w:val="29"/>
        </w:numPr>
        <w:spacing w:before="120"/>
        <w:contextualSpacing/>
      </w:pPr>
      <w:r>
        <w:t>s</w:t>
      </w:r>
      <w:r w:rsidR="00597DD1" w:rsidRPr="00597DD1">
        <w:t>aves the application into CM</w:t>
      </w:r>
      <w:r w:rsidR="00597DD1">
        <w:t xml:space="preserve"> </w:t>
      </w:r>
    </w:p>
    <w:p w14:paraId="4D93A2A0" w14:textId="7188838B" w:rsidR="00597DD1" w:rsidRPr="00597DD1" w:rsidRDefault="008E46AC" w:rsidP="00103EAC">
      <w:pPr>
        <w:numPr>
          <w:ilvl w:val="0"/>
          <w:numId w:val="29"/>
        </w:numPr>
        <w:contextualSpacing/>
      </w:pPr>
      <w:r>
        <w:t>e</w:t>
      </w:r>
      <w:r w:rsidR="00597DD1" w:rsidRPr="00597DD1">
        <w:t>nters the required information into LAD</w:t>
      </w:r>
    </w:p>
    <w:p w14:paraId="1565D24F" w14:textId="22ABB9B6" w:rsidR="00597DD1" w:rsidRDefault="008E46AC" w:rsidP="00103EAC">
      <w:pPr>
        <w:numPr>
          <w:ilvl w:val="0"/>
          <w:numId w:val="29"/>
        </w:numPr>
        <w:contextualSpacing/>
      </w:pPr>
      <w:r>
        <w:t>a</w:t>
      </w:r>
      <w:r w:rsidR="00597DD1" w:rsidRPr="00597DD1">
        <w:t xml:space="preserve">ssigns the application to </w:t>
      </w:r>
      <w:r w:rsidR="00CA6B04">
        <w:t xml:space="preserve">an </w:t>
      </w:r>
      <w:r w:rsidR="00B264CF">
        <w:t>assessor</w:t>
      </w:r>
      <w:r w:rsidR="00CA6B04">
        <w:t xml:space="preserve"> (usually the lead inspector)</w:t>
      </w:r>
    </w:p>
    <w:p w14:paraId="29049867" w14:textId="43511E3E" w:rsidR="00597DD1" w:rsidRPr="00597DD1" w:rsidRDefault="008E46AC" w:rsidP="00103EAC">
      <w:pPr>
        <w:numPr>
          <w:ilvl w:val="0"/>
          <w:numId w:val="29"/>
        </w:numPr>
        <w:contextualSpacing/>
      </w:pPr>
      <w:r>
        <w:t>a</w:t>
      </w:r>
      <w:r w:rsidR="00597DD1" w:rsidRPr="00597DD1">
        <w:t>cknowledges receipt of the application by sending</w:t>
      </w:r>
      <w:r w:rsidR="008D76A0">
        <w:t xml:space="preserve"> the standard email template</w:t>
      </w:r>
      <w:r w:rsidR="00597DD1" w:rsidRPr="00597DD1">
        <w:t xml:space="preserve"> to the applicant with a copy to the lead inspector. </w:t>
      </w:r>
    </w:p>
    <w:p w14:paraId="58E9DB83" w14:textId="03ED8FA8" w:rsidR="009D7BE5" w:rsidRPr="0052747F" w:rsidRDefault="009D7BE5" w:rsidP="001A4A44">
      <w:pPr>
        <w:pStyle w:val="Heading2"/>
      </w:pPr>
      <w:r w:rsidRPr="0052747F">
        <w:t>A</w:t>
      </w:r>
      <w:r w:rsidR="001C7A67">
        <w:t>ssessing the a</w:t>
      </w:r>
      <w:r w:rsidRPr="0052747F">
        <w:t xml:space="preserve">pplication </w:t>
      </w:r>
    </w:p>
    <w:p w14:paraId="1E972674" w14:textId="30085451" w:rsidR="009D7BE5" w:rsidRPr="00B264CF" w:rsidRDefault="009D7BE5" w:rsidP="00ED1A65">
      <w:pPr>
        <w:spacing w:before="120"/>
        <w:rPr>
          <w:rStyle w:val="Normalbold"/>
          <w:rFonts w:ascii="Calibri" w:eastAsia="Calibri" w:hAnsi="Calibri" w:cstheme="majorBidi"/>
          <w:b/>
          <w:bCs/>
          <w:snapToGrid w:val="0"/>
          <w:color w:val="auto"/>
          <w:sz w:val="24"/>
          <w:szCs w:val="26"/>
        </w:rPr>
      </w:pPr>
      <w:r w:rsidRPr="00B264CF">
        <w:rPr>
          <w:rStyle w:val="Normalbold"/>
          <w:color w:val="auto"/>
        </w:rPr>
        <w:t xml:space="preserve">To assist the </w:t>
      </w:r>
      <w:proofErr w:type="gramStart"/>
      <w:r w:rsidRPr="00B264CF">
        <w:rPr>
          <w:rStyle w:val="Normalbold"/>
          <w:color w:val="auto"/>
        </w:rPr>
        <w:t>CEO</w:t>
      </w:r>
      <w:proofErr w:type="gramEnd"/>
      <w:r w:rsidRPr="00B264CF">
        <w:rPr>
          <w:rStyle w:val="Normalbold"/>
          <w:color w:val="auto"/>
        </w:rPr>
        <w:t xml:space="preserve"> decide whether to accept the surrender of a licence, the </w:t>
      </w:r>
      <w:r w:rsidR="003E3C99">
        <w:rPr>
          <w:rStyle w:val="Normalbold"/>
          <w:color w:val="auto"/>
        </w:rPr>
        <w:t>assessor</w:t>
      </w:r>
      <w:r w:rsidR="00CD639B" w:rsidRPr="00B264CF">
        <w:rPr>
          <w:rStyle w:val="Normalbold"/>
          <w:color w:val="auto"/>
        </w:rPr>
        <w:t xml:space="preserve"> will </w:t>
      </w:r>
      <w:r w:rsidRPr="00B264CF">
        <w:rPr>
          <w:rStyle w:val="Normalbold"/>
          <w:color w:val="auto"/>
        </w:rPr>
        <w:t xml:space="preserve">assess whether the applicant has provided </w:t>
      </w:r>
      <w:r w:rsidR="00597DD1" w:rsidRPr="00B264CF">
        <w:rPr>
          <w:rStyle w:val="Normalbold"/>
          <w:color w:val="auto"/>
        </w:rPr>
        <w:t xml:space="preserve">sufficient </w:t>
      </w:r>
      <w:r w:rsidRPr="00B264CF">
        <w:rPr>
          <w:rStyle w:val="Normalbold"/>
          <w:color w:val="auto"/>
        </w:rPr>
        <w:t>evidence</w:t>
      </w:r>
      <w:r w:rsidR="00597DD1" w:rsidRPr="00B264CF">
        <w:rPr>
          <w:rStyle w:val="Normalbold"/>
          <w:color w:val="auto"/>
        </w:rPr>
        <w:t xml:space="preserve"> that the</w:t>
      </w:r>
      <w:r w:rsidR="00165729" w:rsidRPr="00B264CF">
        <w:rPr>
          <w:rStyle w:val="Normalbold"/>
          <w:color w:val="auto"/>
        </w:rPr>
        <w:t>y</w:t>
      </w:r>
      <w:r w:rsidR="00597DD1" w:rsidRPr="00B264CF">
        <w:rPr>
          <w:rStyle w:val="Normalbold"/>
          <w:color w:val="auto"/>
        </w:rPr>
        <w:t xml:space="preserve"> will no longer undertake activities that require a licence</w:t>
      </w:r>
      <w:r w:rsidR="00D34253" w:rsidRPr="00B264CF">
        <w:rPr>
          <w:rStyle w:val="Normalbold"/>
          <w:color w:val="auto"/>
        </w:rPr>
        <w:t xml:space="preserve"> and all resulting waste is being appropriately managed</w:t>
      </w:r>
      <w:r w:rsidR="00597DD1" w:rsidRPr="00B264CF">
        <w:rPr>
          <w:rStyle w:val="Normalbold"/>
          <w:color w:val="auto"/>
        </w:rPr>
        <w:t xml:space="preserve">. </w:t>
      </w:r>
      <w:r w:rsidRPr="00B264CF">
        <w:rPr>
          <w:rStyle w:val="Normalbold"/>
          <w:color w:val="auto"/>
        </w:rPr>
        <w:t xml:space="preserve"> </w:t>
      </w:r>
    </w:p>
    <w:p w14:paraId="5D5F50D4" w14:textId="15B3A85E" w:rsidR="00D651E2" w:rsidRDefault="00D651E2" w:rsidP="0064510A">
      <w:pPr>
        <w:pStyle w:val="Heading3"/>
        <w:numPr>
          <w:ilvl w:val="0"/>
          <w:numId w:val="42"/>
        </w:numPr>
      </w:pPr>
      <w:r>
        <w:t>Assessment criteria</w:t>
      </w:r>
    </w:p>
    <w:p w14:paraId="1961B173" w14:textId="67AE5BAF" w:rsidR="00597DD1" w:rsidRPr="00B264CF" w:rsidRDefault="00597DD1" w:rsidP="00D8763C">
      <w:pPr>
        <w:spacing w:before="120"/>
      </w:pPr>
      <w:r w:rsidRPr="00B264CF">
        <w:t xml:space="preserve">Where the request is to surrender a source licence, the </w:t>
      </w:r>
      <w:r w:rsidR="003E3C99">
        <w:t>assessor</w:t>
      </w:r>
      <w:r w:rsidRPr="00B264CF">
        <w:t xml:space="preserve"> must be satisfied </w:t>
      </w:r>
      <w:r w:rsidRPr="00B264CF">
        <w:rPr>
          <w:rStyle w:val="Normalbold"/>
          <w:color w:val="auto"/>
        </w:rPr>
        <w:t>that the applicant will no longer undertake dealings that require a licence noting that sources must be transferred or disposed of in accordance with section 65 of the Regulations.</w:t>
      </w:r>
    </w:p>
    <w:p w14:paraId="27AAFF44" w14:textId="1CE1AF1D" w:rsidR="009D7BE5" w:rsidRPr="00B264CF" w:rsidRDefault="00597DD1" w:rsidP="00ED1A65">
      <w:pPr>
        <w:spacing w:before="120"/>
      </w:pPr>
      <w:r>
        <w:t xml:space="preserve">Where the request is to surrender a </w:t>
      </w:r>
      <w:r w:rsidR="00D8763C">
        <w:t>decommissioning</w:t>
      </w:r>
      <w:r>
        <w:t xml:space="preserve"> licence, t</w:t>
      </w:r>
      <w:r w:rsidR="009D7BE5" w:rsidRPr="0052747F">
        <w:t xml:space="preserve">he </w:t>
      </w:r>
      <w:r w:rsidR="003E3C99">
        <w:t>assessor</w:t>
      </w:r>
      <w:r w:rsidR="00CD639B">
        <w:t xml:space="preserve"> </w:t>
      </w:r>
      <w:r w:rsidR="009D7BE5" w:rsidRPr="0052747F">
        <w:t xml:space="preserve">must </w:t>
      </w:r>
      <w:r w:rsidR="00D651E2">
        <w:t>be satisfied</w:t>
      </w:r>
      <w:r w:rsidR="00D651E2" w:rsidRPr="0052747F">
        <w:t xml:space="preserve"> </w:t>
      </w:r>
      <w:r w:rsidR="009D7BE5" w:rsidRPr="0052747F">
        <w:t xml:space="preserve">that the </w:t>
      </w:r>
      <w:r w:rsidR="009D7BE5" w:rsidRPr="00B264CF">
        <w:t>applican</w:t>
      </w:r>
      <w:r w:rsidR="00D651E2" w:rsidRPr="00B264CF">
        <w:t>t</w:t>
      </w:r>
      <w:r w:rsidR="009D7BE5" w:rsidRPr="00B264CF">
        <w:t xml:space="preserve"> </w:t>
      </w:r>
      <w:r w:rsidR="00D651E2" w:rsidRPr="00B264CF">
        <w:t xml:space="preserve">has demonstrated </w:t>
      </w:r>
      <w:r w:rsidR="009D7BE5" w:rsidRPr="00B264CF">
        <w:t xml:space="preserve">the following:  </w:t>
      </w:r>
      <w:r w:rsidRPr="00B264CF">
        <w:t xml:space="preserve"> </w:t>
      </w:r>
    </w:p>
    <w:p w14:paraId="660FA659" w14:textId="77777777" w:rsidR="009D7BE5" w:rsidRPr="00B264CF" w:rsidRDefault="009D7BE5" w:rsidP="00103EAC">
      <w:pPr>
        <w:pStyle w:val="ListParagraph"/>
        <w:numPr>
          <w:ilvl w:val="0"/>
          <w:numId w:val="9"/>
        </w:numPr>
        <w:spacing w:before="120"/>
        <w:ind w:left="714" w:hanging="357"/>
        <w:contextualSpacing w:val="0"/>
      </w:pPr>
      <w:r w:rsidRPr="00B264CF">
        <w:t xml:space="preserve">The remaining structures, systems </w:t>
      </w:r>
      <w:proofErr w:type="gramStart"/>
      <w:r w:rsidRPr="00B264CF">
        <w:t>components</w:t>
      </w:r>
      <w:proofErr w:type="gramEnd"/>
      <w:r w:rsidRPr="00B264CF">
        <w:t xml:space="preserve"> and the environment at the location of the facility no longer contain controlled material or the activity concentrations of the remaining material(s) are exempt from regulatory control.</w:t>
      </w:r>
      <w:r w:rsidRPr="00B264CF">
        <w:rPr>
          <w:i/>
        </w:rPr>
        <w:t xml:space="preserve"> </w:t>
      </w:r>
    </w:p>
    <w:p w14:paraId="3ECA99CB" w14:textId="636E24AA" w:rsidR="00D8763C" w:rsidRPr="00B264CF" w:rsidRDefault="008E46AC" w:rsidP="008E46AC">
      <w:pPr>
        <w:pStyle w:val="EndnoteText"/>
        <w:numPr>
          <w:ilvl w:val="0"/>
          <w:numId w:val="9"/>
        </w:numPr>
        <w:spacing w:before="120" w:after="0"/>
        <w:rPr>
          <w:rStyle w:val="Normalbold"/>
          <w:rFonts w:eastAsiaTheme="minorEastAsia"/>
          <w:color w:val="auto"/>
          <w:lang w:eastAsia="en-US"/>
        </w:rPr>
      </w:pPr>
      <w:r w:rsidRPr="00B264CF">
        <w:rPr>
          <w:rStyle w:val="Normalbold"/>
          <w:color w:val="auto"/>
        </w:rPr>
        <w:t>T</w:t>
      </w:r>
      <w:r w:rsidR="00D8763C" w:rsidRPr="00B264CF">
        <w:rPr>
          <w:rStyle w:val="Normalbold"/>
          <w:color w:val="auto"/>
        </w:rPr>
        <w:t>he full inventory of non-exempt waste arising from the decommissioning process</w:t>
      </w:r>
      <w:r w:rsidRPr="00B264CF">
        <w:rPr>
          <w:rStyle w:val="Normalbold"/>
          <w:color w:val="auto"/>
        </w:rPr>
        <w:t xml:space="preserve"> is accounted for.</w:t>
      </w:r>
      <w:r w:rsidR="00D8763C" w:rsidRPr="00B264CF">
        <w:rPr>
          <w:rStyle w:val="Normalbold"/>
          <w:color w:val="auto"/>
        </w:rPr>
        <w:t xml:space="preserve"> </w:t>
      </w:r>
    </w:p>
    <w:p w14:paraId="7D7AD5F0" w14:textId="4182880D" w:rsidR="00D8763C" w:rsidRPr="00B264CF" w:rsidRDefault="008E46AC" w:rsidP="008E46AC">
      <w:pPr>
        <w:pStyle w:val="EndnoteText"/>
        <w:numPr>
          <w:ilvl w:val="0"/>
          <w:numId w:val="9"/>
        </w:numPr>
        <w:spacing w:before="120" w:after="0"/>
        <w:rPr>
          <w:rStyle w:val="Normalbold"/>
          <w:rFonts w:eastAsiaTheme="minorEastAsia"/>
          <w:color w:val="auto"/>
          <w:lang w:eastAsia="en-US"/>
        </w:rPr>
      </w:pPr>
      <w:r w:rsidRPr="00B264CF">
        <w:rPr>
          <w:rStyle w:val="Normalbold"/>
          <w:color w:val="auto"/>
        </w:rPr>
        <w:t>A</w:t>
      </w:r>
      <w:r w:rsidR="00D8763C" w:rsidRPr="00B264CF">
        <w:rPr>
          <w:rStyle w:val="Normalbold"/>
          <w:color w:val="auto"/>
        </w:rPr>
        <w:t xml:space="preserve">ll non-exempt waste is being appropriately managed. </w:t>
      </w:r>
    </w:p>
    <w:p w14:paraId="10AA292D" w14:textId="26DBCECD" w:rsidR="00597DD1" w:rsidRPr="00B264CF" w:rsidRDefault="009D7BE5" w:rsidP="008E46AC">
      <w:pPr>
        <w:pStyle w:val="ListParagraph"/>
        <w:numPr>
          <w:ilvl w:val="0"/>
          <w:numId w:val="9"/>
        </w:numPr>
        <w:spacing w:before="120"/>
        <w:contextualSpacing w:val="0"/>
      </w:pPr>
      <w:r w:rsidRPr="00B264CF">
        <w:t>Remaining radioactivity levels associated with the facility (</w:t>
      </w:r>
      <w:proofErr w:type="gramStart"/>
      <w:r w:rsidRPr="00B264CF">
        <w:t>i.e.</w:t>
      </w:r>
      <w:proofErr w:type="gramEnd"/>
      <w:r w:rsidRPr="00B264CF">
        <w:t xml:space="preserve"> above natural background) do not pose an ongoing danger.</w:t>
      </w:r>
    </w:p>
    <w:p w14:paraId="6290B881" w14:textId="2FFB2715" w:rsidR="009D7BE5" w:rsidRPr="0052747F" w:rsidRDefault="00597DD1" w:rsidP="008E46AC">
      <w:pPr>
        <w:pStyle w:val="ListParagraph"/>
        <w:numPr>
          <w:ilvl w:val="0"/>
          <w:numId w:val="9"/>
        </w:numPr>
        <w:spacing w:before="120"/>
        <w:contextualSpacing w:val="0"/>
      </w:pPr>
      <w:r>
        <w:t>T</w:t>
      </w:r>
      <w:r w:rsidR="009D7BE5" w:rsidRPr="0052747F">
        <w:t>he effective dose to a member of the public at the facility’s location is 10 µ</w:t>
      </w:r>
      <w:proofErr w:type="spellStart"/>
      <w:r w:rsidR="009D7BE5" w:rsidRPr="0052747F">
        <w:t>Sv</w:t>
      </w:r>
      <w:proofErr w:type="spellEnd"/>
      <w:r w:rsidR="009D7BE5" w:rsidRPr="0052747F">
        <w:t xml:space="preserve"> per year or less</w:t>
      </w:r>
      <w:r w:rsidR="009D7BE5" w:rsidRPr="0052747F">
        <w:rPr>
          <w:rStyle w:val="FootnoteReference"/>
        </w:rPr>
        <w:footnoteReference w:id="10"/>
      </w:r>
      <w:r>
        <w:t xml:space="preserve"> </w:t>
      </w:r>
      <w:r w:rsidR="008E46AC">
        <w:t xml:space="preserve">and </w:t>
      </w:r>
      <w:r>
        <w:t>j</w:t>
      </w:r>
      <w:r w:rsidR="009D7BE5" w:rsidRPr="0052747F">
        <w:t xml:space="preserve">ustification </w:t>
      </w:r>
      <w:r w:rsidR="008E46AC">
        <w:t xml:space="preserve">provided </w:t>
      </w:r>
      <w:r w:rsidR="009D7BE5" w:rsidRPr="0052747F">
        <w:t xml:space="preserve">to deviate from this objective. </w:t>
      </w:r>
    </w:p>
    <w:p w14:paraId="44833238" w14:textId="4D54DA2D" w:rsidR="009D7BE5" w:rsidRPr="0052747F" w:rsidRDefault="009D7BE5" w:rsidP="0064510A">
      <w:pPr>
        <w:pStyle w:val="Heading3"/>
        <w:numPr>
          <w:ilvl w:val="0"/>
          <w:numId w:val="42"/>
        </w:numPr>
      </w:pPr>
      <w:r w:rsidRPr="0052747F">
        <w:lastRenderedPageBreak/>
        <w:t>Further information</w:t>
      </w:r>
      <w:r w:rsidR="00B7123E">
        <w:t xml:space="preserve"> &amp; </w:t>
      </w:r>
      <w:r w:rsidRPr="0052747F">
        <w:t>site visits</w:t>
      </w:r>
    </w:p>
    <w:p w14:paraId="782A67E1" w14:textId="45FD1CD0" w:rsidR="009D7BE5" w:rsidRPr="0052747F" w:rsidRDefault="009D7BE5" w:rsidP="00D8763C">
      <w:pPr>
        <w:spacing w:before="120"/>
      </w:pPr>
      <w:r w:rsidRPr="0052747F">
        <w:t xml:space="preserve">Where appropriate, the </w:t>
      </w:r>
      <w:r w:rsidR="003E3C99">
        <w:t>assessor</w:t>
      </w:r>
      <w:r w:rsidR="00CD639B">
        <w:t xml:space="preserve"> </w:t>
      </w:r>
      <w:r w:rsidRPr="0052747F">
        <w:t xml:space="preserve">requests further information </w:t>
      </w:r>
      <w:r w:rsidR="001C3C24" w:rsidRPr="0052747F">
        <w:t>using</w:t>
      </w:r>
      <w:r w:rsidR="00C039F8">
        <w:t xml:space="preserve"> the email template provided. </w:t>
      </w:r>
      <w:r w:rsidR="00631DFE" w:rsidRPr="0052747F">
        <w:t xml:space="preserve">Meetings or </w:t>
      </w:r>
      <w:r w:rsidRPr="0052747F">
        <w:t>site visits</w:t>
      </w:r>
      <w:r w:rsidR="00631DFE" w:rsidRPr="0052747F">
        <w:t xml:space="preserve"> may also be considered. </w:t>
      </w:r>
      <w:r w:rsidRPr="0052747F">
        <w:t xml:space="preserve"> </w:t>
      </w:r>
    </w:p>
    <w:p w14:paraId="0DE02544" w14:textId="71246698" w:rsidR="009D7BE5" w:rsidRPr="0052747F" w:rsidRDefault="009D7BE5" w:rsidP="00ED1A65">
      <w:pPr>
        <w:spacing w:before="120"/>
        <w:rPr>
          <w:highlight w:val="yellow"/>
        </w:rPr>
      </w:pPr>
      <w:r w:rsidRPr="0052747F">
        <w:t xml:space="preserve">Where appropriate, the </w:t>
      </w:r>
      <w:r w:rsidR="003E3C99">
        <w:t>assessor</w:t>
      </w:r>
      <w:r w:rsidR="00CD639B">
        <w:t xml:space="preserve"> </w:t>
      </w:r>
      <w:r w:rsidRPr="0052747F">
        <w:t xml:space="preserve">should </w:t>
      </w:r>
      <w:r w:rsidR="00387D11">
        <w:t>seek</w:t>
      </w:r>
      <w:r w:rsidRPr="0052747F">
        <w:t xml:space="preserve"> expert advice (see </w:t>
      </w:r>
      <w:r w:rsidR="002E0DDE">
        <w:t xml:space="preserve">section </w:t>
      </w:r>
      <w:r w:rsidR="00244AA4">
        <w:t>2</w:t>
      </w:r>
      <w:r w:rsidRPr="0052747F">
        <w:t>).</w:t>
      </w:r>
    </w:p>
    <w:p w14:paraId="1247BC87" w14:textId="0A47A1CD" w:rsidR="009D7BE5" w:rsidRDefault="00CD639B" w:rsidP="001A4A44">
      <w:pPr>
        <w:pStyle w:val="Heading2"/>
      </w:pPr>
      <w:r w:rsidRPr="00500260">
        <w:t>Document</w:t>
      </w:r>
      <w:r w:rsidRPr="0098030D">
        <w:t>ing</w:t>
      </w:r>
      <w:r>
        <w:t xml:space="preserve"> the assessment</w:t>
      </w:r>
      <w:r w:rsidRPr="0052747F">
        <w:t xml:space="preserve"> </w:t>
      </w:r>
    </w:p>
    <w:p w14:paraId="00C277B7" w14:textId="68942AE9" w:rsidR="00323428" w:rsidRPr="0052747F" w:rsidRDefault="00323428" w:rsidP="00ED1A65">
      <w:pPr>
        <w:pStyle w:val="EndnoteText"/>
        <w:spacing w:before="120" w:after="120"/>
      </w:pPr>
      <w:r>
        <w:t>The review of the application should be documented in</w:t>
      </w:r>
      <w:r w:rsidR="00CC007E">
        <w:t xml:space="preserve"> a</w:t>
      </w:r>
      <w:r>
        <w:t xml:space="preserve"> </w:t>
      </w:r>
      <w:r w:rsidR="00CF1723">
        <w:t>RAR</w:t>
      </w:r>
      <w:r w:rsidR="00CC007E">
        <w:t xml:space="preserve"> using the </w:t>
      </w:r>
      <w:hyperlink r:id="rId41" w:history="1">
        <w:r w:rsidR="00447D58" w:rsidRPr="00D54420">
          <w:rPr>
            <w:rStyle w:val="Hyperlink"/>
          </w:rPr>
          <w:t xml:space="preserve">generic </w:t>
        </w:r>
        <w:r w:rsidR="00CC007E" w:rsidRPr="00D54420">
          <w:rPr>
            <w:rStyle w:val="Hyperlink"/>
          </w:rPr>
          <w:t>template</w:t>
        </w:r>
      </w:hyperlink>
      <w:r>
        <w:t xml:space="preserve">. </w:t>
      </w:r>
      <w:r w:rsidRPr="003E3C99">
        <w:rPr>
          <w:rStyle w:val="Normalbold"/>
          <w:color w:val="auto"/>
        </w:rPr>
        <w:t>If satisfied that the applicant has addressed the guiding principles in</w:t>
      </w:r>
      <w:r w:rsidR="00A82B8F" w:rsidRPr="003E3C99">
        <w:rPr>
          <w:rStyle w:val="Normalbold"/>
          <w:color w:val="auto"/>
        </w:rPr>
        <w:t xml:space="preserve"> </w:t>
      </w:r>
      <w:hyperlink r:id="rId42" w:history="1">
        <w:r w:rsidR="00A82B8F" w:rsidRPr="00A82B8F">
          <w:rPr>
            <w:rStyle w:val="Hyperlink"/>
          </w:rPr>
          <w:t>Regulatory Guide: Surrender of a licence and release from regulatory control</w:t>
        </w:r>
      </w:hyperlink>
      <w:r w:rsidRPr="0052747F">
        <w:rPr>
          <w:rStyle w:val="Normalbold"/>
        </w:rPr>
        <w:t xml:space="preserve"> </w:t>
      </w:r>
      <w:r w:rsidRPr="003E3C99">
        <w:rPr>
          <w:rStyle w:val="Normalbold"/>
          <w:color w:val="auto"/>
        </w:rPr>
        <w:t xml:space="preserve">and/or demonstrated that the source inventory has been appropriately disposed of, the </w:t>
      </w:r>
      <w:r w:rsidR="00E3546D">
        <w:rPr>
          <w:rStyle w:val="Normalbold"/>
          <w:color w:val="auto"/>
        </w:rPr>
        <w:t xml:space="preserve">assessor </w:t>
      </w:r>
      <w:r w:rsidRPr="003E3C99">
        <w:rPr>
          <w:rStyle w:val="Normalbold"/>
          <w:color w:val="auto"/>
        </w:rPr>
        <w:t>will recommend the CEO</w:t>
      </w:r>
      <w:r w:rsidR="008E46AC" w:rsidRPr="003E3C99">
        <w:rPr>
          <w:rStyle w:val="Normalbold"/>
          <w:color w:val="auto"/>
        </w:rPr>
        <w:t>/CRO</w:t>
      </w:r>
      <w:r w:rsidRPr="003E3C99">
        <w:rPr>
          <w:rStyle w:val="Normalbold"/>
          <w:color w:val="auto"/>
        </w:rPr>
        <w:t xml:space="preserve"> consent to the surrender of the licence</w:t>
      </w:r>
      <w:r w:rsidRPr="003E3C99">
        <w:t xml:space="preserve">. </w:t>
      </w:r>
    </w:p>
    <w:p w14:paraId="759F0BE8" w14:textId="7226C7D4" w:rsidR="00CD639B" w:rsidRDefault="00CD639B" w:rsidP="001A4A44">
      <w:pPr>
        <w:pStyle w:val="Heading2"/>
      </w:pPr>
      <w:r w:rsidRPr="00500260">
        <w:t>Review</w:t>
      </w:r>
      <w:r>
        <w:t xml:space="preserve"> &amp; approval</w:t>
      </w:r>
    </w:p>
    <w:p w14:paraId="4BE90573" w14:textId="64A1F055" w:rsidR="00CD639B" w:rsidRPr="003E3C99" w:rsidRDefault="00CD639B" w:rsidP="00ED1A65">
      <w:pPr>
        <w:spacing w:before="120"/>
      </w:pPr>
      <w:r w:rsidRPr="003E3C99">
        <w:rPr>
          <w:rStyle w:val="Normalbold"/>
          <w:color w:val="auto"/>
        </w:rPr>
        <w:t xml:space="preserve">The application </w:t>
      </w:r>
      <w:r w:rsidR="00C039F8" w:rsidRPr="003E3C99">
        <w:rPr>
          <w:rStyle w:val="Normalbold"/>
          <w:color w:val="auto"/>
        </w:rPr>
        <w:t>is</w:t>
      </w:r>
      <w:r w:rsidRPr="003E3C99">
        <w:rPr>
          <w:rStyle w:val="Normalbold"/>
          <w:color w:val="auto"/>
        </w:rPr>
        <w:t xml:space="preserve"> </w:t>
      </w:r>
      <w:r w:rsidR="00C039F8" w:rsidRPr="003E3C99">
        <w:rPr>
          <w:rStyle w:val="Normalbold"/>
          <w:color w:val="auto"/>
        </w:rPr>
        <w:t xml:space="preserve">subject </w:t>
      </w:r>
      <w:r w:rsidRPr="003E3C99">
        <w:rPr>
          <w:rStyle w:val="Normalbold"/>
          <w:color w:val="auto"/>
        </w:rPr>
        <w:t xml:space="preserve">to the review </w:t>
      </w:r>
      <w:r w:rsidR="00C039F8" w:rsidRPr="003E3C99">
        <w:rPr>
          <w:rStyle w:val="Normalbold"/>
          <w:color w:val="auto"/>
        </w:rPr>
        <w:t xml:space="preserve">and approval </w:t>
      </w:r>
      <w:r w:rsidRPr="003E3C99">
        <w:rPr>
          <w:rStyle w:val="Normalbold"/>
          <w:color w:val="auto"/>
        </w:rPr>
        <w:t>process in</w:t>
      </w:r>
      <w:r w:rsidR="008E46AC" w:rsidRPr="003E3C99">
        <w:rPr>
          <w:rStyle w:val="Normalbold"/>
          <w:color w:val="auto"/>
        </w:rPr>
        <w:t xml:space="preserve"> paragraph 2.6</w:t>
      </w:r>
      <w:r w:rsidRPr="003E3C99">
        <w:rPr>
          <w:rStyle w:val="Normalbold"/>
          <w:color w:val="auto"/>
        </w:rPr>
        <w:t xml:space="preserve"> of this manual.</w:t>
      </w:r>
    </w:p>
    <w:p w14:paraId="593F9C95" w14:textId="72516DDD" w:rsidR="00CD639B" w:rsidRDefault="00CD639B" w:rsidP="001A5AF9">
      <w:r w:rsidRPr="0052747F">
        <w:t>Only the CEO</w:t>
      </w:r>
      <w:r w:rsidR="008E46AC">
        <w:t>/CRO</w:t>
      </w:r>
      <w:r w:rsidRPr="0052747F">
        <w:t xml:space="preserve"> may approve the surrender of a licence.</w:t>
      </w:r>
    </w:p>
    <w:p w14:paraId="5537ACC9" w14:textId="54CD0175" w:rsidR="009D7BE5" w:rsidRPr="0052747F" w:rsidRDefault="009D7BE5" w:rsidP="001A4A44">
      <w:pPr>
        <w:pStyle w:val="Heading2"/>
      </w:pPr>
      <w:r w:rsidRPr="00500260">
        <w:t>Notification</w:t>
      </w:r>
    </w:p>
    <w:p w14:paraId="53EC89D6" w14:textId="11F07E8A" w:rsidR="00631DFE" w:rsidRPr="003E3C99" w:rsidRDefault="00631DFE" w:rsidP="00ED1A65">
      <w:pPr>
        <w:pStyle w:val="EndnoteText"/>
        <w:spacing w:before="120"/>
        <w:rPr>
          <w:rStyle w:val="Normalbold"/>
          <w:rFonts w:ascii="Calibri" w:eastAsia="Calibri" w:hAnsi="Calibri" w:cstheme="majorBidi"/>
          <w:b/>
          <w:bCs/>
          <w:snapToGrid w:val="0"/>
          <w:color w:val="auto"/>
          <w:sz w:val="24"/>
          <w:szCs w:val="26"/>
          <w:lang w:eastAsia="en-US"/>
        </w:rPr>
      </w:pPr>
      <w:r w:rsidRPr="003E3C99">
        <w:rPr>
          <w:rStyle w:val="Normalbold"/>
          <w:color w:val="auto"/>
        </w:rPr>
        <w:t>T</w:t>
      </w:r>
      <w:r w:rsidR="009D7BE5" w:rsidRPr="003E3C99">
        <w:rPr>
          <w:rStyle w:val="Normalbold"/>
          <w:color w:val="auto"/>
        </w:rPr>
        <w:t xml:space="preserve">he </w:t>
      </w:r>
      <w:r w:rsidR="003E3C99">
        <w:rPr>
          <w:rStyle w:val="Normalbold"/>
          <w:color w:val="auto"/>
        </w:rPr>
        <w:t>assessor</w:t>
      </w:r>
      <w:r w:rsidR="009D7BE5" w:rsidRPr="003E3C99">
        <w:rPr>
          <w:rStyle w:val="Normalbold"/>
          <w:color w:val="auto"/>
        </w:rPr>
        <w:t xml:space="preserve"> will send</w:t>
      </w:r>
      <w:r w:rsidR="00C039F8" w:rsidRPr="003E3C99">
        <w:rPr>
          <w:rStyle w:val="Normalbold"/>
          <w:color w:val="auto"/>
        </w:rPr>
        <w:t xml:space="preserve"> </w:t>
      </w:r>
      <w:r w:rsidR="00CC007E" w:rsidRPr="003E3C99">
        <w:rPr>
          <w:rStyle w:val="Normalbold"/>
          <w:color w:val="auto"/>
        </w:rPr>
        <w:t xml:space="preserve">an </w:t>
      </w:r>
      <w:r w:rsidR="00C039F8" w:rsidRPr="003E3C99">
        <w:rPr>
          <w:rStyle w:val="Normalbold"/>
          <w:color w:val="auto"/>
        </w:rPr>
        <w:t>email notification</w:t>
      </w:r>
      <w:r w:rsidRPr="003E3C99">
        <w:rPr>
          <w:rStyle w:val="Normalbold"/>
          <w:color w:val="auto"/>
        </w:rPr>
        <w:t xml:space="preserve"> </w:t>
      </w:r>
      <w:r w:rsidR="00323428" w:rsidRPr="003E3C99">
        <w:rPr>
          <w:rStyle w:val="Normalbold"/>
          <w:color w:val="auto"/>
        </w:rPr>
        <w:t xml:space="preserve">to the licence holder </w:t>
      </w:r>
      <w:r w:rsidRPr="003E3C99">
        <w:rPr>
          <w:rStyle w:val="Normalbold"/>
          <w:color w:val="auto"/>
        </w:rPr>
        <w:t xml:space="preserve">consenting to the surrender.  </w:t>
      </w:r>
      <w:r w:rsidR="00097B45" w:rsidRPr="003E3C99">
        <w:rPr>
          <w:rStyle w:val="Normalbold"/>
          <w:color w:val="auto"/>
        </w:rPr>
        <w:t xml:space="preserve">The licence holder may also be entitled to a refund of the annual licence charge.  This should be confirmed with the relevant section </w:t>
      </w:r>
      <w:r w:rsidR="00ED721B" w:rsidRPr="003E3C99">
        <w:rPr>
          <w:rStyle w:val="Normalbold"/>
          <w:color w:val="auto"/>
        </w:rPr>
        <w:t>director</w:t>
      </w:r>
      <w:r w:rsidR="00097B45" w:rsidRPr="003E3C99">
        <w:rPr>
          <w:rStyle w:val="Normalbold"/>
          <w:color w:val="auto"/>
        </w:rPr>
        <w:t xml:space="preserve"> or </w:t>
      </w:r>
      <w:r w:rsidR="00AE01D6" w:rsidRPr="003E3C99">
        <w:rPr>
          <w:rStyle w:val="Normalbold"/>
          <w:color w:val="auto"/>
        </w:rPr>
        <w:t>C</w:t>
      </w:r>
      <w:r w:rsidR="00C039F8" w:rsidRPr="003E3C99">
        <w:rPr>
          <w:rStyle w:val="Normalbold"/>
          <w:color w:val="auto"/>
        </w:rPr>
        <w:t>RO</w:t>
      </w:r>
      <w:r w:rsidR="00323428" w:rsidRPr="003E3C99">
        <w:rPr>
          <w:rStyle w:val="Normalbold"/>
          <w:color w:val="auto"/>
        </w:rPr>
        <w:t xml:space="preserve"> and the licence holder advised accordingly</w:t>
      </w:r>
      <w:r w:rsidR="00097B45" w:rsidRPr="003E3C99">
        <w:rPr>
          <w:rStyle w:val="Normalbold"/>
          <w:color w:val="auto"/>
        </w:rPr>
        <w:t>.</w:t>
      </w:r>
      <w:r w:rsidR="00323428" w:rsidRPr="003E3C99">
        <w:rPr>
          <w:rStyle w:val="Normalbold"/>
          <w:color w:val="auto"/>
        </w:rPr>
        <w:t xml:space="preserve">  The </w:t>
      </w:r>
      <w:r w:rsidR="003E3C99">
        <w:rPr>
          <w:rStyle w:val="Normalbold"/>
          <w:color w:val="auto"/>
        </w:rPr>
        <w:t xml:space="preserve">assessor </w:t>
      </w:r>
      <w:r w:rsidR="00323428" w:rsidRPr="003E3C99">
        <w:rPr>
          <w:rStyle w:val="Normalbold"/>
          <w:color w:val="auto"/>
        </w:rPr>
        <w:t xml:space="preserve">should contact Finance to arrange for </w:t>
      </w:r>
      <w:r w:rsidR="00C039F8" w:rsidRPr="003E3C99">
        <w:rPr>
          <w:rStyle w:val="Normalbold"/>
          <w:color w:val="auto"/>
        </w:rPr>
        <w:t xml:space="preserve">the </w:t>
      </w:r>
      <w:r w:rsidR="00323428" w:rsidRPr="003E3C99">
        <w:rPr>
          <w:rStyle w:val="Normalbold"/>
          <w:color w:val="auto"/>
        </w:rPr>
        <w:t xml:space="preserve">refund to be processed. </w:t>
      </w:r>
    </w:p>
    <w:p w14:paraId="3470C962" w14:textId="77777777" w:rsidR="00631DFE" w:rsidRPr="0052747F" w:rsidRDefault="00631DFE" w:rsidP="001A4A44">
      <w:pPr>
        <w:pStyle w:val="Heading2"/>
      </w:pPr>
      <w:bookmarkStart w:id="23" w:name="_Toc475614183"/>
      <w:r w:rsidRPr="00500260">
        <w:t>Record</w:t>
      </w:r>
      <w:r w:rsidRPr="0052747F">
        <w:t xml:space="preserve"> keeping </w:t>
      </w:r>
    </w:p>
    <w:p w14:paraId="65EA8AFE" w14:textId="58F3D3BA" w:rsidR="00631DFE" w:rsidRPr="0052747F" w:rsidRDefault="00631DFE" w:rsidP="00ED1A65">
      <w:pPr>
        <w:spacing w:before="120"/>
      </w:pPr>
      <w:r w:rsidRPr="0052747F">
        <w:t xml:space="preserve">The </w:t>
      </w:r>
      <w:r w:rsidR="003E3C99">
        <w:t xml:space="preserve">assessor </w:t>
      </w:r>
      <w:r w:rsidR="00CC007E">
        <w:t xml:space="preserve">must </w:t>
      </w:r>
      <w:r w:rsidRPr="0052747F">
        <w:t xml:space="preserve">update </w:t>
      </w:r>
      <w:r w:rsidR="00184E1D">
        <w:t>CM</w:t>
      </w:r>
      <w:r w:rsidRPr="0052747F">
        <w:t xml:space="preserve"> and LAD records</w:t>
      </w:r>
      <w:r w:rsidR="00DF1F4A">
        <w:t>.</w:t>
      </w:r>
      <w:r w:rsidRPr="0052747F">
        <w:t xml:space="preserve"> </w:t>
      </w:r>
    </w:p>
    <w:p w14:paraId="71E31CAB" w14:textId="77777777" w:rsidR="00047902" w:rsidRPr="0052747F" w:rsidRDefault="00047902" w:rsidP="001A5AF9">
      <w:pPr>
        <w:rPr>
          <w:color w:val="9B4AD6" w:themeColor="accent2" w:themeTint="99"/>
          <w:spacing w:val="10"/>
          <w:kern w:val="28"/>
          <w:sz w:val="52"/>
          <w:szCs w:val="52"/>
        </w:rPr>
      </w:pPr>
      <w:r w:rsidRPr="0052747F">
        <w:br w:type="page"/>
      </w:r>
    </w:p>
    <w:p w14:paraId="30CFC9A1" w14:textId="11D2EAD4" w:rsidR="009D7BE5" w:rsidRPr="00940751" w:rsidRDefault="009D7BE5" w:rsidP="002149E3">
      <w:pPr>
        <w:pStyle w:val="Heading1"/>
        <w:ind w:left="567" w:hanging="567"/>
        <w:rPr>
          <w:rStyle w:val="TitleChar"/>
          <w:caps w:val="0"/>
          <w:color w:val="4E1A74" w:themeColor="accent2"/>
          <w:spacing w:val="0"/>
          <w:kern w:val="0"/>
          <w:sz w:val="44"/>
          <w:szCs w:val="44"/>
        </w:rPr>
      </w:pPr>
      <w:bookmarkStart w:id="24" w:name="_Transport_Approvals"/>
      <w:bookmarkEnd w:id="24"/>
      <w:r w:rsidRPr="00940751">
        <w:rPr>
          <w:rStyle w:val="TitleChar"/>
          <w:caps w:val="0"/>
          <w:color w:val="4E1A74" w:themeColor="accent2"/>
          <w:spacing w:val="0"/>
          <w:kern w:val="0"/>
          <w:sz w:val="44"/>
          <w:szCs w:val="44"/>
        </w:rPr>
        <w:lastRenderedPageBreak/>
        <w:t xml:space="preserve">Transport </w:t>
      </w:r>
      <w:r w:rsidR="00A2181C">
        <w:rPr>
          <w:rStyle w:val="TitleChar"/>
          <w:caps w:val="0"/>
          <w:color w:val="4E1A74" w:themeColor="accent2"/>
          <w:spacing w:val="0"/>
          <w:kern w:val="0"/>
          <w:sz w:val="44"/>
          <w:szCs w:val="44"/>
        </w:rPr>
        <w:t>safety a</w:t>
      </w:r>
      <w:r w:rsidRPr="00940751">
        <w:rPr>
          <w:rStyle w:val="TitleChar"/>
          <w:caps w:val="0"/>
          <w:color w:val="4E1A74" w:themeColor="accent2"/>
          <w:spacing w:val="0"/>
          <w:kern w:val="0"/>
          <w:sz w:val="44"/>
          <w:szCs w:val="44"/>
        </w:rPr>
        <w:t>pprovals</w:t>
      </w:r>
      <w:bookmarkEnd w:id="23"/>
      <w:r w:rsidR="005B3D57">
        <w:rPr>
          <w:rStyle w:val="FootnoteReference"/>
        </w:rPr>
        <w:footnoteReference w:id="11"/>
      </w:r>
    </w:p>
    <w:p w14:paraId="2E76E28E" w14:textId="4781C7BB" w:rsidR="009D7BE5" w:rsidRPr="0052747F" w:rsidRDefault="009D7BE5" w:rsidP="001A4A44">
      <w:pPr>
        <w:pStyle w:val="Heading2"/>
      </w:pPr>
      <w:r w:rsidRPr="00ED1A65">
        <w:t>Recei</w:t>
      </w:r>
      <w:r w:rsidR="001C7A67">
        <w:t>ving an</w:t>
      </w:r>
      <w:r w:rsidRPr="0052747F">
        <w:t xml:space="preserve"> application</w:t>
      </w:r>
    </w:p>
    <w:p w14:paraId="21DE3CDA" w14:textId="08A4807C" w:rsidR="009D7BE5" w:rsidRPr="0052747F" w:rsidRDefault="009D7BE5" w:rsidP="00ED1A65">
      <w:pPr>
        <w:spacing w:before="120"/>
      </w:pPr>
      <w:r w:rsidRPr="0052747F">
        <w:t>All requests should be received by</w:t>
      </w:r>
      <w:r w:rsidR="004911FD">
        <w:t xml:space="preserve"> </w:t>
      </w:r>
      <w:hyperlink r:id="rId43" w:history="1">
        <w:r w:rsidR="004911FD" w:rsidRPr="006E2974">
          <w:rPr>
            <w:rStyle w:val="Hyperlink"/>
          </w:rPr>
          <w:t>LicenceAdmin@arpansa.gov.au</w:t>
        </w:r>
      </w:hyperlink>
      <w:r w:rsidR="00443092">
        <w:rPr>
          <w:rStyle w:val="Hyperlink"/>
        </w:rPr>
        <w:t>.</w:t>
      </w:r>
      <w:r w:rsidRPr="0052747F">
        <w:t xml:space="preserve"> </w:t>
      </w:r>
      <w:r w:rsidR="00443092">
        <w:t>I</w:t>
      </w:r>
      <w:r w:rsidRPr="0052747F">
        <w:t>f an officer receives a</w:t>
      </w:r>
      <w:r w:rsidR="00443092">
        <w:t xml:space="preserve"> direct</w:t>
      </w:r>
      <w:r w:rsidRPr="0052747F">
        <w:t xml:space="preserve"> </w:t>
      </w:r>
      <w:proofErr w:type="gramStart"/>
      <w:r w:rsidRPr="0052747F">
        <w:t>request</w:t>
      </w:r>
      <w:proofErr w:type="gramEnd"/>
      <w:r w:rsidRPr="0052747F">
        <w:t xml:space="preserve"> it should be forwarded to </w:t>
      </w:r>
      <w:r w:rsidR="00443092">
        <w:t xml:space="preserve">the </w:t>
      </w:r>
      <w:r w:rsidRPr="0052747F">
        <w:t>LA inbox.</w:t>
      </w:r>
    </w:p>
    <w:p w14:paraId="21F19531" w14:textId="173F2B0D" w:rsidR="006B7137" w:rsidRDefault="006B7137">
      <w:pPr>
        <w:spacing w:before="120"/>
      </w:pPr>
      <w:r w:rsidRPr="000A0664">
        <w:t xml:space="preserve">The </w:t>
      </w:r>
      <w:r w:rsidR="00F54671">
        <w:t>LAO</w:t>
      </w:r>
      <w:r>
        <w:t xml:space="preserve">: </w:t>
      </w:r>
    </w:p>
    <w:p w14:paraId="4BF53365" w14:textId="0FDF6B58" w:rsidR="006B7137" w:rsidRDefault="00BA1A59" w:rsidP="0064510A">
      <w:pPr>
        <w:pStyle w:val="ListParagraph"/>
        <w:numPr>
          <w:ilvl w:val="0"/>
          <w:numId w:val="44"/>
        </w:numPr>
      </w:pPr>
      <w:r>
        <w:t>s</w:t>
      </w:r>
      <w:r w:rsidR="006B7137" w:rsidRPr="000A0664">
        <w:t>ave</w:t>
      </w:r>
      <w:r w:rsidR="006B7137">
        <w:t>s</w:t>
      </w:r>
      <w:r w:rsidR="006B7137" w:rsidRPr="000A0664">
        <w:t xml:space="preserve"> the application into </w:t>
      </w:r>
      <w:r w:rsidR="006B7137">
        <w:t>CM</w:t>
      </w:r>
    </w:p>
    <w:p w14:paraId="18C1852E" w14:textId="53227297" w:rsidR="006B7137" w:rsidRDefault="00BA1A59" w:rsidP="0064510A">
      <w:pPr>
        <w:pStyle w:val="ListParagraph"/>
        <w:numPr>
          <w:ilvl w:val="0"/>
          <w:numId w:val="44"/>
        </w:numPr>
      </w:pPr>
      <w:r>
        <w:t>e</w:t>
      </w:r>
      <w:r w:rsidR="006B7137" w:rsidRPr="000A0664">
        <w:t>nter</w:t>
      </w:r>
      <w:r w:rsidR="006B7137">
        <w:t>s</w:t>
      </w:r>
      <w:r w:rsidR="006B7137" w:rsidRPr="000A0664">
        <w:t xml:space="preserve"> the required information into LAD</w:t>
      </w:r>
      <w:r w:rsidR="006B7137">
        <w:t xml:space="preserve"> </w:t>
      </w:r>
    </w:p>
    <w:p w14:paraId="531F073B" w14:textId="572A88B8" w:rsidR="006B7137" w:rsidRDefault="00BA1A59" w:rsidP="0064510A">
      <w:pPr>
        <w:pStyle w:val="ListParagraph"/>
        <w:numPr>
          <w:ilvl w:val="0"/>
          <w:numId w:val="44"/>
        </w:numPr>
      </w:pPr>
      <w:r>
        <w:t>f</w:t>
      </w:r>
      <w:r w:rsidR="006B7137" w:rsidRPr="0052747F">
        <w:t>orward</w:t>
      </w:r>
      <w:r w:rsidR="006B7137">
        <w:t>s</w:t>
      </w:r>
      <w:r w:rsidR="006B7137" w:rsidRPr="0052747F">
        <w:t xml:space="preserve"> </w:t>
      </w:r>
      <w:r w:rsidR="006B7137">
        <w:t xml:space="preserve">request </w:t>
      </w:r>
      <w:r w:rsidR="006B7137" w:rsidRPr="0052747F">
        <w:t xml:space="preserve">to the relevant section </w:t>
      </w:r>
      <w:r w:rsidR="006B7137">
        <w:t>director</w:t>
      </w:r>
      <w:r w:rsidR="006B7137" w:rsidRPr="0052747F">
        <w:t xml:space="preserve"> who will assign </w:t>
      </w:r>
      <w:r w:rsidR="006B7137">
        <w:t xml:space="preserve">it to </w:t>
      </w:r>
      <w:r w:rsidR="006B7137" w:rsidRPr="0052747F">
        <w:t>a</w:t>
      </w:r>
      <w:r w:rsidR="00983C53">
        <w:t>n assessor</w:t>
      </w:r>
    </w:p>
    <w:p w14:paraId="6865543F" w14:textId="147985E8" w:rsidR="006B7137" w:rsidRDefault="00BA1A59" w:rsidP="0064510A">
      <w:pPr>
        <w:pStyle w:val="ListParagraph"/>
        <w:numPr>
          <w:ilvl w:val="0"/>
          <w:numId w:val="44"/>
        </w:numPr>
      </w:pPr>
      <w:r>
        <w:t>a</w:t>
      </w:r>
      <w:r w:rsidR="006B7137" w:rsidRPr="000A0664">
        <w:t>cknowledge</w:t>
      </w:r>
      <w:r w:rsidR="006B7137">
        <w:t>s</w:t>
      </w:r>
      <w:r w:rsidR="006B7137" w:rsidRPr="000A0664">
        <w:t xml:space="preserve"> receipt </w:t>
      </w:r>
      <w:r w:rsidR="006B7137">
        <w:t xml:space="preserve">of the application </w:t>
      </w:r>
      <w:r w:rsidR="006B7137" w:rsidRPr="000A0664">
        <w:t xml:space="preserve">with a copy to the </w:t>
      </w:r>
      <w:r w:rsidR="000C5529">
        <w:t>assessor</w:t>
      </w:r>
      <w:r w:rsidR="006B7137" w:rsidRPr="000A0664">
        <w:t xml:space="preserve"> </w:t>
      </w:r>
    </w:p>
    <w:p w14:paraId="73728094" w14:textId="78FBC691" w:rsidR="009D7BE5" w:rsidRPr="0052747F" w:rsidRDefault="009D7BE5" w:rsidP="001A4A44">
      <w:pPr>
        <w:pStyle w:val="Heading2"/>
      </w:pPr>
      <w:r w:rsidRPr="0052747F">
        <w:t>A</w:t>
      </w:r>
      <w:r w:rsidR="001C7A67">
        <w:t>ssessing the a</w:t>
      </w:r>
      <w:r w:rsidRPr="0052747F">
        <w:t xml:space="preserve">pplication </w:t>
      </w:r>
    </w:p>
    <w:p w14:paraId="0ABBA9B3" w14:textId="7463386B" w:rsidR="009D7BE5" w:rsidRPr="0052747F" w:rsidRDefault="009D7BE5" w:rsidP="00ED1A65">
      <w:pPr>
        <w:spacing w:before="120"/>
      </w:pPr>
      <w:r w:rsidRPr="0052747F">
        <w:t xml:space="preserve">ARPANSA is </w:t>
      </w:r>
      <w:r w:rsidR="008B4A5B">
        <w:t xml:space="preserve">one of several </w:t>
      </w:r>
      <w:r w:rsidR="00443092">
        <w:t>c</w:t>
      </w:r>
      <w:r w:rsidRPr="0052747F">
        <w:t xml:space="preserve">ompetent </w:t>
      </w:r>
      <w:r w:rsidR="00443092">
        <w:t>a</w:t>
      </w:r>
      <w:r w:rsidRPr="0052747F">
        <w:t>uthorit</w:t>
      </w:r>
      <w:r w:rsidR="008B4A5B">
        <w:t>ies</w:t>
      </w:r>
      <w:r w:rsidRPr="0052747F">
        <w:t xml:space="preserve"> responsible for assessment and approval of applications to transport radioactive material </w:t>
      </w:r>
      <w:r w:rsidR="005A7061">
        <w:t>in accordance with</w:t>
      </w:r>
      <w:r w:rsidRPr="0052747F">
        <w:t xml:space="preserve"> the </w:t>
      </w:r>
      <w:hyperlink r:id="rId44" w:history="1">
        <w:r w:rsidRPr="0052747F">
          <w:rPr>
            <w:rStyle w:val="Hyperlink"/>
          </w:rPr>
          <w:t>Code for Safe Transport of Radioactive Material, Radiation Protection Series No.C-2</w:t>
        </w:r>
      </w:hyperlink>
      <w:r w:rsidRPr="0052747F">
        <w:t xml:space="preserve"> (RPS C-2). This includes approval of low dispersible radioactive material, special form radioactive material, design of packages, validation of packages, shipment of radioactive material, radiation protection program for special use vessel and calculation of </w:t>
      </w:r>
      <w:r w:rsidR="00B97B2E">
        <w:t xml:space="preserve">basic </w:t>
      </w:r>
      <w:r w:rsidRPr="0052747F">
        <w:t>radionuclides value.</w:t>
      </w:r>
    </w:p>
    <w:p w14:paraId="1D2ABADD" w14:textId="64F7A12F" w:rsidR="006B7137" w:rsidRDefault="006B7137" w:rsidP="0064510A">
      <w:pPr>
        <w:pStyle w:val="Heading3"/>
        <w:numPr>
          <w:ilvl w:val="0"/>
          <w:numId w:val="42"/>
        </w:numPr>
      </w:pPr>
      <w:r>
        <w:t>Assessment criteria</w:t>
      </w:r>
    </w:p>
    <w:p w14:paraId="5C69FC49" w14:textId="04CBE55C" w:rsidR="009D7BE5" w:rsidRPr="0052747F" w:rsidRDefault="009D7BE5" w:rsidP="00ED1A65">
      <w:r w:rsidRPr="0052747F">
        <w:t xml:space="preserve">The assessment should be graded in terms of the available information. For example, the </w:t>
      </w:r>
      <w:r w:rsidR="00443092">
        <w:t>s</w:t>
      </w:r>
      <w:r w:rsidRPr="0052747F">
        <w:t xml:space="preserve">afety </w:t>
      </w:r>
      <w:r w:rsidR="00443092">
        <w:t>a</w:t>
      </w:r>
      <w:r w:rsidRPr="0052747F">
        <w:t xml:space="preserve">nalysis </w:t>
      </w:r>
      <w:r w:rsidR="00443092">
        <w:t>r</w:t>
      </w:r>
      <w:r w:rsidRPr="0052747F">
        <w:t xml:space="preserve">eport (SAR) is a key requirement for certification of design approval for a package and must be provided. However, for validation of a package, if the SAR is not available in </w:t>
      </w:r>
      <w:proofErr w:type="gramStart"/>
      <w:r w:rsidRPr="0052747F">
        <w:t>English</w:t>
      </w:r>
      <w:proofErr w:type="gramEnd"/>
      <w:r w:rsidRPr="0052747F">
        <w:t xml:space="preserve"> then a synopsis of the SAR and the regulatory assessment of the </w:t>
      </w:r>
      <w:r w:rsidR="00443092">
        <w:t>c</w:t>
      </w:r>
      <w:r w:rsidRPr="0052747F">
        <w:t xml:space="preserve">ompetent </w:t>
      </w:r>
      <w:r w:rsidR="00443092">
        <w:t>a</w:t>
      </w:r>
      <w:r w:rsidRPr="0052747F">
        <w:t xml:space="preserve">uthority in the country of origin may be acceptable depending on the type of package and the availability of </w:t>
      </w:r>
      <w:r w:rsidR="000369E3" w:rsidRPr="0052747F">
        <w:t>supp</w:t>
      </w:r>
      <w:r w:rsidRPr="0052747F">
        <w:t xml:space="preserve">lementary information. </w:t>
      </w:r>
    </w:p>
    <w:p w14:paraId="707393B0" w14:textId="5A562566" w:rsidR="006B7137" w:rsidRDefault="006B7137" w:rsidP="00ED1A65">
      <w:pPr>
        <w:spacing w:before="120"/>
      </w:pPr>
      <w:r>
        <w:t xml:space="preserve">See </w:t>
      </w:r>
      <w:r w:rsidR="007D1B21">
        <w:t>AMS</w:t>
      </w:r>
      <w:r>
        <w:t xml:space="preserve"> for </w:t>
      </w:r>
      <w:hyperlink r:id="rId45" w:history="1">
        <w:r w:rsidRPr="006B7137">
          <w:rPr>
            <w:rStyle w:val="Hyperlink"/>
          </w:rPr>
          <w:t>g</w:t>
        </w:r>
        <w:r w:rsidR="008239C3" w:rsidRPr="006B7137">
          <w:rPr>
            <w:rStyle w:val="Hyperlink"/>
          </w:rPr>
          <w:t xml:space="preserve">uidance </w:t>
        </w:r>
        <w:r w:rsidRPr="006B7137">
          <w:rPr>
            <w:rStyle w:val="Hyperlink"/>
          </w:rPr>
          <w:t xml:space="preserve">and </w:t>
        </w:r>
        <w:r w:rsidR="008239C3" w:rsidRPr="006B7137">
          <w:rPr>
            <w:rStyle w:val="Hyperlink"/>
          </w:rPr>
          <w:t>application checklists</w:t>
        </w:r>
      </w:hyperlink>
      <w:r>
        <w:t>.</w:t>
      </w:r>
      <w:r w:rsidR="009D7BE5" w:rsidRPr="00E101C8">
        <w:t xml:space="preserve"> </w:t>
      </w:r>
    </w:p>
    <w:p w14:paraId="52E2FFBE" w14:textId="3C42FB69" w:rsidR="009D7BE5" w:rsidRPr="00E101C8" w:rsidRDefault="009D7BE5" w:rsidP="0064510A">
      <w:pPr>
        <w:pStyle w:val="Heading3"/>
        <w:numPr>
          <w:ilvl w:val="0"/>
          <w:numId w:val="45"/>
        </w:numPr>
      </w:pPr>
      <w:r w:rsidRPr="00E101C8">
        <w:t>Further information</w:t>
      </w:r>
      <w:r w:rsidR="00CE5B5A">
        <w:t xml:space="preserve"> &amp; </w:t>
      </w:r>
      <w:r w:rsidRPr="00E101C8">
        <w:t>site visits</w:t>
      </w:r>
    </w:p>
    <w:p w14:paraId="6979F21D" w14:textId="75A2A84A" w:rsidR="00E424BC" w:rsidRDefault="009D7BE5" w:rsidP="00ED1A65">
      <w:r w:rsidRPr="00E101C8">
        <w:t xml:space="preserve">Where </w:t>
      </w:r>
      <w:r w:rsidR="00E85838" w:rsidRPr="00E101C8">
        <w:t>necessary</w:t>
      </w:r>
      <w:r w:rsidRPr="00E101C8">
        <w:t xml:space="preserve">, the </w:t>
      </w:r>
      <w:r w:rsidR="003A40FA">
        <w:t xml:space="preserve">assessor </w:t>
      </w:r>
      <w:r w:rsidRPr="00E101C8">
        <w:t xml:space="preserve">requests further information </w:t>
      </w:r>
      <w:r w:rsidR="006E320B" w:rsidRPr="00E101C8">
        <w:t>using</w:t>
      </w:r>
      <w:r w:rsidR="00861FA4">
        <w:t xml:space="preserve"> the appropriate email template</w:t>
      </w:r>
      <w:r w:rsidR="006E320B" w:rsidRPr="0052747F">
        <w:t xml:space="preserve">. </w:t>
      </w:r>
      <w:r w:rsidRPr="0052747F">
        <w:t xml:space="preserve"> </w:t>
      </w:r>
      <w:r w:rsidR="00E85838" w:rsidRPr="0052747F">
        <w:t>M</w:t>
      </w:r>
      <w:r w:rsidRPr="0052747F">
        <w:t>eeting</w:t>
      </w:r>
      <w:r w:rsidR="00E85838" w:rsidRPr="0052747F">
        <w:t>s or site visits may also be appropriate.</w:t>
      </w:r>
    </w:p>
    <w:p w14:paraId="064A376D" w14:textId="03311586" w:rsidR="009D7BE5" w:rsidRPr="00E424BC" w:rsidRDefault="00E424BC" w:rsidP="00ED1A65">
      <w:pPr>
        <w:spacing w:before="120"/>
        <w:rPr>
          <w:rFonts w:cs="Calibri"/>
        </w:rPr>
      </w:pPr>
      <w:r w:rsidRPr="0052747F">
        <w:t xml:space="preserve">If no further information is </w:t>
      </w:r>
      <w:proofErr w:type="gramStart"/>
      <w:r w:rsidRPr="0052747F">
        <w:t>required</w:t>
      </w:r>
      <w:proofErr w:type="gramEnd"/>
      <w:r w:rsidRPr="0052747F">
        <w:t xml:space="preserve"> the </w:t>
      </w:r>
      <w:r w:rsidR="003A40FA">
        <w:t xml:space="preserve">assessor </w:t>
      </w:r>
      <w:r w:rsidRPr="0052747F">
        <w:t xml:space="preserve">should agree a timeframe for </w:t>
      </w:r>
      <w:r w:rsidR="000C5529">
        <w:t xml:space="preserve">completing the </w:t>
      </w:r>
      <w:r w:rsidRPr="0052747F">
        <w:t>assessment with the applicant. This should be done by email and must be recorded in</w:t>
      </w:r>
      <w:r w:rsidR="00B3079B">
        <w:t xml:space="preserve"> the </w:t>
      </w:r>
      <w:proofErr w:type="spellStart"/>
      <w:r w:rsidR="002D4888">
        <w:t>Sharepoint</w:t>
      </w:r>
      <w:proofErr w:type="spellEnd"/>
      <w:r w:rsidR="00B3079B">
        <w:t xml:space="preserve"> Teams site</w:t>
      </w:r>
      <w:r w:rsidRPr="0052747F">
        <w:t>.</w:t>
      </w:r>
      <w:r w:rsidR="001A245F">
        <w:t xml:space="preserve"> No agreement is required if the assessment is expected to take </w:t>
      </w:r>
      <w:r w:rsidR="00B3079B">
        <w:t>5</w:t>
      </w:r>
      <w:r w:rsidR="001A245F">
        <w:t xml:space="preserve"> working days or less. </w:t>
      </w:r>
    </w:p>
    <w:p w14:paraId="683D11DC" w14:textId="70B3B014" w:rsidR="009D7BE5" w:rsidRPr="0052747F" w:rsidRDefault="009D7BE5" w:rsidP="001A4A44">
      <w:pPr>
        <w:pStyle w:val="Heading2"/>
      </w:pPr>
      <w:r w:rsidRPr="0052747F">
        <w:t>Document</w:t>
      </w:r>
      <w:r w:rsidR="00443092">
        <w:t>ing the assessment</w:t>
      </w:r>
      <w:r w:rsidRPr="0052747F">
        <w:tab/>
      </w:r>
    </w:p>
    <w:p w14:paraId="10014BF7" w14:textId="03FEEC3F" w:rsidR="00443092" w:rsidRDefault="00443092" w:rsidP="00ED1A65">
      <w:pPr>
        <w:spacing w:before="120"/>
      </w:pPr>
      <w:r>
        <w:t xml:space="preserve">The </w:t>
      </w:r>
      <w:r w:rsidR="003A40FA">
        <w:t xml:space="preserve">assessor </w:t>
      </w:r>
      <w:r>
        <w:t xml:space="preserve">prepares an assessment report and makes recommendations to the CEO about whether to approve the application.  A draft approval certificate is prepared – see </w:t>
      </w:r>
      <w:r w:rsidR="007D1B21">
        <w:t>AMS</w:t>
      </w:r>
      <w:r w:rsidR="006B7137">
        <w:t xml:space="preserve"> </w:t>
      </w:r>
      <w:r>
        <w:t>for</w:t>
      </w:r>
      <w:r w:rsidR="00861FA4">
        <w:t xml:space="preserve"> appropriate template</w:t>
      </w:r>
      <w:r>
        <w:t xml:space="preserve">. </w:t>
      </w:r>
    </w:p>
    <w:p w14:paraId="6587E2AC" w14:textId="7732D538" w:rsidR="009D7BE5" w:rsidRPr="0052747F" w:rsidRDefault="009D7BE5" w:rsidP="001A4A44">
      <w:pPr>
        <w:pStyle w:val="Heading2"/>
      </w:pPr>
      <w:r w:rsidRPr="0052747F">
        <w:lastRenderedPageBreak/>
        <w:t>Approval</w:t>
      </w:r>
    </w:p>
    <w:p w14:paraId="5E43131A" w14:textId="71B52502" w:rsidR="000369E3" w:rsidRPr="0052747F" w:rsidRDefault="00443092" w:rsidP="00ED1A65">
      <w:pPr>
        <w:spacing w:before="120"/>
      </w:pPr>
      <w:r w:rsidRPr="0052747F">
        <w:t>The CEO must sign all transport approvals</w:t>
      </w:r>
      <w:r w:rsidR="00B97B2E">
        <w:t xml:space="preserve"> as </w:t>
      </w:r>
      <w:r w:rsidR="00056E7D">
        <w:t xml:space="preserve">the </w:t>
      </w:r>
      <w:r w:rsidR="00B97B2E">
        <w:t>competent authority</w:t>
      </w:r>
      <w:r w:rsidR="006B7137">
        <w:t xml:space="preserve">. </w:t>
      </w:r>
      <w:r w:rsidR="000369E3" w:rsidRPr="0052747F">
        <w:t>Transport approval is granted for a specific period, for example:</w:t>
      </w:r>
    </w:p>
    <w:p w14:paraId="4E40C561" w14:textId="5971A448" w:rsidR="000369E3" w:rsidRPr="0052747F" w:rsidRDefault="00B97B2E" w:rsidP="00103EAC">
      <w:pPr>
        <w:pStyle w:val="ListParagraph"/>
        <w:numPr>
          <w:ilvl w:val="0"/>
          <w:numId w:val="7"/>
        </w:numPr>
      </w:pPr>
      <w:r>
        <w:rPr>
          <w:i/>
        </w:rPr>
        <w:t xml:space="preserve">Package </w:t>
      </w:r>
      <w:r w:rsidR="000369E3" w:rsidRPr="0052747F">
        <w:rPr>
          <w:i/>
        </w:rPr>
        <w:t>Design</w:t>
      </w:r>
      <w:r w:rsidR="000369E3" w:rsidRPr="0052747F">
        <w:t xml:space="preserve"> is generally approved for a period of 5 years with a possibility of recertification, subject to application</w:t>
      </w:r>
    </w:p>
    <w:p w14:paraId="25E0FA86" w14:textId="77777777" w:rsidR="000369E3" w:rsidRPr="0052747F" w:rsidRDefault="000369E3" w:rsidP="00103EAC">
      <w:pPr>
        <w:pStyle w:val="ListParagraph"/>
        <w:numPr>
          <w:ilvl w:val="0"/>
          <w:numId w:val="6"/>
        </w:numPr>
      </w:pPr>
      <w:r w:rsidRPr="0052747F">
        <w:rPr>
          <w:i/>
        </w:rPr>
        <w:t>Special Arrangements</w:t>
      </w:r>
      <w:r w:rsidRPr="0052747F">
        <w:t xml:space="preserve"> are approved for a nominated period depending on the type of transport activity</w:t>
      </w:r>
    </w:p>
    <w:p w14:paraId="6929E227" w14:textId="77777777" w:rsidR="003B78BB" w:rsidRDefault="000369E3" w:rsidP="00103EAC">
      <w:pPr>
        <w:pStyle w:val="ListParagraph"/>
        <w:numPr>
          <w:ilvl w:val="0"/>
          <w:numId w:val="6"/>
        </w:numPr>
      </w:pPr>
      <w:r w:rsidRPr="0052747F">
        <w:rPr>
          <w:i/>
        </w:rPr>
        <w:t>Validation</w:t>
      </w:r>
      <w:r w:rsidRPr="0052747F">
        <w:t xml:space="preserve"> of a package is granted for the period specified in the original certificate and subject to the conditions of the original certificate.</w:t>
      </w:r>
      <w:r w:rsidR="003B78BB" w:rsidRPr="003B78BB">
        <w:t xml:space="preserve"> </w:t>
      </w:r>
    </w:p>
    <w:p w14:paraId="323A872D" w14:textId="742ABB81" w:rsidR="009D7BE5" w:rsidRPr="0052747F" w:rsidRDefault="009D7BE5" w:rsidP="001A4A44">
      <w:pPr>
        <w:pStyle w:val="Heading2"/>
      </w:pPr>
      <w:r w:rsidRPr="0052747F">
        <w:t xml:space="preserve">Final </w:t>
      </w:r>
      <w:r w:rsidR="000369E3" w:rsidRPr="0052747F">
        <w:t>n</w:t>
      </w:r>
      <w:r w:rsidRPr="0052747F">
        <w:t>otification</w:t>
      </w:r>
    </w:p>
    <w:p w14:paraId="0A60916F" w14:textId="50982899" w:rsidR="009D7BE5" w:rsidRPr="0052747F" w:rsidRDefault="000369E3" w:rsidP="00ED1A65">
      <w:pPr>
        <w:pStyle w:val="Header"/>
        <w:spacing w:before="120"/>
      </w:pPr>
      <w:r w:rsidRPr="0052747F">
        <w:t xml:space="preserve">The </w:t>
      </w:r>
      <w:r w:rsidR="008B7105">
        <w:t xml:space="preserve">assessor </w:t>
      </w:r>
      <w:r w:rsidRPr="0052747F">
        <w:t xml:space="preserve">sends </w:t>
      </w:r>
      <w:r w:rsidR="00443092">
        <w:t xml:space="preserve">the </w:t>
      </w:r>
      <w:r w:rsidR="006E320B" w:rsidRPr="0052747F">
        <w:t xml:space="preserve">approval to the applicant. </w:t>
      </w:r>
    </w:p>
    <w:p w14:paraId="35B7F8C3" w14:textId="26682EF0" w:rsidR="000369E3" w:rsidRPr="0052747F" w:rsidRDefault="000369E3" w:rsidP="001A4A44">
      <w:pPr>
        <w:pStyle w:val="Heading2"/>
      </w:pPr>
      <w:r w:rsidRPr="0052747F">
        <w:t>Record keeping</w:t>
      </w:r>
    </w:p>
    <w:p w14:paraId="6DCF1579" w14:textId="3650516E" w:rsidR="000369E3" w:rsidRDefault="000369E3" w:rsidP="00ED1A65">
      <w:pPr>
        <w:spacing w:before="120"/>
      </w:pPr>
      <w:r w:rsidRPr="0052747F">
        <w:t xml:space="preserve">The </w:t>
      </w:r>
      <w:r w:rsidR="008B7105">
        <w:t xml:space="preserve">assessor </w:t>
      </w:r>
      <w:r w:rsidRPr="0052747F">
        <w:t>save</w:t>
      </w:r>
      <w:r w:rsidR="00443092">
        <w:t>s</w:t>
      </w:r>
      <w:r w:rsidRPr="0052747F">
        <w:t xml:space="preserve"> </w:t>
      </w:r>
      <w:r w:rsidR="00956C21" w:rsidRPr="0052747F">
        <w:t xml:space="preserve">all records in </w:t>
      </w:r>
      <w:r w:rsidR="00184E1D">
        <w:t>CM</w:t>
      </w:r>
      <w:r w:rsidR="00956C21" w:rsidRPr="0052747F">
        <w:t xml:space="preserve"> </w:t>
      </w:r>
      <w:r w:rsidRPr="0052747F">
        <w:t>and update</w:t>
      </w:r>
      <w:r w:rsidR="00956C21" w:rsidRPr="0052747F">
        <w:t>s</w:t>
      </w:r>
      <w:r w:rsidRPr="0052747F">
        <w:t xml:space="preserve"> LAD</w:t>
      </w:r>
      <w:r w:rsidR="00956C21" w:rsidRPr="0052747F">
        <w:t xml:space="preserve"> as necessary.</w:t>
      </w:r>
    </w:p>
    <w:p w14:paraId="4F3EC33B" w14:textId="0413DDD6" w:rsidR="001E1C54" w:rsidRDefault="001E1C54" w:rsidP="00ED1A65">
      <w:pPr>
        <w:spacing w:before="120"/>
      </w:pPr>
    </w:p>
    <w:p w14:paraId="181AA4F9" w14:textId="77777777" w:rsidR="005538D4" w:rsidRDefault="005538D4">
      <w:pPr>
        <w:rPr>
          <w:rStyle w:val="Heading1Char"/>
          <w:bCs/>
        </w:rPr>
      </w:pPr>
      <w:bookmarkStart w:id="25" w:name="_8._Periodic_Licence"/>
      <w:bookmarkStart w:id="26" w:name="_Periodic_Licence_Review_1"/>
      <w:bookmarkStart w:id="27" w:name="_Toc475614185"/>
      <w:bookmarkEnd w:id="25"/>
      <w:bookmarkEnd w:id="26"/>
      <w:r>
        <w:rPr>
          <w:rStyle w:val="Heading1Char"/>
          <w:b w:val="0"/>
          <w:bCs/>
        </w:rPr>
        <w:br w:type="page"/>
      </w:r>
    </w:p>
    <w:p w14:paraId="4D2C7959" w14:textId="16D80AE1" w:rsidR="009D7BE5" w:rsidRPr="002149E3" w:rsidRDefault="00CE345C" w:rsidP="0064510A">
      <w:pPr>
        <w:pStyle w:val="Heading1"/>
        <w:numPr>
          <w:ilvl w:val="0"/>
          <w:numId w:val="55"/>
        </w:numPr>
        <w:ind w:left="142" w:hanging="426"/>
        <w:rPr>
          <w:rStyle w:val="Heading1Char"/>
          <w:b/>
          <w:bCs/>
        </w:rPr>
      </w:pPr>
      <w:r w:rsidRPr="002149E3">
        <w:rPr>
          <w:rStyle w:val="Heading1Char"/>
          <w:b/>
          <w:bCs/>
        </w:rPr>
        <w:lastRenderedPageBreak/>
        <w:t>P</w:t>
      </w:r>
      <w:r w:rsidR="009D7BE5" w:rsidRPr="002149E3">
        <w:rPr>
          <w:rStyle w:val="Heading1Char"/>
          <w:b/>
          <w:bCs/>
        </w:rPr>
        <w:t xml:space="preserve">eriodic </w:t>
      </w:r>
      <w:r w:rsidR="00671EB3">
        <w:rPr>
          <w:rStyle w:val="Heading1Char"/>
          <w:b/>
          <w:bCs/>
        </w:rPr>
        <w:t>l</w:t>
      </w:r>
      <w:r w:rsidR="009D7BE5" w:rsidRPr="002149E3">
        <w:rPr>
          <w:rStyle w:val="Heading1Char"/>
          <w:b/>
          <w:bCs/>
        </w:rPr>
        <w:t xml:space="preserve">icence </w:t>
      </w:r>
      <w:r w:rsidR="00671EB3">
        <w:rPr>
          <w:rStyle w:val="Heading1Char"/>
          <w:b/>
          <w:bCs/>
        </w:rPr>
        <w:t>r</w:t>
      </w:r>
      <w:r w:rsidR="009D7BE5" w:rsidRPr="002149E3">
        <w:rPr>
          <w:rStyle w:val="Heading1Char"/>
          <w:b/>
          <w:bCs/>
        </w:rPr>
        <w:t>eview</w:t>
      </w:r>
      <w:bookmarkEnd w:id="27"/>
    </w:p>
    <w:p w14:paraId="3E38233A" w14:textId="0B67889A" w:rsidR="009D7BE5" w:rsidRPr="0052747F" w:rsidRDefault="009D7BE5" w:rsidP="00ED1A65">
      <w:pPr>
        <w:spacing w:before="120"/>
      </w:pPr>
      <w:r w:rsidRPr="0052747F">
        <w:t>Licence</w:t>
      </w:r>
      <w:r w:rsidR="00443092">
        <w:t>s</w:t>
      </w:r>
      <w:r w:rsidRPr="0052747F">
        <w:t xml:space="preserve"> </w:t>
      </w:r>
      <w:r w:rsidR="00443092">
        <w:t xml:space="preserve">are </w:t>
      </w:r>
      <w:r w:rsidR="003D1A97" w:rsidRPr="0052747F">
        <w:t>review</w:t>
      </w:r>
      <w:r w:rsidR="003D1A97">
        <w:t>ed</w:t>
      </w:r>
      <w:r w:rsidR="003D1A97" w:rsidRPr="0052747F">
        <w:t xml:space="preserve"> </w:t>
      </w:r>
      <w:r w:rsidR="00403DF8" w:rsidRPr="0052747F">
        <w:t xml:space="preserve">periodically </w:t>
      </w:r>
      <w:r w:rsidR="0025551A" w:rsidRPr="0052747F">
        <w:t xml:space="preserve">to ensure </w:t>
      </w:r>
      <w:r w:rsidR="003B78BB">
        <w:t xml:space="preserve">they </w:t>
      </w:r>
      <w:r w:rsidR="0025551A" w:rsidRPr="0052747F">
        <w:t>remain current</w:t>
      </w:r>
      <w:r w:rsidR="00443092">
        <w:t>. The review should occur</w:t>
      </w:r>
      <w:r w:rsidR="0030221C" w:rsidRPr="0052747F">
        <w:t xml:space="preserve"> </w:t>
      </w:r>
      <w:r w:rsidR="008239C3" w:rsidRPr="0052747F">
        <w:t xml:space="preserve">at least </w:t>
      </w:r>
      <w:r w:rsidRPr="0052747F">
        <w:t xml:space="preserve">once every </w:t>
      </w:r>
      <w:r w:rsidR="003169C9">
        <w:t>3</w:t>
      </w:r>
      <w:r w:rsidR="003169C9" w:rsidRPr="0052747F">
        <w:t xml:space="preserve"> </w:t>
      </w:r>
      <w:r w:rsidRPr="0052747F">
        <w:t>years</w:t>
      </w:r>
      <w:r w:rsidR="007F77D5">
        <w:t>,</w:t>
      </w:r>
      <w:r w:rsidRPr="0052747F">
        <w:t xml:space="preserve"> </w:t>
      </w:r>
      <w:r w:rsidR="007A7824">
        <w:t xml:space="preserve">when the </w:t>
      </w:r>
      <w:r w:rsidRPr="0052747F">
        <w:t xml:space="preserve">licence </w:t>
      </w:r>
      <w:r w:rsidR="007A7824">
        <w:t xml:space="preserve">template </w:t>
      </w:r>
      <w:r w:rsidRPr="0052747F">
        <w:t xml:space="preserve">is </w:t>
      </w:r>
      <w:r w:rsidR="007A7824">
        <w:t>updated</w:t>
      </w:r>
      <w:r w:rsidR="007F77D5">
        <w:t>,</w:t>
      </w:r>
      <w:r w:rsidRPr="0052747F">
        <w:t xml:space="preserve"> or if there is a substantial </w:t>
      </w:r>
      <w:r w:rsidR="00F1114C">
        <w:t>change to</w:t>
      </w:r>
      <w:r w:rsidRPr="0052747F">
        <w:t xml:space="preserve"> </w:t>
      </w:r>
      <w:r w:rsidR="002F4EE8" w:rsidRPr="0052747F">
        <w:t xml:space="preserve">licence </w:t>
      </w:r>
      <w:r w:rsidRPr="0052747F">
        <w:t>conditions</w:t>
      </w:r>
      <w:r w:rsidR="004A08BA">
        <w:t xml:space="preserve"> or template. </w:t>
      </w:r>
      <w:r w:rsidR="003D1A97">
        <w:t xml:space="preserve"> </w:t>
      </w:r>
      <w:r w:rsidR="002C7621">
        <w:t xml:space="preserve"> </w:t>
      </w:r>
    </w:p>
    <w:p w14:paraId="0AAC3506" w14:textId="3FAF1541" w:rsidR="009D7BE5" w:rsidRPr="0052747F" w:rsidRDefault="00403FC5" w:rsidP="001A4A44">
      <w:pPr>
        <w:pStyle w:val="Heading2"/>
      </w:pPr>
      <w:r>
        <w:t>Review</w:t>
      </w:r>
    </w:p>
    <w:p w14:paraId="0B7AEF90" w14:textId="45BC3672" w:rsidR="009D7BE5" w:rsidRPr="0052747F" w:rsidRDefault="009D7BE5" w:rsidP="00ED1A65">
      <w:pPr>
        <w:spacing w:before="120"/>
      </w:pPr>
      <w:r w:rsidRPr="0052747F">
        <w:t xml:space="preserve">The </w:t>
      </w:r>
      <w:r w:rsidR="00403FC5">
        <w:t>lead inspector</w:t>
      </w:r>
      <w:r w:rsidRPr="0052747F">
        <w:t xml:space="preserve"> should complete the </w:t>
      </w:r>
      <w:hyperlink r:id="rId46" w:history="1">
        <w:r w:rsidRPr="0052747F">
          <w:rPr>
            <w:rStyle w:val="Hyperlink"/>
          </w:rPr>
          <w:t xml:space="preserve">Licence Review Checklist </w:t>
        </w:r>
      </w:hyperlink>
      <w:r w:rsidRPr="0052747F">
        <w:t>in conjunction with this procedure.</w:t>
      </w:r>
      <w:r w:rsidR="006B7137">
        <w:t xml:space="preserve"> </w:t>
      </w:r>
    </w:p>
    <w:p w14:paraId="06452CA0" w14:textId="77777777" w:rsidR="009D7BE5" w:rsidRPr="0052747F" w:rsidRDefault="009D7BE5" w:rsidP="00ED1A65">
      <w:pPr>
        <w:spacing w:before="120"/>
        <w:rPr>
          <w:color w:val="FF0000"/>
        </w:rPr>
      </w:pPr>
      <w:r w:rsidRPr="0052747F">
        <w:t>The following items should be checked as part of the review:</w:t>
      </w:r>
      <w:r w:rsidR="002F4EE8" w:rsidRPr="0052747F">
        <w:t xml:space="preserve"> </w:t>
      </w:r>
    </w:p>
    <w:p w14:paraId="26CDAA47" w14:textId="77777777" w:rsidR="00467D24" w:rsidRPr="00DA0840" w:rsidRDefault="00467D24" w:rsidP="00815882">
      <w:pPr>
        <w:pStyle w:val="Heading4"/>
        <w:numPr>
          <w:ilvl w:val="0"/>
          <w:numId w:val="38"/>
        </w:numPr>
        <w:rPr>
          <w:color w:val="4E1A74" w:themeColor="accent2"/>
          <w:sz w:val="24"/>
          <w:szCs w:val="24"/>
        </w:rPr>
      </w:pPr>
      <w:r w:rsidRPr="00DA0840">
        <w:rPr>
          <w:color w:val="4E1A74" w:themeColor="accent2"/>
          <w:sz w:val="24"/>
          <w:szCs w:val="24"/>
        </w:rPr>
        <w:t>Licence template</w:t>
      </w:r>
    </w:p>
    <w:p w14:paraId="3B0A2974" w14:textId="46CBE1D1" w:rsidR="00467D24" w:rsidRPr="0052747F" w:rsidRDefault="00996EBF" w:rsidP="00DF1591">
      <w:pPr>
        <w:spacing w:before="120"/>
      </w:pPr>
      <w:r w:rsidRPr="0052747F">
        <w:t xml:space="preserve">Check that the licence is </w:t>
      </w:r>
      <w:r>
        <w:t>i</w:t>
      </w:r>
      <w:r w:rsidRPr="0052747F">
        <w:t>n the current</w:t>
      </w:r>
      <w:r>
        <w:t xml:space="preserve"> format</w:t>
      </w:r>
      <w:r w:rsidRPr="0052747F">
        <w:t xml:space="preserve">. </w:t>
      </w:r>
      <w:r w:rsidR="00467D24" w:rsidRPr="0052747F">
        <w:t xml:space="preserve">Licence templates are subject to change as part of continuous improvement within the </w:t>
      </w:r>
      <w:r w:rsidR="003169C9">
        <w:t>AMS</w:t>
      </w:r>
      <w:r w:rsidR="00467D24" w:rsidRPr="0052747F">
        <w:t xml:space="preserve">. </w:t>
      </w:r>
      <w:r>
        <w:t xml:space="preserve"> </w:t>
      </w:r>
      <w:r w:rsidR="00467D24" w:rsidRPr="0052747F">
        <w:t xml:space="preserve"> </w:t>
      </w:r>
    </w:p>
    <w:p w14:paraId="0FE521CF" w14:textId="77777777" w:rsidR="009D7BE5" w:rsidRPr="00DA0840" w:rsidRDefault="009D7BE5" w:rsidP="00815882">
      <w:pPr>
        <w:pStyle w:val="Heading4"/>
        <w:numPr>
          <w:ilvl w:val="0"/>
          <w:numId w:val="38"/>
        </w:numPr>
        <w:rPr>
          <w:color w:val="4E1A74" w:themeColor="accent2"/>
          <w:sz w:val="24"/>
          <w:szCs w:val="24"/>
        </w:rPr>
      </w:pPr>
      <w:r w:rsidRPr="00DA0840">
        <w:rPr>
          <w:color w:val="4E1A74" w:themeColor="accent2"/>
          <w:sz w:val="24"/>
          <w:szCs w:val="24"/>
        </w:rPr>
        <w:t xml:space="preserve">Name of </w:t>
      </w:r>
      <w:r w:rsidR="00CE00CF" w:rsidRPr="00DA0840">
        <w:rPr>
          <w:color w:val="4E1A74" w:themeColor="accent2"/>
          <w:sz w:val="24"/>
          <w:szCs w:val="24"/>
        </w:rPr>
        <w:t>l</w:t>
      </w:r>
      <w:r w:rsidRPr="00DA0840">
        <w:rPr>
          <w:color w:val="4E1A74" w:themeColor="accent2"/>
          <w:sz w:val="24"/>
          <w:szCs w:val="24"/>
        </w:rPr>
        <w:t xml:space="preserve">icence </w:t>
      </w:r>
      <w:r w:rsidR="00CE00CF" w:rsidRPr="00DA0840">
        <w:rPr>
          <w:color w:val="4E1A74" w:themeColor="accent2"/>
          <w:sz w:val="24"/>
          <w:szCs w:val="24"/>
        </w:rPr>
        <w:t>h</w:t>
      </w:r>
      <w:r w:rsidRPr="00DA0840">
        <w:rPr>
          <w:color w:val="4E1A74" w:themeColor="accent2"/>
          <w:sz w:val="24"/>
          <w:szCs w:val="24"/>
        </w:rPr>
        <w:t>older</w:t>
      </w:r>
    </w:p>
    <w:p w14:paraId="644EAD6E" w14:textId="1C07D040" w:rsidR="009D7BE5" w:rsidRPr="0052747F" w:rsidRDefault="009D7BE5" w:rsidP="00ED1A65">
      <w:r w:rsidRPr="0052747F">
        <w:t>The name of the licence holder may change over time due to restructur</w:t>
      </w:r>
      <w:r w:rsidR="004A08BA">
        <w:t>e</w:t>
      </w:r>
      <w:r w:rsidRPr="0052747F">
        <w:t xml:space="preserve"> or merg</w:t>
      </w:r>
      <w:r w:rsidR="00B067BA">
        <w:t>er</w:t>
      </w:r>
      <w:r w:rsidRPr="0052747F">
        <w:t xml:space="preserve"> events.</w:t>
      </w:r>
    </w:p>
    <w:p w14:paraId="39604DBF" w14:textId="77777777" w:rsidR="009D7BE5" w:rsidRPr="0052747F" w:rsidRDefault="009D7BE5" w:rsidP="00ED1A65">
      <w:pPr>
        <w:pStyle w:val="NoSpacing"/>
      </w:pPr>
      <w:r w:rsidRPr="0052747F">
        <w:t xml:space="preserve">The correct names of Australian Government Departments and Agencies can be found on the Australian Government Online Directory at </w:t>
      </w:r>
      <w:hyperlink r:id="rId47" w:history="1">
        <w:r w:rsidRPr="0052747F">
          <w:rPr>
            <w:rStyle w:val="Hyperlink"/>
            <w:rFonts w:cstheme="minorHAnsi"/>
          </w:rPr>
          <w:t>http://www.directory.gov.au</w:t>
        </w:r>
      </w:hyperlink>
      <w:r w:rsidRPr="0052747F">
        <w:t xml:space="preserve">. Details of registered companies may be verified by checking the Australian Securities &amp; Investment Commission internet page at </w:t>
      </w:r>
      <w:hyperlink r:id="rId48" w:history="1">
        <w:r w:rsidRPr="0052747F">
          <w:rPr>
            <w:rStyle w:val="Hyperlink"/>
            <w:rFonts w:cstheme="minorHAnsi"/>
          </w:rPr>
          <w:t>http://www.asic.gov.au</w:t>
        </w:r>
      </w:hyperlink>
      <w:r w:rsidRPr="0052747F">
        <w:t>.</w:t>
      </w:r>
    </w:p>
    <w:p w14:paraId="3E936ABC" w14:textId="77777777" w:rsidR="009D7BE5" w:rsidRPr="00DA0840" w:rsidRDefault="009D7BE5" w:rsidP="00DF1591">
      <w:pPr>
        <w:pStyle w:val="Heading4"/>
        <w:numPr>
          <w:ilvl w:val="0"/>
          <w:numId w:val="38"/>
        </w:numPr>
        <w:rPr>
          <w:color w:val="4E1A74" w:themeColor="accent2"/>
          <w:sz w:val="24"/>
          <w:szCs w:val="24"/>
        </w:rPr>
      </w:pPr>
      <w:r w:rsidRPr="00DA0840">
        <w:rPr>
          <w:color w:val="4E1A74" w:themeColor="accent2"/>
          <w:sz w:val="24"/>
          <w:szCs w:val="24"/>
        </w:rPr>
        <w:t xml:space="preserve">Licence </w:t>
      </w:r>
      <w:r w:rsidR="00CE00CF" w:rsidRPr="00DA0840">
        <w:rPr>
          <w:color w:val="4E1A74" w:themeColor="accent2"/>
          <w:sz w:val="24"/>
          <w:szCs w:val="24"/>
        </w:rPr>
        <w:t>h</w:t>
      </w:r>
      <w:r w:rsidRPr="00DA0840">
        <w:rPr>
          <w:color w:val="4E1A74" w:themeColor="accent2"/>
          <w:sz w:val="24"/>
          <w:szCs w:val="24"/>
        </w:rPr>
        <w:t xml:space="preserve">older </w:t>
      </w:r>
      <w:r w:rsidR="00CE00CF" w:rsidRPr="00DA0840">
        <w:rPr>
          <w:color w:val="4E1A74" w:themeColor="accent2"/>
          <w:sz w:val="24"/>
          <w:szCs w:val="24"/>
        </w:rPr>
        <w:t>p</w:t>
      </w:r>
      <w:r w:rsidRPr="00DA0840">
        <w:rPr>
          <w:color w:val="4E1A74" w:themeColor="accent2"/>
          <w:sz w:val="24"/>
          <w:szCs w:val="24"/>
        </w:rPr>
        <w:t xml:space="preserve">rimary </w:t>
      </w:r>
      <w:r w:rsidR="00CE00CF" w:rsidRPr="00DA0840">
        <w:rPr>
          <w:color w:val="4E1A74" w:themeColor="accent2"/>
          <w:sz w:val="24"/>
          <w:szCs w:val="24"/>
        </w:rPr>
        <w:t>c</w:t>
      </w:r>
      <w:r w:rsidRPr="00DA0840">
        <w:rPr>
          <w:color w:val="4E1A74" w:themeColor="accent2"/>
          <w:sz w:val="24"/>
          <w:szCs w:val="24"/>
        </w:rPr>
        <w:t xml:space="preserve">ontact </w:t>
      </w:r>
      <w:r w:rsidR="00CE00CF" w:rsidRPr="00DA0840">
        <w:rPr>
          <w:color w:val="4E1A74" w:themeColor="accent2"/>
          <w:sz w:val="24"/>
          <w:szCs w:val="24"/>
        </w:rPr>
        <w:t>d</w:t>
      </w:r>
      <w:r w:rsidRPr="00DA0840">
        <w:rPr>
          <w:color w:val="4E1A74" w:themeColor="accent2"/>
          <w:sz w:val="24"/>
          <w:szCs w:val="24"/>
        </w:rPr>
        <w:t>etails</w:t>
      </w:r>
    </w:p>
    <w:p w14:paraId="387279AD" w14:textId="00CA192C" w:rsidR="009D7BE5" w:rsidRPr="0052747F" w:rsidRDefault="009D7BE5" w:rsidP="00DF1591">
      <w:pPr>
        <w:spacing w:before="120"/>
      </w:pPr>
      <w:r w:rsidRPr="0052747F">
        <w:t xml:space="preserve">The details of the </w:t>
      </w:r>
      <w:r w:rsidR="00403FC5">
        <w:t xml:space="preserve">licence holder’s </w:t>
      </w:r>
      <w:r w:rsidRPr="0052747F">
        <w:t xml:space="preserve">primary contact </w:t>
      </w:r>
      <w:r w:rsidR="00467D24" w:rsidRPr="0052747F">
        <w:t>should</w:t>
      </w:r>
      <w:r w:rsidRPr="0052747F">
        <w:t xml:space="preserve"> be checked and updated </w:t>
      </w:r>
      <w:r w:rsidR="00403FC5">
        <w:t xml:space="preserve">in LAD </w:t>
      </w:r>
      <w:r w:rsidRPr="0052747F">
        <w:t>as required.</w:t>
      </w:r>
    </w:p>
    <w:p w14:paraId="544A7275" w14:textId="77777777" w:rsidR="009D7BE5" w:rsidRPr="00DA0840" w:rsidRDefault="009D7BE5" w:rsidP="00DF1591">
      <w:pPr>
        <w:pStyle w:val="Heading4"/>
        <w:numPr>
          <w:ilvl w:val="0"/>
          <w:numId w:val="38"/>
        </w:numPr>
        <w:rPr>
          <w:color w:val="4E1A74" w:themeColor="accent2"/>
          <w:sz w:val="24"/>
          <w:szCs w:val="24"/>
        </w:rPr>
      </w:pPr>
      <w:r w:rsidRPr="00DA0840">
        <w:rPr>
          <w:color w:val="4E1A74" w:themeColor="accent2"/>
          <w:sz w:val="24"/>
          <w:szCs w:val="24"/>
        </w:rPr>
        <w:t xml:space="preserve">Currency of </w:t>
      </w:r>
      <w:r w:rsidR="00CE00CF" w:rsidRPr="00DA0840">
        <w:rPr>
          <w:color w:val="4E1A74" w:themeColor="accent2"/>
          <w:sz w:val="24"/>
          <w:szCs w:val="24"/>
        </w:rPr>
        <w:t>s</w:t>
      </w:r>
      <w:r w:rsidRPr="00DA0840">
        <w:rPr>
          <w:color w:val="4E1A74" w:themeColor="accent2"/>
          <w:sz w:val="24"/>
          <w:szCs w:val="24"/>
        </w:rPr>
        <w:t xml:space="preserve">ource </w:t>
      </w:r>
      <w:r w:rsidR="00CE00CF" w:rsidRPr="00DA0840">
        <w:rPr>
          <w:color w:val="4E1A74" w:themeColor="accent2"/>
          <w:sz w:val="24"/>
          <w:szCs w:val="24"/>
        </w:rPr>
        <w:t>i</w:t>
      </w:r>
      <w:r w:rsidRPr="00DA0840">
        <w:rPr>
          <w:color w:val="4E1A74" w:themeColor="accent2"/>
          <w:sz w:val="24"/>
          <w:szCs w:val="24"/>
        </w:rPr>
        <w:t>nventory</w:t>
      </w:r>
    </w:p>
    <w:p w14:paraId="4715C526" w14:textId="4B34A93B" w:rsidR="009D7BE5" w:rsidRPr="0052747F" w:rsidRDefault="00996EBF" w:rsidP="00DF1591">
      <w:pPr>
        <w:spacing w:before="120"/>
      </w:pPr>
      <w:r>
        <w:t xml:space="preserve">Confirm that the SIW on file is current and has been imported into LAD. </w:t>
      </w:r>
      <w:r w:rsidR="009D7BE5" w:rsidRPr="0052747F">
        <w:t xml:space="preserve"> In cases where an updated SIW has not been received within the last 12 months, a current copy may be requested from the licence holder.</w:t>
      </w:r>
    </w:p>
    <w:p w14:paraId="29392A0F" w14:textId="77777777" w:rsidR="009D7BE5" w:rsidRPr="00DA0840" w:rsidRDefault="009D7BE5" w:rsidP="00815882">
      <w:pPr>
        <w:pStyle w:val="Heading4"/>
        <w:numPr>
          <w:ilvl w:val="0"/>
          <w:numId w:val="38"/>
        </w:numPr>
        <w:rPr>
          <w:color w:val="4E1A74" w:themeColor="accent2"/>
          <w:sz w:val="24"/>
          <w:szCs w:val="24"/>
        </w:rPr>
      </w:pPr>
      <w:r w:rsidRPr="00DA0840">
        <w:rPr>
          <w:color w:val="4E1A74" w:themeColor="accent2"/>
          <w:sz w:val="24"/>
          <w:szCs w:val="24"/>
        </w:rPr>
        <w:t>Cross check SIW with licence</w:t>
      </w:r>
    </w:p>
    <w:p w14:paraId="110F4078" w14:textId="7EEE2B1C" w:rsidR="009D7BE5" w:rsidRPr="0052747F" w:rsidRDefault="009D7BE5" w:rsidP="00DF1591">
      <w:pPr>
        <w:spacing w:before="120"/>
      </w:pPr>
      <w:r w:rsidRPr="0052747F">
        <w:t>The SIW should be cross</w:t>
      </w:r>
      <w:r w:rsidR="00996EBF">
        <w:t>-</w:t>
      </w:r>
      <w:r w:rsidRPr="0052747F">
        <w:t xml:space="preserve">checked with the authorised dealings in Schedule 1 of the licence. This may involve checking the description of the item to ensure that it matches the classification </w:t>
      </w:r>
      <w:r w:rsidR="003D1A97">
        <w:t>i</w:t>
      </w:r>
      <w:r w:rsidRPr="0052747F">
        <w:t>n the SIW.</w:t>
      </w:r>
    </w:p>
    <w:p w14:paraId="1128E5DB" w14:textId="77777777" w:rsidR="009D7BE5" w:rsidRPr="00DA0840" w:rsidRDefault="009D7BE5" w:rsidP="00DF1591">
      <w:pPr>
        <w:pStyle w:val="Heading4"/>
        <w:numPr>
          <w:ilvl w:val="0"/>
          <w:numId w:val="38"/>
        </w:numPr>
        <w:rPr>
          <w:color w:val="4E1A74" w:themeColor="accent2"/>
          <w:sz w:val="24"/>
          <w:szCs w:val="24"/>
        </w:rPr>
      </w:pPr>
      <w:r w:rsidRPr="00DA0840">
        <w:rPr>
          <w:color w:val="4E1A74" w:themeColor="accent2"/>
          <w:sz w:val="24"/>
          <w:szCs w:val="24"/>
        </w:rPr>
        <w:t xml:space="preserve">Currency of </w:t>
      </w:r>
      <w:r w:rsidR="00467D24" w:rsidRPr="00DA0840">
        <w:rPr>
          <w:color w:val="4E1A74" w:themeColor="accent2"/>
          <w:sz w:val="24"/>
          <w:szCs w:val="24"/>
        </w:rPr>
        <w:t>special</w:t>
      </w:r>
      <w:r w:rsidRPr="00DA0840">
        <w:rPr>
          <w:color w:val="4E1A74" w:themeColor="accent2"/>
          <w:sz w:val="24"/>
          <w:szCs w:val="24"/>
        </w:rPr>
        <w:t xml:space="preserve"> licence conditions</w:t>
      </w:r>
    </w:p>
    <w:p w14:paraId="6906C71E" w14:textId="6161FB16" w:rsidR="009D7BE5" w:rsidRDefault="00403FC5" w:rsidP="00DF1591">
      <w:pPr>
        <w:spacing w:before="120"/>
      </w:pPr>
      <w:r>
        <w:t xml:space="preserve">Any special </w:t>
      </w:r>
      <w:r w:rsidRPr="0052747F">
        <w:t>licence condition</w:t>
      </w:r>
      <w:r w:rsidR="003D1A97">
        <w:t>s</w:t>
      </w:r>
      <w:r w:rsidRPr="0052747F">
        <w:t xml:space="preserve"> should be </w:t>
      </w:r>
      <w:proofErr w:type="gramStart"/>
      <w:r w:rsidRPr="0052747F">
        <w:t>verified</w:t>
      </w:r>
      <w:proofErr w:type="gramEnd"/>
      <w:r w:rsidRPr="0052747F">
        <w:t xml:space="preserve"> and their validity confirmed. </w:t>
      </w:r>
      <w:r>
        <w:t xml:space="preserve">Removal of any special </w:t>
      </w:r>
      <w:r w:rsidR="009D7BE5" w:rsidRPr="0052747F">
        <w:t xml:space="preserve">condition must be </w:t>
      </w:r>
      <w:r w:rsidR="003D1A97">
        <w:t xml:space="preserve">justified with evidence </w:t>
      </w:r>
      <w:r w:rsidR="00996EBF">
        <w:t>that the condition has been satisfied</w:t>
      </w:r>
      <w:r w:rsidR="009D7BE5" w:rsidRPr="0052747F">
        <w:t xml:space="preserve">. </w:t>
      </w:r>
    </w:p>
    <w:p w14:paraId="06EA5968" w14:textId="39017060" w:rsidR="00CB443D" w:rsidRPr="00DA0840" w:rsidRDefault="00CB443D" w:rsidP="00DF1591">
      <w:pPr>
        <w:pStyle w:val="Heading4"/>
        <w:numPr>
          <w:ilvl w:val="0"/>
          <w:numId w:val="38"/>
        </w:numPr>
        <w:rPr>
          <w:color w:val="4E1A74" w:themeColor="accent2"/>
          <w:sz w:val="24"/>
          <w:szCs w:val="24"/>
        </w:rPr>
      </w:pPr>
      <w:r w:rsidRPr="00DA0840">
        <w:rPr>
          <w:color w:val="4E1A74" w:themeColor="accent2"/>
          <w:sz w:val="24"/>
          <w:szCs w:val="24"/>
        </w:rPr>
        <w:t>Applicable codes and standards</w:t>
      </w:r>
    </w:p>
    <w:p w14:paraId="43A0DDF4" w14:textId="122F3F60" w:rsidR="00CB443D" w:rsidRPr="00CB443D" w:rsidRDefault="00CB443D" w:rsidP="00DF1591">
      <w:pPr>
        <w:spacing w:before="120"/>
      </w:pPr>
      <w:r>
        <w:t xml:space="preserve">Confirm the status of all codes and standards relevant to the licence.  If a code or standard has been superseded, the RO should advise the Director, Safety Systems to have the necessary amendments made to the website and the change communicated to licence holders.  </w:t>
      </w:r>
    </w:p>
    <w:p w14:paraId="0472AE02" w14:textId="3ACF45A4" w:rsidR="009D7BE5" w:rsidRPr="0052747F" w:rsidRDefault="009D7BE5" w:rsidP="001A4A44">
      <w:pPr>
        <w:pStyle w:val="Heading2"/>
      </w:pPr>
      <w:r w:rsidRPr="0052747F">
        <w:t>Document</w:t>
      </w:r>
      <w:r w:rsidR="006C299C" w:rsidRPr="0052747F">
        <w:t>ing the review</w:t>
      </w:r>
      <w:r w:rsidRPr="0052747F">
        <w:tab/>
      </w:r>
    </w:p>
    <w:p w14:paraId="591FE59C" w14:textId="322A50B6" w:rsidR="009D7BE5" w:rsidRPr="0052747F" w:rsidRDefault="009D7BE5" w:rsidP="00ED1A65">
      <w:pPr>
        <w:spacing w:before="120"/>
      </w:pPr>
      <w:r w:rsidRPr="0052747F">
        <w:t xml:space="preserve">The </w:t>
      </w:r>
      <w:r w:rsidR="003D1A97">
        <w:t>lead inspector</w:t>
      </w:r>
      <w:r w:rsidRPr="0052747F">
        <w:t xml:space="preserve"> should use the checklist to </w:t>
      </w:r>
      <w:r w:rsidR="003D1A97">
        <w:t xml:space="preserve">show </w:t>
      </w:r>
      <w:r w:rsidRPr="0052747F">
        <w:t xml:space="preserve">that they have reviewed the licence file and checked each item. A comment may be placed in the box provided </w:t>
      </w:r>
      <w:r w:rsidR="00996EBF">
        <w:t xml:space="preserve">against </w:t>
      </w:r>
      <w:r w:rsidRPr="0052747F">
        <w:t>each item.</w:t>
      </w:r>
      <w:r w:rsidR="00AE5207">
        <w:t xml:space="preserve"> </w:t>
      </w:r>
      <w:r w:rsidR="00996EBF">
        <w:t xml:space="preserve">Where </w:t>
      </w:r>
      <w:r w:rsidRPr="0052747F">
        <w:t>changes are required, other relevant documents should be referenced</w:t>
      </w:r>
      <w:r w:rsidR="00526BC9" w:rsidRPr="0052747F">
        <w:t>.</w:t>
      </w:r>
      <w:r w:rsidRPr="0052747F">
        <w:t xml:space="preserve"> </w:t>
      </w:r>
    </w:p>
    <w:p w14:paraId="37B881FD" w14:textId="1C67198E" w:rsidR="009D7BE5" w:rsidRPr="0052747F" w:rsidRDefault="009D7BE5" w:rsidP="001A4A44">
      <w:pPr>
        <w:pStyle w:val="Heading2"/>
      </w:pPr>
      <w:r w:rsidRPr="0052747F">
        <w:lastRenderedPageBreak/>
        <w:t>Approval</w:t>
      </w:r>
    </w:p>
    <w:p w14:paraId="0840E60D" w14:textId="69B167EC" w:rsidR="001C4823" w:rsidRDefault="001C4823" w:rsidP="00ED1A65">
      <w:pPr>
        <w:spacing w:before="120"/>
      </w:pPr>
      <w:r>
        <w:t>I</w:t>
      </w:r>
      <w:r w:rsidR="009D7BE5" w:rsidRPr="0052747F">
        <w:t xml:space="preserve">f any changes are made </w:t>
      </w:r>
      <w:r w:rsidR="00A30021" w:rsidRPr="0052747F">
        <w:t xml:space="preserve">the </w:t>
      </w:r>
      <w:r>
        <w:t>lead inspector</w:t>
      </w:r>
      <w:r w:rsidR="00A30021" w:rsidRPr="0052747F">
        <w:t xml:space="preserve"> should </w:t>
      </w:r>
      <w:r w:rsidR="009D7BE5" w:rsidRPr="0052747F">
        <w:t xml:space="preserve">follow the relevant parts of the procedure </w:t>
      </w:r>
      <w:r w:rsidR="008C32BD">
        <w:t xml:space="preserve">to assess </w:t>
      </w:r>
      <w:r w:rsidR="009D7BE5" w:rsidRPr="0052747F">
        <w:t xml:space="preserve">a </w:t>
      </w:r>
      <w:r w:rsidR="008C32BD">
        <w:t xml:space="preserve">section 63 </w:t>
      </w:r>
      <w:r w:rsidR="009D7BE5" w:rsidRPr="0052747F">
        <w:t>change</w:t>
      </w:r>
      <w:r w:rsidR="00A30021" w:rsidRPr="0052747F">
        <w:t xml:space="preserve"> in section </w:t>
      </w:r>
      <w:r w:rsidR="000E7374">
        <w:t>3</w:t>
      </w:r>
      <w:r w:rsidR="00A30021" w:rsidRPr="0052747F">
        <w:t xml:space="preserve"> of this </w:t>
      </w:r>
      <w:r>
        <w:t>m</w:t>
      </w:r>
      <w:r w:rsidR="00A30021" w:rsidRPr="0052747F">
        <w:t>anual</w:t>
      </w:r>
      <w:r>
        <w:t xml:space="preserve">. </w:t>
      </w:r>
    </w:p>
    <w:p w14:paraId="3D41C4EE" w14:textId="16A2DF54" w:rsidR="00F31191" w:rsidRPr="001C4823" w:rsidRDefault="009D7BE5" w:rsidP="00ED1A65">
      <w:pPr>
        <w:spacing w:before="120"/>
      </w:pPr>
      <w:r w:rsidRPr="001C4823">
        <w:rPr>
          <w:rFonts w:eastAsiaTheme="minorHAnsi"/>
        </w:rPr>
        <w:t xml:space="preserve">Should the requirement to reissue the licence arise </w:t>
      </w:r>
      <w:proofErr w:type="gramStart"/>
      <w:r w:rsidRPr="001C4823">
        <w:rPr>
          <w:rFonts w:eastAsiaTheme="minorHAnsi"/>
        </w:rPr>
        <w:t>as a result of</w:t>
      </w:r>
      <w:proofErr w:type="gramEnd"/>
      <w:r w:rsidRPr="001C4823">
        <w:rPr>
          <w:rFonts w:eastAsiaTheme="minorHAnsi"/>
        </w:rPr>
        <w:t xml:space="preserve"> this review the </w:t>
      </w:r>
      <w:r w:rsidR="001C4823">
        <w:rPr>
          <w:rFonts w:eastAsiaTheme="minorHAnsi"/>
        </w:rPr>
        <w:t>lead inspector should</w:t>
      </w:r>
      <w:r w:rsidRPr="001C4823">
        <w:rPr>
          <w:rFonts w:eastAsiaTheme="minorHAnsi"/>
        </w:rPr>
        <w:t xml:space="preserve"> follow the process described in </w:t>
      </w:r>
      <w:hyperlink w:anchor="_Preparing_the_licence" w:history="1">
        <w:r w:rsidR="001C4823" w:rsidRPr="00AE5207">
          <w:rPr>
            <w:rStyle w:val="Hyperlink"/>
            <w:rFonts w:eastAsiaTheme="minorHAnsi"/>
          </w:rPr>
          <w:t>paragraph</w:t>
        </w:r>
        <w:r w:rsidR="00B30743">
          <w:rPr>
            <w:rStyle w:val="Hyperlink"/>
            <w:rFonts w:eastAsiaTheme="minorHAnsi"/>
          </w:rPr>
          <w:t>s</w:t>
        </w:r>
        <w:r w:rsidR="00AE5207" w:rsidRPr="00AE5207">
          <w:rPr>
            <w:rStyle w:val="Hyperlink"/>
            <w:rFonts w:eastAsiaTheme="minorHAnsi"/>
          </w:rPr>
          <w:t xml:space="preserve"> </w:t>
        </w:r>
        <w:r w:rsidR="009F2306">
          <w:rPr>
            <w:rStyle w:val="Hyperlink"/>
            <w:rFonts w:eastAsiaTheme="minorHAnsi"/>
          </w:rPr>
          <w:t>2</w:t>
        </w:r>
        <w:r w:rsidR="00AE5207">
          <w:rPr>
            <w:rStyle w:val="Hyperlink"/>
            <w:rFonts w:eastAsiaTheme="minorHAnsi"/>
          </w:rPr>
          <w:t>.</w:t>
        </w:r>
        <w:r w:rsidR="004D1615">
          <w:rPr>
            <w:rStyle w:val="Hyperlink"/>
            <w:rFonts w:eastAsiaTheme="minorHAnsi"/>
          </w:rPr>
          <w:t>5 - 2.7</w:t>
        </w:r>
      </w:hyperlink>
      <w:r w:rsidR="001C4823">
        <w:rPr>
          <w:rFonts w:eastAsiaTheme="minorHAnsi"/>
        </w:rPr>
        <w:t xml:space="preserve"> </w:t>
      </w:r>
      <w:r w:rsidR="00467D24" w:rsidRPr="001C4823">
        <w:rPr>
          <w:rFonts w:eastAsiaTheme="minorHAnsi"/>
        </w:rPr>
        <w:t xml:space="preserve">of this </w:t>
      </w:r>
      <w:r w:rsidR="001C4823">
        <w:rPr>
          <w:rFonts w:eastAsiaTheme="minorHAnsi"/>
        </w:rPr>
        <w:t>m</w:t>
      </w:r>
      <w:r w:rsidR="00467D24" w:rsidRPr="001C4823">
        <w:rPr>
          <w:rFonts w:eastAsiaTheme="minorHAnsi"/>
        </w:rPr>
        <w:t>anual</w:t>
      </w:r>
      <w:r w:rsidR="009F7927" w:rsidRPr="001C4823">
        <w:rPr>
          <w:rFonts w:eastAsiaTheme="minorHAnsi"/>
        </w:rPr>
        <w:t xml:space="preserve"> </w:t>
      </w:r>
      <w:r w:rsidR="000E7374">
        <w:rPr>
          <w:rFonts w:eastAsiaTheme="minorHAnsi"/>
        </w:rPr>
        <w:t>and</w:t>
      </w:r>
      <w:r w:rsidR="00F31191" w:rsidRPr="001C4823">
        <w:rPr>
          <w:rFonts w:eastAsiaTheme="minorHAnsi"/>
        </w:rPr>
        <w:t xml:space="preserve"> advise the licence holder </w:t>
      </w:r>
      <w:r w:rsidR="009F7927" w:rsidRPr="001C4823">
        <w:rPr>
          <w:rFonts w:eastAsiaTheme="minorHAnsi"/>
        </w:rPr>
        <w:t xml:space="preserve">the reason for </w:t>
      </w:r>
      <w:r w:rsidR="00F31191" w:rsidRPr="001C4823">
        <w:rPr>
          <w:rFonts w:eastAsiaTheme="minorHAnsi"/>
        </w:rPr>
        <w:t>reissu</w:t>
      </w:r>
      <w:r w:rsidR="009F7927" w:rsidRPr="001C4823">
        <w:rPr>
          <w:rFonts w:eastAsiaTheme="minorHAnsi"/>
        </w:rPr>
        <w:t>ing</w:t>
      </w:r>
      <w:r w:rsidR="00F31191" w:rsidRPr="001C4823">
        <w:rPr>
          <w:rFonts w:eastAsiaTheme="minorHAnsi"/>
        </w:rPr>
        <w:t xml:space="preserve"> the licence</w:t>
      </w:r>
      <w:r w:rsidR="000E7374">
        <w:rPr>
          <w:rFonts w:eastAsiaTheme="minorHAnsi"/>
        </w:rPr>
        <w:t xml:space="preserve"> in the accompanying letter</w:t>
      </w:r>
      <w:r w:rsidR="00F31191" w:rsidRPr="001C4823">
        <w:rPr>
          <w:rFonts w:eastAsiaTheme="minorHAnsi"/>
        </w:rPr>
        <w:t xml:space="preserve">. </w:t>
      </w:r>
    </w:p>
    <w:p w14:paraId="1F2CA9FE" w14:textId="1264BF80" w:rsidR="009D7BE5" w:rsidRPr="0052747F" w:rsidRDefault="00467D24" w:rsidP="001A4A44">
      <w:pPr>
        <w:pStyle w:val="Heading2"/>
      </w:pPr>
      <w:r w:rsidRPr="0052747F">
        <w:t>Record keeping</w:t>
      </w:r>
      <w:r w:rsidR="009D7BE5" w:rsidRPr="0052747F">
        <w:t xml:space="preserve"> </w:t>
      </w:r>
    </w:p>
    <w:p w14:paraId="0F822C59" w14:textId="3E133FF5" w:rsidR="006C299C" w:rsidRPr="0052747F" w:rsidRDefault="006C299C" w:rsidP="00ED1A65">
      <w:pPr>
        <w:spacing w:before="120"/>
      </w:pPr>
      <w:r w:rsidRPr="0052747F">
        <w:t xml:space="preserve">The </w:t>
      </w:r>
      <w:r w:rsidR="00491931">
        <w:t>lead inspector</w:t>
      </w:r>
      <w:r w:rsidRPr="0052747F">
        <w:t xml:space="preserve"> </w:t>
      </w:r>
      <w:r w:rsidR="006B7137">
        <w:t>should</w:t>
      </w:r>
      <w:r w:rsidRPr="0052747F">
        <w:t xml:space="preserve">: </w:t>
      </w:r>
    </w:p>
    <w:p w14:paraId="0FEC1938" w14:textId="03896529" w:rsidR="006C299C" w:rsidRPr="0052747F" w:rsidRDefault="006C299C" w:rsidP="00103EAC">
      <w:pPr>
        <w:pStyle w:val="ListParagraph"/>
        <w:numPr>
          <w:ilvl w:val="0"/>
          <w:numId w:val="13"/>
        </w:numPr>
        <w:spacing w:before="120"/>
        <w:rPr>
          <w:bCs/>
          <w:iCs/>
          <w:szCs w:val="24"/>
        </w:rPr>
      </w:pPr>
      <w:r w:rsidRPr="0052747F">
        <w:t xml:space="preserve">save the checklist to the licence file in </w:t>
      </w:r>
      <w:r w:rsidR="00184E1D">
        <w:t>CM</w:t>
      </w:r>
    </w:p>
    <w:p w14:paraId="6F902660" w14:textId="4F85E6E6" w:rsidR="006222C0" w:rsidRPr="0052747F" w:rsidRDefault="006C299C" w:rsidP="00103EAC">
      <w:pPr>
        <w:pStyle w:val="ListParagraph"/>
        <w:numPr>
          <w:ilvl w:val="0"/>
          <w:numId w:val="13"/>
        </w:numPr>
        <w:rPr>
          <w:rFonts w:asciiTheme="majorHAnsi" w:eastAsiaTheme="majorEastAsia" w:hAnsiTheme="majorHAnsi" w:cstheme="majorBidi"/>
          <w:b/>
        </w:rPr>
      </w:pPr>
      <w:r w:rsidRPr="0052747F">
        <w:t xml:space="preserve">update </w:t>
      </w:r>
      <w:r w:rsidR="009D7BE5" w:rsidRPr="0052747F">
        <w:t xml:space="preserve">LAD </w:t>
      </w:r>
      <w:r w:rsidR="00526BC9" w:rsidRPr="0052747F">
        <w:t>and</w:t>
      </w:r>
      <w:r w:rsidR="009D7BE5" w:rsidRPr="0052747F">
        <w:t xml:space="preserve"> </w:t>
      </w:r>
      <w:r w:rsidR="00184E1D">
        <w:t>CM</w:t>
      </w:r>
      <w:r w:rsidR="00A30021" w:rsidRPr="0052747F">
        <w:t xml:space="preserve"> </w:t>
      </w:r>
      <w:r w:rsidRPr="0052747F">
        <w:t>as necessary</w:t>
      </w:r>
      <w:r w:rsidR="00A30021" w:rsidRPr="0052747F">
        <w:t xml:space="preserve"> </w:t>
      </w:r>
    </w:p>
    <w:p w14:paraId="081D1116" w14:textId="77777777" w:rsidR="006C299C" w:rsidRPr="0052747F" w:rsidRDefault="006C299C" w:rsidP="00103EAC">
      <w:pPr>
        <w:pStyle w:val="ListParagraph"/>
        <w:numPr>
          <w:ilvl w:val="0"/>
          <w:numId w:val="13"/>
        </w:numPr>
        <w:rPr>
          <w:rFonts w:asciiTheme="majorHAnsi" w:eastAsiaTheme="majorEastAsia" w:hAnsiTheme="majorHAnsi" w:cstheme="majorBidi"/>
          <w:b/>
          <w:bCs/>
        </w:rPr>
      </w:pPr>
      <w:r w:rsidRPr="0052747F">
        <w:t>update the CLB if required</w:t>
      </w:r>
    </w:p>
    <w:p w14:paraId="5E253528" w14:textId="74734F0E" w:rsidR="006C299C" w:rsidRPr="0052747F" w:rsidRDefault="006C299C" w:rsidP="001A4A44">
      <w:pPr>
        <w:pStyle w:val="Heading2"/>
      </w:pPr>
      <w:r w:rsidRPr="0052747F">
        <w:t xml:space="preserve">Further </w:t>
      </w:r>
      <w:r w:rsidR="00E840D1">
        <w:t>r</w:t>
      </w:r>
      <w:r w:rsidRPr="0052747F">
        <w:t xml:space="preserve">egulatory </w:t>
      </w:r>
      <w:r w:rsidR="00E840D1">
        <w:t>a</w:t>
      </w:r>
      <w:r w:rsidRPr="0052747F">
        <w:t xml:space="preserve">ction </w:t>
      </w:r>
    </w:p>
    <w:p w14:paraId="788B0668" w14:textId="7361AE09" w:rsidR="00F26113" w:rsidRDefault="006C299C">
      <w:pPr>
        <w:rPr>
          <w:b/>
          <w:color w:val="4E1A74" w:themeColor="accent2"/>
          <w:sz w:val="32"/>
          <w:szCs w:val="32"/>
        </w:rPr>
      </w:pPr>
      <w:r w:rsidRPr="0052747F">
        <w:t>Should th</w:t>
      </w:r>
      <w:r w:rsidR="00996EBF">
        <w:t>e</w:t>
      </w:r>
      <w:r w:rsidRPr="0052747F">
        <w:t xml:space="preserve"> review identify a </w:t>
      </w:r>
      <w:r w:rsidR="00996EBF">
        <w:t>need</w:t>
      </w:r>
      <w:r w:rsidRPr="0052747F">
        <w:t xml:space="preserve"> for further action the </w:t>
      </w:r>
      <w:r w:rsidR="00491931">
        <w:t>lead inspector</w:t>
      </w:r>
      <w:r w:rsidRPr="0052747F">
        <w:t xml:space="preserve"> should undertake additional actions in consultation with the</w:t>
      </w:r>
      <w:r w:rsidR="00491931">
        <w:t>ir</w:t>
      </w:r>
      <w:r w:rsidR="006222C0" w:rsidRPr="0052747F">
        <w:t xml:space="preserve"> </w:t>
      </w:r>
      <w:r w:rsidR="00ED721B">
        <w:t>director</w:t>
      </w:r>
      <w:r w:rsidRPr="0052747F">
        <w:t>.</w:t>
      </w:r>
      <w:bookmarkStart w:id="28" w:name="_Attachment_1:_"/>
      <w:bookmarkStart w:id="29" w:name="_Appendix_1:_Managing"/>
      <w:bookmarkStart w:id="30" w:name="_Toc423327830"/>
      <w:bookmarkStart w:id="31" w:name="_Toc475614186"/>
      <w:bookmarkEnd w:id="28"/>
      <w:bookmarkEnd w:id="29"/>
      <w:bookmarkEnd w:id="30"/>
      <w:bookmarkEnd w:id="31"/>
    </w:p>
    <w:sectPr w:rsidR="00F26113" w:rsidSect="00496AB5">
      <w:footerReference w:type="default" r:id="rId49"/>
      <w:headerReference w:type="first" r:id="rId50"/>
      <w:pgSz w:w="11906" w:h="16838"/>
      <w:pgMar w:top="964" w:right="1134" w:bottom="96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78738" w14:textId="77777777" w:rsidR="007A5CAD" w:rsidRDefault="007A5CAD" w:rsidP="001A5AF9">
      <w:r>
        <w:separator/>
      </w:r>
    </w:p>
  </w:endnote>
  <w:endnote w:type="continuationSeparator" w:id="0">
    <w:p w14:paraId="169E9F17" w14:textId="77777777" w:rsidR="007A5CAD" w:rsidRDefault="007A5CAD" w:rsidP="001A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33470" w14:textId="77777777" w:rsidR="00F64A51" w:rsidRDefault="00F64A51" w:rsidP="00F64A51">
    <w:pPr>
      <w:pStyle w:val="Footer"/>
      <w:tabs>
        <w:tab w:val="clear" w:pos="4513"/>
        <w:tab w:val="center" w:pos="4678"/>
      </w:tabs>
      <w:spacing w:before="120" w:after="0"/>
      <w:ind w:left="-426"/>
      <w:rPr>
        <w:sz w:val="18"/>
        <w:szCs w:val="18"/>
      </w:rPr>
    </w:pPr>
    <w:r w:rsidRPr="00B45E5E">
      <w:rPr>
        <w:noProof/>
        <w:sz w:val="18"/>
        <w:szCs w:val="18"/>
        <w:lang w:eastAsia="en-AU"/>
      </w:rPr>
      <w:drawing>
        <wp:anchor distT="0" distB="0" distL="114300" distR="114300" simplePos="0" relativeHeight="251659264" behindDoc="0" locked="0" layoutInCell="1" allowOverlap="1" wp14:anchorId="269941CC" wp14:editId="607DF098">
          <wp:simplePos x="0" y="0"/>
          <wp:positionH relativeFrom="margin">
            <wp:posOffset>-323850</wp:posOffset>
          </wp:positionH>
          <wp:positionV relativeFrom="paragraph">
            <wp:posOffset>64135</wp:posOffset>
          </wp:positionV>
          <wp:extent cx="6219825" cy="53975"/>
          <wp:effectExtent l="0" t="0" r="9525" b="3175"/>
          <wp:wrapTopAndBottom/>
          <wp:docPr id="680999266" name="Picture 680999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9825" cy="53975"/>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Review &amp; Assessment Manual</w:t>
    </w:r>
    <w:r>
      <w:rPr>
        <w:sz w:val="18"/>
        <w:szCs w:val="18"/>
      </w:rPr>
      <w:tab/>
      <w:t>ARPANSA-GDE-1118</w:t>
    </w:r>
    <w:r>
      <w:rPr>
        <w:sz w:val="18"/>
        <w:szCs w:val="18"/>
      </w:rPr>
      <w:tab/>
    </w:r>
    <w:r w:rsidRPr="00C6363B">
      <w:rPr>
        <w:sz w:val="18"/>
        <w:szCs w:val="18"/>
      </w:rPr>
      <w:t xml:space="preserve">Page </w:t>
    </w:r>
    <w:r w:rsidRPr="00C6363B">
      <w:rPr>
        <w:bCs/>
        <w:sz w:val="18"/>
        <w:szCs w:val="18"/>
      </w:rPr>
      <w:fldChar w:fldCharType="begin"/>
    </w:r>
    <w:r w:rsidRPr="00C6363B">
      <w:rPr>
        <w:bCs/>
        <w:sz w:val="18"/>
        <w:szCs w:val="18"/>
      </w:rPr>
      <w:instrText xml:space="preserve"> PAGE  \* Arabic  \* MERGEFORMAT </w:instrText>
    </w:r>
    <w:r w:rsidRPr="00C6363B">
      <w:rPr>
        <w:bCs/>
        <w:sz w:val="18"/>
        <w:szCs w:val="18"/>
      </w:rPr>
      <w:fldChar w:fldCharType="separate"/>
    </w:r>
    <w:r>
      <w:rPr>
        <w:bCs/>
        <w:sz w:val="18"/>
        <w:szCs w:val="18"/>
      </w:rPr>
      <w:t>2</w:t>
    </w:r>
    <w:r w:rsidRPr="00C6363B">
      <w:rPr>
        <w:bCs/>
        <w:sz w:val="18"/>
        <w:szCs w:val="18"/>
      </w:rPr>
      <w:fldChar w:fldCharType="end"/>
    </w:r>
    <w:r w:rsidRPr="00C6363B">
      <w:rPr>
        <w:sz w:val="18"/>
        <w:szCs w:val="18"/>
      </w:rPr>
      <w:t xml:space="preserve"> of </w:t>
    </w:r>
    <w:r w:rsidRPr="00C6363B">
      <w:rPr>
        <w:bCs/>
        <w:sz w:val="18"/>
        <w:szCs w:val="18"/>
      </w:rPr>
      <w:fldChar w:fldCharType="begin"/>
    </w:r>
    <w:r w:rsidRPr="00C6363B">
      <w:rPr>
        <w:bCs/>
        <w:sz w:val="18"/>
        <w:szCs w:val="18"/>
      </w:rPr>
      <w:instrText xml:space="preserve"> NUMPAGES  \* Arabic  \* MERGEFORMAT </w:instrText>
    </w:r>
    <w:r w:rsidRPr="00C6363B">
      <w:rPr>
        <w:bCs/>
        <w:sz w:val="18"/>
        <w:szCs w:val="18"/>
      </w:rPr>
      <w:fldChar w:fldCharType="separate"/>
    </w:r>
    <w:r>
      <w:rPr>
        <w:bCs/>
        <w:sz w:val="18"/>
        <w:szCs w:val="18"/>
      </w:rPr>
      <w:t>50</w:t>
    </w:r>
    <w:r w:rsidRPr="00C6363B">
      <w:rPr>
        <w:bCs/>
        <w:sz w:val="18"/>
        <w:szCs w:val="18"/>
      </w:rPr>
      <w:fldChar w:fldCharType="end"/>
    </w:r>
    <w:r w:rsidRPr="00C6363B">
      <w:rPr>
        <w:sz w:val="18"/>
        <w:szCs w:val="18"/>
      </w:rPr>
      <w:t xml:space="preserve"> </w:t>
    </w:r>
  </w:p>
  <w:p w14:paraId="16FDA42D" w14:textId="6354886A" w:rsidR="00F64A51" w:rsidRPr="00F64A51" w:rsidRDefault="00F64A51" w:rsidP="00F64A51">
    <w:pPr>
      <w:pStyle w:val="Footer"/>
      <w:tabs>
        <w:tab w:val="clear" w:pos="4513"/>
        <w:tab w:val="center" w:pos="4678"/>
      </w:tabs>
      <w:spacing w:before="0" w:after="0"/>
      <w:ind w:left="-426"/>
      <w:rPr>
        <w:sz w:val="18"/>
        <w:szCs w:val="18"/>
      </w:rPr>
    </w:pPr>
    <w:r>
      <w:rPr>
        <w:sz w:val="18"/>
        <w:szCs w:val="18"/>
      </w:rPr>
      <w:t xml:space="preserve">V5 </w:t>
    </w:r>
    <w:r>
      <w:rPr>
        <w:sz w:val="18"/>
        <w:szCs w:val="18"/>
      </w:rPr>
      <w:tab/>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1F11F" w14:textId="77777777" w:rsidR="007A5CAD" w:rsidRDefault="007A5CAD" w:rsidP="001A5AF9">
      <w:r>
        <w:separator/>
      </w:r>
    </w:p>
  </w:footnote>
  <w:footnote w:type="continuationSeparator" w:id="0">
    <w:p w14:paraId="09013C81" w14:textId="77777777" w:rsidR="007A5CAD" w:rsidRDefault="007A5CAD" w:rsidP="001A5AF9">
      <w:r>
        <w:continuationSeparator/>
      </w:r>
    </w:p>
  </w:footnote>
  <w:footnote w:id="1">
    <w:p w14:paraId="0773D13E" w14:textId="322A22D0" w:rsidR="006C7387" w:rsidRPr="001E6CA9" w:rsidRDefault="006C7387" w:rsidP="00FA4398">
      <w:pPr>
        <w:pStyle w:val="FootnoteText"/>
      </w:pPr>
      <w:r w:rsidRPr="00997EA3">
        <w:rPr>
          <w:rStyle w:val="FootnoteReference"/>
        </w:rPr>
        <w:footnoteRef/>
      </w:r>
      <w:r w:rsidRPr="00997EA3">
        <w:t xml:space="preserve"> </w:t>
      </w:r>
      <w:r w:rsidRPr="00E46AB2">
        <w:rPr>
          <w:sz w:val="16"/>
          <w:szCs w:val="16"/>
        </w:rPr>
        <w:t xml:space="preserve">After issuing </w:t>
      </w:r>
      <w:r>
        <w:rPr>
          <w:sz w:val="16"/>
          <w:szCs w:val="16"/>
        </w:rPr>
        <w:t>a</w:t>
      </w:r>
      <w:r w:rsidRPr="00E46AB2">
        <w:rPr>
          <w:sz w:val="16"/>
          <w:szCs w:val="16"/>
        </w:rPr>
        <w:t xml:space="preserve"> licence, follow-up of review and assessment results should be conducted through regulatory compliance monitoring activities</w:t>
      </w:r>
      <w:r>
        <w:rPr>
          <w:sz w:val="16"/>
          <w:szCs w:val="16"/>
        </w:rPr>
        <w:t xml:space="preserve"> as per </w:t>
      </w:r>
      <w:hyperlink r:id="rId1" w:history="1">
        <w:r w:rsidRPr="001C6EE1">
          <w:rPr>
            <w:rStyle w:val="Hyperlink"/>
            <w:sz w:val="16"/>
            <w:szCs w:val="16"/>
          </w:rPr>
          <w:t>Compliance Manual</w:t>
        </w:r>
      </w:hyperlink>
    </w:p>
  </w:footnote>
  <w:footnote w:id="2">
    <w:p w14:paraId="0710DCA0" w14:textId="0BB235E8" w:rsidR="006C7387" w:rsidRPr="00A442A7" w:rsidRDefault="006C7387" w:rsidP="00ED1A65">
      <w:pPr>
        <w:spacing w:line="240" w:lineRule="auto"/>
      </w:pPr>
      <w:r w:rsidRPr="00F92281">
        <w:rPr>
          <w:rStyle w:val="Normalbold"/>
          <w:color w:val="auto"/>
          <w:sz w:val="16"/>
          <w:szCs w:val="16"/>
          <w:vertAlign w:val="superscript"/>
        </w:rPr>
        <w:footnoteRef/>
      </w:r>
      <w:r w:rsidRPr="00F92281">
        <w:rPr>
          <w:rStyle w:val="Normalbold"/>
          <w:color w:val="auto"/>
          <w:sz w:val="16"/>
          <w:szCs w:val="16"/>
          <w:vertAlign w:val="superscript"/>
        </w:rPr>
        <w:t xml:space="preserve"> </w:t>
      </w:r>
      <w:r w:rsidRPr="00F92281">
        <w:rPr>
          <w:rStyle w:val="Normalbold"/>
          <w:color w:val="auto"/>
          <w:sz w:val="16"/>
          <w:szCs w:val="16"/>
        </w:rPr>
        <w:t xml:space="preserve">Under s36 of the Act, the CEO may at any time amend a licence. For example, a licence may be amended to impose additional licence conditions, remove or vary conditions already imposed, or extend or reduce the authority granted by the licence.  </w:t>
      </w:r>
      <w:r w:rsidRPr="00ED1A65">
        <w:rPr>
          <w:sz w:val="16"/>
          <w:szCs w:val="16"/>
        </w:rPr>
        <w:t xml:space="preserve">A decision to amend a licence may be at the request of the licence holder or may be taken by ARPANSA as, for example, enforcement action (refer ARPANSA-SOP-1776 </w:t>
      </w:r>
      <w:r w:rsidRPr="00ED1A65">
        <w:rPr>
          <w:i/>
          <w:sz w:val="16"/>
          <w:szCs w:val="16"/>
        </w:rPr>
        <w:t>Compliance Manual</w:t>
      </w:r>
      <w:r w:rsidRPr="00ED1A65">
        <w:rPr>
          <w:sz w:val="16"/>
          <w:szCs w:val="16"/>
        </w:rPr>
        <w:t xml:space="preserve">). </w:t>
      </w:r>
      <w:r w:rsidRPr="00ED1A65">
        <w:rPr>
          <w:bCs/>
          <w:sz w:val="16"/>
          <w:szCs w:val="16"/>
        </w:rPr>
        <w:t xml:space="preserve">An application for amendment of a source licence is submitted using </w:t>
      </w:r>
      <w:r>
        <w:rPr>
          <w:bCs/>
          <w:sz w:val="16"/>
          <w:szCs w:val="16"/>
        </w:rPr>
        <w:t xml:space="preserve">the appropriate </w:t>
      </w:r>
      <w:r w:rsidRPr="00ED1A65">
        <w:rPr>
          <w:bCs/>
          <w:sz w:val="16"/>
          <w:szCs w:val="16"/>
        </w:rPr>
        <w:t xml:space="preserve">source licence application form.  Applications for amendment of a facility licence are less common and generally take the form of a written request.  The assessment of an amendment generally follows a similar process to that for a licence application. Changes with significant implications </w:t>
      </w:r>
      <w:r>
        <w:rPr>
          <w:bCs/>
          <w:sz w:val="16"/>
          <w:szCs w:val="16"/>
        </w:rPr>
        <w:t>for safety</w:t>
      </w:r>
      <w:r w:rsidRPr="00ED1A65">
        <w:rPr>
          <w:bCs/>
          <w:sz w:val="16"/>
          <w:szCs w:val="16"/>
        </w:rPr>
        <w:t xml:space="preserve"> under section 63 of the Regulations </w:t>
      </w:r>
      <w:r>
        <w:rPr>
          <w:bCs/>
          <w:sz w:val="16"/>
          <w:szCs w:val="16"/>
        </w:rPr>
        <w:t xml:space="preserve">are assessed using a similar process (see section 3) but </w:t>
      </w:r>
      <w:r w:rsidRPr="00ED1A65">
        <w:rPr>
          <w:bCs/>
          <w:sz w:val="16"/>
          <w:szCs w:val="16"/>
        </w:rPr>
        <w:t>may not necessarily result in a licence amendment.</w:t>
      </w:r>
    </w:p>
  </w:footnote>
  <w:footnote w:id="3">
    <w:p w14:paraId="602F9274" w14:textId="109F26DE" w:rsidR="00974557" w:rsidRPr="00974557" w:rsidRDefault="00974557" w:rsidP="00974557">
      <w:pPr>
        <w:rPr>
          <w:sz w:val="18"/>
          <w:szCs w:val="18"/>
        </w:rPr>
      </w:pPr>
      <w:r w:rsidRPr="00974557">
        <w:rPr>
          <w:rStyle w:val="FootnoteReference"/>
          <w:sz w:val="18"/>
          <w:szCs w:val="18"/>
        </w:rPr>
        <w:footnoteRef/>
      </w:r>
      <w:r w:rsidRPr="00974557">
        <w:rPr>
          <w:sz w:val="18"/>
          <w:szCs w:val="18"/>
        </w:rPr>
        <w:t xml:space="preserve"> The power to request additional information comes from sections 46 &amp; 47 of the Regulations. </w:t>
      </w:r>
    </w:p>
  </w:footnote>
  <w:footnote w:id="4">
    <w:p w14:paraId="2CEC946F" w14:textId="78AAB2AF" w:rsidR="006C7387" w:rsidRPr="00242933" w:rsidRDefault="006C7387" w:rsidP="001A5AF9">
      <w:pPr>
        <w:pStyle w:val="FootnoteText"/>
        <w:rPr>
          <w:sz w:val="16"/>
          <w:szCs w:val="16"/>
        </w:rPr>
      </w:pPr>
      <w:r w:rsidRPr="00242933">
        <w:rPr>
          <w:rStyle w:val="FootnoteReference"/>
          <w:sz w:val="16"/>
          <w:szCs w:val="16"/>
        </w:rPr>
        <w:footnoteRef/>
      </w:r>
      <w:r w:rsidRPr="00242933">
        <w:rPr>
          <w:sz w:val="16"/>
          <w:szCs w:val="16"/>
        </w:rPr>
        <w:t xml:space="preserve"> See </w:t>
      </w:r>
      <w:hyperlink r:id="rId2" w:history="1">
        <w:r w:rsidRPr="001D3E52">
          <w:rPr>
            <w:rStyle w:val="Hyperlink"/>
            <w:sz w:val="16"/>
            <w:szCs w:val="16"/>
          </w:rPr>
          <w:t>list of accredited assessors</w:t>
        </w:r>
      </w:hyperlink>
      <w:r w:rsidRPr="00242933">
        <w:rPr>
          <w:sz w:val="16"/>
          <w:szCs w:val="16"/>
        </w:rPr>
        <w:t xml:space="preserve"> </w:t>
      </w:r>
    </w:p>
  </w:footnote>
  <w:footnote w:id="5">
    <w:p w14:paraId="0B07238B" w14:textId="463B5649" w:rsidR="006C7387" w:rsidRPr="007E260E" w:rsidRDefault="006C7387" w:rsidP="001A5AF9">
      <w:pPr>
        <w:pStyle w:val="FootnoteText"/>
      </w:pPr>
      <w:r w:rsidRPr="00B25F3F">
        <w:rPr>
          <w:rStyle w:val="FootnoteReference"/>
          <w:sz w:val="16"/>
          <w:szCs w:val="16"/>
        </w:rPr>
        <w:footnoteRef/>
      </w:r>
      <w:r w:rsidRPr="00B25F3F">
        <w:t xml:space="preserve"> </w:t>
      </w:r>
      <w:r w:rsidRPr="00ED1A65">
        <w:rPr>
          <w:sz w:val="16"/>
          <w:szCs w:val="16"/>
        </w:rPr>
        <w:t>Independent review should be arranged in consultation with the Chief Regulatory Officer or section director</w:t>
      </w:r>
    </w:p>
  </w:footnote>
  <w:footnote w:id="6">
    <w:p w14:paraId="25074360" w14:textId="7BBDB1C5" w:rsidR="00AC3F78" w:rsidRDefault="00AC3F78">
      <w:pPr>
        <w:pStyle w:val="FootnoteText"/>
      </w:pPr>
      <w:r>
        <w:rPr>
          <w:rStyle w:val="FootnoteReference"/>
        </w:rPr>
        <w:footnoteRef/>
      </w:r>
      <w:r>
        <w:t xml:space="preserve"> </w:t>
      </w:r>
      <w:r w:rsidRPr="00AC3F78">
        <w:rPr>
          <w:sz w:val="18"/>
          <w:szCs w:val="18"/>
        </w:rPr>
        <w:t>Under section 18 of the Act the CEO may only delegate powers to persons at senior executive (SES) or executive level (Senior Regulatory Officer - EL1 or EL2)</w:t>
      </w:r>
    </w:p>
  </w:footnote>
  <w:footnote w:id="7">
    <w:p w14:paraId="63CF3091" w14:textId="6FC03E74" w:rsidR="006C7387" w:rsidRDefault="006C7387" w:rsidP="00832BDF">
      <w:pPr>
        <w:pStyle w:val="FootnoteText"/>
      </w:pPr>
      <w:r w:rsidRPr="00283F60">
        <w:rPr>
          <w:rStyle w:val="FootnoteReference"/>
          <w:sz w:val="16"/>
          <w:szCs w:val="16"/>
        </w:rPr>
        <w:footnoteRef/>
      </w:r>
      <w:r w:rsidRPr="00283F60">
        <w:rPr>
          <w:sz w:val="16"/>
          <w:szCs w:val="16"/>
        </w:rPr>
        <w:t xml:space="preserve"> ISO9978:</w:t>
      </w:r>
      <w:r w:rsidR="001E3187">
        <w:rPr>
          <w:sz w:val="16"/>
          <w:szCs w:val="16"/>
        </w:rPr>
        <w:t xml:space="preserve"> </w:t>
      </w:r>
      <w:r w:rsidRPr="00283F60">
        <w:rPr>
          <w:sz w:val="16"/>
          <w:szCs w:val="16"/>
        </w:rPr>
        <w:t>1992 Radiation protection – Sealed radioactive sources – Leakage test methods</w:t>
      </w:r>
    </w:p>
  </w:footnote>
  <w:footnote w:id="8">
    <w:p w14:paraId="1B6A1DDB" w14:textId="77777777" w:rsidR="006C7387" w:rsidRPr="005540B1" w:rsidRDefault="006C7387" w:rsidP="00832BDF">
      <w:pPr>
        <w:pStyle w:val="FootnoteText"/>
        <w:ind w:left="142" w:hanging="142"/>
        <w:rPr>
          <w:sz w:val="16"/>
          <w:szCs w:val="16"/>
        </w:rPr>
      </w:pPr>
      <w:r w:rsidRPr="005540B1">
        <w:rPr>
          <w:rStyle w:val="FootnoteReference"/>
          <w:sz w:val="16"/>
          <w:szCs w:val="16"/>
        </w:rPr>
        <w:footnoteRef/>
      </w:r>
      <w:r w:rsidRPr="005540B1">
        <w:rPr>
          <w:sz w:val="16"/>
          <w:szCs w:val="16"/>
        </w:rPr>
        <w:t xml:space="preserve"> </w:t>
      </w:r>
      <w:r w:rsidRPr="00E723D5">
        <w:rPr>
          <w:sz w:val="16"/>
          <w:szCs w:val="16"/>
        </w:rPr>
        <w:t xml:space="preserve">The specified level of contamination (20 Bq) has been derived on the assumption that there will likely be a loss during transfer of radioactivity from a leaking sealed source to the nearest accessible surface. ARPANSA is aware that this value is consistent with NSW Environment Protection Authority </w:t>
      </w:r>
      <w:r w:rsidRPr="00E723D5">
        <w:rPr>
          <w:i/>
          <w:iCs/>
          <w:sz w:val="16"/>
          <w:szCs w:val="16"/>
        </w:rPr>
        <w:t>Radiation Guideline 3 – Recommendations for minimum standards and safety requirements for fixed radiation</w:t>
      </w:r>
      <w:r>
        <w:rPr>
          <w:i/>
          <w:iCs/>
          <w:sz w:val="16"/>
          <w:szCs w:val="16"/>
        </w:rPr>
        <w:t xml:space="preserve"> gauges (sealed source devices)</w:t>
      </w:r>
    </w:p>
  </w:footnote>
  <w:footnote w:id="9">
    <w:p w14:paraId="14A70679" w14:textId="77777777" w:rsidR="006C7387" w:rsidRPr="00283F60" w:rsidRDefault="006C7387" w:rsidP="00EF49A5">
      <w:pPr>
        <w:pStyle w:val="FootnoteText"/>
        <w:rPr>
          <w:sz w:val="16"/>
          <w:szCs w:val="16"/>
        </w:rPr>
      </w:pPr>
      <w:r w:rsidRPr="00283F60">
        <w:rPr>
          <w:rStyle w:val="FootnoteReference"/>
          <w:sz w:val="16"/>
          <w:szCs w:val="16"/>
        </w:rPr>
        <w:footnoteRef/>
      </w:r>
      <w:r w:rsidRPr="00283F60">
        <w:rPr>
          <w:sz w:val="16"/>
          <w:szCs w:val="16"/>
        </w:rPr>
        <w:t xml:space="preserve"> ARPANSA Radiation Protection Series No.5 </w:t>
      </w:r>
      <w:r w:rsidRPr="00283F60">
        <w:rPr>
          <w:i/>
          <w:sz w:val="16"/>
          <w:szCs w:val="16"/>
        </w:rPr>
        <w:t>Portable Density/Moisture Gauges Containing Radioactive Sources</w:t>
      </w:r>
    </w:p>
  </w:footnote>
  <w:footnote w:id="10">
    <w:p w14:paraId="2BEB4E55" w14:textId="77777777" w:rsidR="006C7387" w:rsidRPr="00AF6A03" w:rsidRDefault="006C7387" w:rsidP="001A5AF9">
      <w:pPr>
        <w:pStyle w:val="FootnoteText"/>
      </w:pPr>
      <w:r w:rsidRPr="00AF6A03">
        <w:rPr>
          <w:rStyle w:val="FootnoteReference"/>
          <w:sz w:val="16"/>
          <w:szCs w:val="16"/>
        </w:rPr>
        <w:footnoteRef/>
      </w:r>
      <w:r w:rsidRPr="00AF6A03">
        <w:t xml:space="preserve"> </w:t>
      </w:r>
      <w:r w:rsidRPr="00ED1A65">
        <w:rPr>
          <w:sz w:val="16"/>
          <w:szCs w:val="16"/>
        </w:rPr>
        <w:t xml:space="preserve">IAEA Safety Standards – Radiation Protection and Safety of Radiation Sources: International Basic Safety Standards IAEA General Safety Requirements GSR Part 3 – 2014 (Schedule I, Item I.2) </w:t>
      </w:r>
    </w:p>
  </w:footnote>
  <w:footnote w:id="11">
    <w:p w14:paraId="167B7BBA" w14:textId="2187F9F1" w:rsidR="006C7387" w:rsidRDefault="006C7387">
      <w:pPr>
        <w:pStyle w:val="FootnoteText"/>
      </w:pPr>
      <w:r>
        <w:rPr>
          <w:rStyle w:val="FootnoteReference"/>
        </w:rPr>
        <w:footnoteRef/>
      </w:r>
      <w:r>
        <w:t xml:space="preserve"> </w:t>
      </w:r>
      <w:r>
        <w:rPr>
          <w:sz w:val="18"/>
          <w:szCs w:val="18"/>
        </w:rPr>
        <w:t xml:space="preserve">Does not include endorsement of </w:t>
      </w:r>
      <w:r w:rsidRPr="005B3D57">
        <w:rPr>
          <w:sz w:val="18"/>
          <w:szCs w:val="18"/>
        </w:rPr>
        <w:t>transport security plan</w:t>
      </w:r>
      <w:r>
        <w:rPr>
          <w:sz w:val="18"/>
          <w:szCs w:val="18"/>
        </w:rPr>
        <w:t>s as persons must be accredited for this purpose. Contact Source Safety &amp; Security</w:t>
      </w:r>
      <w:r>
        <w:t xml:space="preserve"> f</w:t>
      </w:r>
      <w:r>
        <w:rPr>
          <w:sz w:val="18"/>
          <w:szCs w:val="18"/>
        </w:rPr>
        <w:t xml:space="preserve">or further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0AB59" w14:textId="77777777" w:rsidR="006C7387" w:rsidRPr="00C67E43" w:rsidRDefault="006C7387" w:rsidP="00C67E43">
    <w:pPr>
      <w:pStyle w:val="Header"/>
      <w:spacing w:after="240"/>
      <w:jc w:val="center"/>
      <w:rPr>
        <w:b/>
        <w:smallCaps/>
        <w:color w:val="4E1A74" w:themeColor="accent2"/>
        <w:w w:val="150"/>
        <w14:numSpacing w14:val="proportional"/>
      </w:rPr>
    </w:pPr>
    <w:r w:rsidRPr="0035398B">
      <w:rPr>
        <w:b/>
        <w:smallCaps/>
        <w:color w:val="4E1A74" w:themeColor="accent2"/>
        <w:w w:val="150"/>
        <w14:numSpacing w14:val="proportional"/>
      </w:rPr>
      <w:t>Standard operating procedur</w:t>
    </w:r>
    <w:r>
      <w:rPr>
        <w:b/>
        <w:smallCaps/>
        <w:color w:val="4E1A74" w:themeColor="accent2"/>
        <w:w w:val="150"/>
        <w14:numSpacing w14:val="proportional"/>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FB3"/>
    <w:multiLevelType w:val="hybridMultilevel"/>
    <w:tmpl w:val="8F2AA3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FC716D"/>
    <w:multiLevelType w:val="hybridMultilevel"/>
    <w:tmpl w:val="3FE6B8B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72F60"/>
    <w:multiLevelType w:val="hybridMultilevel"/>
    <w:tmpl w:val="7B1E98D0"/>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03DD5CD6"/>
    <w:multiLevelType w:val="hybridMultilevel"/>
    <w:tmpl w:val="768EB2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487632"/>
    <w:multiLevelType w:val="hybridMultilevel"/>
    <w:tmpl w:val="6D5CE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920569"/>
    <w:multiLevelType w:val="hybridMultilevel"/>
    <w:tmpl w:val="69229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B32E88"/>
    <w:multiLevelType w:val="hybridMultilevel"/>
    <w:tmpl w:val="907C7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5544A3"/>
    <w:multiLevelType w:val="hybridMultilevel"/>
    <w:tmpl w:val="5AF86322"/>
    <w:lvl w:ilvl="0" w:tplc="BCE060B2">
      <w:start w:val="1"/>
      <w:numFmt w:val="decimal"/>
      <w:lvlText w:val="A%1"/>
      <w:lvlJc w:val="left"/>
      <w:pPr>
        <w:ind w:left="1800" w:hanging="360"/>
      </w:pPr>
      <w:rPr>
        <w:rFonts w:hint="default"/>
        <w:color w:val="2B992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63AE729A">
      <w:start w:val="1"/>
      <w:numFmt w:val="decimal"/>
      <w:lvlText w:val="A%4."/>
      <w:lvlJc w:val="left"/>
      <w:pPr>
        <w:ind w:left="2880" w:hanging="360"/>
      </w:pPr>
      <w:rPr>
        <w:rFonts w:hint="default"/>
        <w:b/>
        <w:i w:val="0"/>
        <w:iCs/>
        <w:color w:val="207220" w:themeColor="accent1" w:themeShade="BF"/>
        <w:sz w:val="26"/>
        <w:szCs w:val="26"/>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673F48"/>
    <w:multiLevelType w:val="hybridMultilevel"/>
    <w:tmpl w:val="F2D2EF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D2B687F"/>
    <w:multiLevelType w:val="hybridMultilevel"/>
    <w:tmpl w:val="A6B2A0D8"/>
    <w:lvl w:ilvl="0" w:tplc="0C090001">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7D25DF"/>
    <w:multiLevelType w:val="hybridMultilevel"/>
    <w:tmpl w:val="51080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F774F"/>
    <w:multiLevelType w:val="hybridMultilevel"/>
    <w:tmpl w:val="AC00F3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0ECB3C76"/>
    <w:multiLevelType w:val="hybridMultilevel"/>
    <w:tmpl w:val="A1884E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0A2366"/>
    <w:multiLevelType w:val="hybridMultilevel"/>
    <w:tmpl w:val="8D0EB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9953CF"/>
    <w:multiLevelType w:val="hybridMultilevel"/>
    <w:tmpl w:val="C33EA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DC0FDA"/>
    <w:multiLevelType w:val="hybridMultilevel"/>
    <w:tmpl w:val="C3AA0286"/>
    <w:lvl w:ilvl="0" w:tplc="EECA51A2">
      <w:numFmt w:val="bullet"/>
      <w:lvlText w:val="•"/>
      <w:lvlJc w:val="left"/>
      <w:pPr>
        <w:ind w:left="1430" w:hanging="720"/>
      </w:pPr>
      <w:rPr>
        <w:rFonts w:ascii="Calibri" w:eastAsiaTheme="minorHAnsi" w:hAnsi="Calibri" w:cstheme="minorBidi" w:hint="default"/>
      </w:rPr>
    </w:lvl>
    <w:lvl w:ilvl="1" w:tplc="0C090001">
      <w:start w:val="1"/>
      <w:numFmt w:val="bullet"/>
      <w:lvlText w:val=""/>
      <w:lvlJc w:val="left"/>
      <w:pPr>
        <w:ind w:left="710" w:hanging="360"/>
      </w:pPr>
      <w:rPr>
        <w:rFonts w:ascii="Symbol" w:hAnsi="Symbol"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6" w15:restartNumberingAfterBreak="0">
    <w:nsid w:val="14B5266F"/>
    <w:multiLevelType w:val="hybridMultilevel"/>
    <w:tmpl w:val="3E96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5742D93"/>
    <w:multiLevelType w:val="hybridMultilevel"/>
    <w:tmpl w:val="901021EE"/>
    <w:lvl w:ilvl="0" w:tplc="0C9AD7C2">
      <w:start w:val="1"/>
      <w:numFmt w:val="lowerLetter"/>
      <w:lvlText w:val="%1)"/>
      <w:lvlJc w:val="left"/>
      <w:pPr>
        <w:ind w:left="1440" w:hanging="360"/>
      </w:pPr>
      <w:rPr>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1672493E"/>
    <w:multiLevelType w:val="hybridMultilevel"/>
    <w:tmpl w:val="8F427862"/>
    <w:lvl w:ilvl="0" w:tplc="EECA51A2">
      <w:numFmt w:val="bullet"/>
      <w:lvlText w:val="•"/>
      <w:lvlJc w:val="left"/>
      <w:pPr>
        <w:ind w:left="1430" w:hanging="720"/>
      </w:pPr>
      <w:rPr>
        <w:rFonts w:ascii="Calibri" w:eastAsiaTheme="minorHAnsi" w:hAnsi="Calibri" w:cstheme="minorBidi" w:hint="default"/>
      </w:rPr>
    </w:lvl>
    <w:lvl w:ilvl="1" w:tplc="0C090003">
      <w:start w:val="1"/>
      <w:numFmt w:val="bullet"/>
      <w:lvlText w:val="o"/>
      <w:lvlJc w:val="left"/>
      <w:pPr>
        <w:ind w:left="71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9" w15:restartNumberingAfterBreak="0">
    <w:nsid w:val="17CA55C5"/>
    <w:multiLevelType w:val="hybridMultilevel"/>
    <w:tmpl w:val="BA1665F2"/>
    <w:lvl w:ilvl="0" w:tplc="55F28646">
      <w:start w:val="1"/>
      <w:numFmt w:val="bullet"/>
      <w:lvlText w:val=""/>
      <w:lvlJc w:val="left"/>
      <w:pPr>
        <w:ind w:left="720" w:hanging="360"/>
      </w:pPr>
      <w:rPr>
        <w:rFonts w:ascii="Wingdings" w:hAnsi="Wingdings" w:hint="default"/>
        <w:color w:val="4E1A74"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E4574CC"/>
    <w:multiLevelType w:val="hybridMultilevel"/>
    <w:tmpl w:val="6BC02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61338C"/>
    <w:multiLevelType w:val="hybridMultilevel"/>
    <w:tmpl w:val="68668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94279B7"/>
    <w:multiLevelType w:val="hybridMultilevel"/>
    <w:tmpl w:val="7040A04E"/>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23" w15:restartNumberingAfterBreak="0">
    <w:nsid w:val="2AE715CF"/>
    <w:multiLevelType w:val="hybridMultilevel"/>
    <w:tmpl w:val="C49E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C6A27A4"/>
    <w:multiLevelType w:val="hybridMultilevel"/>
    <w:tmpl w:val="F3102E2E"/>
    <w:lvl w:ilvl="0" w:tplc="11EE49B6">
      <w:start w:val="1"/>
      <w:numFmt w:val="decimal"/>
      <w:lvlText w:val="%1."/>
      <w:lvlJc w:val="left"/>
      <w:pPr>
        <w:ind w:left="720" w:hanging="360"/>
      </w:pPr>
      <w:rPr>
        <w:rFonts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706F56"/>
    <w:multiLevelType w:val="hybridMultilevel"/>
    <w:tmpl w:val="FB104238"/>
    <w:lvl w:ilvl="0" w:tplc="BCE060B2">
      <w:start w:val="1"/>
      <w:numFmt w:val="decimal"/>
      <w:lvlText w:val="A%1"/>
      <w:lvlJc w:val="left"/>
      <w:pPr>
        <w:ind w:left="1440" w:hanging="360"/>
      </w:pPr>
      <w:rPr>
        <w:rFonts w:hint="default"/>
        <w:color w:val="2B992B" w:themeColor="accent1"/>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2DEB4056"/>
    <w:multiLevelType w:val="hybridMultilevel"/>
    <w:tmpl w:val="6C207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976E03"/>
    <w:multiLevelType w:val="hybridMultilevel"/>
    <w:tmpl w:val="8E9C9F1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8" w15:restartNumberingAfterBreak="0">
    <w:nsid w:val="31DC04B5"/>
    <w:multiLevelType w:val="hybridMultilevel"/>
    <w:tmpl w:val="50DED5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4747253"/>
    <w:multiLevelType w:val="hybridMultilevel"/>
    <w:tmpl w:val="17D0D062"/>
    <w:lvl w:ilvl="0" w:tplc="EECA51A2">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7DB1A6D"/>
    <w:multiLevelType w:val="hybridMultilevel"/>
    <w:tmpl w:val="1850000E"/>
    <w:lvl w:ilvl="0" w:tplc="0C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38431D30"/>
    <w:multiLevelType w:val="hybridMultilevel"/>
    <w:tmpl w:val="79FAE9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38763989"/>
    <w:multiLevelType w:val="hybridMultilevel"/>
    <w:tmpl w:val="016CE1F4"/>
    <w:lvl w:ilvl="0" w:tplc="DFB81DB4">
      <w:start w:val="1"/>
      <w:numFmt w:val="bullet"/>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A9B128B"/>
    <w:multiLevelType w:val="hybridMultilevel"/>
    <w:tmpl w:val="0D968768"/>
    <w:lvl w:ilvl="0" w:tplc="BCE060B2">
      <w:start w:val="1"/>
      <w:numFmt w:val="decimal"/>
      <w:lvlText w:val="A%1"/>
      <w:lvlJc w:val="left"/>
      <w:pPr>
        <w:ind w:left="720" w:hanging="360"/>
      </w:pPr>
      <w:rPr>
        <w:rFonts w:hint="default"/>
        <w:color w:val="2B992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B6D766B"/>
    <w:multiLevelType w:val="hybridMultilevel"/>
    <w:tmpl w:val="5D6C7CA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5" w15:restartNumberingAfterBreak="0">
    <w:nsid w:val="3E2C70F8"/>
    <w:multiLevelType w:val="hybridMultilevel"/>
    <w:tmpl w:val="9FD2D08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FF2563E"/>
    <w:multiLevelType w:val="hybridMultilevel"/>
    <w:tmpl w:val="22C42086"/>
    <w:lvl w:ilvl="0" w:tplc="147894BA">
      <w:start w:val="1"/>
      <w:numFmt w:val="decimal"/>
      <w:pStyle w:val="Title"/>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261482C"/>
    <w:multiLevelType w:val="hybridMultilevel"/>
    <w:tmpl w:val="075A83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42A325A4"/>
    <w:multiLevelType w:val="multilevel"/>
    <w:tmpl w:val="80384D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A12A05"/>
    <w:multiLevelType w:val="hybridMultilevel"/>
    <w:tmpl w:val="FCD4EE38"/>
    <w:lvl w:ilvl="0" w:tplc="63AE729A">
      <w:start w:val="1"/>
      <w:numFmt w:val="decimal"/>
      <w:lvlText w:val="A%1."/>
      <w:lvlJc w:val="left"/>
      <w:pPr>
        <w:ind w:left="720" w:hanging="360"/>
      </w:pPr>
      <w:rPr>
        <w:rFonts w:hint="default"/>
        <w:b/>
        <w:i w:val="0"/>
        <w:color w:val="207220" w:themeColor="accent1" w:themeShade="BF"/>
        <w:sz w:val="26"/>
        <w:szCs w:val="2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4E72506"/>
    <w:multiLevelType w:val="hybridMultilevel"/>
    <w:tmpl w:val="AD00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5FD40E8"/>
    <w:multiLevelType w:val="hybridMultilevel"/>
    <w:tmpl w:val="F7EA4E8A"/>
    <w:lvl w:ilvl="0" w:tplc="0C090017">
      <w:start w:val="1"/>
      <w:numFmt w:val="lowerLetter"/>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6BB2588"/>
    <w:multiLevelType w:val="hybridMultilevel"/>
    <w:tmpl w:val="4F20D6B8"/>
    <w:lvl w:ilvl="0" w:tplc="55F28646">
      <w:start w:val="1"/>
      <w:numFmt w:val="bullet"/>
      <w:lvlText w:val=""/>
      <w:lvlJc w:val="left"/>
      <w:pPr>
        <w:ind w:left="720" w:hanging="360"/>
      </w:pPr>
      <w:rPr>
        <w:rFonts w:ascii="Wingdings" w:hAnsi="Wingdings" w:hint="default"/>
        <w:color w:val="4E1A74"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8B05186"/>
    <w:multiLevelType w:val="hybridMultilevel"/>
    <w:tmpl w:val="753ACFA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44" w15:restartNumberingAfterBreak="0">
    <w:nsid w:val="48E30058"/>
    <w:multiLevelType w:val="hybridMultilevel"/>
    <w:tmpl w:val="DEBEBDC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5" w15:restartNumberingAfterBreak="0">
    <w:nsid w:val="4B2B6A07"/>
    <w:multiLevelType w:val="multilevel"/>
    <w:tmpl w:val="A1D4EBE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B373D7B"/>
    <w:multiLevelType w:val="multilevel"/>
    <w:tmpl w:val="537AF1AC"/>
    <w:lvl w:ilvl="0">
      <w:start w:val="1"/>
      <w:numFmt w:val="decimal"/>
      <w:pStyle w:val="Heading1"/>
      <w:lvlText w:val="%1."/>
      <w:lvlJc w:val="left"/>
      <w:pPr>
        <w:ind w:left="4684" w:hanging="432"/>
      </w:pPr>
      <w:rPr>
        <w:rFonts w:hint="default"/>
        <w:b/>
        <w:bCs w:val="0"/>
        <w:i w:val="0"/>
        <w:iCs w:val="0"/>
        <w:caps w:val="0"/>
        <w:smallCaps w:val="0"/>
        <w:strike w:val="0"/>
        <w:dstrike w:val="0"/>
        <w:outline w:val="0"/>
        <w:shadow w:val="0"/>
        <w:emboss w:val="0"/>
        <w:imprint w:val="0"/>
        <w:noProof w:val="0"/>
        <w:vanish w:val="0"/>
        <w:color w:val="4E1A74" w:themeColor="accen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4B9E2836"/>
    <w:multiLevelType w:val="hybridMultilevel"/>
    <w:tmpl w:val="9294C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DDB16F2"/>
    <w:multiLevelType w:val="hybridMultilevel"/>
    <w:tmpl w:val="12AE105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9" w15:restartNumberingAfterBreak="0">
    <w:nsid w:val="4EDA3BEC"/>
    <w:multiLevelType w:val="hybridMultilevel"/>
    <w:tmpl w:val="FEAA48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EE38DC"/>
    <w:multiLevelType w:val="hybridMultilevel"/>
    <w:tmpl w:val="128A75AC"/>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1" w15:restartNumberingAfterBreak="0">
    <w:nsid w:val="4F943868"/>
    <w:multiLevelType w:val="hybridMultilevel"/>
    <w:tmpl w:val="833634B8"/>
    <w:lvl w:ilvl="0" w:tplc="537C3A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0E119D9"/>
    <w:multiLevelType w:val="hybridMultilevel"/>
    <w:tmpl w:val="BA8C129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1B67DBF"/>
    <w:multiLevelType w:val="hybridMultilevel"/>
    <w:tmpl w:val="A3B61EB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3731C92"/>
    <w:multiLevelType w:val="hybridMultilevel"/>
    <w:tmpl w:val="9A52DA5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3C450FA"/>
    <w:multiLevelType w:val="hybridMultilevel"/>
    <w:tmpl w:val="C9D6D15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63C1274"/>
    <w:multiLevelType w:val="hybridMultilevel"/>
    <w:tmpl w:val="3BFCB552"/>
    <w:lvl w:ilvl="0" w:tplc="0C09000B">
      <w:start w:val="1"/>
      <w:numFmt w:val="bullet"/>
      <w:lvlText w:val=""/>
      <w:lvlJc w:val="left"/>
      <w:pPr>
        <w:ind w:left="1380" w:hanging="360"/>
      </w:pPr>
      <w:rPr>
        <w:rFonts w:ascii="Wingdings" w:hAnsi="Wingdings"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57" w15:restartNumberingAfterBreak="0">
    <w:nsid w:val="57B3421D"/>
    <w:multiLevelType w:val="multilevel"/>
    <w:tmpl w:val="29249188"/>
    <w:lvl w:ilvl="0">
      <w:numFmt w:val="bullet"/>
      <w:lvlText w:val="•"/>
      <w:lvlJc w:val="left"/>
      <w:pPr>
        <w:tabs>
          <w:tab w:val="left" w:pos="567"/>
        </w:tabs>
        <w:ind w:left="567" w:hanging="567"/>
      </w:pPr>
      <w:rPr>
        <w:rFonts w:ascii="Calibri" w:eastAsiaTheme="minorHAnsi" w:hAnsi="Calibri" w:cstheme="minorBidi" w:hint="default"/>
        <w:b w:val="0"/>
        <w:i w:val="0"/>
        <w:color w:val="auto"/>
        <w:sz w:val="28"/>
      </w:rPr>
    </w:lvl>
    <w:lvl w:ilvl="1">
      <w:start w:val="1"/>
      <w:numFmt w:val="bullet"/>
      <w:lvlText w:val=""/>
      <w:lvlJc w:val="left"/>
      <w:pPr>
        <w:tabs>
          <w:tab w:val="left" w:pos="850"/>
        </w:tabs>
        <w:ind w:left="850" w:hanging="283"/>
      </w:pPr>
      <w:rPr>
        <w:rFonts w:ascii="Symbol" w:hAnsi="Symbol" w:hint="default"/>
        <w:b w:val="0"/>
        <w:i w:val="0"/>
        <w:color w:val="auto"/>
      </w:rPr>
    </w:lvl>
    <w:lvl w:ilvl="2">
      <w:start w:val="1"/>
      <w:numFmt w:val="bullet"/>
      <w:lvlText w:val=""/>
      <w:lvlJc w:val="left"/>
      <w:pPr>
        <w:tabs>
          <w:tab w:val="left" w:pos="1134"/>
        </w:tabs>
        <w:ind w:left="1134" w:hanging="284"/>
      </w:pPr>
      <w:rPr>
        <w:rFonts w:ascii="Wingdings" w:hAnsi="Wingdings" w:hint="default"/>
        <w:b w:val="0"/>
        <w:i w:val="0"/>
      </w:rPr>
    </w:lvl>
    <w:lvl w:ilvl="3">
      <w:start w:val="1"/>
      <w:numFmt w:val="bullet"/>
      <w:lvlText w:val=""/>
      <w:lvlJc w:val="left"/>
      <w:pPr>
        <w:tabs>
          <w:tab w:val="left" w:pos="1417"/>
        </w:tabs>
        <w:ind w:left="1417" w:hanging="283"/>
      </w:pPr>
      <w:rPr>
        <w:rFonts w:ascii="Symbol" w:hAnsi="Symbol" w:hint="default"/>
        <w:b w:val="0"/>
        <w:i w:val="0"/>
        <w:color w:val="auto"/>
        <w:sz w:val="20"/>
      </w:rPr>
    </w:lvl>
    <w:lvl w:ilvl="4">
      <w:start w:val="1"/>
      <w:numFmt w:val="bullet"/>
      <w:lvlText w:val=""/>
      <w:lvlJc w:val="left"/>
      <w:pPr>
        <w:tabs>
          <w:tab w:val="left" w:pos="1701"/>
        </w:tabs>
        <w:ind w:left="1701" w:hanging="284"/>
      </w:pPr>
      <w:rPr>
        <w:rFonts w:ascii="Symbol" w:hAnsi="Symbol" w:hint="default"/>
        <w:b w:val="0"/>
        <w:i w:val="0"/>
      </w:rPr>
    </w:lvl>
    <w:lvl w:ilvl="5">
      <w:start w:val="1"/>
      <w:numFmt w:val="bullet"/>
      <w:lvlText w:val=""/>
      <w:lvlJc w:val="left"/>
      <w:pPr>
        <w:tabs>
          <w:tab w:val="left" w:pos="1984"/>
        </w:tabs>
        <w:ind w:left="1984" w:hanging="283"/>
      </w:pPr>
      <w:rPr>
        <w:rFonts w:ascii="Wingdings" w:hAnsi="Wingdings" w:hint="default"/>
        <w:b w:val="0"/>
        <w:i w:val="0"/>
      </w:rPr>
    </w:lvl>
    <w:lvl w:ilvl="6">
      <w:start w:val="1"/>
      <w:numFmt w:val="bullet"/>
      <w:lvlText w:val=""/>
      <w:lvlJc w:val="left"/>
      <w:pPr>
        <w:tabs>
          <w:tab w:val="left" w:pos="2268"/>
        </w:tabs>
        <w:ind w:left="2268" w:hanging="284"/>
      </w:pPr>
      <w:rPr>
        <w:rFonts w:ascii="Wingdings" w:hAnsi="Wingdings" w:hint="default"/>
        <w:b w:val="0"/>
        <w:i w:val="0"/>
      </w:rPr>
    </w:lvl>
    <w:lvl w:ilvl="7">
      <w:start w:val="1"/>
      <w:numFmt w:val="bullet"/>
      <w:lvlText w:val=""/>
      <w:lvlJc w:val="left"/>
      <w:pPr>
        <w:tabs>
          <w:tab w:val="left" w:pos="2551"/>
        </w:tabs>
        <w:ind w:left="2551" w:hanging="283"/>
      </w:pPr>
      <w:rPr>
        <w:rFonts w:ascii="Symbol" w:hAnsi="Symbol" w:hint="default"/>
        <w:b w:val="0"/>
        <w:i w:val="0"/>
      </w:rPr>
    </w:lvl>
    <w:lvl w:ilvl="8">
      <w:start w:val="1"/>
      <w:numFmt w:val="bullet"/>
      <w:lvlText w:val=""/>
      <w:lvlJc w:val="left"/>
      <w:pPr>
        <w:tabs>
          <w:tab w:val="left" w:pos="2835"/>
        </w:tabs>
        <w:ind w:left="2835" w:hanging="284"/>
      </w:pPr>
      <w:rPr>
        <w:rFonts w:ascii="Symbol" w:hAnsi="Symbol" w:hint="default"/>
        <w:b w:val="0"/>
        <w:i w:val="0"/>
      </w:rPr>
    </w:lvl>
  </w:abstractNum>
  <w:abstractNum w:abstractNumId="58" w15:restartNumberingAfterBreak="0">
    <w:nsid w:val="582E2900"/>
    <w:multiLevelType w:val="hybridMultilevel"/>
    <w:tmpl w:val="56F096B6"/>
    <w:lvl w:ilvl="0" w:tplc="5F023ED8">
      <w:numFmt w:val="bullet"/>
      <w:lvlText w:val="-"/>
      <w:lvlJc w:val="left"/>
      <w:pPr>
        <w:ind w:left="786" w:hanging="360"/>
      </w:pPr>
      <w:rPr>
        <w:rFonts w:ascii="Calibri" w:eastAsiaTheme="minorHAnsi" w:hAnsi="Calibri"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9" w15:restartNumberingAfterBreak="0">
    <w:nsid w:val="598C0F82"/>
    <w:multiLevelType w:val="hybridMultilevel"/>
    <w:tmpl w:val="258E442E"/>
    <w:lvl w:ilvl="0" w:tplc="68C23CF8">
      <w:start w:val="1"/>
      <w:numFmt w:val="upperLetter"/>
      <w:pStyle w:val="Heading4"/>
      <w:lvlText w:val="%1.1"/>
      <w:lvlJc w:val="left"/>
      <w:pPr>
        <w:ind w:left="1080" w:hanging="360"/>
      </w:pPr>
      <w:rPr>
        <w:color w:val="207220" w:themeColor="accent1" w:themeShade="B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5ABD4CA3"/>
    <w:multiLevelType w:val="hybridMultilevel"/>
    <w:tmpl w:val="8EE2F59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B5B7156"/>
    <w:multiLevelType w:val="hybridMultilevel"/>
    <w:tmpl w:val="BDC82D70"/>
    <w:lvl w:ilvl="0" w:tplc="3B3E3182">
      <w:numFmt w:val="bullet"/>
      <w:lvlText w:val="-"/>
      <w:lvlJc w:val="left"/>
      <w:pPr>
        <w:ind w:left="786" w:hanging="360"/>
      </w:pPr>
      <w:rPr>
        <w:rFonts w:ascii="Calibri" w:eastAsiaTheme="minorHAnsi" w:hAnsi="Calibri" w:cstheme="minorBidi"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2" w15:restartNumberingAfterBreak="0">
    <w:nsid w:val="5F3F460A"/>
    <w:multiLevelType w:val="multilevel"/>
    <w:tmpl w:val="58705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FA17EC5"/>
    <w:multiLevelType w:val="multilevel"/>
    <w:tmpl w:val="E23CB630"/>
    <w:lvl w:ilvl="0">
      <w:start w:val="1"/>
      <w:numFmt w:val="decimal"/>
      <w:lvlText w:val="%1."/>
      <w:lvlJc w:val="left"/>
      <w:pPr>
        <w:ind w:left="360" w:hanging="360"/>
      </w:pPr>
      <w:rPr>
        <w:rFonts w:asciiTheme="minorHAnsi" w:eastAsiaTheme="minorEastAsia" w:hAnsiTheme="minorHAnsi" w:cstheme="minorBidi"/>
        <w:color w:val="auto"/>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62773407"/>
    <w:multiLevelType w:val="hybridMultilevel"/>
    <w:tmpl w:val="36C0D870"/>
    <w:lvl w:ilvl="0" w:tplc="0C090001">
      <w:start w:val="1"/>
      <w:numFmt w:val="bullet"/>
      <w:lvlText w:val=""/>
      <w:lvlJc w:val="left"/>
      <w:pPr>
        <w:ind w:left="1440" w:hanging="360"/>
      </w:pPr>
      <w:rPr>
        <w:rFonts w:ascii="Symbol" w:hAnsi="Symbol" w:hint="default"/>
        <w:color w:val="auto"/>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5" w15:restartNumberingAfterBreak="0">
    <w:nsid w:val="64351ECE"/>
    <w:multiLevelType w:val="hybridMultilevel"/>
    <w:tmpl w:val="174AB8CA"/>
    <w:lvl w:ilvl="0" w:tplc="0B6EEBCE">
      <w:start w:val="1"/>
      <w:numFmt w:val="decimal"/>
      <w:lvlText w:val="B%1"/>
      <w:lvlJc w:val="left"/>
      <w:pPr>
        <w:ind w:left="1080" w:hanging="360"/>
      </w:pPr>
      <w:rPr>
        <w:rFonts w:hint="default"/>
        <w:color w:val="207220" w:themeColor="accent1" w:themeShade="BF"/>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6" w15:restartNumberingAfterBreak="0">
    <w:nsid w:val="685147A1"/>
    <w:multiLevelType w:val="hybridMultilevel"/>
    <w:tmpl w:val="57B052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98031D7"/>
    <w:multiLevelType w:val="hybridMultilevel"/>
    <w:tmpl w:val="97AAD9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6C996F2E"/>
    <w:multiLevelType w:val="hybridMultilevel"/>
    <w:tmpl w:val="EC2A9118"/>
    <w:lvl w:ilvl="0" w:tplc="CDBC5282">
      <w:start w:val="1"/>
      <w:numFmt w:val="decimal"/>
      <w:lvlText w:val="[%1]"/>
      <w:lvlJc w:val="left"/>
      <w:pPr>
        <w:ind w:left="720" w:hanging="360"/>
      </w:pPr>
      <w:rPr>
        <w:rFonts w:hint="default"/>
        <w:b/>
        <w:i w:val="0"/>
        <w:color w:val="4E1A74" w:themeColor="accent2"/>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E6A336B"/>
    <w:multiLevelType w:val="hybridMultilevel"/>
    <w:tmpl w:val="90A8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FA973E6"/>
    <w:multiLevelType w:val="hybridMultilevel"/>
    <w:tmpl w:val="372C244E"/>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0B525EE"/>
    <w:multiLevelType w:val="hybridMultilevel"/>
    <w:tmpl w:val="AFDE4C94"/>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2" w15:restartNumberingAfterBreak="0">
    <w:nsid w:val="72B84B01"/>
    <w:multiLevelType w:val="hybridMultilevel"/>
    <w:tmpl w:val="4B0A1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2E46E13"/>
    <w:multiLevelType w:val="hybridMultilevel"/>
    <w:tmpl w:val="5EA8EE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4" w15:restartNumberingAfterBreak="0">
    <w:nsid w:val="7B58298E"/>
    <w:multiLevelType w:val="hybridMultilevel"/>
    <w:tmpl w:val="CE7025B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BF37C51"/>
    <w:multiLevelType w:val="hybridMultilevel"/>
    <w:tmpl w:val="F634B022"/>
    <w:lvl w:ilvl="0" w:tplc="0C090017">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6" w15:restartNumberingAfterBreak="0">
    <w:nsid w:val="7E067D75"/>
    <w:multiLevelType w:val="hybridMultilevel"/>
    <w:tmpl w:val="A69E8118"/>
    <w:lvl w:ilvl="0" w:tplc="BCE060B2">
      <w:start w:val="1"/>
      <w:numFmt w:val="decimal"/>
      <w:lvlText w:val="A%1"/>
      <w:lvlJc w:val="left"/>
      <w:pPr>
        <w:ind w:left="720" w:hanging="360"/>
      </w:pPr>
      <w:rPr>
        <w:rFonts w:hint="default"/>
        <w:color w:val="2B992B"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5137171">
    <w:abstractNumId w:val="5"/>
  </w:num>
  <w:num w:numId="2" w16cid:durableId="1571773631">
    <w:abstractNumId w:val="44"/>
  </w:num>
  <w:num w:numId="3" w16cid:durableId="224075725">
    <w:abstractNumId w:val="29"/>
  </w:num>
  <w:num w:numId="4" w16cid:durableId="1941063660">
    <w:abstractNumId w:val="75"/>
  </w:num>
  <w:num w:numId="5" w16cid:durableId="1589655044">
    <w:abstractNumId w:val="50"/>
  </w:num>
  <w:num w:numId="6" w16cid:durableId="1268658180">
    <w:abstractNumId w:val="47"/>
  </w:num>
  <w:num w:numId="7" w16cid:durableId="1883663397">
    <w:abstractNumId w:val="22"/>
  </w:num>
  <w:num w:numId="8" w16cid:durableId="357586707">
    <w:abstractNumId w:val="18"/>
  </w:num>
  <w:num w:numId="9" w16cid:durableId="527917649">
    <w:abstractNumId w:val="41"/>
  </w:num>
  <w:num w:numId="10" w16cid:durableId="114754704">
    <w:abstractNumId w:val="46"/>
  </w:num>
  <w:num w:numId="11" w16cid:durableId="657928502">
    <w:abstractNumId w:val="69"/>
  </w:num>
  <w:num w:numId="12" w16cid:durableId="633217877">
    <w:abstractNumId w:val="68"/>
  </w:num>
  <w:num w:numId="13" w16cid:durableId="116411691">
    <w:abstractNumId w:val="37"/>
  </w:num>
  <w:num w:numId="14" w16cid:durableId="1287613964">
    <w:abstractNumId w:val="71"/>
  </w:num>
  <w:num w:numId="15" w16cid:durableId="1162895313">
    <w:abstractNumId w:val="27"/>
  </w:num>
  <w:num w:numId="16" w16cid:durableId="2030599217">
    <w:abstractNumId w:val="23"/>
  </w:num>
  <w:num w:numId="17" w16cid:durableId="681974084">
    <w:abstractNumId w:val="12"/>
  </w:num>
  <w:num w:numId="18" w16cid:durableId="1220432762">
    <w:abstractNumId w:val="39"/>
  </w:num>
  <w:num w:numId="19" w16cid:durableId="682052005">
    <w:abstractNumId w:val="48"/>
  </w:num>
  <w:num w:numId="20" w16cid:durableId="1392540868">
    <w:abstractNumId w:val="63"/>
  </w:num>
  <w:num w:numId="21" w16cid:durableId="1778132666">
    <w:abstractNumId w:val="49"/>
  </w:num>
  <w:num w:numId="22" w16cid:durableId="1623922886">
    <w:abstractNumId w:val="61"/>
  </w:num>
  <w:num w:numId="23" w16cid:durableId="1757432577">
    <w:abstractNumId w:val="24"/>
  </w:num>
  <w:num w:numId="24" w16cid:durableId="1278679041">
    <w:abstractNumId w:val="51"/>
  </w:num>
  <w:num w:numId="25" w16cid:durableId="919679355">
    <w:abstractNumId w:val="62"/>
  </w:num>
  <w:num w:numId="26" w16cid:durableId="647320236">
    <w:abstractNumId w:val="38"/>
  </w:num>
  <w:num w:numId="27" w16cid:durableId="770053723">
    <w:abstractNumId w:val="58"/>
  </w:num>
  <w:num w:numId="28" w16cid:durableId="1779183069">
    <w:abstractNumId w:val="73"/>
  </w:num>
  <w:num w:numId="29" w16cid:durableId="1000700637">
    <w:abstractNumId w:val="40"/>
  </w:num>
  <w:num w:numId="30" w16cid:durableId="1654262755">
    <w:abstractNumId w:val="15"/>
  </w:num>
  <w:num w:numId="31" w16cid:durableId="467403317">
    <w:abstractNumId w:val="21"/>
  </w:num>
  <w:num w:numId="32" w16cid:durableId="502552281">
    <w:abstractNumId w:val="26"/>
  </w:num>
  <w:num w:numId="33" w16cid:durableId="527720954">
    <w:abstractNumId w:val="3"/>
  </w:num>
  <w:num w:numId="34" w16cid:durableId="1632594177">
    <w:abstractNumId w:val="34"/>
  </w:num>
  <w:num w:numId="35" w16cid:durableId="590889367">
    <w:abstractNumId w:val="67"/>
  </w:num>
  <w:num w:numId="36" w16cid:durableId="1073158169">
    <w:abstractNumId w:val="17"/>
  </w:num>
  <w:num w:numId="37" w16cid:durableId="1020350602">
    <w:abstractNumId w:val="2"/>
  </w:num>
  <w:num w:numId="38" w16cid:durableId="339046333">
    <w:abstractNumId w:val="52"/>
  </w:num>
  <w:num w:numId="39" w16cid:durableId="1709135908">
    <w:abstractNumId w:val="54"/>
  </w:num>
  <w:num w:numId="40" w16cid:durableId="279649100">
    <w:abstractNumId w:val="36"/>
  </w:num>
  <w:num w:numId="41" w16cid:durableId="996302072">
    <w:abstractNumId w:val="19"/>
  </w:num>
  <w:num w:numId="42" w16cid:durableId="1260136667">
    <w:abstractNumId w:val="55"/>
  </w:num>
  <w:num w:numId="43" w16cid:durableId="148327525">
    <w:abstractNumId w:val="6"/>
  </w:num>
  <w:num w:numId="44" w16cid:durableId="729154145">
    <w:abstractNumId w:val="45"/>
  </w:num>
  <w:num w:numId="45" w16cid:durableId="1000699605">
    <w:abstractNumId w:val="35"/>
  </w:num>
  <w:num w:numId="46" w16cid:durableId="476845600">
    <w:abstractNumId w:val="28"/>
  </w:num>
  <w:num w:numId="47" w16cid:durableId="557479803">
    <w:abstractNumId w:val="46"/>
    <w:lvlOverride w:ilvl="0">
      <w:startOverride w:val="5"/>
    </w:lvlOverride>
    <w:lvlOverride w:ilvl="1">
      <w:startOverride w:val="1"/>
    </w:lvlOverride>
  </w:num>
  <w:num w:numId="48" w16cid:durableId="685408021">
    <w:abstractNumId w:val="42"/>
  </w:num>
  <w:num w:numId="49" w16cid:durableId="198277140">
    <w:abstractNumId w:val="57"/>
  </w:num>
  <w:num w:numId="50" w16cid:durableId="844442471">
    <w:abstractNumId w:val="9"/>
  </w:num>
  <w:num w:numId="51" w16cid:durableId="2127502836">
    <w:abstractNumId w:val="13"/>
  </w:num>
  <w:num w:numId="52" w16cid:durableId="452482287">
    <w:abstractNumId w:val="10"/>
  </w:num>
  <w:num w:numId="53" w16cid:durableId="19819619">
    <w:abstractNumId w:val="11"/>
  </w:num>
  <w:num w:numId="54" w16cid:durableId="14333594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537086638">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564879180">
    <w:abstractNumId w:val="66"/>
  </w:num>
  <w:num w:numId="57" w16cid:durableId="2044938225">
    <w:abstractNumId w:val="56"/>
  </w:num>
  <w:num w:numId="58" w16cid:durableId="328288299">
    <w:abstractNumId w:val="74"/>
  </w:num>
  <w:num w:numId="59" w16cid:durableId="66071372">
    <w:abstractNumId w:val="1"/>
  </w:num>
  <w:num w:numId="60" w16cid:durableId="746414835">
    <w:abstractNumId w:val="53"/>
  </w:num>
  <w:num w:numId="61" w16cid:durableId="201791282">
    <w:abstractNumId w:val="30"/>
  </w:num>
  <w:num w:numId="62" w16cid:durableId="611473086">
    <w:abstractNumId w:val="43"/>
  </w:num>
  <w:num w:numId="63" w16cid:durableId="1908413082">
    <w:abstractNumId w:val="0"/>
  </w:num>
  <w:num w:numId="64" w16cid:durableId="1763524334">
    <w:abstractNumId w:val="72"/>
  </w:num>
  <w:num w:numId="65" w16cid:durableId="1092320623">
    <w:abstractNumId w:val="32"/>
  </w:num>
  <w:num w:numId="66" w16cid:durableId="49157623">
    <w:abstractNumId w:val="20"/>
  </w:num>
  <w:num w:numId="67" w16cid:durableId="715206645">
    <w:abstractNumId w:val="16"/>
  </w:num>
  <w:num w:numId="68" w16cid:durableId="1799255599">
    <w:abstractNumId w:val="64"/>
  </w:num>
  <w:num w:numId="69" w16cid:durableId="2095740816">
    <w:abstractNumId w:val="70"/>
  </w:num>
  <w:num w:numId="70" w16cid:durableId="1783768917">
    <w:abstractNumId w:val="8"/>
  </w:num>
  <w:num w:numId="71" w16cid:durableId="116910088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13912342">
    <w:abstractNumId w:val="14"/>
  </w:num>
  <w:num w:numId="73" w16cid:durableId="1363021779">
    <w:abstractNumId w:val="4"/>
  </w:num>
  <w:num w:numId="74" w16cid:durableId="1624773150">
    <w:abstractNumId w:val="59"/>
  </w:num>
  <w:num w:numId="75" w16cid:durableId="1306814215">
    <w:abstractNumId w:val="59"/>
  </w:num>
  <w:num w:numId="76" w16cid:durableId="962269548">
    <w:abstractNumId w:val="59"/>
  </w:num>
  <w:num w:numId="77" w16cid:durableId="1653873457">
    <w:abstractNumId w:val="65"/>
  </w:num>
  <w:num w:numId="78" w16cid:durableId="656106906">
    <w:abstractNumId w:val="7"/>
  </w:num>
  <w:num w:numId="79" w16cid:durableId="715741171">
    <w:abstractNumId w:val="25"/>
  </w:num>
  <w:num w:numId="80" w16cid:durableId="667943417">
    <w:abstractNumId w:val="76"/>
  </w:num>
  <w:num w:numId="81" w16cid:durableId="608392948">
    <w:abstractNumId w:val="33"/>
  </w:num>
  <w:num w:numId="82" w16cid:durableId="1937056710">
    <w:abstractNumId w:val="60"/>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0D4"/>
    <w:rsid w:val="00000CD0"/>
    <w:rsid w:val="00000FF9"/>
    <w:rsid w:val="000019B9"/>
    <w:rsid w:val="00001B60"/>
    <w:rsid w:val="00001DCE"/>
    <w:rsid w:val="00001E17"/>
    <w:rsid w:val="000020C3"/>
    <w:rsid w:val="00002146"/>
    <w:rsid w:val="00003B0F"/>
    <w:rsid w:val="00004B9B"/>
    <w:rsid w:val="00004BE0"/>
    <w:rsid w:val="00004E10"/>
    <w:rsid w:val="0000526B"/>
    <w:rsid w:val="00005C79"/>
    <w:rsid w:val="00006001"/>
    <w:rsid w:val="000064E2"/>
    <w:rsid w:val="00006840"/>
    <w:rsid w:val="000073ED"/>
    <w:rsid w:val="0000762D"/>
    <w:rsid w:val="00007B15"/>
    <w:rsid w:val="00010452"/>
    <w:rsid w:val="0001059E"/>
    <w:rsid w:val="00010F0F"/>
    <w:rsid w:val="00012CD0"/>
    <w:rsid w:val="00013635"/>
    <w:rsid w:val="000144C8"/>
    <w:rsid w:val="00014BBA"/>
    <w:rsid w:val="00014CAA"/>
    <w:rsid w:val="00016F90"/>
    <w:rsid w:val="0001730F"/>
    <w:rsid w:val="00017855"/>
    <w:rsid w:val="000217E1"/>
    <w:rsid w:val="00022B6B"/>
    <w:rsid w:val="00023173"/>
    <w:rsid w:val="000233C3"/>
    <w:rsid w:val="0002491A"/>
    <w:rsid w:val="00024D5A"/>
    <w:rsid w:val="000269D0"/>
    <w:rsid w:val="00027624"/>
    <w:rsid w:val="00027C00"/>
    <w:rsid w:val="0003166D"/>
    <w:rsid w:val="00031D5E"/>
    <w:rsid w:val="000349DD"/>
    <w:rsid w:val="00034E0B"/>
    <w:rsid w:val="0003506B"/>
    <w:rsid w:val="0003627C"/>
    <w:rsid w:val="000369E3"/>
    <w:rsid w:val="00037931"/>
    <w:rsid w:val="00037D87"/>
    <w:rsid w:val="00040696"/>
    <w:rsid w:val="000416EF"/>
    <w:rsid w:val="00041F73"/>
    <w:rsid w:val="00042F4D"/>
    <w:rsid w:val="000440E6"/>
    <w:rsid w:val="00044996"/>
    <w:rsid w:val="00045171"/>
    <w:rsid w:val="0004666D"/>
    <w:rsid w:val="00047838"/>
    <w:rsid w:val="00047902"/>
    <w:rsid w:val="0005005C"/>
    <w:rsid w:val="00050520"/>
    <w:rsid w:val="000506BC"/>
    <w:rsid w:val="000512C7"/>
    <w:rsid w:val="00052636"/>
    <w:rsid w:val="0005273E"/>
    <w:rsid w:val="00053BAB"/>
    <w:rsid w:val="00053D85"/>
    <w:rsid w:val="00053D94"/>
    <w:rsid w:val="0005412A"/>
    <w:rsid w:val="000542BD"/>
    <w:rsid w:val="00055B4B"/>
    <w:rsid w:val="00056823"/>
    <w:rsid w:val="000569ED"/>
    <w:rsid w:val="00056E7D"/>
    <w:rsid w:val="00057949"/>
    <w:rsid w:val="00057E55"/>
    <w:rsid w:val="000614E5"/>
    <w:rsid w:val="00061E84"/>
    <w:rsid w:val="00061F2C"/>
    <w:rsid w:val="0006236C"/>
    <w:rsid w:val="0006256D"/>
    <w:rsid w:val="000628A7"/>
    <w:rsid w:val="00062BB6"/>
    <w:rsid w:val="000649B4"/>
    <w:rsid w:val="00065BA5"/>
    <w:rsid w:val="00065D5A"/>
    <w:rsid w:val="0006637F"/>
    <w:rsid w:val="00067337"/>
    <w:rsid w:val="0007011B"/>
    <w:rsid w:val="00071028"/>
    <w:rsid w:val="00071466"/>
    <w:rsid w:val="0007233E"/>
    <w:rsid w:val="00073A89"/>
    <w:rsid w:val="00074857"/>
    <w:rsid w:val="00075857"/>
    <w:rsid w:val="00075FBA"/>
    <w:rsid w:val="000766F6"/>
    <w:rsid w:val="00076A63"/>
    <w:rsid w:val="00076E5C"/>
    <w:rsid w:val="00076F23"/>
    <w:rsid w:val="00080C76"/>
    <w:rsid w:val="00081E7F"/>
    <w:rsid w:val="00082516"/>
    <w:rsid w:val="0008382B"/>
    <w:rsid w:val="000841D9"/>
    <w:rsid w:val="00084F7A"/>
    <w:rsid w:val="00086075"/>
    <w:rsid w:val="000862BE"/>
    <w:rsid w:val="00087054"/>
    <w:rsid w:val="0008759D"/>
    <w:rsid w:val="00090E83"/>
    <w:rsid w:val="00090F61"/>
    <w:rsid w:val="00091074"/>
    <w:rsid w:val="00091298"/>
    <w:rsid w:val="00091638"/>
    <w:rsid w:val="00092856"/>
    <w:rsid w:val="00092FF0"/>
    <w:rsid w:val="00093312"/>
    <w:rsid w:val="00093B74"/>
    <w:rsid w:val="0009435F"/>
    <w:rsid w:val="0009456B"/>
    <w:rsid w:val="0009496B"/>
    <w:rsid w:val="00094CB7"/>
    <w:rsid w:val="00095A49"/>
    <w:rsid w:val="00096490"/>
    <w:rsid w:val="0009662C"/>
    <w:rsid w:val="00096FC7"/>
    <w:rsid w:val="00097221"/>
    <w:rsid w:val="00097B45"/>
    <w:rsid w:val="000A0664"/>
    <w:rsid w:val="000A12B0"/>
    <w:rsid w:val="000A1B79"/>
    <w:rsid w:val="000A2982"/>
    <w:rsid w:val="000A345B"/>
    <w:rsid w:val="000A34E3"/>
    <w:rsid w:val="000A35C8"/>
    <w:rsid w:val="000A448E"/>
    <w:rsid w:val="000A4750"/>
    <w:rsid w:val="000A5064"/>
    <w:rsid w:val="000A510A"/>
    <w:rsid w:val="000A5B59"/>
    <w:rsid w:val="000A5C1C"/>
    <w:rsid w:val="000A5CB4"/>
    <w:rsid w:val="000A7BA0"/>
    <w:rsid w:val="000A7DEE"/>
    <w:rsid w:val="000B0A85"/>
    <w:rsid w:val="000B14C3"/>
    <w:rsid w:val="000B16BD"/>
    <w:rsid w:val="000B1D07"/>
    <w:rsid w:val="000B1F29"/>
    <w:rsid w:val="000B273B"/>
    <w:rsid w:val="000B295A"/>
    <w:rsid w:val="000B2A64"/>
    <w:rsid w:val="000B2DA6"/>
    <w:rsid w:val="000B44C9"/>
    <w:rsid w:val="000B5B30"/>
    <w:rsid w:val="000B72B1"/>
    <w:rsid w:val="000C042E"/>
    <w:rsid w:val="000C0A87"/>
    <w:rsid w:val="000C1195"/>
    <w:rsid w:val="000C208B"/>
    <w:rsid w:val="000C2523"/>
    <w:rsid w:val="000C36F1"/>
    <w:rsid w:val="000C4321"/>
    <w:rsid w:val="000C4F46"/>
    <w:rsid w:val="000C523C"/>
    <w:rsid w:val="000C5301"/>
    <w:rsid w:val="000C5529"/>
    <w:rsid w:val="000C5C44"/>
    <w:rsid w:val="000C617A"/>
    <w:rsid w:val="000C6424"/>
    <w:rsid w:val="000C64A0"/>
    <w:rsid w:val="000D1153"/>
    <w:rsid w:val="000D13C1"/>
    <w:rsid w:val="000D1813"/>
    <w:rsid w:val="000D1CBC"/>
    <w:rsid w:val="000D2604"/>
    <w:rsid w:val="000D2FF9"/>
    <w:rsid w:val="000D330A"/>
    <w:rsid w:val="000D40C1"/>
    <w:rsid w:val="000D42EF"/>
    <w:rsid w:val="000D4A05"/>
    <w:rsid w:val="000D4BA5"/>
    <w:rsid w:val="000D4C1D"/>
    <w:rsid w:val="000D4D8F"/>
    <w:rsid w:val="000D516A"/>
    <w:rsid w:val="000D6900"/>
    <w:rsid w:val="000D6979"/>
    <w:rsid w:val="000D6EEB"/>
    <w:rsid w:val="000D733E"/>
    <w:rsid w:val="000D7350"/>
    <w:rsid w:val="000E0908"/>
    <w:rsid w:val="000E0B8F"/>
    <w:rsid w:val="000E0D02"/>
    <w:rsid w:val="000E147C"/>
    <w:rsid w:val="000E175D"/>
    <w:rsid w:val="000E2322"/>
    <w:rsid w:val="000E259F"/>
    <w:rsid w:val="000E3AAB"/>
    <w:rsid w:val="000E42F0"/>
    <w:rsid w:val="000E686C"/>
    <w:rsid w:val="000E6BDB"/>
    <w:rsid w:val="000E6F53"/>
    <w:rsid w:val="000E7374"/>
    <w:rsid w:val="000E76D0"/>
    <w:rsid w:val="000E7A25"/>
    <w:rsid w:val="000F017A"/>
    <w:rsid w:val="000F05E9"/>
    <w:rsid w:val="000F06F1"/>
    <w:rsid w:val="000F1900"/>
    <w:rsid w:val="000F191B"/>
    <w:rsid w:val="000F30E2"/>
    <w:rsid w:val="000F3EAB"/>
    <w:rsid w:val="000F4025"/>
    <w:rsid w:val="000F4257"/>
    <w:rsid w:val="000F4CDB"/>
    <w:rsid w:val="000F5B32"/>
    <w:rsid w:val="00100E32"/>
    <w:rsid w:val="0010130A"/>
    <w:rsid w:val="001031A1"/>
    <w:rsid w:val="00103601"/>
    <w:rsid w:val="0010374C"/>
    <w:rsid w:val="0010395F"/>
    <w:rsid w:val="00103EAC"/>
    <w:rsid w:val="00103FB7"/>
    <w:rsid w:val="00104312"/>
    <w:rsid w:val="00104DA4"/>
    <w:rsid w:val="001067D7"/>
    <w:rsid w:val="00107068"/>
    <w:rsid w:val="001077D8"/>
    <w:rsid w:val="00107AD5"/>
    <w:rsid w:val="0011051A"/>
    <w:rsid w:val="00110A70"/>
    <w:rsid w:val="00110ACA"/>
    <w:rsid w:val="00111078"/>
    <w:rsid w:val="00111A0E"/>
    <w:rsid w:val="00111DAC"/>
    <w:rsid w:val="00112A40"/>
    <w:rsid w:val="0011310E"/>
    <w:rsid w:val="00113941"/>
    <w:rsid w:val="00113DF2"/>
    <w:rsid w:val="00114FBE"/>
    <w:rsid w:val="001153B1"/>
    <w:rsid w:val="00115420"/>
    <w:rsid w:val="00115E9D"/>
    <w:rsid w:val="0011651C"/>
    <w:rsid w:val="00117842"/>
    <w:rsid w:val="0012028D"/>
    <w:rsid w:val="001203C0"/>
    <w:rsid w:val="001225E2"/>
    <w:rsid w:val="001233E7"/>
    <w:rsid w:val="00123EB4"/>
    <w:rsid w:val="00125C83"/>
    <w:rsid w:val="001267F9"/>
    <w:rsid w:val="00127254"/>
    <w:rsid w:val="00127CDF"/>
    <w:rsid w:val="00130452"/>
    <w:rsid w:val="001306BF"/>
    <w:rsid w:val="00131258"/>
    <w:rsid w:val="00131467"/>
    <w:rsid w:val="00131D01"/>
    <w:rsid w:val="00131DCC"/>
    <w:rsid w:val="0013291A"/>
    <w:rsid w:val="00132F9C"/>
    <w:rsid w:val="001348E7"/>
    <w:rsid w:val="00135B08"/>
    <w:rsid w:val="00136B52"/>
    <w:rsid w:val="001378C6"/>
    <w:rsid w:val="001379C9"/>
    <w:rsid w:val="00137C4D"/>
    <w:rsid w:val="00137C8C"/>
    <w:rsid w:val="00140D30"/>
    <w:rsid w:val="00142A5A"/>
    <w:rsid w:val="00143C23"/>
    <w:rsid w:val="00144843"/>
    <w:rsid w:val="0014638A"/>
    <w:rsid w:val="001470D4"/>
    <w:rsid w:val="001475A7"/>
    <w:rsid w:val="0014761C"/>
    <w:rsid w:val="00147D6B"/>
    <w:rsid w:val="0015000A"/>
    <w:rsid w:val="0015028E"/>
    <w:rsid w:val="001504B0"/>
    <w:rsid w:val="00151DE0"/>
    <w:rsid w:val="00151EA5"/>
    <w:rsid w:val="001527F3"/>
    <w:rsid w:val="00152A09"/>
    <w:rsid w:val="00153448"/>
    <w:rsid w:val="00153957"/>
    <w:rsid w:val="00153B10"/>
    <w:rsid w:val="00153DCC"/>
    <w:rsid w:val="00156A9A"/>
    <w:rsid w:val="00157462"/>
    <w:rsid w:val="0016014F"/>
    <w:rsid w:val="001609CE"/>
    <w:rsid w:val="00160FC0"/>
    <w:rsid w:val="00161897"/>
    <w:rsid w:val="00162244"/>
    <w:rsid w:val="00162D81"/>
    <w:rsid w:val="00162EE5"/>
    <w:rsid w:val="0016396C"/>
    <w:rsid w:val="00163B5D"/>
    <w:rsid w:val="001647FB"/>
    <w:rsid w:val="001655A8"/>
    <w:rsid w:val="00165729"/>
    <w:rsid w:val="00165D0A"/>
    <w:rsid w:val="00165F3E"/>
    <w:rsid w:val="00166A8B"/>
    <w:rsid w:val="00166C58"/>
    <w:rsid w:val="00167078"/>
    <w:rsid w:val="001670A2"/>
    <w:rsid w:val="00167C9A"/>
    <w:rsid w:val="00170EF6"/>
    <w:rsid w:val="00172D53"/>
    <w:rsid w:val="00173409"/>
    <w:rsid w:val="00174308"/>
    <w:rsid w:val="00175799"/>
    <w:rsid w:val="00176237"/>
    <w:rsid w:val="0017669A"/>
    <w:rsid w:val="00177470"/>
    <w:rsid w:val="00177794"/>
    <w:rsid w:val="00180669"/>
    <w:rsid w:val="0018130C"/>
    <w:rsid w:val="00182008"/>
    <w:rsid w:val="00184E1D"/>
    <w:rsid w:val="00185122"/>
    <w:rsid w:val="0018565B"/>
    <w:rsid w:val="00185A20"/>
    <w:rsid w:val="00186B61"/>
    <w:rsid w:val="00186EF1"/>
    <w:rsid w:val="001903E9"/>
    <w:rsid w:val="00190415"/>
    <w:rsid w:val="00190789"/>
    <w:rsid w:val="0019146C"/>
    <w:rsid w:val="0019287B"/>
    <w:rsid w:val="0019315D"/>
    <w:rsid w:val="001939C8"/>
    <w:rsid w:val="00193B8A"/>
    <w:rsid w:val="00193D19"/>
    <w:rsid w:val="00194042"/>
    <w:rsid w:val="00194833"/>
    <w:rsid w:val="001948D3"/>
    <w:rsid w:val="001951D7"/>
    <w:rsid w:val="001967C1"/>
    <w:rsid w:val="001968C8"/>
    <w:rsid w:val="0019743A"/>
    <w:rsid w:val="00197ADA"/>
    <w:rsid w:val="001A02F3"/>
    <w:rsid w:val="001A1BAA"/>
    <w:rsid w:val="001A1CFD"/>
    <w:rsid w:val="001A245F"/>
    <w:rsid w:val="001A2C54"/>
    <w:rsid w:val="001A3AA3"/>
    <w:rsid w:val="001A4A44"/>
    <w:rsid w:val="001A4BC5"/>
    <w:rsid w:val="001A4DA3"/>
    <w:rsid w:val="001A4EA6"/>
    <w:rsid w:val="001A5AF9"/>
    <w:rsid w:val="001A5EFC"/>
    <w:rsid w:val="001A6220"/>
    <w:rsid w:val="001A7736"/>
    <w:rsid w:val="001A79EC"/>
    <w:rsid w:val="001B013E"/>
    <w:rsid w:val="001B1144"/>
    <w:rsid w:val="001B1183"/>
    <w:rsid w:val="001B1588"/>
    <w:rsid w:val="001B1F1F"/>
    <w:rsid w:val="001B1F25"/>
    <w:rsid w:val="001B23C2"/>
    <w:rsid w:val="001B2896"/>
    <w:rsid w:val="001B2A8C"/>
    <w:rsid w:val="001B2E58"/>
    <w:rsid w:val="001B2F5C"/>
    <w:rsid w:val="001B4D55"/>
    <w:rsid w:val="001B4DA1"/>
    <w:rsid w:val="001B55E8"/>
    <w:rsid w:val="001B57C6"/>
    <w:rsid w:val="001B5D14"/>
    <w:rsid w:val="001B61FD"/>
    <w:rsid w:val="001B648B"/>
    <w:rsid w:val="001B7B3E"/>
    <w:rsid w:val="001C0180"/>
    <w:rsid w:val="001C1212"/>
    <w:rsid w:val="001C1C16"/>
    <w:rsid w:val="001C200B"/>
    <w:rsid w:val="001C3214"/>
    <w:rsid w:val="001C35E7"/>
    <w:rsid w:val="001C3740"/>
    <w:rsid w:val="001C3C24"/>
    <w:rsid w:val="001C3DA6"/>
    <w:rsid w:val="001C4823"/>
    <w:rsid w:val="001C4D2E"/>
    <w:rsid w:val="001C515C"/>
    <w:rsid w:val="001C5A0B"/>
    <w:rsid w:val="001C5A7D"/>
    <w:rsid w:val="001C5BCA"/>
    <w:rsid w:val="001C6075"/>
    <w:rsid w:val="001C697C"/>
    <w:rsid w:val="001C6EE1"/>
    <w:rsid w:val="001C78CE"/>
    <w:rsid w:val="001C7A67"/>
    <w:rsid w:val="001C7AF7"/>
    <w:rsid w:val="001C7CAE"/>
    <w:rsid w:val="001C7E0A"/>
    <w:rsid w:val="001D01FB"/>
    <w:rsid w:val="001D0E1F"/>
    <w:rsid w:val="001D1AE3"/>
    <w:rsid w:val="001D25C5"/>
    <w:rsid w:val="001D3E52"/>
    <w:rsid w:val="001D7239"/>
    <w:rsid w:val="001D7827"/>
    <w:rsid w:val="001D7EB4"/>
    <w:rsid w:val="001E05EC"/>
    <w:rsid w:val="001E05F8"/>
    <w:rsid w:val="001E1C54"/>
    <w:rsid w:val="001E2012"/>
    <w:rsid w:val="001E2926"/>
    <w:rsid w:val="001E3187"/>
    <w:rsid w:val="001E529C"/>
    <w:rsid w:val="001E6B1D"/>
    <w:rsid w:val="001F00AE"/>
    <w:rsid w:val="001F0C22"/>
    <w:rsid w:val="001F10A6"/>
    <w:rsid w:val="001F2178"/>
    <w:rsid w:val="001F2281"/>
    <w:rsid w:val="001F43DB"/>
    <w:rsid w:val="001F4868"/>
    <w:rsid w:val="001F56DA"/>
    <w:rsid w:val="001F5DE0"/>
    <w:rsid w:val="001F636C"/>
    <w:rsid w:val="001F7216"/>
    <w:rsid w:val="001F7DD9"/>
    <w:rsid w:val="0020124B"/>
    <w:rsid w:val="00201736"/>
    <w:rsid w:val="002019BE"/>
    <w:rsid w:val="002021C6"/>
    <w:rsid w:val="002038A2"/>
    <w:rsid w:val="00206508"/>
    <w:rsid w:val="002078FB"/>
    <w:rsid w:val="00207A04"/>
    <w:rsid w:val="00207D51"/>
    <w:rsid w:val="00207FDB"/>
    <w:rsid w:val="0021040F"/>
    <w:rsid w:val="00212696"/>
    <w:rsid w:val="002149E3"/>
    <w:rsid w:val="00214D85"/>
    <w:rsid w:val="002153DA"/>
    <w:rsid w:val="002162E3"/>
    <w:rsid w:val="00216865"/>
    <w:rsid w:val="00216ABE"/>
    <w:rsid w:val="00217472"/>
    <w:rsid w:val="00220E83"/>
    <w:rsid w:val="00221554"/>
    <w:rsid w:val="0022559C"/>
    <w:rsid w:val="00225736"/>
    <w:rsid w:val="002261C8"/>
    <w:rsid w:val="00226276"/>
    <w:rsid w:val="002269B9"/>
    <w:rsid w:val="00226F29"/>
    <w:rsid w:val="00227BDA"/>
    <w:rsid w:val="00227EFB"/>
    <w:rsid w:val="002301AA"/>
    <w:rsid w:val="002307D5"/>
    <w:rsid w:val="00231504"/>
    <w:rsid w:val="00232D73"/>
    <w:rsid w:val="0023327C"/>
    <w:rsid w:val="0023382C"/>
    <w:rsid w:val="0023405F"/>
    <w:rsid w:val="00234EF5"/>
    <w:rsid w:val="002354AD"/>
    <w:rsid w:val="0023563C"/>
    <w:rsid w:val="00235ABC"/>
    <w:rsid w:val="00236FE5"/>
    <w:rsid w:val="002371AA"/>
    <w:rsid w:val="00237D41"/>
    <w:rsid w:val="00237DE8"/>
    <w:rsid w:val="002408FF"/>
    <w:rsid w:val="002409A0"/>
    <w:rsid w:val="00240C1E"/>
    <w:rsid w:val="002413A4"/>
    <w:rsid w:val="00242553"/>
    <w:rsid w:val="00242933"/>
    <w:rsid w:val="00242EC6"/>
    <w:rsid w:val="00244AA4"/>
    <w:rsid w:val="00244BAB"/>
    <w:rsid w:val="00245AFD"/>
    <w:rsid w:val="00245D11"/>
    <w:rsid w:val="00245E93"/>
    <w:rsid w:val="0024624B"/>
    <w:rsid w:val="00246C82"/>
    <w:rsid w:val="00250058"/>
    <w:rsid w:val="002507E8"/>
    <w:rsid w:val="00251DCA"/>
    <w:rsid w:val="00251E5D"/>
    <w:rsid w:val="002523C5"/>
    <w:rsid w:val="0025471C"/>
    <w:rsid w:val="00254C30"/>
    <w:rsid w:val="0025551A"/>
    <w:rsid w:val="00256096"/>
    <w:rsid w:val="002562EC"/>
    <w:rsid w:val="00256AC6"/>
    <w:rsid w:val="00257044"/>
    <w:rsid w:val="00257F92"/>
    <w:rsid w:val="0026058A"/>
    <w:rsid w:val="002606C5"/>
    <w:rsid w:val="002609FC"/>
    <w:rsid w:val="00261ABF"/>
    <w:rsid w:val="00261EDD"/>
    <w:rsid w:val="002621D5"/>
    <w:rsid w:val="00262D1E"/>
    <w:rsid w:val="00263A6A"/>
    <w:rsid w:val="00264822"/>
    <w:rsid w:val="002652A1"/>
    <w:rsid w:val="00265FE8"/>
    <w:rsid w:val="00266BE5"/>
    <w:rsid w:val="00266C9F"/>
    <w:rsid w:val="00266CBB"/>
    <w:rsid w:val="00270B55"/>
    <w:rsid w:val="00271B5B"/>
    <w:rsid w:val="00273114"/>
    <w:rsid w:val="002738D0"/>
    <w:rsid w:val="002744EB"/>
    <w:rsid w:val="002747E7"/>
    <w:rsid w:val="0027515E"/>
    <w:rsid w:val="002761B2"/>
    <w:rsid w:val="00276931"/>
    <w:rsid w:val="0027768A"/>
    <w:rsid w:val="00277EC2"/>
    <w:rsid w:val="00280530"/>
    <w:rsid w:val="002806E7"/>
    <w:rsid w:val="00281345"/>
    <w:rsid w:val="00281377"/>
    <w:rsid w:val="002814C9"/>
    <w:rsid w:val="00281C93"/>
    <w:rsid w:val="00282488"/>
    <w:rsid w:val="00282B58"/>
    <w:rsid w:val="00283D6F"/>
    <w:rsid w:val="00283E97"/>
    <w:rsid w:val="0028476E"/>
    <w:rsid w:val="00285CAB"/>
    <w:rsid w:val="00285E32"/>
    <w:rsid w:val="00287903"/>
    <w:rsid w:val="00290186"/>
    <w:rsid w:val="00291059"/>
    <w:rsid w:val="0029169B"/>
    <w:rsid w:val="00292DA9"/>
    <w:rsid w:val="00292EB4"/>
    <w:rsid w:val="0029323D"/>
    <w:rsid w:val="0029476F"/>
    <w:rsid w:val="0029483B"/>
    <w:rsid w:val="00294DB9"/>
    <w:rsid w:val="00294F19"/>
    <w:rsid w:val="00294F30"/>
    <w:rsid w:val="00295A31"/>
    <w:rsid w:val="00295DED"/>
    <w:rsid w:val="002963AE"/>
    <w:rsid w:val="0029766C"/>
    <w:rsid w:val="00297B19"/>
    <w:rsid w:val="00297D13"/>
    <w:rsid w:val="002A0F88"/>
    <w:rsid w:val="002A1057"/>
    <w:rsid w:val="002A15BC"/>
    <w:rsid w:val="002A18B3"/>
    <w:rsid w:val="002A1EB8"/>
    <w:rsid w:val="002A26C4"/>
    <w:rsid w:val="002A2E0F"/>
    <w:rsid w:val="002A3185"/>
    <w:rsid w:val="002A3E19"/>
    <w:rsid w:val="002A43D6"/>
    <w:rsid w:val="002A6BA1"/>
    <w:rsid w:val="002A6D69"/>
    <w:rsid w:val="002A7FC5"/>
    <w:rsid w:val="002B0DF4"/>
    <w:rsid w:val="002B1540"/>
    <w:rsid w:val="002B1580"/>
    <w:rsid w:val="002B1F56"/>
    <w:rsid w:val="002B2C4D"/>
    <w:rsid w:val="002B37EB"/>
    <w:rsid w:val="002B427D"/>
    <w:rsid w:val="002B4A37"/>
    <w:rsid w:val="002B6940"/>
    <w:rsid w:val="002B6CDE"/>
    <w:rsid w:val="002B7227"/>
    <w:rsid w:val="002C03CC"/>
    <w:rsid w:val="002C08CA"/>
    <w:rsid w:val="002C0A62"/>
    <w:rsid w:val="002C0AF9"/>
    <w:rsid w:val="002C1855"/>
    <w:rsid w:val="002C1962"/>
    <w:rsid w:val="002C2005"/>
    <w:rsid w:val="002C2043"/>
    <w:rsid w:val="002C428D"/>
    <w:rsid w:val="002C431B"/>
    <w:rsid w:val="002C5CA9"/>
    <w:rsid w:val="002C6740"/>
    <w:rsid w:val="002C7621"/>
    <w:rsid w:val="002C7CAE"/>
    <w:rsid w:val="002C7E58"/>
    <w:rsid w:val="002C7FD7"/>
    <w:rsid w:val="002D0204"/>
    <w:rsid w:val="002D049C"/>
    <w:rsid w:val="002D06CD"/>
    <w:rsid w:val="002D173F"/>
    <w:rsid w:val="002D2123"/>
    <w:rsid w:val="002D3160"/>
    <w:rsid w:val="002D3343"/>
    <w:rsid w:val="002D4834"/>
    <w:rsid w:val="002D4888"/>
    <w:rsid w:val="002D4BCF"/>
    <w:rsid w:val="002D668F"/>
    <w:rsid w:val="002D69AA"/>
    <w:rsid w:val="002D6EFD"/>
    <w:rsid w:val="002D741F"/>
    <w:rsid w:val="002D772F"/>
    <w:rsid w:val="002D7AEA"/>
    <w:rsid w:val="002E05B1"/>
    <w:rsid w:val="002E0DDE"/>
    <w:rsid w:val="002E14FB"/>
    <w:rsid w:val="002E21D5"/>
    <w:rsid w:val="002E2A46"/>
    <w:rsid w:val="002E3AAA"/>
    <w:rsid w:val="002E4C2F"/>
    <w:rsid w:val="002E5A93"/>
    <w:rsid w:val="002E67DC"/>
    <w:rsid w:val="002E71FA"/>
    <w:rsid w:val="002E74F2"/>
    <w:rsid w:val="002F1D2D"/>
    <w:rsid w:val="002F26C1"/>
    <w:rsid w:val="002F3B32"/>
    <w:rsid w:val="002F3FCE"/>
    <w:rsid w:val="002F4291"/>
    <w:rsid w:val="002F4EE8"/>
    <w:rsid w:val="002F546D"/>
    <w:rsid w:val="002F55EC"/>
    <w:rsid w:val="002F68FE"/>
    <w:rsid w:val="002F7B84"/>
    <w:rsid w:val="00300195"/>
    <w:rsid w:val="00300521"/>
    <w:rsid w:val="00300A38"/>
    <w:rsid w:val="00300AA5"/>
    <w:rsid w:val="0030221C"/>
    <w:rsid w:val="003024AC"/>
    <w:rsid w:val="00303502"/>
    <w:rsid w:val="00303C0B"/>
    <w:rsid w:val="003046AB"/>
    <w:rsid w:val="0030696D"/>
    <w:rsid w:val="00307057"/>
    <w:rsid w:val="0030747B"/>
    <w:rsid w:val="003077BD"/>
    <w:rsid w:val="00307E82"/>
    <w:rsid w:val="0031044B"/>
    <w:rsid w:val="00310B8B"/>
    <w:rsid w:val="00310F1C"/>
    <w:rsid w:val="00311995"/>
    <w:rsid w:val="003119AD"/>
    <w:rsid w:val="003125AB"/>
    <w:rsid w:val="00312CD6"/>
    <w:rsid w:val="00313843"/>
    <w:rsid w:val="00315350"/>
    <w:rsid w:val="003157EA"/>
    <w:rsid w:val="003169C9"/>
    <w:rsid w:val="00317662"/>
    <w:rsid w:val="00317681"/>
    <w:rsid w:val="0032154C"/>
    <w:rsid w:val="00321921"/>
    <w:rsid w:val="00321EEF"/>
    <w:rsid w:val="003231CC"/>
    <w:rsid w:val="00323428"/>
    <w:rsid w:val="00325626"/>
    <w:rsid w:val="00325AC4"/>
    <w:rsid w:val="00325DCE"/>
    <w:rsid w:val="00325FDF"/>
    <w:rsid w:val="003263E2"/>
    <w:rsid w:val="00326600"/>
    <w:rsid w:val="0032795D"/>
    <w:rsid w:val="00327FED"/>
    <w:rsid w:val="0033019B"/>
    <w:rsid w:val="00330DD8"/>
    <w:rsid w:val="00331AAE"/>
    <w:rsid w:val="00332901"/>
    <w:rsid w:val="00332ED6"/>
    <w:rsid w:val="00333030"/>
    <w:rsid w:val="00333AE3"/>
    <w:rsid w:val="00333E20"/>
    <w:rsid w:val="0033444E"/>
    <w:rsid w:val="00334895"/>
    <w:rsid w:val="00335AE6"/>
    <w:rsid w:val="00336DD7"/>
    <w:rsid w:val="00336E57"/>
    <w:rsid w:val="0033729C"/>
    <w:rsid w:val="00337918"/>
    <w:rsid w:val="00337A74"/>
    <w:rsid w:val="00340403"/>
    <w:rsid w:val="00341202"/>
    <w:rsid w:val="0034188D"/>
    <w:rsid w:val="003424C8"/>
    <w:rsid w:val="00344376"/>
    <w:rsid w:val="003446BD"/>
    <w:rsid w:val="003446F3"/>
    <w:rsid w:val="00344B2B"/>
    <w:rsid w:val="00344F57"/>
    <w:rsid w:val="003450A9"/>
    <w:rsid w:val="0034510D"/>
    <w:rsid w:val="00345633"/>
    <w:rsid w:val="00345A88"/>
    <w:rsid w:val="00345E60"/>
    <w:rsid w:val="003463C5"/>
    <w:rsid w:val="003472E9"/>
    <w:rsid w:val="00351AE6"/>
    <w:rsid w:val="00351D9D"/>
    <w:rsid w:val="00352457"/>
    <w:rsid w:val="003537AB"/>
    <w:rsid w:val="0035398B"/>
    <w:rsid w:val="003551D4"/>
    <w:rsid w:val="00355330"/>
    <w:rsid w:val="00356A3F"/>
    <w:rsid w:val="0035798D"/>
    <w:rsid w:val="00357B03"/>
    <w:rsid w:val="003605F3"/>
    <w:rsid w:val="00361C5F"/>
    <w:rsid w:val="00361D72"/>
    <w:rsid w:val="00363509"/>
    <w:rsid w:val="00364280"/>
    <w:rsid w:val="003657FF"/>
    <w:rsid w:val="003662A1"/>
    <w:rsid w:val="00367048"/>
    <w:rsid w:val="00371EEE"/>
    <w:rsid w:val="00372B98"/>
    <w:rsid w:val="00373228"/>
    <w:rsid w:val="00373CBC"/>
    <w:rsid w:val="00374949"/>
    <w:rsid w:val="00374C44"/>
    <w:rsid w:val="00375B33"/>
    <w:rsid w:val="00377859"/>
    <w:rsid w:val="0037787A"/>
    <w:rsid w:val="003779BA"/>
    <w:rsid w:val="00380792"/>
    <w:rsid w:val="0038287A"/>
    <w:rsid w:val="00382D1D"/>
    <w:rsid w:val="00382EAE"/>
    <w:rsid w:val="00383831"/>
    <w:rsid w:val="003844DA"/>
    <w:rsid w:val="00384BDE"/>
    <w:rsid w:val="0038525A"/>
    <w:rsid w:val="003854F8"/>
    <w:rsid w:val="00386A8B"/>
    <w:rsid w:val="00386E5F"/>
    <w:rsid w:val="0038722C"/>
    <w:rsid w:val="00387D11"/>
    <w:rsid w:val="00390C36"/>
    <w:rsid w:val="003938F4"/>
    <w:rsid w:val="00393ADD"/>
    <w:rsid w:val="00394027"/>
    <w:rsid w:val="0039467A"/>
    <w:rsid w:val="00394FDB"/>
    <w:rsid w:val="00395F14"/>
    <w:rsid w:val="003975A1"/>
    <w:rsid w:val="00397738"/>
    <w:rsid w:val="0039780E"/>
    <w:rsid w:val="00397BBF"/>
    <w:rsid w:val="00397C60"/>
    <w:rsid w:val="003A01C1"/>
    <w:rsid w:val="003A0C10"/>
    <w:rsid w:val="003A1341"/>
    <w:rsid w:val="003A1B83"/>
    <w:rsid w:val="003A1DEB"/>
    <w:rsid w:val="003A317B"/>
    <w:rsid w:val="003A3D48"/>
    <w:rsid w:val="003A40FA"/>
    <w:rsid w:val="003A4293"/>
    <w:rsid w:val="003A45AD"/>
    <w:rsid w:val="003A492D"/>
    <w:rsid w:val="003A5D52"/>
    <w:rsid w:val="003A6135"/>
    <w:rsid w:val="003A640C"/>
    <w:rsid w:val="003A67D8"/>
    <w:rsid w:val="003A6E8F"/>
    <w:rsid w:val="003A7138"/>
    <w:rsid w:val="003A73FE"/>
    <w:rsid w:val="003A7F0D"/>
    <w:rsid w:val="003B1DCE"/>
    <w:rsid w:val="003B28DA"/>
    <w:rsid w:val="003B3850"/>
    <w:rsid w:val="003B4B84"/>
    <w:rsid w:val="003B56E3"/>
    <w:rsid w:val="003B5D3F"/>
    <w:rsid w:val="003B604A"/>
    <w:rsid w:val="003B6666"/>
    <w:rsid w:val="003B78BB"/>
    <w:rsid w:val="003B7FFC"/>
    <w:rsid w:val="003C063D"/>
    <w:rsid w:val="003C2128"/>
    <w:rsid w:val="003C21DC"/>
    <w:rsid w:val="003C2667"/>
    <w:rsid w:val="003C26EB"/>
    <w:rsid w:val="003C35CB"/>
    <w:rsid w:val="003C3E91"/>
    <w:rsid w:val="003C3F29"/>
    <w:rsid w:val="003C4F51"/>
    <w:rsid w:val="003C5BA0"/>
    <w:rsid w:val="003C5D77"/>
    <w:rsid w:val="003C6866"/>
    <w:rsid w:val="003C70F0"/>
    <w:rsid w:val="003C7878"/>
    <w:rsid w:val="003C7BC1"/>
    <w:rsid w:val="003C7C88"/>
    <w:rsid w:val="003C7F6D"/>
    <w:rsid w:val="003D0373"/>
    <w:rsid w:val="003D1A97"/>
    <w:rsid w:val="003D2745"/>
    <w:rsid w:val="003D3349"/>
    <w:rsid w:val="003D40B1"/>
    <w:rsid w:val="003D445E"/>
    <w:rsid w:val="003D44C8"/>
    <w:rsid w:val="003D54D7"/>
    <w:rsid w:val="003D55AC"/>
    <w:rsid w:val="003D660A"/>
    <w:rsid w:val="003E0393"/>
    <w:rsid w:val="003E0EBF"/>
    <w:rsid w:val="003E14D3"/>
    <w:rsid w:val="003E1BDE"/>
    <w:rsid w:val="003E2556"/>
    <w:rsid w:val="003E27D3"/>
    <w:rsid w:val="003E39C6"/>
    <w:rsid w:val="003E3C99"/>
    <w:rsid w:val="003E3CF9"/>
    <w:rsid w:val="003E4233"/>
    <w:rsid w:val="003E4275"/>
    <w:rsid w:val="003E4A60"/>
    <w:rsid w:val="003E4CE5"/>
    <w:rsid w:val="003E50E7"/>
    <w:rsid w:val="003E59E1"/>
    <w:rsid w:val="003E5E67"/>
    <w:rsid w:val="003E7612"/>
    <w:rsid w:val="003F02F8"/>
    <w:rsid w:val="003F07EF"/>
    <w:rsid w:val="003F14CE"/>
    <w:rsid w:val="003F1922"/>
    <w:rsid w:val="003F1FBA"/>
    <w:rsid w:val="003F3678"/>
    <w:rsid w:val="003F3771"/>
    <w:rsid w:val="003F6107"/>
    <w:rsid w:val="003F6B89"/>
    <w:rsid w:val="003F6C31"/>
    <w:rsid w:val="00400486"/>
    <w:rsid w:val="00402185"/>
    <w:rsid w:val="004026E7"/>
    <w:rsid w:val="00402BF6"/>
    <w:rsid w:val="00403B4D"/>
    <w:rsid w:val="00403DF8"/>
    <w:rsid w:val="00403FC5"/>
    <w:rsid w:val="004050F3"/>
    <w:rsid w:val="00405123"/>
    <w:rsid w:val="0040518E"/>
    <w:rsid w:val="00405696"/>
    <w:rsid w:val="004058CA"/>
    <w:rsid w:val="00406851"/>
    <w:rsid w:val="00410325"/>
    <w:rsid w:val="00411458"/>
    <w:rsid w:val="004126A1"/>
    <w:rsid w:val="00412BB8"/>
    <w:rsid w:val="00413594"/>
    <w:rsid w:val="004135FE"/>
    <w:rsid w:val="004139DE"/>
    <w:rsid w:val="004151AE"/>
    <w:rsid w:val="0041584B"/>
    <w:rsid w:val="00415A19"/>
    <w:rsid w:val="004168C5"/>
    <w:rsid w:val="00416EE2"/>
    <w:rsid w:val="0041709E"/>
    <w:rsid w:val="004179C9"/>
    <w:rsid w:val="004206EE"/>
    <w:rsid w:val="00420AFA"/>
    <w:rsid w:val="00420E58"/>
    <w:rsid w:val="00421084"/>
    <w:rsid w:val="00421131"/>
    <w:rsid w:val="00422C7B"/>
    <w:rsid w:val="00423703"/>
    <w:rsid w:val="004239EB"/>
    <w:rsid w:val="00423F8F"/>
    <w:rsid w:val="0042450D"/>
    <w:rsid w:val="004266CA"/>
    <w:rsid w:val="004276B3"/>
    <w:rsid w:val="004310CD"/>
    <w:rsid w:val="00431D08"/>
    <w:rsid w:val="00431EE9"/>
    <w:rsid w:val="00432618"/>
    <w:rsid w:val="00432B4B"/>
    <w:rsid w:val="004335FE"/>
    <w:rsid w:val="00433AAA"/>
    <w:rsid w:val="004341F2"/>
    <w:rsid w:val="00434248"/>
    <w:rsid w:val="004347D0"/>
    <w:rsid w:val="00436B46"/>
    <w:rsid w:val="00436E0A"/>
    <w:rsid w:val="0043761D"/>
    <w:rsid w:val="004416E3"/>
    <w:rsid w:val="00441D3F"/>
    <w:rsid w:val="00443092"/>
    <w:rsid w:val="00443587"/>
    <w:rsid w:val="004449CF"/>
    <w:rsid w:val="0044529E"/>
    <w:rsid w:val="0044675D"/>
    <w:rsid w:val="00446940"/>
    <w:rsid w:val="00447D58"/>
    <w:rsid w:val="00447E6E"/>
    <w:rsid w:val="004519E8"/>
    <w:rsid w:val="00453192"/>
    <w:rsid w:val="00453D4C"/>
    <w:rsid w:val="004542E1"/>
    <w:rsid w:val="00454349"/>
    <w:rsid w:val="004548F0"/>
    <w:rsid w:val="00454EA7"/>
    <w:rsid w:val="00454F1E"/>
    <w:rsid w:val="004551B9"/>
    <w:rsid w:val="004555AD"/>
    <w:rsid w:val="00455ADB"/>
    <w:rsid w:val="00456029"/>
    <w:rsid w:val="0045602A"/>
    <w:rsid w:val="00456C51"/>
    <w:rsid w:val="004612B7"/>
    <w:rsid w:val="004613A1"/>
    <w:rsid w:val="004616EC"/>
    <w:rsid w:val="004622F5"/>
    <w:rsid w:val="004628E4"/>
    <w:rsid w:val="0046293F"/>
    <w:rsid w:val="00462CD6"/>
    <w:rsid w:val="004646FB"/>
    <w:rsid w:val="0046567D"/>
    <w:rsid w:val="00465DFC"/>
    <w:rsid w:val="0046601B"/>
    <w:rsid w:val="004662C3"/>
    <w:rsid w:val="004663D6"/>
    <w:rsid w:val="00467710"/>
    <w:rsid w:val="00467D24"/>
    <w:rsid w:val="00470163"/>
    <w:rsid w:val="0047066B"/>
    <w:rsid w:val="004707AA"/>
    <w:rsid w:val="00471017"/>
    <w:rsid w:val="0047154B"/>
    <w:rsid w:val="00472181"/>
    <w:rsid w:val="00472847"/>
    <w:rsid w:val="00472E1F"/>
    <w:rsid w:val="00472E72"/>
    <w:rsid w:val="00473690"/>
    <w:rsid w:val="00473D06"/>
    <w:rsid w:val="00474150"/>
    <w:rsid w:val="004748D6"/>
    <w:rsid w:val="0047490C"/>
    <w:rsid w:val="00474D8F"/>
    <w:rsid w:val="0047515E"/>
    <w:rsid w:val="00475C2D"/>
    <w:rsid w:val="00475C6D"/>
    <w:rsid w:val="00476E04"/>
    <w:rsid w:val="0047790C"/>
    <w:rsid w:val="0048015C"/>
    <w:rsid w:val="00480AB0"/>
    <w:rsid w:val="00480B21"/>
    <w:rsid w:val="00481333"/>
    <w:rsid w:val="00481859"/>
    <w:rsid w:val="00482A8B"/>
    <w:rsid w:val="00482C87"/>
    <w:rsid w:val="00483F01"/>
    <w:rsid w:val="004858AF"/>
    <w:rsid w:val="004861A2"/>
    <w:rsid w:val="004878B7"/>
    <w:rsid w:val="00487EEB"/>
    <w:rsid w:val="0049008B"/>
    <w:rsid w:val="0049090E"/>
    <w:rsid w:val="00490CCF"/>
    <w:rsid w:val="00490D4F"/>
    <w:rsid w:val="004911FD"/>
    <w:rsid w:val="00491931"/>
    <w:rsid w:val="0049256E"/>
    <w:rsid w:val="004928BA"/>
    <w:rsid w:val="00493188"/>
    <w:rsid w:val="00493B5A"/>
    <w:rsid w:val="00493D25"/>
    <w:rsid w:val="004940FA"/>
    <w:rsid w:val="00494C7D"/>
    <w:rsid w:val="00496037"/>
    <w:rsid w:val="00496AB5"/>
    <w:rsid w:val="004973EA"/>
    <w:rsid w:val="004A0059"/>
    <w:rsid w:val="004A06CA"/>
    <w:rsid w:val="004A08BA"/>
    <w:rsid w:val="004A19C1"/>
    <w:rsid w:val="004A1DCA"/>
    <w:rsid w:val="004A274D"/>
    <w:rsid w:val="004A2EDB"/>
    <w:rsid w:val="004A3B62"/>
    <w:rsid w:val="004A4067"/>
    <w:rsid w:val="004A46A4"/>
    <w:rsid w:val="004A4F4A"/>
    <w:rsid w:val="004A5CEF"/>
    <w:rsid w:val="004A72BC"/>
    <w:rsid w:val="004A74B8"/>
    <w:rsid w:val="004A7EF3"/>
    <w:rsid w:val="004B079E"/>
    <w:rsid w:val="004B0992"/>
    <w:rsid w:val="004B0F08"/>
    <w:rsid w:val="004B14B9"/>
    <w:rsid w:val="004B18F6"/>
    <w:rsid w:val="004B3177"/>
    <w:rsid w:val="004B389E"/>
    <w:rsid w:val="004B3C35"/>
    <w:rsid w:val="004B4833"/>
    <w:rsid w:val="004B4866"/>
    <w:rsid w:val="004B5BF9"/>
    <w:rsid w:val="004B72AA"/>
    <w:rsid w:val="004B7737"/>
    <w:rsid w:val="004C053F"/>
    <w:rsid w:val="004C0CA3"/>
    <w:rsid w:val="004C1EC1"/>
    <w:rsid w:val="004C1ED6"/>
    <w:rsid w:val="004C204F"/>
    <w:rsid w:val="004C2065"/>
    <w:rsid w:val="004C21BD"/>
    <w:rsid w:val="004C2360"/>
    <w:rsid w:val="004C2BCB"/>
    <w:rsid w:val="004C376F"/>
    <w:rsid w:val="004C483D"/>
    <w:rsid w:val="004C63C3"/>
    <w:rsid w:val="004C7261"/>
    <w:rsid w:val="004C748D"/>
    <w:rsid w:val="004C77EA"/>
    <w:rsid w:val="004C7803"/>
    <w:rsid w:val="004C7DA5"/>
    <w:rsid w:val="004D077F"/>
    <w:rsid w:val="004D0972"/>
    <w:rsid w:val="004D1615"/>
    <w:rsid w:val="004D1E56"/>
    <w:rsid w:val="004D2182"/>
    <w:rsid w:val="004D346E"/>
    <w:rsid w:val="004D478C"/>
    <w:rsid w:val="004D4BF1"/>
    <w:rsid w:val="004D5117"/>
    <w:rsid w:val="004D5420"/>
    <w:rsid w:val="004D6021"/>
    <w:rsid w:val="004D6859"/>
    <w:rsid w:val="004E00BD"/>
    <w:rsid w:val="004E0137"/>
    <w:rsid w:val="004E0855"/>
    <w:rsid w:val="004E0B59"/>
    <w:rsid w:val="004E1675"/>
    <w:rsid w:val="004E1CA3"/>
    <w:rsid w:val="004E1E83"/>
    <w:rsid w:val="004E1FEC"/>
    <w:rsid w:val="004E25A6"/>
    <w:rsid w:val="004E3E61"/>
    <w:rsid w:val="004E42B1"/>
    <w:rsid w:val="004E48BB"/>
    <w:rsid w:val="004E50DF"/>
    <w:rsid w:val="004E5D8C"/>
    <w:rsid w:val="004E6002"/>
    <w:rsid w:val="004E7A70"/>
    <w:rsid w:val="004E7D07"/>
    <w:rsid w:val="004F0EBE"/>
    <w:rsid w:val="004F1E2C"/>
    <w:rsid w:val="004F25D0"/>
    <w:rsid w:val="004F3993"/>
    <w:rsid w:val="004F435C"/>
    <w:rsid w:val="004F48A7"/>
    <w:rsid w:val="004F49BA"/>
    <w:rsid w:val="004F4E72"/>
    <w:rsid w:val="004F6E2E"/>
    <w:rsid w:val="004F7122"/>
    <w:rsid w:val="00500260"/>
    <w:rsid w:val="005010F5"/>
    <w:rsid w:val="0050276B"/>
    <w:rsid w:val="00503465"/>
    <w:rsid w:val="00503785"/>
    <w:rsid w:val="00503814"/>
    <w:rsid w:val="00504315"/>
    <w:rsid w:val="00504F2A"/>
    <w:rsid w:val="00505181"/>
    <w:rsid w:val="00505F11"/>
    <w:rsid w:val="005068EA"/>
    <w:rsid w:val="005071F8"/>
    <w:rsid w:val="00507A0C"/>
    <w:rsid w:val="00507DDA"/>
    <w:rsid w:val="00507EB8"/>
    <w:rsid w:val="00510AFD"/>
    <w:rsid w:val="00511291"/>
    <w:rsid w:val="00512021"/>
    <w:rsid w:val="00512BC8"/>
    <w:rsid w:val="00513095"/>
    <w:rsid w:val="00513178"/>
    <w:rsid w:val="00513F4D"/>
    <w:rsid w:val="00514D2D"/>
    <w:rsid w:val="005150F1"/>
    <w:rsid w:val="00516571"/>
    <w:rsid w:val="00516973"/>
    <w:rsid w:val="00516AD2"/>
    <w:rsid w:val="005173B5"/>
    <w:rsid w:val="00517B81"/>
    <w:rsid w:val="00520EEE"/>
    <w:rsid w:val="005243B3"/>
    <w:rsid w:val="00524B38"/>
    <w:rsid w:val="005262DF"/>
    <w:rsid w:val="00526BC9"/>
    <w:rsid w:val="00527352"/>
    <w:rsid w:val="005273C0"/>
    <w:rsid w:val="0052747F"/>
    <w:rsid w:val="00527E4A"/>
    <w:rsid w:val="00531B0B"/>
    <w:rsid w:val="0053285B"/>
    <w:rsid w:val="0053349E"/>
    <w:rsid w:val="0053385C"/>
    <w:rsid w:val="00534D08"/>
    <w:rsid w:val="00535688"/>
    <w:rsid w:val="00535E39"/>
    <w:rsid w:val="00537191"/>
    <w:rsid w:val="00537DDF"/>
    <w:rsid w:val="0054075D"/>
    <w:rsid w:val="00540D25"/>
    <w:rsid w:val="0054104F"/>
    <w:rsid w:val="0054160D"/>
    <w:rsid w:val="00542C47"/>
    <w:rsid w:val="00544C15"/>
    <w:rsid w:val="00546041"/>
    <w:rsid w:val="0054643E"/>
    <w:rsid w:val="005464E7"/>
    <w:rsid w:val="00546930"/>
    <w:rsid w:val="005472B3"/>
    <w:rsid w:val="00547F16"/>
    <w:rsid w:val="0055033E"/>
    <w:rsid w:val="00550799"/>
    <w:rsid w:val="00550CD6"/>
    <w:rsid w:val="00551BA2"/>
    <w:rsid w:val="0055294B"/>
    <w:rsid w:val="00552985"/>
    <w:rsid w:val="00552E91"/>
    <w:rsid w:val="005538D4"/>
    <w:rsid w:val="0055535F"/>
    <w:rsid w:val="005571C9"/>
    <w:rsid w:val="00557B6D"/>
    <w:rsid w:val="00557B6F"/>
    <w:rsid w:val="00560B94"/>
    <w:rsid w:val="005618F2"/>
    <w:rsid w:val="00561B76"/>
    <w:rsid w:val="0056216D"/>
    <w:rsid w:val="00562A0F"/>
    <w:rsid w:val="00562A63"/>
    <w:rsid w:val="00562E3C"/>
    <w:rsid w:val="00562F51"/>
    <w:rsid w:val="00563504"/>
    <w:rsid w:val="005642A4"/>
    <w:rsid w:val="00565286"/>
    <w:rsid w:val="00565623"/>
    <w:rsid w:val="00565E36"/>
    <w:rsid w:val="0056615E"/>
    <w:rsid w:val="0056619D"/>
    <w:rsid w:val="00566A39"/>
    <w:rsid w:val="005701CA"/>
    <w:rsid w:val="00570A25"/>
    <w:rsid w:val="00570A33"/>
    <w:rsid w:val="00570F4E"/>
    <w:rsid w:val="00570FF0"/>
    <w:rsid w:val="00571A0B"/>
    <w:rsid w:val="0057311B"/>
    <w:rsid w:val="005733D3"/>
    <w:rsid w:val="00573AA7"/>
    <w:rsid w:val="00574190"/>
    <w:rsid w:val="00574223"/>
    <w:rsid w:val="005743ED"/>
    <w:rsid w:val="005746C0"/>
    <w:rsid w:val="005765A7"/>
    <w:rsid w:val="00576793"/>
    <w:rsid w:val="00576DA4"/>
    <w:rsid w:val="00577334"/>
    <w:rsid w:val="005774C6"/>
    <w:rsid w:val="00577AEC"/>
    <w:rsid w:val="0058194F"/>
    <w:rsid w:val="00581A1A"/>
    <w:rsid w:val="0058334B"/>
    <w:rsid w:val="005840D4"/>
    <w:rsid w:val="005850FB"/>
    <w:rsid w:val="00586C93"/>
    <w:rsid w:val="00587F00"/>
    <w:rsid w:val="005924E2"/>
    <w:rsid w:val="005925C1"/>
    <w:rsid w:val="00592D4F"/>
    <w:rsid w:val="0059328D"/>
    <w:rsid w:val="00593588"/>
    <w:rsid w:val="00593F26"/>
    <w:rsid w:val="0059403D"/>
    <w:rsid w:val="005940A9"/>
    <w:rsid w:val="00594FDD"/>
    <w:rsid w:val="00595AA6"/>
    <w:rsid w:val="00596906"/>
    <w:rsid w:val="00597DD1"/>
    <w:rsid w:val="005A060C"/>
    <w:rsid w:val="005A068C"/>
    <w:rsid w:val="005A0D22"/>
    <w:rsid w:val="005A13C9"/>
    <w:rsid w:val="005A1F9D"/>
    <w:rsid w:val="005A3FC1"/>
    <w:rsid w:val="005A424A"/>
    <w:rsid w:val="005A7061"/>
    <w:rsid w:val="005B0E5A"/>
    <w:rsid w:val="005B1F44"/>
    <w:rsid w:val="005B1F9B"/>
    <w:rsid w:val="005B24C5"/>
    <w:rsid w:val="005B2AAF"/>
    <w:rsid w:val="005B2C34"/>
    <w:rsid w:val="005B34DE"/>
    <w:rsid w:val="005B3B08"/>
    <w:rsid w:val="005B3B1A"/>
    <w:rsid w:val="005B3D57"/>
    <w:rsid w:val="005B5B35"/>
    <w:rsid w:val="005B6E97"/>
    <w:rsid w:val="005B7CEB"/>
    <w:rsid w:val="005B7ECC"/>
    <w:rsid w:val="005C08E5"/>
    <w:rsid w:val="005C1E44"/>
    <w:rsid w:val="005C27B2"/>
    <w:rsid w:val="005C3436"/>
    <w:rsid w:val="005C3866"/>
    <w:rsid w:val="005C45A4"/>
    <w:rsid w:val="005C4F89"/>
    <w:rsid w:val="005C54E4"/>
    <w:rsid w:val="005C5C65"/>
    <w:rsid w:val="005C7EEB"/>
    <w:rsid w:val="005D0838"/>
    <w:rsid w:val="005D0D46"/>
    <w:rsid w:val="005D0E05"/>
    <w:rsid w:val="005D0F5A"/>
    <w:rsid w:val="005D23AA"/>
    <w:rsid w:val="005D318F"/>
    <w:rsid w:val="005D38C8"/>
    <w:rsid w:val="005D4974"/>
    <w:rsid w:val="005D5052"/>
    <w:rsid w:val="005D79DE"/>
    <w:rsid w:val="005D7AEB"/>
    <w:rsid w:val="005D7CC8"/>
    <w:rsid w:val="005D7F68"/>
    <w:rsid w:val="005E023F"/>
    <w:rsid w:val="005E07F8"/>
    <w:rsid w:val="005E1075"/>
    <w:rsid w:val="005E1E93"/>
    <w:rsid w:val="005E2AFB"/>
    <w:rsid w:val="005E35CE"/>
    <w:rsid w:val="005E391A"/>
    <w:rsid w:val="005E39CC"/>
    <w:rsid w:val="005E4643"/>
    <w:rsid w:val="005E4B26"/>
    <w:rsid w:val="005E4D28"/>
    <w:rsid w:val="005E5022"/>
    <w:rsid w:val="005E512A"/>
    <w:rsid w:val="005E5469"/>
    <w:rsid w:val="005E550A"/>
    <w:rsid w:val="005E5C2C"/>
    <w:rsid w:val="005E5C9B"/>
    <w:rsid w:val="005E5D2E"/>
    <w:rsid w:val="005E5E3F"/>
    <w:rsid w:val="005E5EF6"/>
    <w:rsid w:val="005E5F6F"/>
    <w:rsid w:val="005E65AD"/>
    <w:rsid w:val="005E6E44"/>
    <w:rsid w:val="005E7099"/>
    <w:rsid w:val="005F0045"/>
    <w:rsid w:val="005F0405"/>
    <w:rsid w:val="005F0D3F"/>
    <w:rsid w:val="005F1055"/>
    <w:rsid w:val="005F13A3"/>
    <w:rsid w:val="005F169B"/>
    <w:rsid w:val="005F256B"/>
    <w:rsid w:val="005F27B1"/>
    <w:rsid w:val="005F2DA7"/>
    <w:rsid w:val="005F3722"/>
    <w:rsid w:val="005F3B01"/>
    <w:rsid w:val="005F5BD5"/>
    <w:rsid w:val="005F6AAC"/>
    <w:rsid w:val="005F7503"/>
    <w:rsid w:val="005F7A13"/>
    <w:rsid w:val="0060010D"/>
    <w:rsid w:val="0060217C"/>
    <w:rsid w:val="006023FF"/>
    <w:rsid w:val="0060320E"/>
    <w:rsid w:val="00603349"/>
    <w:rsid w:val="0060367E"/>
    <w:rsid w:val="00603A01"/>
    <w:rsid w:val="006041B5"/>
    <w:rsid w:val="00604668"/>
    <w:rsid w:val="0060483A"/>
    <w:rsid w:val="0060558B"/>
    <w:rsid w:val="00607A1D"/>
    <w:rsid w:val="00607B27"/>
    <w:rsid w:val="00607BD8"/>
    <w:rsid w:val="00607DC1"/>
    <w:rsid w:val="00610543"/>
    <w:rsid w:val="00610B4D"/>
    <w:rsid w:val="006119BD"/>
    <w:rsid w:val="0061209C"/>
    <w:rsid w:val="006125F8"/>
    <w:rsid w:val="0061270C"/>
    <w:rsid w:val="00612AED"/>
    <w:rsid w:val="0061351C"/>
    <w:rsid w:val="00613A37"/>
    <w:rsid w:val="00614770"/>
    <w:rsid w:val="00614FD0"/>
    <w:rsid w:val="00615276"/>
    <w:rsid w:val="006152A4"/>
    <w:rsid w:val="006153DE"/>
    <w:rsid w:val="006156C1"/>
    <w:rsid w:val="00616ABE"/>
    <w:rsid w:val="00616C54"/>
    <w:rsid w:val="00617034"/>
    <w:rsid w:val="00617A3A"/>
    <w:rsid w:val="00617BC4"/>
    <w:rsid w:val="00620CF6"/>
    <w:rsid w:val="006212BC"/>
    <w:rsid w:val="00621A7A"/>
    <w:rsid w:val="0062216B"/>
    <w:rsid w:val="006222C0"/>
    <w:rsid w:val="006228BB"/>
    <w:rsid w:val="00624A64"/>
    <w:rsid w:val="006254A2"/>
    <w:rsid w:val="0062617C"/>
    <w:rsid w:val="006303F4"/>
    <w:rsid w:val="006307EB"/>
    <w:rsid w:val="00631DFE"/>
    <w:rsid w:val="00631FB9"/>
    <w:rsid w:val="00632D75"/>
    <w:rsid w:val="00634501"/>
    <w:rsid w:val="0063469B"/>
    <w:rsid w:val="00634A83"/>
    <w:rsid w:val="00634BC0"/>
    <w:rsid w:val="00635919"/>
    <w:rsid w:val="006400FE"/>
    <w:rsid w:val="0064053F"/>
    <w:rsid w:val="006406CF"/>
    <w:rsid w:val="0064184D"/>
    <w:rsid w:val="006439A9"/>
    <w:rsid w:val="00643C72"/>
    <w:rsid w:val="00644A5C"/>
    <w:rsid w:val="00644F29"/>
    <w:rsid w:val="0064510A"/>
    <w:rsid w:val="006453CB"/>
    <w:rsid w:val="006459BD"/>
    <w:rsid w:val="006474EF"/>
    <w:rsid w:val="006478CD"/>
    <w:rsid w:val="00647ECE"/>
    <w:rsid w:val="006500D5"/>
    <w:rsid w:val="006512D6"/>
    <w:rsid w:val="006512E4"/>
    <w:rsid w:val="006515FD"/>
    <w:rsid w:val="006523D5"/>
    <w:rsid w:val="00652464"/>
    <w:rsid w:val="00654DFD"/>
    <w:rsid w:val="0065500F"/>
    <w:rsid w:val="00656531"/>
    <w:rsid w:val="00657B6B"/>
    <w:rsid w:val="00657BB5"/>
    <w:rsid w:val="00660247"/>
    <w:rsid w:val="00660FB9"/>
    <w:rsid w:val="00661716"/>
    <w:rsid w:val="006621CE"/>
    <w:rsid w:val="00662A8C"/>
    <w:rsid w:val="00662F04"/>
    <w:rsid w:val="00663A41"/>
    <w:rsid w:val="00663E66"/>
    <w:rsid w:val="006640DB"/>
    <w:rsid w:val="006644CB"/>
    <w:rsid w:val="00664CA8"/>
    <w:rsid w:val="006664A0"/>
    <w:rsid w:val="00666994"/>
    <w:rsid w:val="006672EF"/>
    <w:rsid w:val="0066786F"/>
    <w:rsid w:val="00667916"/>
    <w:rsid w:val="00667938"/>
    <w:rsid w:val="00667B5F"/>
    <w:rsid w:val="00667CBE"/>
    <w:rsid w:val="00670319"/>
    <w:rsid w:val="00671EB3"/>
    <w:rsid w:val="006722B2"/>
    <w:rsid w:val="0067326B"/>
    <w:rsid w:val="00674781"/>
    <w:rsid w:val="00676781"/>
    <w:rsid w:val="006774D6"/>
    <w:rsid w:val="00677B7D"/>
    <w:rsid w:val="00677F68"/>
    <w:rsid w:val="006801F3"/>
    <w:rsid w:val="0068047B"/>
    <w:rsid w:val="0068174B"/>
    <w:rsid w:val="006829E9"/>
    <w:rsid w:val="00682C51"/>
    <w:rsid w:val="006836B2"/>
    <w:rsid w:val="00684B3B"/>
    <w:rsid w:val="0068551F"/>
    <w:rsid w:val="00685E8B"/>
    <w:rsid w:val="006863AE"/>
    <w:rsid w:val="006869DC"/>
    <w:rsid w:val="00687097"/>
    <w:rsid w:val="006874CF"/>
    <w:rsid w:val="00691508"/>
    <w:rsid w:val="00691B1E"/>
    <w:rsid w:val="00691B6F"/>
    <w:rsid w:val="0069246D"/>
    <w:rsid w:val="0069256F"/>
    <w:rsid w:val="0069292C"/>
    <w:rsid w:val="0069319C"/>
    <w:rsid w:val="00693324"/>
    <w:rsid w:val="00693587"/>
    <w:rsid w:val="00693C46"/>
    <w:rsid w:val="00694178"/>
    <w:rsid w:val="006944DE"/>
    <w:rsid w:val="006A0E3B"/>
    <w:rsid w:val="006A0F77"/>
    <w:rsid w:val="006A2337"/>
    <w:rsid w:val="006A239C"/>
    <w:rsid w:val="006A24A8"/>
    <w:rsid w:val="006A3C71"/>
    <w:rsid w:val="006A4699"/>
    <w:rsid w:val="006A4A57"/>
    <w:rsid w:val="006A538B"/>
    <w:rsid w:val="006A5693"/>
    <w:rsid w:val="006A5A1C"/>
    <w:rsid w:val="006A5BC0"/>
    <w:rsid w:val="006A5C92"/>
    <w:rsid w:val="006A5FB5"/>
    <w:rsid w:val="006A5FCD"/>
    <w:rsid w:val="006A66C2"/>
    <w:rsid w:val="006B060E"/>
    <w:rsid w:val="006B12C0"/>
    <w:rsid w:val="006B1A53"/>
    <w:rsid w:val="006B1C24"/>
    <w:rsid w:val="006B1CBE"/>
    <w:rsid w:val="006B2EA9"/>
    <w:rsid w:val="006B360F"/>
    <w:rsid w:val="006B4A61"/>
    <w:rsid w:val="006B558F"/>
    <w:rsid w:val="006B579C"/>
    <w:rsid w:val="006B7137"/>
    <w:rsid w:val="006C01A4"/>
    <w:rsid w:val="006C0D9C"/>
    <w:rsid w:val="006C10AA"/>
    <w:rsid w:val="006C192D"/>
    <w:rsid w:val="006C299C"/>
    <w:rsid w:val="006C2F3C"/>
    <w:rsid w:val="006C3461"/>
    <w:rsid w:val="006C37E8"/>
    <w:rsid w:val="006C3BDB"/>
    <w:rsid w:val="006C3DBB"/>
    <w:rsid w:val="006C480D"/>
    <w:rsid w:val="006C494D"/>
    <w:rsid w:val="006C5014"/>
    <w:rsid w:val="006C52B1"/>
    <w:rsid w:val="006C565F"/>
    <w:rsid w:val="006C5D91"/>
    <w:rsid w:val="006C5F4E"/>
    <w:rsid w:val="006C61F7"/>
    <w:rsid w:val="006C7387"/>
    <w:rsid w:val="006C7BE7"/>
    <w:rsid w:val="006D0002"/>
    <w:rsid w:val="006D0D75"/>
    <w:rsid w:val="006D1145"/>
    <w:rsid w:val="006D1431"/>
    <w:rsid w:val="006D2DF1"/>
    <w:rsid w:val="006D30BB"/>
    <w:rsid w:val="006D3455"/>
    <w:rsid w:val="006D3BA0"/>
    <w:rsid w:val="006D4156"/>
    <w:rsid w:val="006D4272"/>
    <w:rsid w:val="006D541F"/>
    <w:rsid w:val="006D6D37"/>
    <w:rsid w:val="006D70C6"/>
    <w:rsid w:val="006D7D7D"/>
    <w:rsid w:val="006E08AE"/>
    <w:rsid w:val="006E08D4"/>
    <w:rsid w:val="006E0D6A"/>
    <w:rsid w:val="006E1430"/>
    <w:rsid w:val="006E1881"/>
    <w:rsid w:val="006E1A19"/>
    <w:rsid w:val="006E2111"/>
    <w:rsid w:val="006E2375"/>
    <w:rsid w:val="006E320B"/>
    <w:rsid w:val="006E4153"/>
    <w:rsid w:val="006E55F2"/>
    <w:rsid w:val="006E5BE7"/>
    <w:rsid w:val="006F08F6"/>
    <w:rsid w:val="006F1953"/>
    <w:rsid w:val="006F2231"/>
    <w:rsid w:val="006F2434"/>
    <w:rsid w:val="006F245A"/>
    <w:rsid w:val="006F2563"/>
    <w:rsid w:val="006F2996"/>
    <w:rsid w:val="006F2DD7"/>
    <w:rsid w:val="006F3A7D"/>
    <w:rsid w:val="006F3E33"/>
    <w:rsid w:val="006F3ECF"/>
    <w:rsid w:val="006F5118"/>
    <w:rsid w:val="006F5C29"/>
    <w:rsid w:val="006F5C86"/>
    <w:rsid w:val="006F735D"/>
    <w:rsid w:val="006F7AFF"/>
    <w:rsid w:val="006F7B87"/>
    <w:rsid w:val="00700900"/>
    <w:rsid w:val="0070283C"/>
    <w:rsid w:val="00702CC2"/>
    <w:rsid w:val="00702D91"/>
    <w:rsid w:val="00703696"/>
    <w:rsid w:val="007037BD"/>
    <w:rsid w:val="00703A62"/>
    <w:rsid w:val="007042F2"/>
    <w:rsid w:val="00704627"/>
    <w:rsid w:val="00704CAA"/>
    <w:rsid w:val="00705D91"/>
    <w:rsid w:val="0070614A"/>
    <w:rsid w:val="007068F0"/>
    <w:rsid w:val="007078DF"/>
    <w:rsid w:val="007103DA"/>
    <w:rsid w:val="0071063E"/>
    <w:rsid w:val="00710D44"/>
    <w:rsid w:val="00710F32"/>
    <w:rsid w:val="00710FF9"/>
    <w:rsid w:val="00712CF3"/>
    <w:rsid w:val="00712E5D"/>
    <w:rsid w:val="00713EDF"/>
    <w:rsid w:val="007149F3"/>
    <w:rsid w:val="007160A7"/>
    <w:rsid w:val="007169BD"/>
    <w:rsid w:val="007172D3"/>
    <w:rsid w:val="00720E4F"/>
    <w:rsid w:val="0072140A"/>
    <w:rsid w:val="00721714"/>
    <w:rsid w:val="00721B9E"/>
    <w:rsid w:val="0072207F"/>
    <w:rsid w:val="00722ABB"/>
    <w:rsid w:val="007232DD"/>
    <w:rsid w:val="00723DEF"/>
    <w:rsid w:val="007253A9"/>
    <w:rsid w:val="007256F5"/>
    <w:rsid w:val="00725F61"/>
    <w:rsid w:val="007263ED"/>
    <w:rsid w:val="00727355"/>
    <w:rsid w:val="007275B5"/>
    <w:rsid w:val="007279E3"/>
    <w:rsid w:val="00727D11"/>
    <w:rsid w:val="00727E17"/>
    <w:rsid w:val="00730D22"/>
    <w:rsid w:val="00731702"/>
    <w:rsid w:val="00731C4A"/>
    <w:rsid w:val="00731D79"/>
    <w:rsid w:val="00731E79"/>
    <w:rsid w:val="007333B3"/>
    <w:rsid w:val="00733751"/>
    <w:rsid w:val="007341B1"/>
    <w:rsid w:val="007349A4"/>
    <w:rsid w:val="00737A25"/>
    <w:rsid w:val="00737B40"/>
    <w:rsid w:val="00737CF6"/>
    <w:rsid w:val="00740480"/>
    <w:rsid w:val="00743B6F"/>
    <w:rsid w:val="00743CBC"/>
    <w:rsid w:val="007442B3"/>
    <w:rsid w:val="00744EE7"/>
    <w:rsid w:val="0074504E"/>
    <w:rsid w:val="00745BF2"/>
    <w:rsid w:val="0074630A"/>
    <w:rsid w:val="00746D51"/>
    <w:rsid w:val="00747C6A"/>
    <w:rsid w:val="00751FF8"/>
    <w:rsid w:val="007548E5"/>
    <w:rsid w:val="00754F2A"/>
    <w:rsid w:val="0075571F"/>
    <w:rsid w:val="007558FA"/>
    <w:rsid w:val="00755E7D"/>
    <w:rsid w:val="00760B95"/>
    <w:rsid w:val="00760ED4"/>
    <w:rsid w:val="00761386"/>
    <w:rsid w:val="007616D8"/>
    <w:rsid w:val="00761AB2"/>
    <w:rsid w:val="007624D5"/>
    <w:rsid w:val="007628CF"/>
    <w:rsid w:val="007631FD"/>
    <w:rsid w:val="007632CC"/>
    <w:rsid w:val="00763FCE"/>
    <w:rsid w:val="00764ED0"/>
    <w:rsid w:val="007656AE"/>
    <w:rsid w:val="00765759"/>
    <w:rsid w:val="00765D2D"/>
    <w:rsid w:val="007660FF"/>
    <w:rsid w:val="00766CAF"/>
    <w:rsid w:val="00766D34"/>
    <w:rsid w:val="0076779A"/>
    <w:rsid w:val="00767CC0"/>
    <w:rsid w:val="007706F6"/>
    <w:rsid w:val="007711E7"/>
    <w:rsid w:val="00771713"/>
    <w:rsid w:val="00771B06"/>
    <w:rsid w:val="0077233A"/>
    <w:rsid w:val="00772610"/>
    <w:rsid w:val="00772691"/>
    <w:rsid w:val="00772CE5"/>
    <w:rsid w:val="00773C70"/>
    <w:rsid w:val="00776C0E"/>
    <w:rsid w:val="007774AB"/>
    <w:rsid w:val="007778A3"/>
    <w:rsid w:val="007803CD"/>
    <w:rsid w:val="00780587"/>
    <w:rsid w:val="00782C6E"/>
    <w:rsid w:val="00782CDD"/>
    <w:rsid w:val="0078550C"/>
    <w:rsid w:val="0078572E"/>
    <w:rsid w:val="00786026"/>
    <w:rsid w:val="00787C6C"/>
    <w:rsid w:val="00787C91"/>
    <w:rsid w:val="00790F67"/>
    <w:rsid w:val="007916FD"/>
    <w:rsid w:val="007924AE"/>
    <w:rsid w:val="007928A5"/>
    <w:rsid w:val="00792BDA"/>
    <w:rsid w:val="00793F21"/>
    <w:rsid w:val="007948E8"/>
    <w:rsid w:val="007953ED"/>
    <w:rsid w:val="007956B2"/>
    <w:rsid w:val="0079591D"/>
    <w:rsid w:val="007961DE"/>
    <w:rsid w:val="00796546"/>
    <w:rsid w:val="0079655F"/>
    <w:rsid w:val="0079736F"/>
    <w:rsid w:val="007A120A"/>
    <w:rsid w:val="007A1468"/>
    <w:rsid w:val="007A1C76"/>
    <w:rsid w:val="007A232F"/>
    <w:rsid w:val="007A24B4"/>
    <w:rsid w:val="007A2CDD"/>
    <w:rsid w:val="007A3C5E"/>
    <w:rsid w:val="007A3D87"/>
    <w:rsid w:val="007A41C1"/>
    <w:rsid w:val="007A430F"/>
    <w:rsid w:val="007A4C72"/>
    <w:rsid w:val="007A4DB9"/>
    <w:rsid w:val="007A5BA5"/>
    <w:rsid w:val="007A5CAD"/>
    <w:rsid w:val="007A600B"/>
    <w:rsid w:val="007A60E6"/>
    <w:rsid w:val="007A6CA9"/>
    <w:rsid w:val="007A7824"/>
    <w:rsid w:val="007A7DE1"/>
    <w:rsid w:val="007B0009"/>
    <w:rsid w:val="007B045B"/>
    <w:rsid w:val="007B0992"/>
    <w:rsid w:val="007B0CB5"/>
    <w:rsid w:val="007B0CD1"/>
    <w:rsid w:val="007B2BB1"/>
    <w:rsid w:val="007B2E2F"/>
    <w:rsid w:val="007B35B9"/>
    <w:rsid w:val="007B4701"/>
    <w:rsid w:val="007B51E2"/>
    <w:rsid w:val="007B5656"/>
    <w:rsid w:val="007B64DE"/>
    <w:rsid w:val="007B7046"/>
    <w:rsid w:val="007B7614"/>
    <w:rsid w:val="007C003B"/>
    <w:rsid w:val="007C0B89"/>
    <w:rsid w:val="007C322A"/>
    <w:rsid w:val="007C388D"/>
    <w:rsid w:val="007C4DBF"/>
    <w:rsid w:val="007C4E02"/>
    <w:rsid w:val="007C5B08"/>
    <w:rsid w:val="007C6386"/>
    <w:rsid w:val="007C6BAB"/>
    <w:rsid w:val="007C6BD2"/>
    <w:rsid w:val="007D01DA"/>
    <w:rsid w:val="007D0887"/>
    <w:rsid w:val="007D0E0F"/>
    <w:rsid w:val="007D0E8C"/>
    <w:rsid w:val="007D1B21"/>
    <w:rsid w:val="007D2A17"/>
    <w:rsid w:val="007D2C3C"/>
    <w:rsid w:val="007D373B"/>
    <w:rsid w:val="007D38FA"/>
    <w:rsid w:val="007D3DC1"/>
    <w:rsid w:val="007D44AD"/>
    <w:rsid w:val="007D48A9"/>
    <w:rsid w:val="007D49F9"/>
    <w:rsid w:val="007D5C0B"/>
    <w:rsid w:val="007D5CED"/>
    <w:rsid w:val="007D5DA0"/>
    <w:rsid w:val="007D5EED"/>
    <w:rsid w:val="007E0B5C"/>
    <w:rsid w:val="007E0C45"/>
    <w:rsid w:val="007E1111"/>
    <w:rsid w:val="007E123A"/>
    <w:rsid w:val="007E27A8"/>
    <w:rsid w:val="007E28F7"/>
    <w:rsid w:val="007E3891"/>
    <w:rsid w:val="007E3BCF"/>
    <w:rsid w:val="007E42EE"/>
    <w:rsid w:val="007E456C"/>
    <w:rsid w:val="007E4CD3"/>
    <w:rsid w:val="007E57C2"/>
    <w:rsid w:val="007E651D"/>
    <w:rsid w:val="007E6D23"/>
    <w:rsid w:val="007E6E75"/>
    <w:rsid w:val="007E6EEE"/>
    <w:rsid w:val="007F0A09"/>
    <w:rsid w:val="007F0D00"/>
    <w:rsid w:val="007F0E29"/>
    <w:rsid w:val="007F1041"/>
    <w:rsid w:val="007F2174"/>
    <w:rsid w:val="007F2390"/>
    <w:rsid w:val="007F241B"/>
    <w:rsid w:val="007F2458"/>
    <w:rsid w:val="007F2E56"/>
    <w:rsid w:val="007F3A86"/>
    <w:rsid w:val="007F4D16"/>
    <w:rsid w:val="007F554E"/>
    <w:rsid w:val="007F5918"/>
    <w:rsid w:val="007F77D5"/>
    <w:rsid w:val="00801CA4"/>
    <w:rsid w:val="00803440"/>
    <w:rsid w:val="00804091"/>
    <w:rsid w:val="0080428F"/>
    <w:rsid w:val="00804CCF"/>
    <w:rsid w:val="008051A7"/>
    <w:rsid w:val="00805E41"/>
    <w:rsid w:val="00807011"/>
    <w:rsid w:val="008104A6"/>
    <w:rsid w:val="00811BCE"/>
    <w:rsid w:val="00811DF1"/>
    <w:rsid w:val="00812457"/>
    <w:rsid w:val="008131C3"/>
    <w:rsid w:val="00813626"/>
    <w:rsid w:val="00813D37"/>
    <w:rsid w:val="00813F5A"/>
    <w:rsid w:val="00815882"/>
    <w:rsid w:val="00815F5F"/>
    <w:rsid w:val="00820A96"/>
    <w:rsid w:val="0082131F"/>
    <w:rsid w:val="0082137A"/>
    <w:rsid w:val="008217C5"/>
    <w:rsid w:val="00821DF0"/>
    <w:rsid w:val="008220E9"/>
    <w:rsid w:val="00822A68"/>
    <w:rsid w:val="00822CA5"/>
    <w:rsid w:val="008239C3"/>
    <w:rsid w:val="00823D2C"/>
    <w:rsid w:val="008242D2"/>
    <w:rsid w:val="008247F4"/>
    <w:rsid w:val="00824E4E"/>
    <w:rsid w:val="00825823"/>
    <w:rsid w:val="008275B6"/>
    <w:rsid w:val="00827FE4"/>
    <w:rsid w:val="00830990"/>
    <w:rsid w:val="008316A1"/>
    <w:rsid w:val="00832B70"/>
    <w:rsid w:val="00832B9E"/>
    <w:rsid w:val="00832BDF"/>
    <w:rsid w:val="00832E73"/>
    <w:rsid w:val="008340C3"/>
    <w:rsid w:val="008348DC"/>
    <w:rsid w:val="008352CB"/>
    <w:rsid w:val="00835403"/>
    <w:rsid w:val="008365DA"/>
    <w:rsid w:val="00836D0E"/>
    <w:rsid w:val="008377C5"/>
    <w:rsid w:val="00837EB9"/>
    <w:rsid w:val="0084001F"/>
    <w:rsid w:val="00840E35"/>
    <w:rsid w:val="008411F8"/>
    <w:rsid w:val="00843733"/>
    <w:rsid w:val="00843F64"/>
    <w:rsid w:val="008453B1"/>
    <w:rsid w:val="00846738"/>
    <w:rsid w:val="00846BA1"/>
    <w:rsid w:val="0084790A"/>
    <w:rsid w:val="0085044B"/>
    <w:rsid w:val="008507EE"/>
    <w:rsid w:val="00850BAE"/>
    <w:rsid w:val="008516BE"/>
    <w:rsid w:val="0085194F"/>
    <w:rsid w:val="00851A86"/>
    <w:rsid w:val="00851CD9"/>
    <w:rsid w:val="00852DAE"/>
    <w:rsid w:val="00853383"/>
    <w:rsid w:val="008536FC"/>
    <w:rsid w:val="0085517A"/>
    <w:rsid w:val="0085577A"/>
    <w:rsid w:val="00856433"/>
    <w:rsid w:val="00856492"/>
    <w:rsid w:val="00856584"/>
    <w:rsid w:val="00856BD2"/>
    <w:rsid w:val="0085795D"/>
    <w:rsid w:val="0086034F"/>
    <w:rsid w:val="008607F3"/>
    <w:rsid w:val="00861FA4"/>
    <w:rsid w:val="00862227"/>
    <w:rsid w:val="0086313C"/>
    <w:rsid w:val="00863C0E"/>
    <w:rsid w:val="00863E77"/>
    <w:rsid w:val="008644CD"/>
    <w:rsid w:val="00864A77"/>
    <w:rsid w:val="00864C7C"/>
    <w:rsid w:val="00864D6C"/>
    <w:rsid w:val="008650BD"/>
    <w:rsid w:val="008666E1"/>
    <w:rsid w:val="0086695A"/>
    <w:rsid w:val="0086743A"/>
    <w:rsid w:val="0086745C"/>
    <w:rsid w:val="008705FF"/>
    <w:rsid w:val="00870FAD"/>
    <w:rsid w:val="00871759"/>
    <w:rsid w:val="00871F30"/>
    <w:rsid w:val="008724D4"/>
    <w:rsid w:val="0087351D"/>
    <w:rsid w:val="00873AE8"/>
    <w:rsid w:val="00873E0A"/>
    <w:rsid w:val="00874322"/>
    <w:rsid w:val="008747E8"/>
    <w:rsid w:val="00877AF0"/>
    <w:rsid w:val="00877C38"/>
    <w:rsid w:val="00880642"/>
    <w:rsid w:val="00881457"/>
    <w:rsid w:val="008818BE"/>
    <w:rsid w:val="00881A36"/>
    <w:rsid w:val="00882587"/>
    <w:rsid w:val="008825DD"/>
    <w:rsid w:val="0088280A"/>
    <w:rsid w:val="00882CA4"/>
    <w:rsid w:val="008833BE"/>
    <w:rsid w:val="00883DC4"/>
    <w:rsid w:val="00884C2F"/>
    <w:rsid w:val="00884F28"/>
    <w:rsid w:val="00885B10"/>
    <w:rsid w:val="00885D2D"/>
    <w:rsid w:val="00885DD5"/>
    <w:rsid w:val="00886087"/>
    <w:rsid w:val="0088770E"/>
    <w:rsid w:val="00887968"/>
    <w:rsid w:val="00892670"/>
    <w:rsid w:val="0089293E"/>
    <w:rsid w:val="00893092"/>
    <w:rsid w:val="008932E7"/>
    <w:rsid w:val="00894CD2"/>
    <w:rsid w:val="00895039"/>
    <w:rsid w:val="0089525C"/>
    <w:rsid w:val="008961B6"/>
    <w:rsid w:val="008969E4"/>
    <w:rsid w:val="00896CF4"/>
    <w:rsid w:val="00896F3A"/>
    <w:rsid w:val="00897153"/>
    <w:rsid w:val="008A01F5"/>
    <w:rsid w:val="008A0E1A"/>
    <w:rsid w:val="008A13B0"/>
    <w:rsid w:val="008A23C3"/>
    <w:rsid w:val="008A4714"/>
    <w:rsid w:val="008A475B"/>
    <w:rsid w:val="008A4943"/>
    <w:rsid w:val="008A4CE9"/>
    <w:rsid w:val="008A5F8F"/>
    <w:rsid w:val="008A6562"/>
    <w:rsid w:val="008A6CFC"/>
    <w:rsid w:val="008B02F0"/>
    <w:rsid w:val="008B159A"/>
    <w:rsid w:val="008B308C"/>
    <w:rsid w:val="008B3597"/>
    <w:rsid w:val="008B43DC"/>
    <w:rsid w:val="008B4706"/>
    <w:rsid w:val="008B4A5B"/>
    <w:rsid w:val="008B56D4"/>
    <w:rsid w:val="008B5D86"/>
    <w:rsid w:val="008B6E96"/>
    <w:rsid w:val="008B7105"/>
    <w:rsid w:val="008B72E9"/>
    <w:rsid w:val="008B7A34"/>
    <w:rsid w:val="008C1180"/>
    <w:rsid w:val="008C1426"/>
    <w:rsid w:val="008C1ABB"/>
    <w:rsid w:val="008C30E7"/>
    <w:rsid w:val="008C32BD"/>
    <w:rsid w:val="008C3B81"/>
    <w:rsid w:val="008C4845"/>
    <w:rsid w:val="008C55D8"/>
    <w:rsid w:val="008C5D9F"/>
    <w:rsid w:val="008C6238"/>
    <w:rsid w:val="008C6C8C"/>
    <w:rsid w:val="008C7516"/>
    <w:rsid w:val="008D23F4"/>
    <w:rsid w:val="008D28D0"/>
    <w:rsid w:val="008D33FD"/>
    <w:rsid w:val="008D443A"/>
    <w:rsid w:val="008D53E2"/>
    <w:rsid w:val="008D5487"/>
    <w:rsid w:val="008D597C"/>
    <w:rsid w:val="008D604E"/>
    <w:rsid w:val="008D6C51"/>
    <w:rsid w:val="008D6FEC"/>
    <w:rsid w:val="008D76A0"/>
    <w:rsid w:val="008D7B23"/>
    <w:rsid w:val="008E107C"/>
    <w:rsid w:val="008E1D2F"/>
    <w:rsid w:val="008E1FCD"/>
    <w:rsid w:val="008E3A68"/>
    <w:rsid w:val="008E44D8"/>
    <w:rsid w:val="008E46AC"/>
    <w:rsid w:val="008E5029"/>
    <w:rsid w:val="008E61F2"/>
    <w:rsid w:val="008E6AFD"/>
    <w:rsid w:val="008E6C17"/>
    <w:rsid w:val="008F0003"/>
    <w:rsid w:val="008F0DC4"/>
    <w:rsid w:val="008F1112"/>
    <w:rsid w:val="008F1AAC"/>
    <w:rsid w:val="008F1E41"/>
    <w:rsid w:val="008F22D8"/>
    <w:rsid w:val="008F2A25"/>
    <w:rsid w:val="008F3E35"/>
    <w:rsid w:val="008F43C2"/>
    <w:rsid w:val="008F4EE5"/>
    <w:rsid w:val="008F4EF0"/>
    <w:rsid w:val="008F5665"/>
    <w:rsid w:val="008F5E18"/>
    <w:rsid w:val="008F6447"/>
    <w:rsid w:val="00900AE5"/>
    <w:rsid w:val="00900E93"/>
    <w:rsid w:val="00901706"/>
    <w:rsid w:val="009020C4"/>
    <w:rsid w:val="00902B05"/>
    <w:rsid w:val="0090320A"/>
    <w:rsid w:val="00903CEA"/>
    <w:rsid w:val="00903DBD"/>
    <w:rsid w:val="00903F40"/>
    <w:rsid w:val="00905231"/>
    <w:rsid w:val="00911244"/>
    <w:rsid w:val="009113BE"/>
    <w:rsid w:val="009121BA"/>
    <w:rsid w:val="00912352"/>
    <w:rsid w:val="009130BD"/>
    <w:rsid w:val="009131D3"/>
    <w:rsid w:val="0091375F"/>
    <w:rsid w:val="00914174"/>
    <w:rsid w:val="00914D7C"/>
    <w:rsid w:val="009150B1"/>
    <w:rsid w:val="009169BE"/>
    <w:rsid w:val="00916C84"/>
    <w:rsid w:val="00916D06"/>
    <w:rsid w:val="00917FBC"/>
    <w:rsid w:val="009200C1"/>
    <w:rsid w:val="00920EC8"/>
    <w:rsid w:val="009213CA"/>
    <w:rsid w:val="0092146E"/>
    <w:rsid w:val="00921E64"/>
    <w:rsid w:val="00922310"/>
    <w:rsid w:val="00922C49"/>
    <w:rsid w:val="00922E6A"/>
    <w:rsid w:val="00923379"/>
    <w:rsid w:val="00925946"/>
    <w:rsid w:val="009265F6"/>
    <w:rsid w:val="0092737D"/>
    <w:rsid w:val="00927816"/>
    <w:rsid w:val="00927A06"/>
    <w:rsid w:val="00930A48"/>
    <w:rsid w:val="00930F17"/>
    <w:rsid w:val="00931B9F"/>
    <w:rsid w:val="009331BA"/>
    <w:rsid w:val="009339DF"/>
    <w:rsid w:val="00934A17"/>
    <w:rsid w:val="009352B7"/>
    <w:rsid w:val="0093604F"/>
    <w:rsid w:val="009361D9"/>
    <w:rsid w:val="00936571"/>
    <w:rsid w:val="00936798"/>
    <w:rsid w:val="00936A35"/>
    <w:rsid w:val="009370E7"/>
    <w:rsid w:val="00937235"/>
    <w:rsid w:val="00937621"/>
    <w:rsid w:val="00940751"/>
    <w:rsid w:val="00940E16"/>
    <w:rsid w:val="009410CA"/>
    <w:rsid w:val="009411D7"/>
    <w:rsid w:val="00941EE6"/>
    <w:rsid w:val="00943721"/>
    <w:rsid w:val="0094455E"/>
    <w:rsid w:val="00945D31"/>
    <w:rsid w:val="00946004"/>
    <w:rsid w:val="009460D7"/>
    <w:rsid w:val="009466E2"/>
    <w:rsid w:val="00946D49"/>
    <w:rsid w:val="00946DA0"/>
    <w:rsid w:val="00950F6C"/>
    <w:rsid w:val="009517EF"/>
    <w:rsid w:val="00952069"/>
    <w:rsid w:val="00952AD7"/>
    <w:rsid w:val="00952DCD"/>
    <w:rsid w:val="0095394E"/>
    <w:rsid w:val="00954419"/>
    <w:rsid w:val="00954A24"/>
    <w:rsid w:val="00954BF5"/>
    <w:rsid w:val="00954F09"/>
    <w:rsid w:val="0095544A"/>
    <w:rsid w:val="0095656F"/>
    <w:rsid w:val="009567F4"/>
    <w:rsid w:val="00956C21"/>
    <w:rsid w:val="00960305"/>
    <w:rsid w:val="00960EB7"/>
    <w:rsid w:val="00961141"/>
    <w:rsid w:val="009622FD"/>
    <w:rsid w:val="00962971"/>
    <w:rsid w:val="00964F58"/>
    <w:rsid w:val="00965DCD"/>
    <w:rsid w:val="00967E3A"/>
    <w:rsid w:val="00967F6C"/>
    <w:rsid w:val="00971060"/>
    <w:rsid w:val="00972302"/>
    <w:rsid w:val="0097269E"/>
    <w:rsid w:val="00974437"/>
    <w:rsid w:val="00974503"/>
    <w:rsid w:val="00974557"/>
    <w:rsid w:val="00974DA0"/>
    <w:rsid w:val="00975539"/>
    <w:rsid w:val="00975FB6"/>
    <w:rsid w:val="009763F9"/>
    <w:rsid w:val="00976CDB"/>
    <w:rsid w:val="00977A4A"/>
    <w:rsid w:val="00980189"/>
    <w:rsid w:val="0098030D"/>
    <w:rsid w:val="009829A3"/>
    <w:rsid w:val="00983C53"/>
    <w:rsid w:val="00983F89"/>
    <w:rsid w:val="00984C1C"/>
    <w:rsid w:val="009861F2"/>
    <w:rsid w:val="00986574"/>
    <w:rsid w:val="009866E8"/>
    <w:rsid w:val="00986F9E"/>
    <w:rsid w:val="00987422"/>
    <w:rsid w:val="009879D8"/>
    <w:rsid w:val="009902EE"/>
    <w:rsid w:val="009905C3"/>
    <w:rsid w:val="009905CD"/>
    <w:rsid w:val="00990EB7"/>
    <w:rsid w:val="00992A7E"/>
    <w:rsid w:val="009930AE"/>
    <w:rsid w:val="00993458"/>
    <w:rsid w:val="00993537"/>
    <w:rsid w:val="00993998"/>
    <w:rsid w:val="00993EB0"/>
    <w:rsid w:val="00994721"/>
    <w:rsid w:val="00995B7A"/>
    <w:rsid w:val="00996297"/>
    <w:rsid w:val="00996EBF"/>
    <w:rsid w:val="00997243"/>
    <w:rsid w:val="00997EA3"/>
    <w:rsid w:val="009A017E"/>
    <w:rsid w:val="009A0383"/>
    <w:rsid w:val="009A0801"/>
    <w:rsid w:val="009A18AE"/>
    <w:rsid w:val="009A1A49"/>
    <w:rsid w:val="009A1C8F"/>
    <w:rsid w:val="009A2A16"/>
    <w:rsid w:val="009A3056"/>
    <w:rsid w:val="009A3F54"/>
    <w:rsid w:val="009A406E"/>
    <w:rsid w:val="009A5259"/>
    <w:rsid w:val="009A5641"/>
    <w:rsid w:val="009A5AC1"/>
    <w:rsid w:val="009A6169"/>
    <w:rsid w:val="009A6F89"/>
    <w:rsid w:val="009A7300"/>
    <w:rsid w:val="009A7503"/>
    <w:rsid w:val="009A7807"/>
    <w:rsid w:val="009A7F4F"/>
    <w:rsid w:val="009A7F8D"/>
    <w:rsid w:val="009B0200"/>
    <w:rsid w:val="009B1829"/>
    <w:rsid w:val="009B2A76"/>
    <w:rsid w:val="009B2C3D"/>
    <w:rsid w:val="009B349B"/>
    <w:rsid w:val="009B529B"/>
    <w:rsid w:val="009B5420"/>
    <w:rsid w:val="009B5584"/>
    <w:rsid w:val="009B5C09"/>
    <w:rsid w:val="009B63C0"/>
    <w:rsid w:val="009B6ECC"/>
    <w:rsid w:val="009B739C"/>
    <w:rsid w:val="009B743B"/>
    <w:rsid w:val="009B763C"/>
    <w:rsid w:val="009B7E0A"/>
    <w:rsid w:val="009C0F5F"/>
    <w:rsid w:val="009C2F34"/>
    <w:rsid w:val="009C2FD8"/>
    <w:rsid w:val="009C39B3"/>
    <w:rsid w:val="009C3B38"/>
    <w:rsid w:val="009C43FE"/>
    <w:rsid w:val="009C4899"/>
    <w:rsid w:val="009C61D3"/>
    <w:rsid w:val="009C6A73"/>
    <w:rsid w:val="009C6BA1"/>
    <w:rsid w:val="009C7FA7"/>
    <w:rsid w:val="009D267E"/>
    <w:rsid w:val="009D2752"/>
    <w:rsid w:val="009D2ECC"/>
    <w:rsid w:val="009D3415"/>
    <w:rsid w:val="009D3425"/>
    <w:rsid w:val="009D36B0"/>
    <w:rsid w:val="009D4739"/>
    <w:rsid w:val="009D4A23"/>
    <w:rsid w:val="009D5641"/>
    <w:rsid w:val="009D57E8"/>
    <w:rsid w:val="009D604F"/>
    <w:rsid w:val="009D6C2F"/>
    <w:rsid w:val="009D6F30"/>
    <w:rsid w:val="009D77A8"/>
    <w:rsid w:val="009D790F"/>
    <w:rsid w:val="009D7BE5"/>
    <w:rsid w:val="009E0B11"/>
    <w:rsid w:val="009E1180"/>
    <w:rsid w:val="009E1D33"/>
    <w:rsid w:val="009E2684"/>
    <w:rsid w:val="009E286A"/>
    <w:rsid w:val="009E29D0"/>
    <w:rsid w:val="009E2EE9"/>
    <w:rsid w:val="009E3F56"/>
    <w:rsid w:val="009E3FD8"/>
    <w:rsid w:val="009E4727"/>
    <w:rsid w:val="009E4837"/>
    <w:rsid w:val="009E53FA"/>
    <w:rsid w:val="009E6017"/>
    <w:rsid w:val="009E6EE5"/>
    <w:rsid w:val="009F090A"/>
    <w:rsid w:val="009F0BE3"/>
    <w:rsid w:val="009F13EC"/>
    <w:rsid w:val="009F18A6"/>
    <w:rsid w:val="009F2306"/>
    <w:rsid w:val="009F410E"/>
    <w:rsid w:val="009F4398"/>
    <w:rsid w:val="009F6691"/>
    <w:rsid w:val="009F7927"/>
    <w:rsid w:val="009F7E0D"/>
    <w:rsid w:val="00A00334"/>
    <w:rsid w:val="00A005B5"/>
    <w:rsid w:val="00A00D48"/>
    <w:rsid w:val="00A015A2"/>
    <w:rsid w:val="00A01A49"/>
    <w:rsid w:val="00A03EF0"/>
    <w:rsid w:val="00A04143"/>
    <w:rsid w:val="00A0427D"/>
    <w:rsid w:val="00A04BE7"/>
    <w:rsid w:val="00A0524E"/>
    <w:rsid w:val="00A05276"/>
    <w:rsid w:val="00A05901"/>
    <w:rsid w:val="00A05FDB"/>
    <w:rsid w:val="00A076E5"/>
    <w:rsid w:val="00A07979"/>
    <w:rsid w:val="00A07BA5"/>
    <w:rsid w:val="00A10982"/>
    <w:rsid w:val="00A12FE6"/>
    <w:rsid w:val="00A13742"/>
    <w:rsid w:val="00A13F43"/>
    <w:rsid w:val="00A14079"/>
    <w:rsid w:val="00A14689"/>
    <w:rsid w:val="00A207B2"/>
    <w:rsid w:val="00A2181C"/>
    <w:rsid w:val="00A23DA1"/>
    <w:rsid w:val="00A23ED9"/>
    <w:rsid w:val="00A25F4E"/>
    <w:rsid w:val="00A26BB4"/>
    <w:rsid w:val="00A2706E"/>
    <w:rsid w:val="00A27167"/>
    <w:rsid w:val="00A27472"/>
    <w:rsid w:val="00A2754F"/>
    <w:rsid w:val="00A30011"/>
    <w:rsid w:val="00A30021"/>
    <w:rsid w:val="00A308B1"/>
    <w:rsid w:val="00A30DF4"/>
    <w:rsid w:val="00A31864"/>
    <w:rsid w:val="00A328A5"/>
    <w:rsid w:val="00A32EC6"/>
    <w:rsid w:val="00A33D15"/>
    <w:rsid w:val="00A3425D"/>
    <w:rsid w:val="00A34D2F"/>
    <w:rsid w:val="00A34F44"/>
    <w:rsid w:val="00A35085"/>
    <w:rsid w:val="00A351AE"/>
    <w:rsid w:val="00A3746E"/>
    <w:rsid w:val="00A409D6"/>
    <w:rsid w:val="00A424E8"/>
    <w:rsid w:val="00A425A5"/>
    <w:rsid w:val="00A43890"/>
    <w:rsid w:val="00A43B3F"/>
    <w:rsid w:val="00A43EC3"/>
    <w:rsid w:val="00A442A7"/>
    <w:rsid w:val="00A443D7"/>
    <w:rsid w:val="00A461CE"/>
    <w:rsid w:val="00A466BA"/>
    <w:rsid w:val="00A4764A"/>
    <w:rsid w:val="00A5097A"/>
    <w:rsid w:val="00A51A08"/>
    <w:rsid w:val="00A51F3E"/>
    <w:rsid w:val="00A533D3"/>
    <w:rsid w:val="00A54212"/>
    <w:rsid w:val="00A54EA4"/>
    <w:rsid w:val="00A55427"/>
    <w:rsid w:val="00A556AA"/>
    <w:rsid w:val="00A5625F"/>
    <w:rsid w:val="00A569F1"/>
    <w:rsid w:val="00A56E02"/>
    <w:rsid w:val="00A57234"/>
    <w:rsid w:val="00A57C23"/>
    <w:rsid w:val="00A62E1C"/>
    <w:rsid w:val="00A62EFA"/>
    <w:rsid w:val="00A6370D"/>
    <w:rsid w:val="00A648D7"/>
    <w:rsid w:val="00A64F58"/>
    <w:rsid w:val="00A658B6"/>
    <w:rsid w:val="00A658EF"/>
    <w:rsid w:val="00A65A1A"/>
    <w:rsid w:val="00A65BD0"/>
    <w:rsid w:val="00A674EA"/>
    <w:rsid w:val="00A67D3B"/>
    <w:rsid w:val="00A7085F"/>
    <w:rsid w:val="00A709C0"/>
    <w:rsid w:val="00A7110D"/>
    <w:rsid w:val="00A71345"/>
    <w:rsid w:val="00A71349"/>
    <w:rsid w:val="00A71C59"/>
    <w:rsid w:val="00A72AFE"/>
    <w:rsid w:val="00A72E16"/>
    <w:rsid w:val="00A734E5"/>
    <w:rsid w:val="00A736F7"/>
    <w:rsid w:val="00A74B49"/>
    <w:rsid w:val="00A765EE"/>
    <w:rsid w:val="00A76B39"/>
    <w:rsid w:val="00A80B4C"/>
    <w:rsid w:val="00A80DE4"/>
    <w:rsid w:val="00A81936"/>
    <w:rsid w:val="00A81ACC"/>
    <w:rsid w:val="00A82178"/>
    <w:rsid w:val="00A822B4"/>
    <w:rsid w:val="00A82978"/>
    <w:rsid w:val="00A82B8F"/>
    <w:rsid w:val="00A83C2D"/>
    <w:rsid w:val="00A8420F"/>
    <w:rsid w:val="00A84393"/>
    <w:rsid w:val="00A856C8"/>
    <w:rsid w:val="00A862D2"/>
    <w:rsid w:val="00A87D5E"/>
    <w:rsid w:val="00A90C9F"/>
    <w:rsid w:val="00A90E88"/>
    <w:rsid w:val="00A913E6"/>
    <w:rsid w:val="00A92106"/>
    <w:rsid w:val="00A923B9"/>
    <w:rsid w:val="00A9252B"/>
    <w:rsid w:val="00A92F20"/>
    <w:rsid w:val="00A93287"/>
    <w:rsid w:val="00A96BE4"/>
    <w:rsid w:val="00AA49A6"/>
    <w:rsid w:val="00AA4A0A"/>
    <w:rsid w:val="00AA572D"/>
    <w:rsid w:val="00AA5C7C"/>
    <w:rsid w:val="00AA636F"/>
    <w:rsid w:val="00AA6990"/>
    <w:rsid w:val="00AA765B"/>
    <w:rsid w:val="00AB01DA"/>
    <w:rsid w:val="00AB1550"/>
    <w:rsid w:val="00AB21E6"/>
    <w:rsid w:val="00AB3618"/>
    <w:rsid w:val="00AB4A17"/>
    <w:rsid w:val="00AB4F33"/>
    <w:rsid w:val="00AB6095"/>
    <w:rsid w:val="00AB6677"/>
    <w:rsid w:val="00AB6B5D"/>
    <w:rsid w:val="00AB6BA4"/>
    <w:rsid w:val="00AB7248"/>
    <w:rsid w:val="00AB7E87"/>
    <w:rsid w:val="00AC029C"/>
    <w:rsid w:val="00AC0C6C"/>
    <w:rsid w:val="00AC13F4"/>
    <w:rsid w:val="00AC3F78"/>
    <w:rsid w:val="00AC6342"/>
    <w:rsid w:val="00AC6508"/>
    <w:rsid w:val="00AC689C"/>
    <w:rsid w:val="00AC6EEE"/>
    <w:rsid w:val="00AC6F85"/>
    <w:rsid w:val="00AC79D7"/>
    <w:rsid w:val="00AD085A"/>
    <w:rsid w:val="00AD0CF6"/>
    <w:rsid w:val="00AD1D25"/>
    <w:rsid w:val="00AD236E"/>
    <w:rsid w:val="00AD24CD"/>
    <w:rsid w:val="00AD2D7D"/>
    <w:rsid w:val="00AD384F"/>
    <w:rsid w:val="00AD3B3C"/>
    <w:rsid w:val="00AD3D1B"/>
    <w:rsid w:val="00AD4250"/>
    <w:rsid w:val="00AD4965"/>
    <w:rsid w:val="00AD4E19"/>
    <w:rsid w:val="00AD559E"/>
    <w:rsid w:val="00AD5AE7"/>
    <w:rsid w:val="00AD5C3D"/>
    <w:rsid w:val="00AD6EE7"/>
    <w:rsid w:val="00AD7330"/>
    <w:rsid w:val="00AD74D0"/>
    <w:rsid w:val="00AE01D6"/>
    <w:rsid w:val="00AE15FA"/>
    <w:rsid w:val="00AE2A97"/>
    <w:rsid w:val="00AE3790"/>
    <w:rsid w:val="00AE3C21"/>
    <w:rsid w:val="00AE437E"/>
    <w:rsid w:val="00AE4FAF"/>
    <w:rsid w:val="00AE500B"/>
    <w:rsid w:val="00AE517B"/>
    <w:rsid w:val="00AE5207"/>
    <w:rsid w:val="00AE594E"/>
    <w:rsid w:val="00AE5ACD"/>
    <w:rsid w:val="00AE5B25"/>
    <w:rsid w:val="00AE7BF0"/>
    <w:rsid w:val="00AF0113"/>
    <w:rsid w:val="00AF12E4"/>
    <w:rsid w:val="00AF175D"/>
    <w:rsid w:val="00AF2FDB"/>
    <w:rsid w:val="00AF30EC"/>
    <w:rsid w:val="00AF3705"/>
    <w:rsid w:val="00AF3A1D"/>
    <w:rsid w:val="00AF4302"/>
    <w:rsid w:val="00AF4842"/>
    <w:rsid w:val="00AF65B6"/>
    <w:rsid w:val="00AF6F61"/>
    <w:rsid w:val="00AF7AFF"/>
    <w:rsid w:val="00B01394"/>
    <w:rsid w:val="00B014DB"/>
    <w:rsid w:val="00B01554"/>
    <w:rsid w:val="00B01825"/>
    <w:rsid w:val="00B0396E"/>
    <w:rsid w:val="00B0429C"/>
    <w:rsid w:val="00B04919"/>
    <w:rsid w:val="00B04E6F"/>
    <w:rsid w:val="00B053D8"/>
    <w:rsid w:val="00B05B1F"/>
    <w:rsid w:val="00B05B91"/>
    <w:rsid w:val="00B067BA"/>
    <w:rsid w:val="00B0762D"/>
    <w:rsid w:val="00B077E8"/>
    <w:rsid w:val="00B10695"/>
    <w:rsid w:val="00B1133B"/>
    <w:rsid w:val="00B1143A"/>
    <w:rsid w:val="00B11AAC"/>
    <w:rsid w:val="00B13990"/>
    <w:rsid w:val="00B140FD"/>
    <w:rsid w:val="00B153AC"/>
    <w:rsid w:val="00B15BF3"/>
    <w:rsid w:val="00B164A6"/>
    <w:rsid w:val="00B16B53"/>
    <w:rsid w:val="00B17788"/>
    <w:rsid w:val="00B1789A"/>
    <w:rsid w:val="00B20007"/>
    <w:rsid w:val="00B20C12"/>
    <w:rsid w:val="00B219D2"/>
    <w:rsid w:val="00B232F5"/>
    <w:rsid w:val="00B2397B"/>
    <w:rsid w:val="00B241E5"/>
    <w:rsid w:val="00B243BA"/>
    <w:rsid w:val="00B25E2E"/>
    <w:rsid w:val="00B25F3F"/>
    <w:rsid w:val="00B264CF"/>
    <w:rsid w:val="00B26D2E"/>
    <w:rsid w:val="00B272EA"/>
    <w:rsid w:val="00B30512"/>
    <w:rsid w:val="00B30743"/>
    <w:rsid w:val="00B3079B"/>
    <w:rsid w:val="00B30C68"/>
    <w:rsid w:val="00B31AF4"/>
    <w:rsid w:val="00B31C11"/>
    <w:rsid w:val="00B329A5"/>
    <w:rsid w:val="00B331E3"/>
    <w:rsid w:val="00B33891"/>
    <w:rsid w:val="00B339F9"/>
    <w:rsid w:val="00B341EF"/>
    <w:rsid w:val="00B3420B"/>
    <w:rsid w:val="00B348FB"/>
    <w:rsid w:val="00B34CE6"/>
    <w:rsid w:val="00B35913"/>
    <w:rsid w:val="00B35930"/>
    <w:rsid w:val="00B373B6"/>
    <w:rsid w:val="00B37F6C"/>
    <w:rsid w:val="00B404DB"/>
    <w:rsid w:val="00B411EB"/>
    <w:rsid w:val="00B416A0"/>
    <w:rsid w:val="00B4252E"/>
    <w:rsid w:val="00B42931"/>
    <w:rsid w:val="00B42E0A"/>
    <w:rsid w:val="00B43548"/>
    <w:rsid w:val="00B437EE"/>
    <w:rsid w:val="00B4569D"/>
    <w:rsid w:val="00B472D8"/>
    <w:rsid w:val="00B47634"/>
    <w:rsid w:val="00B47776"/>
    <w:rsid w:val="00B47C41"/>
    <w:rsid w:val="00B50924"/>
    <w:rsid w:val="00B50936"/>
    <w:rsid w:val="00B5095E"/>
    <w:rsid w:val="00B50A2B"/>
    <w:rsid w:val="00B521D3"/>
    <w:rsid w:val="00B54163"/>
    <w:rsid w:val="00B54536"/>
    <w:rsid w:val="00B5476D"/>
    <w:rsid w:val="00B5528B"/>
    <w:rsid w:val="00B55727"/>
    <w:rsid w:val="00B569A8"/>
    <w:rsid w:val="00B56B4E"/>
    <w:rsid w:val="00B572F0"/>
    <w:rsid w:val="00B57E9C"/>
    <w:rsid w:val="00B57EF5"/>
    <w:rsid w:val="00B60FDA"/>
    <w:rsid w:val="00B61466"/>
    <w:rsid w:val="00B61A3B"/>
    <w:rsid w:val="00B61A91"/>
    <w:rsid w:val="00B61C24"/>
    <w:rsid w:val="00B61F56"/>
    <w:rsid w:val="00B62B83"/>
    <w:rsid w:val="00B633C8"/>
    <w:rsid w:val="00B63D99"/>
    <w:rsid w:val="00B65AD1"/>
    <w:rsid w:val="00B660BE"/>
    <w:rsid w:val="00B66871"/>
    <w:rsid w:val="00B669A5"/>
    <w:rsid w:val="00B67B17"/>
    <w:rsid w:val="00B67DEE"/>
    <w:rsid w:val="00B7123E"/>
    <w:rsid w:val="00B71365"/>
    <w:rsid w:val="00B75F93"/>
    <w:rsid w:val="00B76876"/>
    <w:rsid w:val="00B76D38"/>
    <w:rsid w:val="00B771EB"/>
    <w:rsid w:val="00B77FA9"/>
    <w:rsid w:val="00B807B9"/>
    <w:rsid w:val="00B80A6C"/>
    <w:rsid w:val="00B80DD1"/>
    <w:rsid w:val="00B81503"/>
    <w:rsid w:val="00B84BA8"/>
    <w:rsid w:val="00B85359"/>
    <w:rsid w:val="00B86695"/>
    <w:rsid w:val="00B90425"/>
    <w:rsid w:val="00B90AAF"/>
    <w:rsid w:val="00B90DAF"/>
    <w:rsid w:val="00B92D02"/>
    <w:rsid w:val="00B931E6"/>
    <w:rsid w:val="00B93E7C"/>
    <w:rsid w:val="00B94D86"/>
    <w:rsid w:val="00B97B2E"/>
    <w:rsid w:val="00B97D2C"/>
    <w:rsid w:val="00BA036B"/>
    <w:rsid w:val="00BA1A59"/>
    <w:rsid w:val="00BA1D1F"/>
    <w:rsid w:val="00BA233D"/>
    <w:rsid w:val="00BA6C12"/>
    <w:rsid w:val="00BA6D59"/>
    <w:rsid w:val="00BA75EC"/>
    <w:rsid w:val="00BA784A"/>
    <w:rsid w:val="00BB1BB5"/>
    <w:rsid w:val="00BB2502"/>
    <w:rsid w:val="00BB3845"/>
    <w:rsid w:val="00BB48DA"/>
    <w:rsid w:val="00BB4BBA"/>
    <w:rsid w:val="00BB57D4"/>
    <w:rsid w:val="00BB6122"/>
    <w:rsid w:val="00BB6461"/>
    <w:rsid w:val="00BB6C0A"/>
    <w:rsid w:val="00BB6F71"/>
    <w:rsid w:val="00BB71B0"/>
    <w:rsid w:val="00BB71EE"/>
    <w:rsid w:val="00BB7AFB"/>
    <w:rsid w:val="00BC0459"/>
    <w:rsid w:val="00BC0F85"/>
    <w:rsid w:val="00BC237C"/>
    <w:rsid w:val="00BC2C48"/>
    <w:rsid w:val="00BC334F"/>
    <w:rsid w:val="00BC3979"/>
    <w:rsid w:val="00BC4600"/>
    <w:rsid w:val="00BC5157"/>
    <w:rsid w:val="00BC5BE5"/>
    <w:rsid w:val="00BC68F2"/>
    <w:rsid w:val="00BC6CDC"/>
    <w:rsid w:val="00BC708B"/>
    <w:rsid w:val="00BD01A5"/>
    <w:rsid w:val="00BD022B"/>
    <w:rsid w:val="00BD0315"/>
    <w:rsid w:val="00BD1253"/>
    <w:rsid w:val="00BD1C37"/>
    <w:rsid w:val="00BD38EC"/>
    <w:rsid w:val="00BD42F8"/>
    <w:rsid w:val="00BD4A17"/>
    <w:rsid w:val="00BD560D"/>
    <w:rsid w:val="00BD69CD"/>
    <w:rsid w:val="00BD7083"/>
    <w:rsid w:val="00BD70E9"/>
    <w:rsid w:val="00BE1232"/>
    <w:rsid w:val="00BE35E0"/>
    <w:rsid w:val="00BE4A99"/>
    <w:rsid w:val="00BE54A1"/>
    <w:rsid w:val="00BE5CAF"/>
    <w:rsid w:val="00BE5D64"/>
    <w:rsid w:val="00BE636F"/>
    <w:rsid w:val="00BE655D"/>
    <w:rsid w:val="00BE6D87"/>
    <w:rsid w:val="00BE7237"/>
    <w:rsid w:val="00BF0114"/>
    <w:rsid w:val="00BF05DB"/>
    <w:rsid w:val="00BF0BFF"/>
    <w:rsid w:val="00BF0C2B"/>
    <w:rsid w:val="00BF2A05"/>
    <w:rsid w:val="00BF2A58"/>
    <w:rsid w:val="00BF3C04"/>
    <w:rsid w:val="00BF3FC7"/>
    <w:rsid w:val="00BF5E52"/>
    <w:rsid w:val="00BF7ECB"/>
    <w:rsid w:val="00C001D1"/>
    <w:rsid w:val="00C009A4"/>
    <w:rsid w:val="00C0103E"/>
    <w:rsid w:val="00C02F8C"/>
    <w:rsid w:val="00C02FB9"/>
    <w:rsid w:val="00C03657"/>
    <w:rsid w:val="00C039F8"/>
    <w:rsid w:val="00C03D62"/>
    <w:rsid w:val="00C04850"/>
    <w:rsid w:val="00C04F6E"/>
    <w:rsid w:val="00C05739"/>
    <w:rsid w:val="00C05EF3"/>
    <w:rsid w:val="00C05FD7"/>
    <w:rsid w:val="00C0705A"/>
    <w:rsid w:val="00C1018E"/>
    <w:rsid w:val="00C11571"/>
    <w:rsid w:val="00C129E2"/>
    <w:rsid w:val="00C131F8"/>
    <w:rsid w:val="00C13EF9"/>
    <w:rsid w:val="00C17472"/>
    <w:rsid w:val="00C174C0"/>
    <w:rsid w:val="00C20965"/>
    <w:rsid w:val="00C209EF"/>
    <w:rsid w:val="00C20A9F"/>
    <w:rsid w:val="00C21E37"/>
    <w:rsid w:val="00C22A93"/>
    <w:rsid w:val="00C22E2E"/>
    <w:rsid w:val="00C23236"/>
    <w:rsid w:val="00C24DFC"/>
    <w:rsid w:val="00C255C0"/>
    <w:rsid w:val="00C26773"/>
    <w:rsid w:val="00C272AE"/>
    <w:rsid w:val="00C30042"/>
    <w:rsid w:val="00C30B7D"/>
    <w:rsid w:val="00C31256"/>
    <w:rsid w:val="00C31FCF"/>
    <w:rsid w:val="00C32F6A"/>
    <w:rsid w:val="00C33624"/>
    <w:rsid w:val="00C33857"/>
    <w:rsid w:val="00C34FD9"/>
    <w:rsid w:val="00C358A0"/>
    <w:rsid w:val="00C36816"/>
    <w:rsid w:val="00C37034"/>
    <w:rsid w:val="00C41553"/>
    <w:rsid w:val="00C4184E"/>
    <w:rsid w:val="00C4298F"/>
    <w:rsid w:val="00C434BE"/>
    <w:rsid w:val="00C45A59"/>
    <w:rsid w:val="00C45B61"/>
    <w:rsid w:val="00C46472"/>
    <w:rsid w:val="00C506C6"/>
    <w:rsid w:val="00C508EA"/>
    <w:rsid w:val="00C512EE"/>
    <w:rsid w:val="00C51518"/>
    <w:rsid w:val="00C51A10"/>
    <w:rsid w:val="00C51CAE"/>
    <w:rsid w:val="00C52285"/>
    <w:rsid w:val="00C5276C"/>
    <w:rsid w:val="00C52D8E"/>
    <w:rsid w:val="00C53403"/>
    <w:rsid w:val="00C54906"/>
    <w:rsid w:val="00C54B33"/>
    <w:rsid w:val="00C54E8C"/>
    <w:rsid w:val="00C559FF"/>
    <w:rsid w:val="00C570D8"/>
    <w:rsid w:val="00C573B3"/>
    <w:rsid w:val="00C612EB"/>
    <w:rsid w:val="00C619F8"/>
    <w:rsid w:val="00C62BB4"/>
    <w:rsid w:val="00C6363B"/>
    <w:rsid w:val="00C6421A"/>
    <w:rsid w:val="00C649F4"/>
    <w:rsid w:val="00C64D14"/>
    <w:rsid w:val="00C64EF2"/>
    <w:rsid w:val="00C65175"/>
    <w:rsid w:val="00C65DC2"/>
    <w:rsid w:val="00C66338"/>
    <w:rsid w:val="00C6789B"/>
    <w:rsid w:val="00C67E43"/>
    <w:rsid w:val="00C67E91"/>
    <w:rsid w:val="00C7009E"/>
    <w:rsid w:val="00C71903"/>
    <w:rsid w:val="00C724CB"/>
    <w:rsid w:val="00C72C12"/>
    <w:rsid w:val="00C73149"/>
    <w:rsid w:val="00C74073"/>
    <w:rsid w:val="00C740D1"/>
    <w:rsid w:val="00C76015"/>
    <w:rsid w:val="00C76804"/>
    <w:rsid w:val="00C76D70"/>
    <w:rsid w:val="00C81F82"/>
    <w:rsid w:val="00C83D07"/>
    <w:rsid w:val="00C83F3D"/>
    <w:rsid w:val="00C85055"/>
    <w:rsid w:val="00C8666F"/>
    <w:rsid w:val="00C8669C"/>
    <w:rsid w:val="00C87463"/>
    <w:rsid w:val="00C87F04"/>
    <w:rsid w:val="00C90BA7"/>
    <w:rsid w:val="00C912A2"/>
    <w:rsid w:val="00C91B7F"/>
    <w:rsid w:val="00C92215"/>
    <w:rsid w:val="00C92E88"/>
    <w:rsid w:val="00C943DA"/>
    <w:rsid w:val="00C94DDD"/>
    <w:rsid w:val="00C94FC7"/>
    <w:rsid w:val="00C95223"/>
    <w:rsid w:val="00C95BEA"/>
    <w:rsid w:val="00C960CA"/>
    <w:rsid w:val="00C96576"/>
    <w:rsid w:val="00C97205"/>
    <w:rsid w:val="00C978A7"/>
    <w:rsid w:val="00CA00D2"/>
    <w:rsid w:val="00CA0C24"/>
    <w:rsid w:val="00CA0DC9"/>
    <w:rsid w:val="00CA1503"/>
    <w:rsid w:val="00CA30FC"/>
    <w:rsid w:val="00CA347A"/>
    <w:rsid w:val="00CA3E66"/>
    <w:rsid w:val="00CA4199"/>
    <w:rsid w:val="00CA45A4"/>
    <w:rsid w:val="00CA4AFE"/>
    <w:rsid w:val="00CA5899"/>
    <w:rsid w:val="00CA6B04"/>
    <w:rsid w:val="00CA6FC2"/>
    <w:rsid w:val="00CA7552"/>
    <w:rsid w:val="00CA7ABF"/>
    <w:rsid w:val="00CB0275"/>
    <w:rsid w:val="00CB0597"/>
    <w:rsid w:val="00CB08A2"/>
    <w:rsid w:val="00CB0EB8"/>
    <w:rsid w:val="00CB21DA"/>
    <w:rsid w:val="00CB2CC6"/>
    <w:rsid w:val="00CB2D99"/>
    <w:rsid w:val="00CB4194"/>
    <w:rsid w:val="00CB443D"/>
    <w:rsid w:val="00CB468F"/>
    <w:rsid w:val="00CB4D17"/>
    <w:rsid w:val="00CB66A0"/>
    <w:rsid w:val="00CB6A06"/>
    <w:rsid w:val="00CB6F2E"/>
    <w:rsid w:val="00CB728B"/>
    <w:rsid w:val="00CB73A5"/>
    <w:rsid w:val="00CB7B31"/>
    <w:rsid w:val="00CB7F47"/>
    <w:rsid w:val="00CC007E"/>
    <w:rsid w:val="00CC07B6"/>
    <w:rsid w:val="00CC0A97"/>
    <w:rsid w:val="00CC182B"/>
    <w:rsid w:val="00CC1F6D"/>
    <w:rsid w:val="00CC297C"/>
    <w:rsid w:val="00CC2A8F"/>
    <w:rsid w:val="00CC4060"/>
    <w:rsid w:val="00CC4117"/>
    <w:rsid w:val="00CC4357"/>
    <w:rsid w:val="00CC483B"/>
    <w:rsid w:val="00CC488C"/>
    <w:rsid w:val="00CC494B"/>
    <w:rsid w:val="00CC5097"/>
    <w:rsid w:val="00CC56DA"/>
    <w:rsid w:val="00CC580F"/>
    <w:rsid w:val="00CC5DCA"/>
    <w:rsid w:val="00CC6A32"/>
    <w:rsid w:val="00CC6C06"/>
    <w:rsid w:val="00CC7182"/>
    <w:rsid w:val="00CD0705"/>
    <w:rsid w:val="00CD13E3"/>
    <w:rsid w:val="00CD1792"/>
    <w:rsid w:val="00CD2E51"/>
    <w:rsid w:val="00CD40A4"/>
    <w:rsid w:val="00CD5DD6"/>
    <w:rsid w:val="00CD639B"/>
    <w:rsid w:val="00CD63CD"/>
    <w:rsid w:val="00CD77F5"/>
    <w:rsid w:val="00CD7929"/>
    <w:rsid w:val="00CE00CF"/>
    <w:rsid w:val="00CE0596"/>
    <w:rsid w:val="00CE0F83"/>
    <w:rsid w:val="00CE14AB"/>
    <w:rsid w:val="00CE1745"/>
    <w:rsid w:val="00CE228A"/>
    <w:rsid w:val="00CE3281"/>
    <w:rsid w:val="00CE345C"/>
    <w:rsid w:val="00CE42BE"/>
    <w:rsid w:val="00CE4E3F"/>
    <w:rsid w:val="00CE5B40"/>
    <w:rsid w:val="00CE5B5A"/>
    <w:rsid w:val="00CE5BDF"/>
    <w:rsid w:val="00CE646D"/>
    <w:rsid w:val="00CF0110"/>
    <w:rsid w:val="00CF0263"/>
    <w:rsid w:val="00CF1723"/>
    <w:rsid w:val="00CF1C56"/>
    <w:rsid w:val="00CF2554"/>
    <w:rsid w:val="00CF2C5B"/>
    <w:rsid w:val="00CF31FE"/>
    <w:rsid w:val="00CF3FB3"/>
    <w:rsid w:val="00CF41BA"/>
    <w:rsid w:val="00CF441D"/>
    <w:rsid w:val="00CF4A05"/>
    <w:rsid w:val="00CF51F5"/>
    <w:rsid w:val="00CF5A0D"/>
    <w:rsid w:val="00CF690A"/>
    <w:rsid w:val="00CF6A06"/>
    <w:rsid w:val="00CF7C77"/>
    <w:rsid w:val="00CF7F1B"/>
    <w:rsid w:val="00D0042E"/>
    <w:rsid w:val="00D01FD1"/>
    <w:rsid w:val="00D020BC"/>
    <w:rsid w:val="00D028C8"/>
    <w:rsid w:val="00D03B62"/>
    <w:rsid w:val="00D0477A"/>
    <w:rsid w:val="00D04982"/>
    <w:rsid w:val="00D051D6"/>
    <w:rsid w:val="00D07B00"/>
    <w:rsid w:val="00D114E7"/>
    <w:rsid w:val="00D1234A"/>
    <w:rsid w:val="00D124DA"/>
    <w:rsid w:val="00D12602"/>
    <w:rsid w:val="00D13EAF"/>
    <w:rsid w:val="00D144E3"/>
    <w:rsid w:val="00D15929"/>
    <w:rsid w:val="00D1659B"/>
    <w:rsid w:val="00D16E1C"/>
    <w:rsid w:val="00D17732"/>
    <w:rsid w:val="00D2065C"/>
    <w:rsid w:val="00D21EA6"/>
    <w:rsid w:val="00D229CA"/>
    <w:rsid w:val="00D23695"/>
    <w:rsid w:val="00D2387E"/>
    <w:rsid w:val="00D23958"/>
    <w:rsid w:val="00D2396B"/>
    <w:rsid w:val="00D23EF0"/>
    <w:rsid w:val="00D26B1F"/>
    <w:rsid w:val="00D27B28"/>
    <w:rsid w:val="00D30E5E"/>
    <w:rsid w:val="00D31F7E"/>
    <w:rsid w:val="00D32C25"/>
    <w:rsid w:val="00D32EE7"/>
    <w:rsid w:val="00D33B02"/>
    <w:rsid w:val="00D34253"/>
    <w:rsid w:val="00D3439D"/>
    <w:rsid w:val="00D34793"/>
    <w:rsid w:val="00D35A44"/>
    <w:rsid w:val="00D36007"/>
    <w:rsid w:val="00D36B28"/>
    <w:rsid w:val="00D372A1"/>
    <w:rsid w:val="00D373F0"/>
    <w:rsid w:val="00D40E06"/>
    <w:rsid w:val="00D416CC"/>
    <w:rsid w:val="00D41D4C"/>
    <w:rsid w:val="00D427AC"/>
    <w:rsid w:val="00D43256"/>
    <w:rsid w:val="00D43763"/>
    <w:rsid w:val="00D43E24"/>
    <w:rsid w:val="00D45164"/>
    <w:rsid w:val="00D452B4"/>
    <w:rsid w:val="00D4567A"/>
    <w:rsid w:val="00D45F54"/>
    <w:rsid w:val="00D4695A"/>
    <w:rsid w:val="00D47236"/>
    <w:rsid w:val="00D472EE"/>
    <w:rsid w:val="00D50346"/>
    <w:rsid w:val="00D50626"/>
    <w:rsid w:val="00D50772"/>
    <w:rsid w:val="00D50CA9"/>
    <w:rsid w:val="00D5152F"/>
    <w:rsid w:val="00D51C56"/>
    <w:rsid w:val="00D51E8B"/>
    <w:rsid w:val="00D52627"/>
    <w:rsid w:val="00D528FE"/>
    <w:rsid w:val="00D529F1"/>
    <w:rsid w:val="00D52AD4"/>
    <w:rsid w:val="00D52D8E"/>
    <w:rsid w:val="00D543F8"/>
    <w:rsid w:val="00D54420"/>
    <w:rsid w:val="00D545E8"/>
    <w:rsid w:val="00D54D0D"/>
    <w:rsid w:val="00D5774D"/>
    <w:rsid w:val="00D60972"/>
    <w:rsid w:val="00D612DC"/>
    <w:rsid w:val="00D61333"/>
    <w:rsid w:val="00D6152F"/>
    <w:rsid w:val="00D61701"/>
    <w:rsid w:val="00D61734"/>
    <w:rsid w:val="00D6224F"/>
    <w:rsid w:val="00D62292"/>
    <w:rsid w:val="00D62ABA"/>
    <w:rsid w:val="00D63A42"/>
    <w:rsid w:val="00D63B49"/>
    <w:rsid w:val="00D63DAC"/>
    <w:rsid w:val="00D650CD"/>
    <w:rsid w:val="00D651E2"/>
    <w:rsid w:val="00D65B73"/>
    <w:rsid w:val="00D66808"/>
    <w:rsid w:val="00D6738A"/>
    <w:rsid w:val="00D67C27"/>
    <w:rsid w:val="00D7077E"/>
    <w:rsid w:val="00D7102B"/>
    <w:rsid w:val="00D7187D"/>
    <w:rsid w:val="00D71EE9"/>
    <w:rsid w:val="00D730C2"/>
    <w:rsid w:val="00D73C7D"/>
    <w:rsid w:val="00D74171"/>
    <w:rsid w:val="00D74B51"/>
    <w:rsid w:val="00D74DAE"/>
    <w:rsid w:val="00D75008"/>
    <w:rsid w:val="00D7543E"/>
    <w:rsid w:val="00D757AC"/>
    <w:rsid w:val="00D758A7"/>
    <w:rsid w:val="00D75ABD"/>
    <w:rsid w:val="00D7721B"/>
    <w:rsid w:val="00D772FE"/>
    <w:rsid w:val="00D77974"/>
    <w:rsid w:val="00D77CFD"/>
    <w:rsid w:val="00D802D2"/>
    <w:rsid w:val="00D80725"/>
    <w:rsid w:val="00D80AC1"/>
    <w:rsid w:val="00D811F6"/>
    <w:rsid w:val="00D817BB"/>
    <w:rsid w:val="00D82D42"/>
    <w:rsid w:val="00D835E2"/>
    <w:rsid w:val="00D83CBC"/>
    <w:rsid w:val="00D8440B"/>
    <w:rsid w:val="00D84EB3"/>
    <w:rsid w:val="00D85444"/>
    <w:rsid w:val="00D85F6C"/>
    <w:rsid w:val="00D85F85"/>
    <w:rsid w:val="00D861AF"/>
    <w:rsid w:val="00D86204"/>
    <w:rsid w:val="00D87179"/>
    <w:rsid w:val="00D8763C"/>
    <w:rsid w:val="00D87A1B"/>
    <w:rsid w:val="00D90135"/>
    <w:rsid w:val="00D90FF5"/>
    <w:rsid w:val="00D91334"/>
    <w:rsid w:val="00D91A22"/>
    <w:rsid w:val="00D91DA3"/>
    <w:rsid w:val="00D92426"/>
    <w:rsid w:val="00D9289B"/>
    <w:rsid w:val="00D97B19"/>
    <w:rsid w:val="00DA0448"/>
    <w:rsid w:val="00DA0840"/>
    <w:rsid w:val="00DA0D78"/>
    <w:rsid w:val="00DA1E3F"/>
    <w:rsid w:val="00DA25FF"/>
    <w:rsid w:val="00DA2F56"/>
    <w:rsid w:val="00DA31F2"/>
    <w:rsid w:val="00DA36E6"/>
    <w:rsid w:val="00DA3B70"/>
    <w:rsid w:val="00DA4BDB"/>
    <w:rsid w:val="00DA4F1D"/>
    <w:rsid w:val="00DA514C"/>
    <w:rsid w:val="00DA559A"/>
    <w:rsid w:val="00DA60CF"/>
    <w:rsid w:val="00DB07C1"/>
    <w:rsid w:val="00DB11D8"/>
    <w:rsid w:val="00DB3BC0"/>
    <w:rsid w:val="00DB4153"/>
    <w:rsid w:val="00DB4E57"/>
    <w:rsid w:val="00DB6405"/>
    <w:rsid w:val="00DB7077"/>
    <w:rsid w:val="00DB7A91"/>
    <w:rsid w:val="00DB7B17"/>
    <w:rsid w:val="00DB7D20"/>
    <w:rsid w:val="00DC0008"/>
    <w:rsid w:val="00DC0CBA"/>
    <w:rsid w:val="00DC0FDA"/>
    <w:rsid w:val="00DC19D0"/>
    <w:rsid w:val="00DC2343"/>
    <w:rsid w:val="00DC3310"/>
    <w:rsid w:val="00DC3412"/>
    <w:rsid w:val="00DC4F2F"/>
    <w:rsid w:val="00DC5559"/>
    <w:rsid w:val="00DC5CC9"/>
    <w:rsid w:val="00DD0C71"/>
    <w:rsid w:val="00DD1AA7"/>
    <w:rsid w:val="00DD331C"/>
    <w:rsid w:val="00DD3690"/>
    <w:rsid w:val="00DD3A30"/>
    <w:rsid w:val="00DD3BAC"/>
    <w:rsid w:val="00DD4825"/>
    <w:rsid w:val="00DD5892"/>
    <w:rsid w:val="00DD727B"/>
    <w:rsid w:val="00DD7366"/>
    <w:rsid w:val="00DE0596"/>
    <w:rsid w:val="00DE0AB8"/>
    <w:rsid w:val="00DE129C"/>
    <w:rsid w:val="00DE1390"/>
    <w:rsid w:val="00DE1D60"/>
    <w:rsid w:val="00DE2C3E"/>
    <w:rsid w:val="00DE2FEB"/>
    <w:rsid w:val="00DE3836"/>
    <w:rsid w:val="00DE48D4"/>
    <w:rsid w:val="00DE4A65"/>
    <w:rsid w:val="00DE5116"/>
    <w:rsid w:val="00DE5412"/>
    <w:rsid w:val="00DE6BDD"/>
    <w:rsid w:val="00DE6CAD"/>
    <w:rsid w:val="00DE73ED"/>
    <w:rsid w:val="00DE7644"/>
    <w:rsid w:val="00DF051B"/>
    <w:rsid w:val="00DF09FC"/>
    <w:rsid w:val="00DF1591"/>
    <w:rsid w:val="00DF1F4A"/>
    <w:rsid w:val="00DF2228"/>
    <w:rsid w:val="00DF2FEE"/>
    <w:rsid w:val="00DF3AB0"/>
    <w:rsid w:val="00DF467A"/>
    <w:rsid w:val="00DF5082"/>
    <w:rsid w:val="00DF5CF2"/>
    <w:rsid w:val="00DF64ED"/>
    <w:rsid w:val="00DF65C2"/>
    <w:rsid w:val="00DF6B1B"/>
    <w:rsid w:val="00DF6D80"/>
    <w:rsid w:val="00DF70DA"/>
    <w:rsid w:val="00DF7192"/>
    <w:rsid w:val="00DF7916"/>
    <w:rsid w:val="00DF7DEC"/>
    <w:rsid w:val="00DF7E15"/>
    <w:rsid w:val="00DF7EDE"/>
    <w:rsid w:val="00E00106"/>
    <w:rsid w:val="00E01A04"/>
    <w:rsid w:val="00E01A4D"/>
    <w:rsid w:val="00E045D6"/>
    <w:rsid w:val="00E0539F"/>
    <w:rsid w:val="00E057E3"/>
    <w:rsid w:val="00E06384"/>
    <w:rsid w:val="00E101C8"/>
    <w:rsid w:val="00E107FD"/>
    <w:rsid w:val="00E10C8C"/>
    <w:rsid w:val="00E11154"/>
    <w:rsid w:val="00E114EE"/>
    <w:rsid w:val="00E11A6A"/>
    <w:rsid w:val="00E120EA"/>
    <w:rsid w:val="00E15157"/>
    <w:rsid w:val="00E15BBA"/>
    <w:rsid w:val="00E15CC5"/>
    <w:rsid w:val="00E20381"/>
    <w:rsid w:val="00E2070B"/>
    <w:rsid w:val="00E20F69"/>
    <w:rsid w:val="00E21C99"/>
    <w:rsid w:val="00E227D8"/>
    <w:rsid w:val="00E229E0"/>
    <w:rsid w:val="00E230C0"/>
    <w:rsid w:val="00E23BA5"/>
    <w:rsid w:val="00E23BD2"/>
    <w:rsid w:val="00E24849"/>
    <w:rsid w:val="00E24A60"/>
    <w:rsid w:val="00E26230"/>
    <w:rsid w:val="00E271EE"/>
    <w:rsid w:val="00E27AB5"/>
    <w:rsid w:val="00E30007"/>
    <w:rsid w:val="00E30759"/>
    <w:rsid w:val="00E322E1"/>
    <w:rsid w:val="00E323D0"/>
    <w:rsid w:val="00E32B0D"/>
    <w:rsid w:val="00E32E52"/>
    <w:rsid w:val="00E33295"/>
    <w:rsid w:val="00E34522"/>
    <w:rsid w:val="00E345AA"/>
    <w:rsid w:val="00E3467A"/>
    <w:rsid w:val="00E3546D"/>
    <w:rsid w:val="00E35707"/>
    <w:rsid w:val="00E35F05"/>
    <w:rsid w:val="00E36AD0"/>
    <w:rsid w:val="00E37D01"/>
    <w:rsid w:val="00E37D7B"/>
    <w:rsid w:val="00E400B5"/>
    <w:rsid w:val="00E40C02"/>
    <w:rsid w:val="00E40D20"/>
    <w:rsid w:val="00E41129"/>
    <w:rsid w:val="00E41E18"/>
    <w:rsid w:val="00E41E5E"/>
    <w:rsid w:val="00E424BC"/>
    <w:rsid w:val="00E429B8"/>
    <w:rsid w:val="00E431DF"/>
    <w:rsid w:val="00E436B0"/>
    <w:rsid w:val="00E4466A"/>
    <w:rsid w:val="00E44A16"/>
    <w:rsid w:val="00E45DE8"/>
    <w:rsid w:val="00E4612E"/>
    <w:rsid w:val="00E46203"/>
    <w:rsid w:val="00E46AB2"/>
    <w:rsid w:val="00E47F7C"/>
    <w:rsid w:val="00E50313"/>
    <w:rsid w:val="00E50751"/>
    <w:rsid w:val="00E50F6B"/>
    <w:rsid w:val="00E53CE0"/>
    <w:rsid w:val="00E54DED"/>
    <w:rsid w:val="00E55288"/>
    <w:rsid w:val="00E5572C"/>
    <w:rsid w:val="00E56037"/>
    <w:rsid w:val="00E56EF7"/>
    <w:rsid w:val="00E60CCA"/>
    <w:rsid w:val="00E61595"/>
    <w:rsid w:val="00E6250C"/>
    <w:rsid w:val="00E63509"/>
    <w:rsid w:val="00E64451"/>
    <w:rsid w:val="00E6451F"/>
    <w:rsid w:val="00E64A8F"/>
    <w:rsid w:val="00E65435"/>
    <w:rsid w:val="00E654AB"/>
    <w:rsid w:val="00E66939"/>
    <w:rsid w:val="00E66DC4"/>
    <w:rsid w:val="00E70FBC"/>
    <w:rsid w:val="00E71C16"/>
    <w:rsid w:val="00E72A59"/>
    <w:rsid w:val="00E72AED"/>
    <w:rsid w:val="00E7329D"/>
    <w:rsid w:val="00E73940"/>
    <w:rsid w:val="00E74190"/>
    <w:rsid w:val="00E74A4D"/>
    <w:rsid w:val="00E75724"/>
    <w:rsid w:val="00E757D3"/>
    <w:rsid w:val="00E75ABB"/>
    <w:rsid w:val="00E76A4A"/>
    <w:rsid w:val="00E7725C"/>
    <w:rsid w:val="00E80AB4"/>
    <w:rsid w:val="00E81419"/>
    <w:rsid w:val="00E81B6D"/>
    <w:rsid w:val="00E821DC"/>
    <w:rsid w:val="00E823AC"/>
    <w:rsid w:val="00E826F3"/>
    <w:rsid w:val="00E82762"/>
    <w:rsid w:val="00E8284C"/>
    <w:rsid w:val="00E82D4C"/>
    <w:rsid w:val="00E840D1"/>
    <w:rsid w:val="00E85506"/>
    <w:rsid w:val="00E85838"/>
    <w:rsid w:val="00E867CE"/>
    <w:rsid w:val="00E86820"/>
    <w:rsid w:val="00E86DD7"/>
    <w:rsid w:val="00E86E03"/>
    <w:rsid w:val="00E87141"/>
    <w:rsid w:val="00E87C10"/>
    <w:rsid w:val="00E87F2B"/>
    <w:rsid w:val="00E90436"/>
    <w:rsid w:val="00E9045D"/>
    <w:rsid w:val="00E91716"/>
    <w:rsid w:val="00E91A08"/>
    <w:rsid w:val="00E91AA9"/>
    <w:rsid w:val="00E92619"/>
    <w:rsid w:val="00E928B5"/>
    <w:rsid w:val="00E929AC"/>
    <w:rsid w:val="00E92A7C"/>
    <w:rsid w:val="00E92AD7"/>
    <w:rsid w:val="00E93122"/>
    <w:rsid w:val="00E954FE"/>
    <w:rsid w:val="00E95BB0"/>
    <w:rsid w:val="00E965D4"/>
    <w:rsid w:val="00E9665F"/>
    <w:rsid w:val="00E966F4"/>
    <w:rsid w:val="00E97905"/>
    <w:rsid w:val="00E97EC9"/>
    <w:rsid w:val="00EA03C8"/>
    <w:rsid w:val="00EA14FC"/>
    <w:rsid w:val="00EA1945"/>
    <w:rsid w:val="00EA2390"/>
    <w:rsid w:val="00EA2779"/>
    <w:rsid w:val="00EA2DC9"/>
    <w:rsid w:val="00EA3183"/>
    <w:rsid w:val="00EA4062"/>
    <w:rsid w:val="00EA5D87"/>
    <w:rsid w:val="00EA62C3"/>
    <w:rsid w:val="00EA6338"/>
    <w:rsid w:val="00EA6508"/>
    <w:rsid w:val="00EA68F6"/>
    <w:rsid w:val="00EA731F"/>
    <w:rsid w:val="00EB08DD"/>
    <w:rsid w:val="00EB13B5"/>
    <w:rsid w:val="00EB143D"/>
    <w:rsid w:val="00EB1466"/>
    <w:rsid w:val="00EB16D6"/>
    <w:rsid w:val="00EB2189"/>
    <w:rsid w:val="00EB256A"/>
    <w:rsid w:val="00EB2BC9"/>
    <w:rsid w:val="00EB2E2D"/>
    <w:rsid w:val="00EB4720"/>
    <w:rsid w:val="00EB5A14"/>
    <w:rsid w:val="00EB62F0"/>
    <w:rsid w:val="00EB6542"/>
    <w:rsid w:val="00EB6578"/>
    <w:rsid w:val="00EC0747"/>
    <w:rsid w:val="00EC108B"/>
    <w:rsid w:val="00EC1CF6"/>
    <w:rsid w:val="00EC260D"/>
    <w:rsid w:val="00EC2A13"/>
    <w:rsid w:val="00EC3090"/>
    <w:rsid w:val="00EC4166"/>
    <w:rsid w:val="00EC4F65"/>
    <w:rsid w:val="00EC5100"/>
    <w:rsid w:val="00EC571D"/>
    <w:rsid w:val="00EC5CB8"/>
    <w:rsid w:val="00EC7D01"/>
    <w:rsid w:val="00EC7DA4"/>
    <w:rsid w:val="00ED0150"/>
    <w:rsid w:val="00ED0356"/>
    <w:rsid w:val="00ED09E9"/>
    <w:rsid w:val="00ED1A65"/>
    <w:rsid w:val="00ED1DC6"/>
    <w:rsid w:val="00ED2366"/>
    <w:rsid w:val="00ED27A4"/>
    <w:rsid w:val="00ED3236"/>
    <w:rsid w:val="00ED3F56"/>
    <w:rsid w:val="00ED6A01"/>
    <w:rsid w:val="00ED721B"/>
    <w:rsid w:val="00ED7D5B"/>
    <w:rsid w:val="00ED7E5E"/>
    <w:rsid w:val="00EE069A"/>
    <w:rsid w:val="00EE084F"/>
    <w:rsid w:val="00EE08D5"/>
    <w:rsid w:val="00EE1342"/>
    <w:rsid w:val="00EE2B40"/>
    <w:rsid w:val="00EE4264"/>
    <w:rsid w:val="00EE6851"/>
    <w:rsid w:val="00EE72ED"/>
    <w:rsid w:val="00EF047A"/>
    <w:rsid w:val="00EF0CFD"/>
    <w:rsid w:val="00EF1F4A"/>
    <w:rsid w:val="00EF2CBE"/>
    <w:rsid w:val="00EF47FE"/>
    <w:rsid w:val="00EF48F0"/>
    <w:rsid w:val="00EF49A5"/>
    <w:rsid w:val="00EF4ED7"/>
    <w:rsid w:val="00EF5C65"/>
    <w:rsid w:val="00EF5E88"/>
    <w:rsid w:val="00EF6770"/>
    <w:rsid w:val="00EF6DED"/>
    <w:rsid w:val="00F0236E"/>
    <w:rsid w:val="00F02EFE"/>
    <w:rsid w:val="00F03272"/>
    <w:rsid w:val="00F033A4"/>
    <w:rsid w:val="00F03B86"/>
    <w:rsid w:val="00F03D1C"/>
    <w:rsid w:val="00F03F77"/>
    <w:rsid w:val="00F05307"/>
    <w:rsid w:val="00F0586C"/>
    <w:rsid w:val="00F066A7"/>
    <w:rsid w:val="00F1062D"/>
    <w:rsid w:val="00F10D80"/>
    <w:rsid w:val="00F1114C"/>
    <w:rsid w:val="00F117BD"/>
    <w:rsid w:val="00F11972"/>
    <w:rsid w:val="00F15D65"/>
    <w:rsid w:val="00F163CC"/>
    <w:rsid w:val="00F168CC"/>
    <w:rsid w:val="00F17218"/>
    <w:rsid w:val="00F212A8"/>
    <w:rsid w:val="00F2136A"/>
    <w:rsid w:val="00F22850"/>
    <w:rsid w:val="00F22E36"/>
    <w:rsid w:val="00F239B7"/>
    <w:rsid w:val="00F24A52"/>
    <w:rsid w:val="00F24CA5"/>
    <w:rsid w:val="00F24FFD"/>
    <w:rsid w:val="00F25503"/>
    <w:rsid w:val="00F256E1"/>
    <w:rsid w:val="00F26113"/>
    <w:rsid w:val="00F26995"/>
    <w:rsid w:val="00F26BA6"/>
    <w:rsid w:val="00F26FFD"/>
    <w:rsid w:val="00F2789B"/>
    <w:rsid w:val="00F301EA"/>
    <w:rsid w:val="00F302B3"/>
    <w:rsid w:val="00F31191"/>
    <w:rsid w:val="00F3364B"/>
    <w:rsid w:val="00F33E18"/>
    <w:rsid w:val="00F34581"/>
    <w:rsid w:val="00F34917"/>
    <w:rsid w:val="00F35E3F"/>
    <w:rsid w:val="00F372F6"/>
    <w:rsid w:val="00F377AE"/>
    <w:rsid w:val="00F379A3"/>
    <w:rsid w:val="00F37C64"/>
    <w:rsid w:val="00F402A6"/>
    <w:rsid w:val="00F40BD8"/>
    <w:rsid w:val="00F4102D"/>
    <w:rsid w:val="00F41060"/>
    <w:rsid w:val="00F415E0"/>
    <w:rsid w:val="00F4230E"/>
    <w:rsid w:val="00F432BA"/>
    <w:rsid w:val="00F432BE"/>
    <w:rsid w:val="00F4371C"/>
    <w:rsid w:val="00F443A1"/>
    <w:rsid w:val="00F4504A"/>
    <w:rsid w:val="00F45492"/>
    <w:rsid w:val="00F46104"/>
    <w:rsid w:val="00F46DF0"/>
    <w:rsid w:val="00F50536"/>
    <w:rsid w:val="00F50FBA"/>
    <w:rsid w:val="00F542F3"/>
    <w:rsid w:val="00F54671"/>
    <w:rsid w:val="00F5630D"/>
    <w:rsid w:val="00F56E89"/>
    <w:rsid w:val="00F571D1"/>
    <w:rsid w:val="00F578C5"/>
    <w:rsid w:val="00F6036B"/>
    <w:rsid w:val="00F608FC"/>
    <w:rsid w:val="00F60E7D"/>
    <w:rsid w:val="00F60F65"/>
    <w:rsid w:val="00F6105E"/>
    <w:rsid w:val="00F6150C"/>
    <w:rsid w:val="00F61675"/>
    <w:rsid w:val="00F62F4F"/>
    <w:rsid w:val="00F631EA"/>
    <w:rsid w:val="00F63BAE"/>
    <w:rsid w:val="00F6473D"/>
    <w:rsid w:val="00F64A51"/>
    <w:rsid w:val="00F65851"/>
    <w:rsid w:val="00F666BD"/>
    <w:rsid w:val="00F677D2"/>
    <w:rsid w:val="00F70A4B"/>
    <w:rsid w:val="00F7144B"/>
    <w:rsid w:val="00F72941"/>
    <w:rsid w:val="00F73C89"/>
    <w:rsid w:val="00F74203"/>
    <w:rsid w:val="00F7461F"/>
    <w:rsid w:val="00F753FD"/>
    <w:rsid w:val="00F7674A"/>
    <w:rsid w:val="00F77ED1"/>
    <w:rsid w:val="00F81519"/>
    <w:rsid w:val="00F82694"/>
    <w:rsid w:val="00F82A12"/>
    <w:rsid w:val="00F836A7"/>
    <w:rsid w:val="00F84534"/>
    <w:rsid w:val="00F85087"/>
    <w:rsid w:val="00F850F9"/>
    <w:rsid w:val="00F85895"/>
    <w:rsid w:val="00F87293"/>
    <w:rsid w:val="00F875D7"/>
    <w:rsid w:val="00F87A75"/>
    <w:rsid w:val="00F90B26"/>
    <w:rsid w:val="00F90C4C"/>
    <w:rsid w:val="00F90E2F"/>
    <w:rsid w:val="00F91544"/>
    <w:rsid w:val="00F917BC"/>
    <w:rsid w:val="00F919FF"/>
    <w:rsid w:val="00F92281"/>
    <w:rsid w:val="00F922FC"/>
    <w:rsid w:val="00F92D00"/>
    <w:rsid w:val="00F92F8E"/>
    <w:rsid w:val="00F93C04"/>
    <w:rsid w:val="00F94063"/>
    <w:rsid w:val="00F94E99"/>
    <w:rsid w:val="00F95936"/>
    <w:rsid w:val="00F964FF"/>
    <w:rsid w:val="00F969A5"/>
    <w:rsid w:val="00F96BBB"/>
    <w:rsid w:val="00F9782C"/>
    <w:rsid w:val="00FA1E6E"/>
    <w:rsid w:val="00FA4398"/>
    <w:rsid w:val="00FA6233"/>
    <w:rsid w:val="00FA6C67"/>
    <w:rsid w:val="00FA6D50"/>
    <w:rsid w:val="00FA7B6F"/>
    <w:rsid w:val="00FA7CA3"/>
    <w:rsid w:val="00FB0138"/>
    <w:rsid w:val="00FB0213"/>
    <w:rsid w:val="00FB0350"/>
    <w:rsid w:val="00FB0FD4"/>
    <w:rsid w:val="00FB1217"/>
    <w:rsid w:val="00FB1690"/>
    <w:rsid w:val="00FB24A3"/>
    <w:rsid w:val="00FB2E47"/>
    <w:rsid w:val="00FB2E9C"/>
    <w:rsid w:val="00FB3167"/>
    <w:rsid w:val="00FB33B0"/>
    <w:rsid w:val="00FB365E"/>
    <w:rsid w:val="00FB4049"/>
    <w:rsid w:val="00FB43DC"/>
    <w:rsid w:val="00FB4568"/>
    <w:rsid w:val="00FB65CC"/>
    <w:rsid w:val="00FB6DE8"/>
    <w:rsid w:val="00FB7177"/>
    <w:rsid w:val="00FB73F2"/>
    <w:rsid w:val="00FB7B37"/>
    <w:rsid w:val="00FB7C84"/>
    <w:rsid w:val="00FC04D6"/>
    <w:rsid w:val="00FC13A3"/>
    <w:rsid w:val="00FC1AA4"/>
    <w:rsid w:val="00FC1B5A"/>
    <w:rsid w:val="00FC4678"/>
    <w:rsid w:val="00FC4AB7"/>
    <w:rsid w:val="00FC51DD"/>
    <w:rsid w:val="00FC5AAF"/>
    <w:rsid w:val="00FC63B4"/>
    <w:rsid w:val="00FC6B9B"/>
    <w:rsid w:val="00FC76FE"/>
    <w:rsid w:val="00FC7B1B"/>
    <w:rsid w:val="00FC7EB5"/>
    <w:rsid w:val="00FD12C0"/>
    <w:rsid w:val="00FD1A8D"/>
    <w:rsid w:val="00FD37F1"/>
    <w:rsid w:val="00FD409C"/>
    <w:rsid w:val="00FD43FF"/>
    <w:rsid w:val="00FD46EA"/>
    <w:rsid w:val="00FD5AC0"/>
    <w:rsid w:val="00FD5D16"/>
    <w:rsid w:val="00FD5FE9"/>
    <w:rsid w:val="00FD6F93"/>
    <w:rsid w:val="00FE0144"/>
    <w:rsid w:val="00FE051A"/>
    <w:rsid w:val="00FE098C"/>
    <w:rsid w:val="00FE1833"/>
    <w:rsid w:val="00FE25DA"/>
    <w:rsid w:val="00FE2CB4"/>
    <w:rsid w:val="00FE30F8"/>
    <w:rsid w:val="00FE519B"/>
    <w:rsid w:val="00FE5F3E"/>
    <w:rsid w:val="00FE639B"/>
    <w:rsid w:val="00FE6D6F"/>
    <w:rsid w:val="00FE6F87"/>
    <w:rsid w:val="00FE746A"/>
    <w:rsid w:val="00FE7B1C"/>
    <w:rsid w:val="00FE7E6A"/>
    <w:rsid w:val="00FF209C"/>
    <w:rsid w:val="00FF32C6"/>
    <w:rsid w:val="00FF4525"/>
    <w:rsid w:val="00FF4C3F"/>
    <w:rsid w:val="00FF58C9"/>
    <w:rsid w:val="00FF60E2"/>
    <w:rsid w:val="00FF6FD9"/>
    <w:rsid w:val="00FF77C8"/>
    <w:rsid w:val="00FF78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4F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before="20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6E7"/>
  </w:style>
  <w:style w:type="paragraph" w:styleId="Heading1">
    <w:name w:val="heading 1"/>
    <w:basedOn w:val="NoSpacing"/>
    <w:next w:val="Normal"/>
    <w:link w:val="Heading1Char"/>
    <w:uiPriority w:val="9"/>
    <w:qFormat/>
    <w:rsid w:val="002814C9"/>
    <w:pPr>
      <w:numPr>
        <w:numId w:val="10"/>
      </w:numPr>
      <w:outlineLvl w:val="0"/>
    </w:pPr>
    <w:rPr>
      <w:b/>
      <w:color w:val="4E1A74" w:themeColor="accent2"/>
      <w:sz w:val="44"/>
      <w:szCs w:val="44"/>
    </w:rPr>
  </w:style>
  <w:style w:type="paragraph" w:styleId="Heading2">
    <w:name w:val="heading 2"/>
    <w:basedOn w:val="Normal"/>
    <w:next w:val="Normal"/>
    <w:link w:val="Heading2Char"/>
    <w:uiPriority w:val="9"/>
    <w:unhideWhenUsed/>
    <w:qFormat/>
    <w:rsid w:val="001A4A44"/>
    <w:pPr>
      <w:keepNext/>
      <w:keepLines/>
      <w:numPr>
        <w:ilvl w:val="1"/>
        <w:numId w:val="10"/>
      </w:numPr>
      <w:tabs>
        <w:tab w:val="left" w:pos="851"/>
      </w:tabs>
      <w:spacing w:before="240"/>
      <w:ind w:left="718"/>
      <w:outlineLvl w:val="1"/>
    </w:pPr>
    <w:rPr>
      <w:rFonts w:ascii="Calibri" w:eastAsia="Calibri" w:hAnsi="Calibri" w:cstheme="majorBidi"/>
      <w:b/>
      <w:bCs/>
      <w:snapToGrid w:val="0"/>
      <w:color w:val="4E1A74"/>
      <w:sz w:val="26"/>
      <w:szCs w:val="26"/>
    </w:rPr>
  </w:style>
  <w:style w:type="paragraph" w:styleId="Heading3">
    <w:name w:val="heading 3"/>
    <w:basedOn w:val="Heading2"/>
    <w:next w:val="Normal"/>
    <w:link w:val="Heading3Char"/>
    <w:uiPriority w:val="9"/>
    <w:unhideWhenUsed/>
    <w:qFormat/>
    <w:rsid w:val="00F72941"/>
    <w:pPr>
      <w:numPr>
        <w:ilvl w:val="0"/>
        <w:numId w:val="0"/>
      </w:numPr>
      <w:outlineLvl w:val="2"/>
    </w:pPr>
    <w:rPr>
      <w:sz w:val="22"/>
      <w:szCs w:val="22"/>
    </w:rPr>
  </w:style>
  <w:style w:type="paragraph" w:styleId="Heading4">
    <w:name w:val="heading 4"/>
    <w:basedOn w:val="Heading2"/>
    <w:next w:val="Normal"/>
    <w:link w:val="Heading4Char"/>
    <w:uiPriority w:val="9"/>
    <w:unhideWhenUsed/>
    <w:qFormat/>
    <w:rsid w:val="0060483A"/>
    <w:pPr>
      <w:numPr>
        <w:ilvl w:val="0"/>
        <w:numId w:val="74"/>
      </w:numPr>
      <w:spacing w:before="120"/>
      <w:outlineLvl w:val="3"/>
    </w:pPr>
    <w:rPr>
      <w:color w:val="207220" w:themeColor="accent1" w:themeShade="BF"/>
    </w:rPr>
  </w:style>
  <w:style w:type="paragraph" w:styleId="Heading5">
    <w:name w:val="heading 5"/>
    <w:basedOn w:val="Normal"/>
    <w:next w:val="Normal"/>
    <w:link w:val="Heading5Char"/>
    <w:uiPriority w:val="9"/>
    <w:unhideWhenUsed/>
    <w:qFormat/>
    <w:rsid w:val="006801F3"/>
    <w:pPr>
      <w:pBdr>
        <w:bottom w:val="single" w:sz="6" w:space="1" w:color="2B992B" w:themeColor="accent1"/>
      </w:pBdr>
      <w:spacing w:before="300"/>
      <w:outlineLvl w:val="4"/>
    </w:pPr>
    <w:rPr>
      <w:caps/>
      <w:color w:val="207220" w:themeColor="accent1" w:themeShade="BF"/>
      <w:spacing w:val="10"/>
    </w:rPr>
  </w:style>
  <w:style w:type="paragraph" w:styleId="Heading6">
    <w:name w:val="heading 6"/>
    <w:basedOn w:val="Normal"/>
    <w:next w:val="Normal"/>
    <w:link w:val="Heading6Char"/>
    <w:uiPriority w:val="9"/>
    <w:semiHidden/>
    <w:unhideWhenUsed/>
    <w:qFormat/>
    <w:rsid w:val="006801F3"/>
    <w:pPr>
      <w:pBdr>
        <w:bottom w:val="dotted" w:sz="6" w:space="1" w:color="2B992B" w:themeColor="accent1"/>
      </w:pBdr>
      <w:spacing w:before="300"/>
      <w:outlineLvl w:val="5"/>
    </w:pPr>
    <w:rPr>
      <w:caps/>
      <w:color w:val="207220" w:themeColor="accent1" w:themeShade="BF"/>
      <w:spacing w:val="10"/>
    </w:rPr>
  </w:style>
  <w:style w:type="paragraph" w:styleId="Heading7">
    <w:name w:val="heading 7"/>
    <w:basedOn w:val="Normal"/>
    <w:next w:val="Normal"/>
    <w:link w:val="Heading7Char"/>
    <w:uiPriority w:val="9"/>
    <w:semiHidden/>
    <w:unhideWhenUsed/>
    <w:qFormat/>
    <w:rsid w:val="006801F3"/>
    <w:pPr>
      <w:spacing w:before="300"/>
      <w:outlineLvl w:val="6"/>
    </w:pPr>
    <w:rPr>
      <w:caps/>
      <w:color w:val="207220" w:themeColor="accent1" w:themeShade="BF"/>
      <w:spacing w:val="10"/>
    </w:rPr>
  </w:style>
  <w:style w:type="paragraph" w:styleId="Heading8">
    <w:name w:val="heading 8"/>
    <w:basedOn w:val="Normal"/>
    <w:next w:val="Normal"/>
    <w:link w:val="Heading8Char"/>
    <w:uiPriority w:val="9"/>
    <w:semiHidden/>
    <w:unhideWhenUsed/>
    <w:qFormat/>
    <w:rsid w:val="006801F3"/>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6801F3"/>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07979"/>
    <w:pPr>
      <w:numPr>
        <w:numId w:val="40"/>
      </w:numPr>
      <w:tabs>
        <w:tab w:val="left" w:pos="851"/>
      </w:tabs>
      <w:ind w:left="567" w:hanging="567"/>
      <w:outlineLvl w:val="0"/>
    </w:pPr>
    <w:rPr>
      <w:caps/>
      <w:color w:val="9B4AD6" w:themeColor="accent2" w:themeTint="99"/>
      <w:spacing w:val="10"/>
      <w:kern w:val="28"/>
      <w:sz w:val="48"/>
      <w:szCs w:val="48"/>
    </w:rPr>
  </w:style>
  <w:style w:type="character" w:customStyle="1" w:styleId="TitleChar">
    <w:name w:val="Title Char"/>
    <w:basedOn w:val="DefaultParagraphFont"/>
    <w:link w:val="Title"/>
    <w:uiPriority w:val="10"/>
    <w:rsid w:val="00A07979"/>
    <w:rPr>
      <w:caps/>
      <w:color w:val="9B4AD6" w:themeColor="accent2" w:themeTint="99"/>
      <w:spacing w:val="10"/>
      <w:kern w:val="28"/>
      <w:sz w:val="48"/>
      <w:szCs w:val="48"/>
    </w:rPr>
  </w:style>
  <w:style w:type="character" w:customStyle="1" w:styleId="Heading1Char">
    <w:name w:val="Heading 1 Char"/>
    <w:basedOn w:val="DefaultParagraphFont"/>
    <w:link w:val="Heading1"/>
    <w:uiPriority w:val="9"/>
    <w:rsid w:val="002814C9"/>
    <w:rPr>
      <w:b/>
      <w:color w:val="4E1A74" w:themeColor="accent2"/>
      <w:sz w:val="44"/>
      <w:szCs w:val="44"/>
    </w:rPr>
  </w:style>
  <w:style w:type="character" w:customStyle="1" w:styleId="Heading2Char">
    <w:name w:val="Heading 2 Char"/>
    <w:basedOn w:val="DefaultParagraphFont"/>
    <w:link w:val="Heading2"/>
    <w:uiPriority w:val="9"/>
    <w:rsid w:val="001A4A44"/>
    <w:rPr>
      <w:rFonts w:ascii="Calibri" w:eastAsia="Calibri" w:hAnsi="Calibri" w:cstheme="majorBidi"/>
      <w:b/>
      <w:bCs/>
      <w:snapToGrid w:val="0"/>
      <w:color w:val="4E1A74"/>
      <w:sz w:val="26"/>
      <w:szCs w:val="26"/>
    </w:rPr>
  </w:style>
  <w:style w:type="paragraph" w:styleId="Header">
    <w:name w:val="header"/>
    <w:basedOn w:val="Normal"/>
    <w:link w:val="HeaderChar"/>
    <w:unhideWhenUsed/>
    <w:rsid w:val="00E929AC"/>
    <w:pPr>
      <w:tabs>
        <w:tab w:val="center" w:pos="4513"/>
        <w:tab w:val="right" w:pos="9026"/>
      </w:tabs>
      <w:spacing w:line="240" w:lineRule="auto"/>
    </w:pPr>
  </w:style>
  <w:style w:type="character" w:customStyle="1" w:styleId="HeaderChar">
    <w:name w:val="Header Char"/>
    <w:basedOn w:val="DefaultParagraphFont"/>
    <w:link w:val="Header"/>
    <w:rsid w:val="00E929AC"/>
  </w:style>
  <w:style w:type="paragraph" w:styleId="Footer">
    <w:name w:val="footer"/>
    <w:basedOn w:val="Normal"/>
    <w:link w:val="FooterChar"/>
    <w:unhideWhenUsed/>
    <w:rsid w:val="00E929AC"/>
    <w:pPr>
      <w:tabs>
        <w:tab w:val="center" w:pos="4513"/>
        <w:tab w:val="right" w:pos="9026"/>
      </w:tabs>
      <w:spacing w:line="240" w:lineRule="auto"/>
    </w:pPr>
  </w:style>
  <w:style w:type="character" w:customStyle="1" w:styleId="FooterChar">
    <w:name w:val="Footer Char"/>
    <w:basedOn w:val="DefaultParagraphFont"/>
    <w:link w:val="Footer"/>
    <w:rsid w:val="00E929AC"/>
  </w:style>
  <w:style w:type="character" w:styleId="Hyperlink">
    <w:name w:val="Hyperlink"/>
    <w:basedOn w:val="DefaultParagraphFont"/>
    <w:uiPriority w:val="99"/>
    <w:unhideWhenUsed/>
    <w:rsid w:val="006023FF"/>
    <w:rPr>
      <w:color w:val="0000FF" w:themeColor="hyperlink"/>
      <w:u w:val="single"/>
    </w:rPr>
  </w:style>
  <w:style w:type="paragraph" w:customStyle="1" w:styleId="H11">
    <w:name w:val="H1(1)"/>
    <w:basedOn w:val="Normal"/>
    <w:qFormat/>
    <w:rsid w:val="006B558F"/>
    <w:rPr>
      <w:rFonts w:asciiTheme="majorHAnsi" w:hAnsiTheme="majorHAnsi"/>
      <w:b/>
      <w:color w:val="207220" w:themeColor="accent1" w:themeShade="BF"/>
      <w:sz w:val="28"/>
      <w:szCs w:val="28"/>
      <w:lang w:eastAsia="en-AU"/>
    </w:rPr>
  </w:style>
  <w:style w:type="character" w:customStyle="1" w:styleId="Heading3Char">
    <w:name w:val="Heading 3 Char"/>
    <w:basedOn w:val="DefaultParagraphFont"/>
    <w:link w:val="Heading3"/>
    <w:uiPriority w:val="9"/>
    <w:rsid w:val="00F72941"/>
    <w:rPr>
      <w:rFonts w:ascii="Calibri" w:eastAsia="Calibri" w:hAnsi="Calibri" w:cstheme="majorBidi"/>
      <w:b/>
      <w:bCs/>
      <w:snapToGrid w:val="0"/>
      <w:color w:val="4E1A74"/>
    </w:rPr>
  </w:style>
  <w:style w:type="character" w:styleId="FollowedHyperlink">
    <w:name w:val="FollowedHyperlink"/>
    <w:basedOn w:val="DefaultParagraphFont"/>
    <w:uiPriority w:val="99"/>
    <w:semiHidden/>
    <w:unhideWhenUsed/>
    <w:rsid w:val="00A76B39"/>
    <w:rPr>
      <w:color w:val="800080" w:themeColor="followedHyperlink"/>
      <w:u w:val="single"/>
    </w:rPr>
  </w:style>
  <w:style w:type="paragraph" w:styleId="TOC1">
    <w:name w:val="toc 1"/>
    <w:basedOn w:val="Normal"/>
    <w:next w:val="Normal"/>
    <w:autoRedefine/>
    <w:uiPriority w:val="39"/>
    <w:unhideWhenUsed/>
    <w:qFormat/>
    <w:rsid w:val="007A120A"/>
    <w:pPr>
      <w:tabs>
        <w:tab w:val="right" w:leader="dot" w:pos="9016"/>
      </w:tabs>
      <w:spacing w:after="100"/>
    </w:pPr>
    <w:rPr>
      <w:b/>
      <w:noProof/>
    </w:rPr>
  </w:style>
  <w:style w:type="character" w:customStyle="1" w:styleId="Heading4Char">
    <w:name w:val="Heading 4 Char"/>
    <w:basedOn w:val="DefaultParagraphFont"/>
    <w:link w:val="Heading4"/>
    <w:uiPriority w:val="9"/>
    <w:rsid w:val="0060483A"/>
    <w:rPr>
      <w:rFonts w:ascii="Calibri" w:eastAsia="Calibri" w:hAnsi="Calibri" w:cstheme="majorBidi"/>
      <w:b/>
      <w:bCs/>
      <w:snapToGrid w:val="0"/>
      <w:color w:val="207220" w:themeColor="accent1" w:themeShade="BF"/>
      <w:sz w:val="26"/>
      <w:szCs w:val="26"/>
    </w:rPr>
  </w:style>
  <w:style w:type="paragraph" w:styleId="ListParagraph">
    <w:name w:val="List Paragraph"/>
    <w:basedOn w:val="Normal"/>
    <w:uiPriority w:val="34"/>
    <w:qFormat/>
    <w:rsid w:val="006801F3"/>
    <w:pPr>
      <w:ind w:left="720"/>
      <w:contextualSpacing/>
    </w:pPr>
  </w:style>
  <w:style w:type="paragraph" w:styleId="BodyTextIndent">
    <w:name w:val="Body Text Indent"/>
    <w:basedOn w:val="Normal"/>
    <w:link w:val="BodyTextIndentChar"/>
    <w:uiPriority w:val="99"/>
    <w:unhideWhenUsed/>
    <w:rsid w:val="00FB0138"/>
    <w:pPr>
      <w:ind w:left="283"/>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FB0138"/>
    <w:rPr>
      <w:rFonts w:ascii="Calibri" w:eastAsia="Calibri" w:hAnsi="Calibri" w:cs="Times New Roman"/>
    </w:rPr>
  </w:style>
  <w:style w:type="character" w:styleId="FootnoteReference">
    <w:name w:val="footnote reference"/>
    <w:basedOn w:val="DefaultParagraphFont"/>
    <w:unhideWhenUsed/>
    <w:rsid w:val="00FB0138"/>
    <w:rPr>
      <w:vertAlign w:val="superscript"/>
    </w:rPr>
  </w:style>
  <w:style w:type="character" w:customStyle="1" w:styleId="Heading5Char">
    <w:name w:val="Heading 5 Char"/>
    <w:basedOn w:val="DefaultParagraphFont"/>
    <w:link w:val="Heading5"/>
    <w:uiPriority w:val="9"/>
    <w:rsid w:val="006801F3"/>
    <w:rPr>
      <w:caps/>
      <w:color w:val="207220" w:themeColor="accent1" w:themeShade="BF"/>
      <w:spacing w:val="10"/>
    </w:rPr>
  </w:style>
  <w:style w:type="paragraph" w:styleId="TOCHeading">
    <w:name w:val="TOC Heading"/>
    <w:basedOn w:val="Heading1"/>
    <w:next w:val="Normal"/>
    <w:uiPriority w:val="39"/>
    <w:unhideWhenUsed/>
    <w:qFormat/>
    <w:rsid w:val="006801F3"/>
    <w:pPr>
      <w:outlineLvl w:val="9"/>
    </w:pPr>
    <w:rPr>
      <w:lang w:bidi="en-US"/>
    </w:rPr>
  </w:style>
  <w:style w:type="paragraph" w:styleId="TOC2">
    <w:name w:val="toc 2"/>
    <w:basedOn w:val="Normal"/>
    <w:next w:val="Normal"/>
    <w:autoRedefine/>
    <w:uiPriority w:val="39"/>
    <w:unhideWhenUsed/>
    <w:qFormat/>
    <w:rsid w:val="00251E5D"/>
    <w:pPr>
      <w:tabs>
        <w:tab w:val="right" w:leader="dot" w:pos="9016"/>
      </w:tabs>
      <w:spacing w:after="100"/>
      <w:ind w:left="220"/>
    </w:pPr>
    <w:rPr>
      <w:b/>
      <w:noProof/>
    </w:rPr>
  </w:style>
  <w:style w:type="paragraph" w:styleId="BalloonText">
    <w:name w:val="Balloon Text"/>
    <w:basedOn w:val="Normal"/>
    <w:link w:val="BalloonTextChar"/>
    <w:uiPriority w:val="99"/>
    <w:semiHidden/>
    <w:unhideWhenUsed/>
    <w:rsid w:val="003854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4F8"/>
    <w:rPr>
      <w:rFonts w:ascii="Tahoma" w:hAnsi="Tahoma" w:cs="Tahoma"/>
      <w:sz w:val="16"/>
      <w:szCs w:val="16"/>
    </w:rPr>
  </w:style>
  <w:style w:type="paragraph" w:styleId="TOC3">
    <w:name w:val="toc 3"/>
    <w:basedOn w:val="Normal"/>
    <w:next w:val="Normal"/>
    <w:autoRedefine/>
    <w:uiPriority w:val="39"/>
    <w:unhideWhenUsed/>
    <w:qFormat/>
    <w:rsid w:val="003854F8"/>
    <w:pPr>
      <w:spacing w:after="100"/>
      <w:ind w:left="440"/>
    </w:pPr>
    <w:rPr>
      <w:lang w:val="en-US" w:eastAsia="ja-JP"/>
    </w:rPr>
  </w:style>
  <w:style w:type="paragraph" w:customStyle="1" w:styleId="TITLE2">
    <w:name w:val="TITLE2"/>
    <w:basedOn w:val="Title"/>
    <w:qFormat/>
    <w:rsid w:val="009879D8"/>
    <w:rPr>
      <w:lang w:eastAsia="en-AU"/>
    </w:rPr>
  </w:style>
  <w:style w:type="paragraph" w:customStyle="1" w:styleId="Heading3list">
    <w:name w:val="Heading3list"/>
    <w:basedOn w:val="Normal"/>
    <w:qFormat/>
    <w:rsid w:val="009879D8"/>
    <w:rPr>
      <w:rFonts w:asciiTheme="majorHAnsi" w:hAnsiTheme="majorHAnsi"/>
      <w:b/>
      <w:color w:val="8C8C93" w:themeColor="text2" w:themeTint="99"/>
      <w:sz w:val="24"/>
      <w:szCs w:val="24"/>
      <w:lang w:eastAsia="en-AU"/>
    </w:rPr>
  </w:style>
  <w:style w:type="table" w:styleId="TableGrid">
    <w:name w:val="Table Grid"/>
    <w:basedOn w:val="TableNormal"/>
    <w:uiPriority w:val="59"/>
    <w:rsid w:val="00987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364280"/>
    <w:pPr>
      <w:spacing w:line="480" w:lineRule="auto"/>
      <w:ind w:left="283"/>
    </w:pPr>
  </w:style>
  <w:style w:type="character" w:customStyle="1" w:styleId="BodyTextIndent2Char">
    <w:name w:val="Body Text Indent 2 Char"/>
    <w:basedOn w:val="DefaultParagraphFont"/>
    <w:link w:val="BodyTextIndent2"/>
    <w:uiPriority w:val="99"/>
    <w:semiHidden/>
    <w:rsid w:val="00364280"/>
  </w:style>
  <w:style w:type="paragraph" w:customStyle="1" w:styleId="DepartmentalNormal">
    <w:name w:val="Departmental Normal"/>
    <w:basedOn w:val="Normal"/>
    <w:rsid w:val="0078572E"/>
    <w:rPr>
      <w:rFonts w:ascii="Calibri" w:eastAsia="Calibri" w:hAnsi="Calibri" w:cs="Times New Roman"/>
      <w:sz w:val="24"/>
    </w:rPr>
  </w:style>
  <w:style w:type="table" w:styleId="ColorfulGrid-Accent1">
    <w:name w:val="Colorful Grid Accent 1"/>
    <w:basedOn w:val="TableNormal"/>
    <w:uiPriority w:val="73"/>
    <w:rsid w:val="008C5D9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DF1CD" w:themeFill="accent1" w:themeFillTint="33"/>
    </w:tcPr>
    <w:tblStylePr w:type="firstRow">
      <w:rPr>
        <w:b/>
        <w:bCs/>
      </w:rPr>
      <w:tblPr/>
      <w:tcPr>
        <w:shd w:val="clear" w:color="auto" w:fill="9CE39C" w:themeFill="accent1" w:themeFillTint="66"/>
      </w:tcPr>
    </w:tblStylePr>
    <w:tblStylePr w:type="lastRow">
      <w:rPr>
        <w:b/>
        <w:bCs/>
        <w:color w:val="000000" w:themeColor="text1"/>
      </w:rPr>
      <w:tblPr/>
      <w:tcPr>
        <w:shd w:val="clear" w:color="auto" w:fill="9CE39C" w:themeFill="accent1" w:themeFillTint="66"/>
      </w:tcPr>
    </w:tblStylePr>
    <w:tblStylePr w:type="firstCol">
      <w:rPr>
        <w:color w:val="FFFFFF" w:themeColor="background1"/>
      </w:rPr>
      <w:tblPr/>
      <w:tcPr>
        <w:shd w:val="clear" w:color="auto" w:fill="207220" w:themeFill="accent1" w:themeFillShade="BF"/>
      </w:tcPr>
    </w:tblStylePr>
    <w:tblStylePr w:type="lastCol">
      <w:rPr>
        <w:color w:val="FFFFFF" w:themeColor="background1"/>
      </w:rPr>
      <w:tblPr/>
      <w:tcPr>
        <w:shd w:val="clear" w:color="auto" w:fill="207220" w:themeFill="accent1" w:themeFillShade="BF"/>
      </w:tcPr>
    </w:tblStylePr>
    <w:tblStylePr w:type="band1Vert">
      <w:tblPr/>
      <w:tcPr>
        <w:shd w:val="clear" w:color="auto" w:fill="84DC84" w:themeFill="accent1" w:themeFillTint="7F"/>
      </w:tcPr>
    </w:tblStylePr>
    <w:tblStylePr w:type="band1Horz">
      <w:tblPr/>
      <w:tcPr>
        <w:shd w:val="clear" w:color="auto" w:fill="84DC84" w:themeFill="accent1" w:themeFillTint="7F"/>
      </w:tcPr>
    </w:tblStylePr>
  </w:style>
  <w:style w:type="character" w:styleId="CommentReference">
    <w:name w:val="annotation reference"/>
    <w:basedOn w:val="DefaultParagraphFont"/>
    <w:uiPriority w:val="99"/>
    <w:semiHidden/>
    <w:unhideWhenUsed/>
    <w:rsid w:val="00261EDD"/>
    <w:rPr>
      <w:sz w:val="16"/>
      <w:szCs w:val="16"/>
    </w:rPr>
  </w:style>
  <w:style w:type="paragraph" w:styleId="CommentText">
    <w:name w:val="annotation text"/>
    <w:basedOn w:val="Normal"/>
    <w:link w:val="CommentTextChar"/>
    <w:uiPriority w:val="99"/>
    <w:unhideWhenUsed/>
    <w:rsid w:val="00261EDD"/>
    <w:pPr>
      <w:spacing w:line="240" w:lineRule="auto"/>
    </w:pPr>
  </w:style>
  <w:style w:type="character" w:customStyle="1" w:styleId="CommentTextChar">
    <w:name w:val="Comment Text Char"/>
    <w:basedOn w:val="DefaultParagraphFont"/>
    <w:link w:val="CommentText"/>
    <w:uiPriority w:val="99"/>
    <w:rsid w:val="00261EDD"/>
    <w:rPr>
      <w:sz w:val="20"/>
      <w:szCs w:val="20"/>
    </w:rPr>
  </w:style>
  <w:style w:type="paragraph" w:styleId="CommentSubject">
    <w:name w:val="annotation subject"/>
    <w:basedOn w:val="CommentText"/>
    <w:next w:val="CommentText"/>
    <w:link w:val="CommentSubjectChar"/>
    <w:uiPriority w:val="99"/>
    <w:semiHidden/>
    <w:unhideWhenUsed/>
    <w:rsid w:val="00261EDD"/>
    <w:rPr>
      <w:b/>
      <w:bCs/>
    </w:rPr>
  </w:style>
  <w:style w:type="character" w:customStyle="1" w:styleId="CommentSubjectChar">
    <w:name w:val="Comment Subject Char"/>
    <w:basedOn w:val="CommentTextChar"/>
    <w:link w:val="CommentSubject"/>
    <w:uiPriority w:val="99"/>
    <w:semiHidden/>
    <w:rsid w:val="00261EDD"/>
    <w:rPr>
      <w:b/>
      <w:bCs/>
      <w:sz w:val="20"/>
      <w:szCs w:val="20"/>
    </w:rPr>
  </w:style>
  <w:style w:type="table" w:customStyle="1" w:styleId="TableGrid1">
    <w:name w:val="Table Grid1"/>
    <w:basedOn w:val="TableNormal"/>
    <w:next w:val="TableGrid"/>
    <w:uiPriority w:val="59"/>
    <w:rsid w:val="00821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6801F3"/>
    <w:pPr>
      <w:spacing w:line="240" w:lineRule="auto"/>
    </w:pPr>
  </w:style>
  <w:style w:type="paragraph" w:styleId="FootnoteText">
    <w:name w:val="footnote text"/>
    <w:basedOn w:val="Normal"/>
    <w:link w:val="FootnoteTextChar"/>
    <w:uiPriority w:val="99"/>
    <w:unhideWhenUsed/>
    <w:qFormat/>
    <w:rsid w:val="00F168CC"/>
    <w:pPr>
      <w:spacing w:line="240" w:lineRule="auto"/>
    </w:pPr>
  </w:style>
  <w:style w:type="character" w:customStyle="1" w:styleId="FootnoteTextChar">
    <w:name w:val="Footnote Text Char"/>
    <w:basedOn w:val="DefaultParagraphFont"/>
    <w:link w:val="FootnoteText"/>
    <w:uiPriority w:val="99"/>
    <w:rsid w:val="00F168CC"/>
    <w:rPr>
      <w:sz w:val="20"/>
      <w:szCs w:val="20"/>
    </w:rPr>
  </w:style>
  <w:style w:type="table" w:styleId="MediumGrid1-Accent1">
    <w:name w:val="Medium Grid 1 Accent 1"/>
    <w:basedOn w:val="TableNormal"/>
    <w:uiPriority w:val="67"/>
    <w:rsid w:val="000B295A"/>
    <w:pPr>
      <w:spacing w:after="0" w:line="240" w:lineRule="auto"/>
    </w:pPr>
    <w:tblPr>
      <w:tblStyleRowBandSize w:val="1"/>
      <w:tblStyleColBandSize w:val="1"/>
      <w:tblBorders>
        <w:top w:val="single" w:sz="8" w:space="0" w:color="47CB47" w:themeColor="accent1" w:themeTint="BF"/>
        <w:left w:val="single" w:sz="8" w:space="0" w:color="47CB47" w:themeColor="accent1" w:themeTint="BF"/>
        <w:bottom w:val="single" w:sz="8" w:space="0" w:color="47CB47" w:themeColor="accent1" w:themeTint="BF"/>
        <w:right w:val="single" w:sz="8" w:space="0" w:color="47CB47" w:themeColor="accent1" w:themeTint="BF"/>
        <w:insideH w:val="single" w:sz="8" w:space="0" w:color="47CB47" w:themeColor="accent1" w:themeTint="BF"/>
        <w:insideV w:val="single" w:sz="8" w:space="0" w:color="47CB47" w:themeColor="accent1" w:themeTint="BF"/>
      </w:tblBorders>
    </w:tblPr>
    <w:tcPr>
      <w:shd w:val="clear" w:color="auto" w:fill="C2EEC2" w:themeFill="accent1" w:themeFillTint="3F"/>
    </w:tcPr>
    <w:tblStylePr w:type="firstRow">
      <w:rPr>
        <w:b/>
        <w:bCs/>
      </w:rPr>
    </w:tblStylePr>
    <w:tblStylePr w:type="lastRow">
      <w:rPr>
        <w:b/>
        <w:bCs/>
      </w:rPr>
      <w:tblPr/>
      <w:tcPr>
        <w:tcBorders>
          <w:top w:val="single" w:sz="18" w:space="0" w:color="47CB47" w:themeColor="accent1" w:themeTint="BF"/>
        </w:tcBorders>
      </w:tcPr>
    </w:tblStylePr>
    <w:tblStylePr w:type="firstCol">
      <w:rPr>
        <w:b/>
        <w:bCs/>
      </w:rPr>
    </w:tblStylePr>
    <w:tblStylePr w:type="lastCol">
      <w:rPr>
        <w:b/>
        <w:bCs/>
      </w:rPr>
    </w:tblStylePr>
    <w:tblStylePr w:type="band1Vert">
      <w:tblPr/>
      <w:tcPr>
        <w:shd w:val="clear" w:color="auto" w:fill="84DC84" w:themeFill="accent1" w:themeFillTint="7F"/>
      </w:tcPr>
    </w:tblStylePr>
    <w:tblStylePr w:type="band1Horz">
      <w:tblPr/>
      <w:tcPr>
        <w:shd w:val="clear" w:color="auto" w:fill="84DC84" w:themeFill="accent1" w:themeFillTint="7F"/>
      </w:tcPr>
    </w:tblStylePr>
  </w:style>
  <w:style w:type="table" w:styleId="MediumGrid3-Accent1">
    <w:name w:val="Medium Grid 3 Accent 1"/>
    <w:basedOn w:val="TableNormal"/>
    <w:uiPriority w:val="69"/>
    <w:rsid w:val="000B295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E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992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992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992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992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DC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DC84" w:themeFill="accent1" w:themeFillTint="7F"/>
      </w:tcPr>
    </w:tblStylePr>
  </w:style>
  <w:style w:type="paragraph" w:customStyle="1" w:styleId="definitionacronyms">
    <w:name w:val="definition+acronyms"/>
    <w:basedOn w:val="Heading1"/>
    <w:rsid w:val="00C4184E"/>
    <w:pPr>
      <w:spacing w:after="600"/>
      <w:jc w:val="center"/>
    </w:pPr>
    <w:rPr>
      <w:b w:val="0"/>
      <w:bCs/>
      <w:color w:val="207220" w:themeColor="accent1" w:themeShade="BF"/>
      <w:sz w:val="28"/>
    </w:rPr>
  </w:style>
  <w:style w:type="table" w:customStyle="1" w:styleId="LightShading-Accent11">
    <w:name w:val="Light Shading - Accent 11"/>
    <w:basedOn w:val="TableNormal"/>
    <w:uiPriority w:val="60"/>
    <w:rsid w:val="00C4184E"/>
    <w:pPr>
      <w:spacing w:after="0" w:line="240" w:lineRule="auto"/>
    </w:pPr>
    <w:rPr>
      <w:color w:val="207220" w:themeColor="accent1" w:themeShade="BF"/>
    </w:rPr>
    <w:tblPr>
      <w:tblStyleRowBandSize w:val="1"/>
      <w:tblStyleColBandSize w:val="1"/>
      <w:tblBorders>
        <w:top w:val="single" w:sz="8" w:space="0" w:color="2B992B" w:themeColor="accent1"/>
        <w:bottom w:val="single" w:sz="8" w:space="0" w:color="2B992B" w:themeColor="accent1"/>
      </w:tblBorders>
    </w:tblPr>
    <w:tblStylePr w:type="fir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la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1" w:themeFillTint="3F"/>
      </w:tcPr>
    </w:tblStylePr>
    <w:tblStylePr w:type="band1Horz">
      <w:tblPr/>
      <w:tcPr>
        <w:tcBorders>
          <w:left w:val="nil"/>
          <w:right w:val="nil"/>
          <w:insideH w:val="nil"/>
          <w:insideV w:val="nil"/>
        </w:tcBorders>
        <w:shd w:val="clear" w:color="auto" w:fill="C2EEC2" w:themeFill="accent1" w:themeFillTint="3F"/>
      </w:tcPr>
    </w:tblStylePr>
  </w:style>
  <w:style w:type="paragraph" w:styleId="BodyText">
    <w:name w:val="Body Text"/>
    <w:basedOn w:val="Normal"/>
    <w:link w:val="BodyTextChar"/>
    <w:uiPriority w:val="99"/>
    <w:unhideWhenUsed/>
    <w:rsid w:val="006801F3"/>
  </w:style>
  <w:style w:type="character" w:customStyle="1" w:styleId="BodyTextChar">
    <w:name w:val="Body Text Char"/>
    <w:basedOn w:val="DefaultParagraphFont"/>
    <w:link w:val="BodyText"/>
    <w:uiPriority w:val="99"/>
    <w:rsid w:val="006801F3"/>
  </w:style>
  <w:style w:type="character" w:customStyle="1" w:styleId="Heading6Char">
    <w:name w:val="Heading 6 Char"/>
    <w:basedOn w:val="DefaultParagraphFont"/>
    <w:link w:val="Heading6"/>
    <w:uiPriority w:val="9"/>
    <w:semiHidden/>
    <w:rsid w:val="006801F3"/>
    <w:rPr>
      <w:caps/>
      <w:color w:val="207220" w:themeColor="accent1" w:themeShade="BF"/>
      <w:spacing w:val="10"/>
    </w:rPr>
  </w:style>
  <w:style w:type="character" w:customStyle="1" w:styleId="Heading7Char">
    <w:name w:val="Heading 7 Char"/>
    <w:basedOn w:val="DefaultParagraphFont"/>
    <w:link w:val="Heading7"/>
    <w:uiPriority w:val="9"/>
    <w:semiHidden/>
    <w:rsid w:val="006801F3"/>
    <w:rPr>
      <w:caps/>
      <w:color w:val="207220" w:themeColor="accent1" w:themeShade="BF"/>
      <w:spacing w:val="10"/>
    </w:rPr>
  </w:style>
  <w:style w:type="character" w:customStyle="1" w:styleId="Heading8Char">
    <w:name w:val="Heading 8 Char"/>
    <w:basedOn w:val="DefaultParagraphFont"/>
    <w:link w:val="Heading8"/>
    <w:uiPriority w:val="9"/>
    <w:semiHidden/>
    <w:rsid w:val="006801F3"/>
    <w:rPr>
      <w:caps/>
      <w:spacing w:val="10"/>
      <w:sz w:val="18"/>
      <w:szCs w:val="18"/>
    </w:rPr>
  </w:style>
  <w:style w:type="character" w:customStyle="1" w:styleId="Heading9Char">
    <w:name w:val="Heading 9 Char"/>
    <w:basedOn w:val="DefaultParagraphFont"/>
    <w:link w:val="Heading9"/>
    <w:uiPriority w:val="9"/>
    <w:semiHidden/>
    <w:rsid w:val="006801F3"/>
    <w:rPr>
      <w:i/>
      <w:caps/>
      <w:spacing w:val="10"/>
      <w:sz w:val="18"/>
      <w:szCs w:val="18"/>
    </w:rPr>
  </w:style>
  <w:style w:type="paragraph" w:styleId="Caption">
    <w:name w:val="caption"/>
    <w:basedOn w:val="Normal"/>
    <w:next w:val="Normal"/>
    <w:uiPriority w:val="35"/>
    <w:semiHidden/>
    <w:unhideWhenUsed/>
    <w:qFormat/>
    <w:rsid w:val="006801F3"/>
    <w:rPr>
      <w:b/>
      <w:bCs/>
      <w:color w:val="207220" w:themeColor="accent1" w:themeShade="BF"/>
      <w:sz w:val="16"/>
      <w:szCs w:val="16"/>
    </w:rPr>
  </w:style>
  <w:style w:type="paragraph" w:styleId="Subtitle">
    <w:name w:val="Subtitle"/>
    <w:basedOn w:val="Normal"/>
    <w:next w:val="Normal"/>
    <w:link w:val="SubtitleChar"/>
    <w:uiPriority w:val="11"/>
    <w:qFormat/>
    <w:rsid w:val="006801F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6801F3"/>
    <w:rPr>
      <w:caps/>
      <w:color w:val="595959" w:themeColor="text1" w:themeTint="A6"/>
      <w:spacing w:val="10"/>
      <w:sz w:val="24"/>
      <w:szCs w:val="24"/>
    </w:rPr>
  </w:style>
  <w:style w:type="character" w:styleId="Strong">
    <w:name w:val="Strong"/>
    <w:uiPriority w:val="22"/>
    <w:qFormat/>
    <w:rsid w:val="006801F3"/>
    <w:rPr>
      <w:b/>
      <w:bCs/>
    </w:rPr>
  </w:style>
  <w:style w:type="character" w:styleId="Emphasis">
    <w:name w:val="Emphasis"/>
    <w:uiPriority w:val="20"/>
    <w:qFormat/>
    <w:rsid w:val="006801F3"/>
    <w:rPr>
      <w:caps/>
      <w:color w:val="154B15" w:themeColor="accent1" w:themeShade="7F"/>
      <w:spacing w:val="5"/>
    </w:rPr>
  </w:style>
  <w:style w:type="character" w:customStyle="1" w:styleId="NoSpacingChar">
    <w:name w:val="No Spacing Char"/>
    <w:basedOn w:val="DefaultParagraphFont"/>
    <w:link w:val="NoSpacing"/>
    <w:uiPriority w:val="1"/>
    <w:rsid w:val="006801F3"/>
    <w:rPr>
      <w:sz w:val="20"/>
      <w:szCs w:val="20"/>
    </w:rPr>
  </w:style>
  <w:style w:type="paragraph" w:styleId="Quote">
    <w:name w:val="Quote"/>
    <w:basedOn w:val="Normal"/>
    <w:next w:val="Normal"/>
    <w:link w:val="QuoteChar"/>
    <w:uiPriority w:val="29"/>
    <w:qFormat/>
    <w:rsid w:val="006801F3"/>
    <w:rPr>
      <w:i/>
      <w:iCs/>
    </w:rPr>
  </w:style>
  <w:style w:type="character" w:customStyle="1" w:styleId="QuoteChar">
    <w:name w:val="Quote Char"/>
    <w:basedOn w:val="DefaultParagraphFont"/>
    <w:link w:val="Quote"/>
    <w:uiPriority w:val="29"/>
    <w:rsid w:val="006801F3"/>
    <w:rPr>
      <w:i/>
      <w:iCs/>
      <w:sz w:val="20"/>
      <w:szCs w:val="20"/>
    </w:rPr>
  </w:style>
  <w:style w:type="paragraph" w:styleId="IntenseQuote">
    <w:name w:val="Intense Quote"/>
    <w:basedOn w:val="Normal"/>
    <w:next w:val="Normal"/>
    <w:link w:val="IntenseQuoteChar"/>
    <w:uiPriority w:val="30"/>
    <w:qFormat/>
    <w:rsid w:val="006801F3"/>
    <w:pPr>
      <w:pBdr>
        <w:top w:val="single" w:sz="4" w:space="10" w:color="2B992B" w:themeColor="accent1"/>
        <w:left w:val="single" w:sz="4" w:space="10" w:color="2B992B" w:themeColor="accent1"/>
      </w:pBdr>
      <w:ind w:left="1296" w:right="1152"/>
    </w:pPr>
    <w:rPr>
      <w:i/>
      <w:iCs/>
      <w:color w:val="2B992B" w:themeColor="accent1"/>
    </w:rPr>
  </w:style>
  <w:style w:type="character" w:customStyle="1" w:styleId="IntenseQuoteChar">
    <w:name w:val="Intense Quote Char"/>
    <w:basedOn w:val="DefaultParagraphFont"/>
    <w:link w:val="IntenseQuote"/>
    <w:uiPriority w:val="30"/>
    <w:rsid w:val="006801F3"/>
    <w:rPr>
      <w:i/>
      <w:iCs/>
      <w:color w:val="2B992B" w:themeColor="accent1"/>
      <w:sz w:val="20"/>
      <w:szCs w:val="20"/>
    </w:rPr>
  </w:style>
  <w:style w:type="character" w:styleId="SubtleEmphasis">
    <w:name w:val="Subtle Emphasis"/>
    <w:uiPriority w:val="19"/>
    <w:qFormat/>
    <w:rsid w:val="006801F3"/>
    <w:rPr>
      <w:i/>
      <w:iCs/>
      <w:color w:val="154B15" w:themeColor="accent1" w:themeShade="7F"/>
    </w:rPr>
  </w:style>
  <w:style w:type="character" w:styleId="IntenseEmphasis">
    <w:name w:val="Intense Emphasis"/>
    <w:uiPriority w:val="21"/>
    <w:qFormat/>
    <w:rsid w:val="006801F3"/>
    <w:rPr>
      <w:b/>
      <w:bCs/>
      <w:caps/>
      <w:color w:val="154B15" w:themeColor="accent1" w:themeShade="7F"/>
      <w:spacing w:val="10"/>
    </w:rPr>
  </w:style>
  <w:style w:type="character" w:styleId="SubtleReference">
    <w:name w:val="Subtle Reference"/>
    <w:uiPriority w:val="31"/>
    <w:qFormat/>
    <w:rsid w:val="006801F3"/>
    <w:rPr>
      <w:b/>
      <w:bCs/>
      <w:color w:val="2B992B" w:themeColor="accent1"/>
    </w:rPr>
  </w:style>
  <w:style w:type="character" w:styleId="IntenseReference">
    <w:name w:val="Intense Reference"/>
    <w:uiPriority w:val="32"/>
    <w:qFormat/>
    <w:rsid w:val="006801F3"/>
    <w:rPr>
      <w:b/>
      <w:bCs/>
      <w:i/>
      <w:iCs/>
      <w:caps/>
      <w:color w:val="2B992B" w:themeColor="accent1"/>
    </w:rPr>
  </w:style>
  <w:style w:type="character" w:styleId="BookTitle">
    <w:name w:val="Book Title"/>
    <w:uiPriority w:val="33"/>
    <w:qFormat/>
    <w:rsid w:val="006801F3"/>
    <w:rPr>
      <w:b/>
      <w:bCs/>
      <w:i/>
      <w:iCs/>
      <w:spacing w:val="9"/>
    </w:rPr>
  </w:style>
  <w:style w:type="table" w:customStyle="1" w:styleId="TableGrid2">
    <w:name w:val="Table Grid2"/>
    <w:basedOn w:val="TableNormal"/>
    <w:next w:val="TableGrid"/>
    <w:uiPriority w:val="59"/>
    <w:rsid w:val="006774D6"/>
    <w:pPr>
      <w:spacing w:before="0"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71B5B"/>
    <w:pPr>
      <w:spacing w:before="0" w:after="0" w:line="240" w:lineRule="auto"/>
    </w:pPr>
    <w:tblPr>
      <w:tblStyleRowBandSize w:val="1"/>
      <w:tblStyleColBandSize w:val="1"/>
      <w:tblBorders>
        <w:top w:val="single" w:sz="8" w:space="0" w:color="2B992B" w:themeColor="accent1"/>
        <w:left w:val="single" w:sz="8" w:space="0" w:color="2B992B" w:themeColor="accent1"/>
        <w:bottom w:val="single" w:sz="8" w:space="0" w:color="2B992B" w:themeColor="accent1"/>
        <w:right w:val="single" w:sz="8" w:space="0" w:color="2B992B" w:themeColor="accent1"/>
      </w:tblBorders>
    </w:tblPr>
    <w:tblStylePr w:type="firstRow">
      <w:pPr>
        <w:spacing w:before="0" w:after="0" w:line="240" w:lineRule="auto"/>
      </w:pPr>
      <w:rPr>
        <w:b/>
        <w:bCs/>
        <w:color w:val="FFFFFF" w:themeColor="background1"/>
      </w:rPr>
      <w:tblPr/>
      <w:tcPr>
        <w:shd w:val="clear" w:color="auto" w:fill="2B992B" w:themeFill="accent1"/>
      </w:tcPr>
    </w:tblStylePr>
    <w:tblStylePr w:type="lastRow">
      <w:pPr>
        <w:spacing w:before="0" w:after="0" w:line="240" w:lineRule="auto"/>
      </w:pPr>
      <w:rPr>
        <w:b/>
        <w:bCs/>
      </w:rPr>
      <w:tblPr/>
      <w:tcPr>
        <w:tcBorders>
          <w:top w:val="double" w:sz="6" w:space="0" w:color="2B992B" w:themeColor="accent1"/>
          <w:left w:val="single" w:sz="8" w:space="0" w:color="2B992B" w:themeColor="accent1"/>
          <w:bottom w:val="single" w:sz="8" w:space="0" w:color="2B992B" w:themeColor="accent1"/>
          <w:right w:val="single" w:sz="8" w:space="0" w:color="2B992B" w:themeColor="accent1"/>
        </w:tcBorders>
      </w:tcPr>
    </w:tblStylePr>
    <w:tblStylePr w:type="firstCol">
      <w:rPr>
        <w:b/>
        <w:bCs/>
      </w:rPr>
    </w:tblStylePr>
    <w:tblStylePr w:type="lastCol">
      <w:rPr>
        <w:b/>
        <w:bCs/>
      </w:rPr>
    </w:tblStylePr>
    <w:tblStylePr w:type="band1Vert">
      <w:tblPr/>
      <w:tcPr>
        <w:tcBorders>
          <w:top w:val="single" w:sz="8" w:space="0" w:color="2B992B" w:themeColor="accent1"/>
          <w:left w:val="single" w:sz="8" w:space="0" w:color="2B992B" w:themeColor="accent1"/>
          <w:bottom w:val="single" w:sz="8" w:space="0" w:color="2B992B" w:themeColor="accent1"/>
          <w:right w:val="single" w:sz="8" w:space="0" w:color="2B992B" w:themeColor="accent1"/>
        </w:tcBorders>
      </w:tcPr>
    </w:tblStylePr>
    <w:tblStylePr w:type="band1Horz">
      <w:tblPr/>
      <w:tcPr>
        <w:tcBorders>
          <w:top w:val="single" w:sz="8" w:space="0" w:color="2B992B" w:themeColor="accent1"/>
          <w:left w:val="single" w:sz="8" w:space="0" w:color="2B992B" w:themeColor="accent1"/>
          <w:bottom w:val="single" w:sz="8" w:space="0" w:color="2B992B" w:themeColor="accent1"/>
          <w:right w:val="single" w:sz="8" w:space="0" w:color="2B992B" w:themeColor="accent1"/>
        </w:tcBorders>
      </w:tcPr>
    </w:tblStylePr>
  </w:style>
  <w:style w:type="table" w:styleId="LightShading-Accent1">
    <w:name w:val="Light Shading Accent 1"/>
    <w:basedOn w:val="TableNormal"/>
    <w:uiPriority w:val="60"/>
    <w:rsid w:val="00271B5B"/>
    <w:pPr>
      <w:spacing w:before="0" w:after="0" w:line="240" w:lineRule="auto"/>
    </w:pPr>
    <w:rPr>
      <w:color w:val="207220" w:themeColor="accent1" w:themeShade="BF"/>
    </w:rPr>
    <w:tblPr>
      <w:tblStyleRowBandSize w:val="1"/>
      <w:tblStyleColBandSize w:val="1"/>
      <w:tblBorders>
        <w:top w:val="single" w:sz="8" w:space="0" w:color="2B992B" w:themeColor="accent1"/>
        <w:bottom w:val="single" w:sz="8" w:space="0" w:color="2B992B" w:themeColor="accent1"/>
      </w:tblBorders>
    </w:tblPr>
    <w:tblStylePr w:type="fir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lastRow">
      <w:pPr>
        <w:spacing w:before="0" w:after="0" w:line="240" w:lineRule="auto"/>
      </w:pPr>
      <w:rPr>
        <w:b/>
        <w:bCs/>
      </w:rPr>
      <w:tblPr/>
      <w:tcPr>
        <w:tcBorders>
          <w:top w:val="single" w:sz="8" w:space="0" w:color="2B992B" w:themeColor="accent1"/>
          <w:left w:val="nil"/>
          <w:bottom w:val="single" w:sz="8" w:space="0" w:color="2B992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1" w:themeFillTint="3F"/>
      </w:tcPr>
    </w:tblStylePr>
    <w:tblStylePr w:type="band1Horz">
      <w:tblPr/>
      <w:tcPr>
        <w:tcBorders>
          <w:left w:val="nil"/>
          <w:right w:val="nil"/>
          <w:insideH w:val="nil"/>
          <w:insideV w:val="nil"/>
        </w:tcBorders>
        <w:shd w:val="clear" w:color="auto" w:fill="C2EEC2" w:themeFill="accent1" w:themeFillTint="3F"/>
      </w:tcPr>
    </w:tblStylePr>
  </w:style>
  <w:style w:type="paragraph" w:customStyle="1" w:styleId="Default">
    <w:name w:val="Default"/>
    <w:rsid w:val="00016F90"/>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Revision">
    <w:name w:val="Revision"/>
    <w:hidden/>
    <w:uiPriority w:val="99"/>
    <w:semiHidden/>
    <w:rsid w:val="003C7C88"/>
    <w:pPr>
      <w:spacing w:before="0" w:after="0" w:line="240" w:lineRule="auto"/>
    </w:pPr>
    <w:rPr>
      <w:sz w:val="20"/>
      <w:szCs w:val="20"/>
    </w:rPr>
  </w:style>
  <w:style w:type="table" w:customStyle="1" w:styleId="TableGrid3">
    <w:name w:val="Table Grid3"/>
    <w:basedOn w:val="TableNormal"/>
    <w:next w:val="TableGrid"/>
    <w:uiPriority w:val="59"/>
    <w:rsid w:val="00B11AAC"/>
    <w:pPr>
      <w:spacing w:after="0"/>
    </w:pPr>
    <w:rPr>
      <w:lang w:eastAsia="en-AU"/>
    </w:rPr>
    <w:tblP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Pr>
  </w:style>
  <w:style w:type="table" w:styleId="LightShading-Accent4">
    <w:name w:val="Light Shading Accent 4"/>
    <w:basedOn w:val="TableNormal"/>
    <w:uiPriority w:val="60"/>
    <w:rsid w:val="006D4272"/>
    <w:pPr>
      <w:spacing w:before="0" w:after="0" w:line="240" w:lineRule="auto"/>
    </w:pPr>
    <w:rPr>
      <w:color w:val="D4A102" w:themeColor="accent4" w:themeShade="BF"/>
    </w:rPr>
    <w:tblPr>
      <w:tblStyleRowBandSize w:val="1"/>
      <w:tblStyleColBandSize w:val="1"/>
      <w:tblBorders>
        <w:top w:val="single" w:sz="8" w:space="0" w:color="FDC822" w:themeColor="accent4"/>
        <w:bottom w:val="single" w:sz="8" w:space="0" w:color="FDC822" w:themeColor="accent4"/>
      </w:tblBorders>
    </w:tblPr>
    <w:tblStylePr w:type="firstRow">
      <w:pPr>
        <w:spacing w:before="0" w:after="0" w:line="240" w:lineRule="auto"/>
      </w:pPr>
      <w:rPr>
        <w:b/>
        <w:bCs/>
      </w:rPr>
      <w:tblPr/>
      <w:tcPr>
        <w:tcBorders>
          <w:top w:val="single" w:sz="8" w:space="0" w:color="FDC822" w:themeColor="accent4"/>
          <w:left w:val="nil"/>
          <w:bottom w:val="single" w:sz="8" w:space="0" w:color="FDC822" w:themeColor="accent4"/>
          <w:right w:val="nil"/>
          <w:insideH w:val="nil"/>
          <w:insideV w:val="nil"/>
        </w:tcBorders>
      </w:tcPr>
    </w:tblStylePr>
    <w:tblStylePr w:type="lastRow">
      <w:pPr>
        <w:spacing w:before="0" w:after="0" w:line="240" w:lineRule="auto"/>
      </w:pPr>
      <w:rPr>
        <w:b/>
        <w:bCs/>
      </w:rPr>
      <w:tblPr/>
      <w:tcPr>
        <w:tcBorders>
          <w:top w:val="single" w:sz="8" w:space="0" w:color="FDC822" w:themeColor="accent4"/>
          <w:left w:val="nil"/>
          <w:bottom w:val="single" w:sz="8" w:space="0" w:color="FDC82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C8" w:themeFill="accent4" w:themeFillTint="3F"/>
      </w:tcPr>
    </w:tblStylePr>
    <w:tblStylePr w:type="band1Horz">
      <w:tblPr/>
      <w:tcPr>
        <w:tcBorders>
          <w:left w:val="nil"/>
          <w:right w:val="nil"/>
          <w:insideH w:val="nil"/>
          <w:insideV w:val="nil"/>
        </w:tcBorders>
        <w:shd w:val="clear" w:color="auto" w:fill="FEF1C8" w:themeFill="accent4" w:themeFillTint="3F"/>
      </w:tcPr>
    </w:tblStylePr>
  </w:style>
  <w:style w:type="paragraph" w:customStyle="1" w:styleId="Style1">
    <w:name w:val="Style1"/>
    <w:basedOn w:val="Title"/>
    <w:qFormat/>
    <w:rsid w:val="007774AB"/>
  </w:style>
  <w:style w:type="table" w:styleId="MediumGrid2-Accent4">
    <w:name w:val="Medium Grid 2 Accent 4"/>
    <w:basedOn w:val="TableNormal"/>
    <w:uiPriority w:val="68"/>
    <w:rsid w:val="00961141"/>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DC822" w:themeColor="accent4"/>
        <w:left w:val="single" w:sz="8" w:space="0" w:color="FDC822" w:themeColor="accent4"/>
        <w:bottom w:val="single" w:sz="8" w:space="0" w:color="FDC822" w:themeColor="accent4"/>
        <w:right w:val="single" w:sz="8" w:space="0" w:color="FDC822" w:themeColor="accent4"/>
        <w:insideH w:val="single" w:sz="8" w:space="0" w:color="FDC822" w:themeColor="accent4"/>
        <w:insideV w:val="single" w:sz="8" w:space="0" w:color="FDC822" w:themeColor="accent4"/>
      </w:tblBorders>
    </w:tblPr>
    <w:tcPr>
      <w:shd w:val="clear" w:color="auto" w:fill="FEF1C8" w:themeFill="accent4" w:themeFillTint="3F"/>
    </w:tcPr>
    <w:tblStylePr w:type="firstRow">
      <w:rPr>
        <w:b/>
        <w:bCs/>
        <w:color w:val="000000" w:themeColor="text1"/>
      </w:rPr>
      <w:tblPr/>
      <w:tcPr>
        <w:shd w:val="clear" w:color="auto" w:fill="FEF9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D2" w:themeFill="accent4" w:themeFillTint="33"/>
      </w:tcPr>
    </w:tblStylePr>
    <w:tblStylePr w:type="band1Vert">
      <w:tblPr/>
      <w:tcPr>
        <w:shd w:val="clear" w:color="auto" w:fill="FEE390" w:themeFill="accent4" w:themeFillTint="7F"/>
      </w:tcPr>
    </w:tblStylePr>
    <w:tblStylePr w:type="band1Horz">
      <w:tblPr/>
      <w:tcPr>
        <w:tcBorders>
          <w:insideH w:val="single" w:sz="6" w:space="0" w:color="FDC822" w:themeColor="accent4"/>
          <w:insideV w:val="single" w:sz="6" w:space="0" w:color="FDC822" w:themeColor="accent4"/>
        </w:tcBorders>
        <w:shd w:val="clear" w:color="auto" w:fill="FEE390" w:themeFill="accent4" w:themeFillTint="7F"/>
      </w:tcPr>
    </w:tblStylePr>
    <w:tblStylePr w:type="nwCell">
      <w:tblPr/>
      <w:tcPr>
        <w:shd w:val="clear" w:color="auto" w:fill="FFFFFF" w:themeFill="background1"/>
      </w:tcPr>
    </w:tblStylePr>
  </w:style>
  <w:style w:type="table" w:styleId="MediumShading1-Accent4">
    <w:name w:val="Medium Shading 1 Accent 4"/>
    <w:basedOn w:val="TableNormal"/>
    <w:uiPriority w:val="63"/>
    <w:rsid w:val="00D36B28"/>
    <w:pPr>
      <w:spacing w:before="0" w:after="0" w:line="240" w:lineRule="auto"/>
    </w:pPr>
    <w:tblPr>
      <w:tblStyleRowBandSize w:val="1"/>
      <w:tblStyleColBandSize w:val="1"/>
      <w:tblBorders>
        <w:top w:val="single" w:sz="8" w:space="0" w:color="FDD559" w:themeColor="accent4" w:themeTint="BF"/>
        <w:left w:val="single" w:sz="8" w:space="0" w:color="FDD559" w:themeColor="accent4" w:themeTint="BF"/>
        <w:bottom w:val="single" w:sz="8" w:space="0" w:color="FDD559" w:themeColor="accent4" w:themeTint="BF"/>
        <w:right w:val="single" w:sz="8" w:space="0" w:color="FDD559" w:themeColor="accent4" w:themeTint="BF"/>
        <w:insideH w:val="single" w:sz="8" w:space="0" w:color="FDD559" w:themeColor="accent4" w:themeTint="BF"/>
      </w:tblBorders>
    </w:tblPr>
    <w:tblStylePr w:type="firstRow">
      <w:pPr>
        <w:spacing w:before="0" w:after="0" w:line="240" w:lineRule="auto"/>
      </w:pPr>
      <w:rPr>
        <w:b/>
        <w:bCs/>
        <w:color w:val="FFFFFF" w:themeColor="background1"/>
      </w:rPr>
      <w:tblPr/>
      <w:tcPr>
        <w:tcBorders>
          <w:top w:val="single" w:sz="8" w:space="0" w:color="FDD559" w:themeColor="accent4" w:themeTint="BF"/>
          <w:left w:val="single" w:sz="8" w:space="0" w:color="FDD559" w:themeColor="accent4" w:themeTint="BF"/>
          <w:bottom w:val="single" w:sz="8" w:space="0" w:color="FDD559" w:themeColor="accent4" w:themeTint="BF"/>
          <w:right w:val="single" w:sz="8" w:space="0" w:color="FDD559" w:themeColor="accent4" w:themeTint="BF"/>
          <w:insideH w:val="nil"/>
          <w:insideV w:val="nil"/>
        </w:tcBorders>
        <w:shd w:val="clear" w:color="auto" w:fill="FDC822" w:themeFill="accent4"/>
      </w:tcPr>
    </w:tblStylePr>
    <w:tblStylePr w:type="lastRow">
      <w:pPr>
        <w:spacing w:before="0" w:after="0" w:line="240" w:lineRule="auto"/>
      </w:pPr>
      <w:rPr>
        <w:b/>
        <w:bCs/>
      </w:rPr>
      <w:tblPr/>
      <w:tcPr>
        <w:tcBorders>
          <w:top w:val="double" w:sz="6" w:space="0" w:color="FDD559" w:themeColor="accent4" w:themeTint="BF"/>
          <w:left w:val="single" w:sz="8" w:space="0" w:color="FDD559" w:themeColor="accent4" w:themeTint="BF"/>
          <w:bottom w:val="single" w:sz="8" w:space="0" w:color="FDD559" w:themeColor="accent4" w:themeTint="BF"/>
          <w:right w:val="single" w:sz="8" w:space="0" w:color="FDD559"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1C8" w:themeFill="accent4" w:themeFillTint="3F"/>
      </w:tcPr>
    </w:tblStylePr>
    <w:tblStylePr w:type="band1Horz">
      <w:tblPr/>
      <w:tcPr>
        <w:tcBorders>
          <w:insideH w:val="nil"/>
          <w:insideV w:val="nil"/>
        </w:tcBorders>
        <w:shd w:val="clear" w:color="auto" w:fill="FEF1C8" w:themeFill="accent4"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D36B28"/>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DC82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DC822" w:themeFill="accent4"/>
      </w:tcPr>
    </w:tblStylePr>
    <w:tblStylePr w:type="lastCol">
      <w:rPr>
        <w:b/>
        <w:bCs/>
        <w:color w:val="FFFFFF" w:themeColor="background1"/>
      </w:rPr>
      <w:tblPr/>
      <w:tcPr>
        <w:tcBorders>
          <w:left w:val="nil"/>
          <w:right w:val="nil"/>
          <w:insideH w:val="nil"/>
          <w:insideV w:val="nil"/>
        </w:tcBorders>
        <w:shd w:val="clear" w:color="auto" w:fill="FDC82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ormalbold">
    <w:name w:val="Normal (bold)"/>
    <w:uiPriority w:val="1"/>
    <w:qFormat/>
    <w:rsid w:val="005F3722"/>
    <w:rPr>
      <w:color w:val="207220" w:themeColor="accent1" w:themeShade="BF"/>
    </w:rPr>
  </w:style>
  <w:style w:type="table" w:customStyle="1" w:styleId="ARPANSA">
    <w:name w:val="ARPANSA"/>
    <w:basedOn w:val="TableNormal"/>
    <w:uiPriority w:val="99"/>
    <w:rsid w:val="007660FF"/>
    <w:pPr>
      <w:spacing w:before="60" w:after="60" w:line="240" w:lineRule="auto"/>
    </w:pPr>
    <w:rPr>
      <w:rFonts w:eastAsiaTheme="minorHAnsi"/>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character" w:styleId="PlaceholderText">
    <w:name w:val="Placeholder Text"/>
    <w:basedOn w:val="DefaultParagraphFont"/>
    <w:uiPriority w:val="99"/>
    <w:semiHidden/>
    <w:rsid w:val="007660FF"/>
    <w:rPr>
      <w:rFonts w:cs="Times New Roman"/>
      <w:color w:val="808080"/>
    </w:rPr>
  </w:style>
  <w:style w:type="table" w:styleId="LightList">
    <w:name w:val="Light List"/>
    <w:basedOn w:val="TableNormal"/>
    <w:uiPriority w:val="61"/>
    <w:rsid w:val="006B4A61"/>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4">
    <w:name w:val="Light List Accent 4"/>
    <w:basedOn w:val="TableNormal"/>
    <w:uiPriority w:val="61"/>
    <w:rsid w:val="006B4A61"/>
    <w:pPr>
      <w:spacing w:before="0" w:after="0" w:line="240" w:lineRule="auto"/>
    </w:pPr>
    <w:tblPr>
      <w:tblStyleRowBandSize w:val="1"/>
      <w:tblStyleColBandSize w:val="1"/>
      <w:tblBorders>
        <w:top w:val="single" w:sz="8" w:space="0" w:color="FDC822" w:themeColor="accent4"/>
        <w:left w:val="single" w:sz="8" w:space="0" w:color="FDC822" w:themeColor="accent4"/>
        <w:bottom w:val="single" w:sz="8" w:space="0" w:color="FDC822" w:themeColor="accent4"/>
        <w:right w:val="single" w:sz="8" w:space="0" w:color="FDC822" w:themeColor="accent4"/>
      </w:tblBorders>
    </w:tblPr>
    <w:tblStylePr w:type="firstRow">
      <w:pPr>
        <w:spacing w:before="0" w:after="0" w:line="240" w:lineRule="auto"/>
      </w:pPr>
      <w:rPr>
        <w:b/>
        <w:bCs/>
        <w:color w:val="FFFFFF" w:themeColor="background1"/>
      </w:rPr>
      <w:tblPr/>
      <w:tcPr>
        <w:shd w:val="clear" w:color="auto" w:fill="FDC822" w:themeFill="accent4"/>
      </w:tcPr>
    </w:tblStylePr>
    <w:tblStylePr w:type="lastRow">
      <w:pPr>
        <w:spacing w:before="0" w:after="0" w:line="240" w:lineRule="auto"/>
      </w:pPr>
      <w:rPr>
        <w:b/>
        <w:bCs/>
      </w:rPr>
      <w:tblPr/>
      <w:tcPr>
        <w:tcBorders>
          <w:top w:val="double" w:sz="6" w:space="0" w:color="FDC822" w:themeColor="accent4"/>
          <w:left w:val="single" w:sz="8" w:space="0" w:color="FDC822" w:themeColor="accent4"/>
          <w:bottom w:val="single" w:sz="8" w:space="0" w:color="FDC822" w:themeColor="accent4"/>
          <w:right w:val="single" w:sz="8" w:space="0" w:color="FDC822" w:themeColor="accent4"/>
        </w:tcBorders>
      </w:tcPr>
    </w:tblStylePr>
    <w:tblStylePr w:type="firstCol">
      <w:rPr>
        <w:b/>
        <w:bCs/>
      </w:rPr>
    </w:tblStylePr>
    <w:tblStylePr w:type="lastCol">
      <w:rPr>
        <w:b/>
        <w:bCs/>
      </w:rPr>
    </w:tblStylePr>
    <w:tblStylePr w:type="band1Vert">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tcPr>
    </w:tblStylePr>
    <w:tblStylePr w:type="band1Horz">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tcPr>
    </w:tblStylePr>
  </w:style>
  <w:style w:type="table" w:styleId="LightGrid-Accent4">
    <w:name w:val="Light Grid Accent 4"/>
    <w:basedOn w:val="TableNormal"/>
    <w:uiPriority w:val="62"/>
    <w:rsid w:val="006B4A61"/>
    <w:pPr>
      <w:spacing w:before="0" w:after="0" w:line="240" w:lineRule="auto"/>
    </w:pPr>
    <w:tblPr>
      <w:tblStyleRowBandSize w:val="1"/>
      <w:tblStyleColBandSize w:val="1"/>
      <w:tblBorders>
        <w:top w:val="single" w:sz="8" w:space="0" w:color="FDC822" w:themeColor="accent4"/>
        <w:left w:val="single" w:sz="8" w:space="0" w:color="FDC822" w:themeColor="accent4"/>
        <w:bottom w:val="single" w:sz="8" w:space="0" w:color="FDC822" w:themeColor="accent4"/>
        <w:right w:val="single" w:sz="8" w:space="0" w:color="FDC822" w:themeColor="accent4"/>
        <w:insideH w:val="single" w:sz="8" w:space="0" w:color="FDC822" w:themeColor="accent4"/>
        <w:insideV w:val="single" w:sz="8" w:space="0" w:color="FDC82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DC822" w:themeColor="accent4"/>
          <w:left w:val="single" w:sz="8" w:space="0" w:color="FDC822" w:themeColor="accent4"/>
          <w:bottom w:val="single" w:sz="18" w:space="0" w:color="FDC822" w:themeColor="accent4"/>
          <w:right w:val="single" w:sz="8" w:space="0" w:color="FDC822" w:themeColor="accent4"/>
          <w:insideH w:val="nil"/>
          <w:insideV w:val="single" w:sz="8" w:space="0" w:color="FDC82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DC822" w:themeColor="accent4"/>
          <w:left w:val="single" w:sz="8" w:space="0" w:color="FDC822" w:themeColor="accent4"/>
          <w:bottom w:val="single" w:sz="8" w:space="0" w:color="FDC822" w:themeColor="accent4"/>
          <w:right w:val="single" w:sz="8" w:space="0" w:color="FDC822" w:themeColor="accent4"/>
          <w:insideH w:val="nil"/>
          <w:insideV w:val="single" w:sz="8" w:space="0" w:color="FDC82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tcPr>
    </w:tblStylePr>
    <w:tblStylePr w:type="band1Vert">
      <w:tblPr/>
      <w:tcPr>
        <w:tcBorders>
          <w:top w:val="single" w:sz="8" w:space="0" w:color="FDC822" w:themeColor="accent4"/>
          <w:left w:val="single" w:sz="8" w:space="0" w:color="FDC822" w:themeColor="accent4"/>
          <w:bottom w:val="single" w:sz="8" w:space="0" w:color="FDC822" w:themeColor="accent4"/>
          <w:right w:val="single" w:sz="8" w:space="0" w:color="FDC822" w:themeColor="accent4"/>
        </w:tcBorders>
        <w:shd w:val="clear" w:color="auto" w:fill="FEF1C8" w:themeFill="accent4" w:themeFillTint="3F"/>
      </w:tcPr>
    </w:tblStylePr>
    <w:tblStylePr w:type="band1Horz">
      <w:tblPr/>
      <w:tcPr>
        <w:tcBorders>
          <w:top w:val="single" w:sz="8" w:space="0" w:color="FDC822" w:themeColor="accent4"/>
          <w:left w:val="single" w:sz="8" w:space="0" w:color="FDC822" w:themeColor="accent4"/>
          <w:bottom w:val="single" w:sz="8" w:space="0" w:color="FDC822" w:themeColor="accent4"/>
          <w:right w:val="single" w:sz="8" w:space="0" w:color="FDC822" w:themeColor="accent4"/>
          <w:insideV w:val="single" w:sz="8" w:space="0" w:color="FDC822" w:themeColor="accent4"/>
        </w:tcBorders>
        <w:shd w:val="clear" w:color="auto" w:fill="FEF1C8" w:themeFill="accent4" w:themeFillTint="3F"/>
      </w:tcPr>
    </w:tblStylePr>
    <w:tblStylePr w:type="band2Horz">
      <w:tblPr/>
      <w:tcPr>
        <w:tcBorders>
          <w:top w:val="single" w:sz="8" w:space="0" w:color="FDC822" w:themeColor="accent4"/>
          <w:left w:val="single" w:sz="8" w:space="0" w:color="FDC822" w:themeColor="accent4"/>
          <w:bottom w:val="single" w:sz="8" w:space="0" w:color="FDC822" w:themeColor="accent4"/>
          <w:right w:val="single" w:sz="8" w:space="0" w:color="FDC822" w:themeColor="accent4"/>
          <w:insideV w:val="single" w:sz="8" w:space="0" w:color="FDC822" w:themeColor="accent4"/>
        </w:tcBorders>
      </w:tcPr>
    </w:tblStylePr>
  </w:style>
  <w:style w:type="table" w:styleId="MediumGrid2-Accent2">
    <w:name w:val="Medium Grid 2 Accent 2"/>
    <w:basedOn w:val="TableNormal"/>
    <w:uiPriority w:val="68"/>
    <w:rsid w:val="008A475B"/>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1A74" w:themeColor="accent2"/>
        <w:left w:val="single" w:sz="8" w:space="0" w:color="4E1A74" w:themeColor="accent2"/>
        <w:bottom w:val="single" w:sz="8" w:space="0" w:color="4E1A74" w:themeColor="accent2"/>
        <w:right w:val="single" w:sz="8" w:space="0" w:color="4E1A74" w:themeColor="accent2"/>
        <w:insideH w:val="single" w:sz="8" w:space="0" w:color="4E1A74" w:themeColor="accent2"/>
        <w:insideV w:val="single" w:sz="8" w:space="0" w:color="4E1A74" w:themeColor="accent2"/>
      </w:tblBorders>
    </w:tblPr>
    <w:tcPr>
      <w:shd w:val="clear" w:color="auto" w:fill="D5B4EE" w:themeFill="accent2" w:themeFillTint="3F"/>
    </w:tcPr>
    <w:tblStylePr w:type="firstRow">
      <w:rPr>
        <w:b/>
        <w:bCs/>
        <w:color w:val="000000" w:themeColor="text1"/>
      </w:rPr>
      <w:tblPr/>
      <w:tcPr>
        <w:shd w:val="clear" w:color="auto" w:fill="EEE1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2F1" w:themeFill="accent2" w:themeFillTint="33"/>
      </w:tcPr>
    </w:tblStylePr>
    <w:tblStylePr w:type="band1Vert">
      <w:tblPr/>
      <w:tcPr>
        <w:shd w:val="clear" w:color="auto" w:fill="AC69DD" w:themeFill="accent2" w:themeFillTint="7F"/>
      </w:tcPr>
    </w:tblStylePr>
    <w:tblStylePr w:type="band1Horz">
      <w:tblPr/>
      <w:tcPr>
        <w:tcBorders>
          <w:insideH w:val="single" w:sz="6" w:space="0" w:color="4E1A74" w:themeColor="accent2"/>
          <w:insideV w:val="single" w:sz="6" w:space="0" w:color="4E1A74" w:themeColor="accent2"/>
        </w:tcBorders>
        <w:shd w:val="clear" w:color="auto" w:fill="AC69DD" w:themeFill="accent2" w:themeFillTint="7F"/>
      </w:tcPr>
    </w:tblStylePr>
    <w:tblStylePr w:type="nwCell">
      <w:tblPr/>
      <w:tcPr>
        <w:shd w:val="clear" w:color="auto" w:fill="FFFFFF" w:themeFill="background1"/>
      </w:tcPr>
    </w:tblStylePr>
  </w:style>
  <w:style w:type="table" w:styleId="LightShading-Accent2">
    <w:name w:val="Light Shading Accent 2"/>
    <w:basedOn w:val="TableNormal"/>
    <w:uiPriority w:val="60"/>
    <w:rsid w:val="0019743A"/>
    <w:pPr>
      <w:spacing w:before="0" w:after="0" w:line="240" w:lineRule="auto"/>
    </w:pPr>
    <w:rPr>
      <w:color w:val="3A1356" w:themeColor="accent2" w:themeShade="BF"/>
    </w:rPr>
    <w:tblPr>
      <w:tblStyleRowBandSize w:val="1"/>
      <w:tblStyleColBandSize w:val="1"/>
      <w:tblBorders>
        <w:top w:val="single" w:sz="8" w:space="0" w:color="4E1A74" w:themeColor="accent2"/>
        <w:bottom w:val="single" w:sz="8" w:space="0" w:color="4E1A74" w:themeColor="accent2"/>
      </w:tblBorders>
    </w:tblPr>
    <w:tblStylePr w:type="firstRow">
      <w:pPr>
        <w:spacing w:before="0" w:after="0" w:line="240" w:lineRule="auto"/>
      </w:pPr>
      <w:rPr>
        <w:b/>
        <w:bCs/>
      </w:rPr>
      <w:tblPr/>
      <w:tcPr>
        <w:tcBorders>
          <w:top w:val="single" w:sz="8" w:space="0" w:color="4E1A74" w:themeColor="accent2"/>
          <w:left w:val="nil"/>
          <w:bottom w:val="single" w:sz="8" w:space="0" w:color="4E1A74" w:themeColor="accent2"/>
          <w:right w:val="nil"/>
          <w:insideH w:val="nil"/>
          <w:insideV w:val="nil"/>
        </w:tcBorders>
      </w:tcPr>
    </w:tblStylePr>
    <w:tblStylePr w:type="lastRow">
      <w:pPr>
        <w:spacing w:before="0" w:after="0" w:line="240" w:lineRule="auto"/>
      </w:pPr>
      <w:rPr>
        <w:b/>
        <w:bCs/>
      </w:rPr>
      <w:tblPr/>
      <w:tcPr>
        <w:tcBorders>
          <w:top w:val="single" w:sz="8" w:space="0" w:color="4E1A74" w:themeColor="accent2"/>
          <w:left w:val="nil"/>
          <w:bottom w:val="single" w:sz="8" w:space="0" w:color="4E1A7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B4EE" w:themeFill="accent2" w:themeFillTint="3F"/>
      </w:tcPr>
    </w:tblStylePr>
    <w:tblStylePr w:type="band1Horz">
      <w:tblPr/>
      <w:tcPr>
        <w:tcBorders>
          <w:left w:val="nil"/>
          <w:right w:val="nil"/>
          <w:insideH w:val="nil"/>
          <w:insideV w:val="nil"/>
        </w:tcBorders>
        <w:shd w:val="clear" w:color="auto" w:fill="D5B4EE" w:themeFill="accent2" w:themeFillTint="3F"/>
      </w:tcPr>
    </w:tblStylePr>
  </w:style>
  <w:style w:type="table" w:styleId="LightGrid-Accent5">
    <w:name w:val="Light Grid Accent 5"/>
    <w:basedOn w:val="TableNormal"/>
    <w:uiPriority w:val="62"/>
    <w:rsid w:val="00EE08D5"/>
    <w:pPr>
      <w:spacing w:before="0" w:after="0" w:line="240" w:lineRule="auto"/>
    </w:pPr>
    <w:tblPr>
      <w:tblStyleRowBandSize w:val="1"/>
      <w:tblStyleColBandSize w:val="1"/>
      <w:tblBorders>
        <w:top w:val="single" w:sz="8" w:space="0" w:color="CDACD2" w:themeColor="accent5"/>
        <w:left w:val="single" w:sz="8" w:space="0" w:color="CDACD2" w:themeColor="accent5"/>
        <w:bottom w:val="single" w:sz="8" w:space="0" w:color="CDACD2" w:themeColor="accent5"/>
        <w:right w:val="single" w:sz="8" w:space="0" w:color="CDACD2" w:themeColor="accent5"/>
        <w:insideH w:val="single" w:sz="8" w:space="0" w:color="CDACD2" w:themeColor="accent5"/>
        <w:insideV w:val="single" w:sz="8" w:space="0" w:color="CDACD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ACD2" w:themeColor="accent5"/>
          <w:left w:val="single" w:sz="8" w:space="0" w:color="CDACD2" w:themeColor="accent5"/>
          <w:bottom w:val="single" w:sz="18" w:space="0" w:color="CDACD2" w:themeColor="accent5"/>
          <w:right w:val="single" w:sz="8" w:space="0" w:color="CDACD2" w:themeColor="accent5"/>
          <w:insideH w:val="nil"/>
          <w:insideV w:val="single" w:sz="8" w:space="0" w:color="CDACD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ACD2" w:themeColor="accent5"/>
          <w:left w:val="single" w:sz="8" w:space="0" w:color="CDACD2" w:themeColor="accent5"/>
          <w:bottom w:val="single" w:sz="8" w:space="0" w:color="CDACD2" w:themeColor="accent5"/>
          <w:right w:val="single" w:sz="8" w:space="0" w:color="CDACD2" w:themeColor="accent5"/>
          <w:insideH w:val="nil"/>
          <w:insideV w:val="single" w:sz="8" w:space="0" w:color="CDACD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ACD2" w:themeColor="accent5"/>
          <w:left w:val="single" w:sz="8" w:space="0" w:color="CDACD2" w:themeColor="accent5"/>
          <w:bottom w:val="single" w:sz="8" w:space="0" w:color="CDACD2" w:themeColor="accent5"/>
          <w:right w:val="single" w:sz="8" w:space="0" w:color="CDACD2" w:themeColor="accent5"/>
        </w:tcBorders>
      </w:tcPr>
    </w:tblStylePr>
    <w:tblStylePr w:type="band1Vert">
      <w:tblPr/>
      <w:tcPr>
        <w:tcBorders>
          <w:top w:val="single" w:sz="8" w:space="0" w:color="CDACD2" w:themeColor="accent5"/>
          <w:left w:val="single" w:sz="8" w:space="0" w:color="CDACD2" w:themeColor="accent5"/>
          <w:bottom w:val="single" w:sz="8" w:space="0" w:color="CDACD2" w:themeColor="accent5"/>
          <w:right w:val="single" w:sz="8" w:space="0" w:color="CDACD2" w:themeColor="accent5"/>
        </w:tcBorders>
        <w:shd w:val="clear" w:color="auto" w:fill="F2EAF4" w:themeFill="accent5" w:themeFillTint="3F"/>
      </w:tcPr>
    </w:tblStylePr>
    <w:tblStylePr w:type="band1Horz">
      <w:tblPr/>
      <w:tcPr>
        <w:tcBorders>
          <w:top w:val="single" w:sz="8" w:space="0" w:color="CDACD2" w:themeColor="accent5"/>
          <w:left w:val="single" w:sz="8" w:space="0" w:color="CDACD2" w:themeColor="accent5"/>
          <w:bottom w:val="single" w:sz="8" w:space="0" w:color="CDACD2" w:themeColor="accent5"/>
          <w:right w:val="single" w:sz="8" w:space="0" w:color="CDACD2" w:themeColor="accent5"/>
          <w:insideV w:val="single" w:sz="8" w:space="0" w:color="CDACD2" w:themeColor="accent5"/>
        </w:tcBorders>
        <w:shd w:val="clear" w:color="auto" w:fill="F2EAF4" w:themeFill="accent5" w:themeFillTint="3F"/>
      </w:tcPr>
    </w:tblStylePr>
    <w:tblStylePr w:type="band2Horz">
      <w:tblPr/>
      <w:tcPr>
        <w:tcBorders>
          <w:top w:val="single" w:sz="8" w:space="0" w:color="CDACD2" w:themeColor="accent5"/>
          <w:left w:val="single" w:sz="8" w:space="0" w:color="CDACD2" w:themeColor="accent5"/>
          <w:bottom w:val="single" w:sz="8" w:space="0" w:color="CDACD2" w:themeColor="accent5"/>
          <w:right w:val="single" w:sz="8" w:space="0" w:color="CDACD2" w:themeColor="accent5"/>
          <w:insideV w:val="single" w:sz="8" w:space="0" w:color="CDACD2" w:themeColor="accent5"/>
        </w:tcBorders>
      </w:tcPr>
    </w:tblStylePr>
  </w:style>
  <w:style w:type="table" w:styleId="GridTable4-Accent2">
    <w:name w:val="Grid Table 4 Accent 2"/>
    <w:basedOn w:val="TableNormal"/>
    <w:uiPriority w:val="49"/>
    <w:rsid w:val="00325DCE"/>
    <w:pPr>
      <w:spacing w:after="0" w:line="240" w:lineRule="auto"/>
    </w:pPr>
    <w:tblPr>
      <w:tblStyleRowBandSize w:val="1"/>
      <w:tblStyleColBandSize w:val="1"/>
      <w:tblBorders>
        <w:top w:val="single" w:sz="4" w:space="0" w:color="9B4AD6" w:themeColor="accent2" w:themeTint="99"/>
        <w:left w:val="single" w:sz="4" w:space="0" w:color="9B4AD6" w:themeColor="accent2" w:themeTint="99"/>
        <w:bottom w:val="single" w:sz="4" w:space="0" w:color="9B4AD6" w:themeColor="accent2" w:themeTint="99"/>
        <w:right w:val="single" w:sz="4" w:space="0" w:color="9B4AD6" w:themeColor="accent2" w:themeTint="99"/>
        <w:insideH w:val="single" w:sz="4" w:space="0" w:color="9B4AD6" w:themeColor="accent2" w:themeTint="99"/>
        <w:insideV w:val="single" w:sz="4" w:space="0" w:color="9B4AD6" w:themeColor="accent2" w:themeTint="99"/>
      </w:tblBorders>
    </w:tblPr>
    <w:tblStylePr w:type="firstRow">
      <w:rPr>
        <w:b/>
        <w:bCs/>
        <w:color w:val="FFFFFF" w:themeColor="background1"/>
      </w:rPr>
      <w:tblPr/>
      <w:tcPr>
        <w:tcBorders>
          <w:top w:val="single" w:sz="4" w:space="0" w:color="4E1A74" w:themeColor="accent2"/>
          <w:left w:val="single" w:sz="4" w:space="0" w:color="4E1A74" w:themeColor="accent2"/>
          <w:bottom w:val="single" w:sz="4" w:space="0" w:color="4E1A74" w:themeColor="accent2"/>
          <w:right w:val="single" w:sz="4" w:space="0" w:color="4E1A74" w:themeColor="accent2"/>
          <w:insideH w:val="nil"/>
          <w:insideV w:val="nil"/>
        </w:tcBorders>
        <w:shd w:val="clear" w:color="auto" w:fill="4E1A74" w:themeFill="accent2"/>
      </w:tcPr>
    </w:tblStylePr>
    <w:tblStylePr w:type="lastRow">
      <w:rPr>
        <w:b/>
        <w:bCs/>
      </w:rPr>
      <w:tblPr/>
      <w:tcPr>
        <w:tcBorders>
          <w:top w:val="double" w:sz="4" w:space="0" w:color="4E1A74" w:themeColor="accent2"/>
        </w:tcBorders>
      </w:tc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 w:type="table" w:styleId="ListTable4-Accent2">
    <w:name w:val="List Table 4 Accent 2"/>
    <w:basedOn w:val="TableNormal"/>
    <w:uiPriority w:val="49"/>
    <w:rsid w:val="00FA6233"/>
    <w:pPr>
      <w:spacing w:after="0" w:line="240" w:lineRule="auto"/>
    </w:pPr>
    <w:tblPr>
      <w:tblStyleRowBandSize w:val="1"/>
      <w:tblStyleColBandSize w:val="1"/>
      <w:tblBorders>
        <w:top w:val="single" w:sz="4" w:space="0" w:color="9B4AD6" w:themeColor="accent2" w:themeTint="99"/>
        <w:left w:val="single" w:sz="4" w:space="0" w:color="9B4AD6" w:themeColor="accent2" w:themeTint="99"/>
        <w:bottom w:val="single" w:sz="4" w:space="0" w:color="9B4AD6" w:themeColor="accent2" w:themeTint="99"/>
        <w:right w:val="single" w:sz="4" w:space="0" w:color="9B4AD6" w:themeColor="accent2" w:themeTint="99"/>
        <w:insideH w:val="single" w:sz="4" w:space="0" w:color="9B4AD6" w:themeColor="accent2" w:themeTint="99"/>
      </w:tblBorders>
    </w:tblPr>
    <w:tblStylePr w:type="firstRow">
      <w:rPr>
        <w:b/>
        <w:bCs/>
        <w:color w:val="FFFFFF" w:themeColor="background1"/>
      </w:rPr>
      <w:tblPr/>
      <w:tcPr>
        <w:tcBorders>
          <w:top w:val="single" w:sz="4" w:space="0" w:color="4E1A74" w:themeColor="accent2"/>
          <w:left w:val="single" w:sz="4" w:space="0" w:color="4E1A74" w:themeColor="accent2"/>
          <w:bottom w:val="single" w:sz="4" w:space="0" w:color="4E1A74" w:themeColor="accent2"/>
          <w:right w:val="single" w:sz="4" w:space="0" w:color="4E1A74" w:themeColor="accent2"/>
          <w:insideH w:val="nil"/>
        </w:tcBorders>
        <w:shd w:val="clear" w:color="auto" w:fill="4E1A74" w:themeFill="accent2"/>
      </w:tcPr>
    </w:tblStylePr>
    <w:tblStylePr w:type="lastRow">
      <w:rPr>
        <w:b/>
        <w:bCs/>
      </w:rPr>
      <w:tblPr/>
      <w:tcPr>
        <w:tcBorders>
          <w:top w:val="double" w:sz="4" w:space="0" w:color="9B4AD6" w:themeColor="accent2" w:themeTint="99"/>
        </w:tcBorders>
      </w:tc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 w:type="table" w:customStyle="1" w:styleId="TableGrid21">
    <w:name w:val="Table Grid21"/>
    <w:basedOn w:val="TableNormal"/>
    <w:next w:val="TableGrid"/>
    <w:rsid w:val="00A90C9F"/>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numberedlevel1">
    <w:name w:val="Heading numbered level 1"/>
    <w:basedOn w:val="Heading2"/>
    <w:qFormat/>
    <w:rsid w:val="0015028E"/>
    <w:pPr>
      <w:pBdr>
        <w:bottom w:val="single" w:sz="4" w:space="1" w:color="auto"/>
      </w:pBdr>
      <w:tabs>
        <w:tab w:val="clear" w:pos="851"/>
        <w:tab w:val="num" w:pos="737"/>
      </w:tabs>
      <w:spacing w:before="480" w:after="240" w:line="264" w:lineRule="auto"/>
      <w:ind w:left="737" w:hanging="737"/>
    </w:pPr>
    <w:rPr>
      <w:rFonts w:eastAsiaTheme="majorEastAsia"/>
      <w:snapToGrid/>
      <w:szCs w:val="24"/>
    </w:rPr>
  </w:style>
  <w:style w:type="paragraph" w:styleId="TOC4">
    <w:name w:val="toc 4"/>
    <w:basedOn w:val="Normal"/>
    <w:next w:val="Normal"/>
    <w:autoRedefine/>
    <w:uiPriority w:val="39"/>
    <w:unhideWhenUsed/>
    <w:rsid w:val="009D7BE5"/>
    <w:pPr>
      <w:spacing w:after="100"/>
      <w:ind w:left="660"/>
    </w:pPr>
    <w:rPr>
      <w:lang w:eastAsia="en-AU"/>
    </w:rPr>
  </w:style>
  <w:style w:type="paragraph" w:styleId="TOC5">
    <w:name w:val="toc 5"/>
    <w:basedOn w:val="Normal"/>
    <w:next w:val="Normal"/>
    <w:autoRedefine/>
    <w:uiPriority w:val="39"/>
    <w:unhideWhenUsed/>
    <w:rsid w:val="009D7BE5"/>
    <w:pPr>
      <w:spacing w:after="100"/>
      <w:ind w:left="880"/>
    </w:pPr>
    <w:rPr>
      <w:lang w:eastAsia="en-AU"/>
    </w:rPr>
  </w:style>
  <w:style w:type="paragraph" w:styleId="TOC6">
    <w:name w:val="toc 6"/>
    <w:basedOn w:val="Normal"/>
    <w:next w:val="Normal"/>
    <w:autoRedefine/>
    <w:uiPriority w:val="39"/>
    <w:unhideWhenUsed/>
    <w:rsid w:val="009D7BE5"/>
    <w:pPr>
      <w:spacing w:after="100"/>
      <w:ind w:left="1100"/>
    </w:pPr>
    <w:rPr>
      <w:lang w:eastAsia="en-AU"/>
    </w:rPr>
  </w:style>
  <w:style w:type="paragraph" w:styleId="TOC7">
    <w:name w:val="toc 7"/>
    <w:basedOn w:val="Normal"/>
    <w:next w:val="Normal"/>
    <w:autoRedefine/>
    <w:uiPriority w:val="39"/>
    <w:unhideWhenUsed/>
    <w:rsid w:val="009D7BE5"/>
    <w:pPr>
      <w:spacing w:after="100"/>
      <w:ind w:left="1320"/>
    </w:pPr>
    <w:rPr>
      <w:lang w:eastAsia="en-AU"/>
    </w:rPr>
  </w:style>
  <w:style w:type="paragraph" w:styleId="TOC8">
    <w:name w:val="toc 8"/>
    <w:basedOn w:val="Normal"/>
    <w:next w:val="Normal"/>
    <w:autoRedefine/>
    <w:uiPriority w:val="39"/>
    <w:unhideWhenUsed/>
    <w:rsid w:val="009D7BE5"/>
    <w:pPr>
      <w:spacing w:after="100"/>
      <w:ind w:left="1540"/>
    </w:pPr>
    <w:rPr>
      <w:lang w:eastAsia="en-AU"/>
    </w:rPr>
  </w:style>
  <w:style w:type="paragraph" w:styleId="TOC9">
    <w:name w:val="toc 9"/>
    <w:basedOn w:val="Normal"/>
    <w:next w:val="Normal"/>
    <w:autoRedefine/>
    <w:uiPriority w:val="39"/>
    <w:unhideWhenUsed/>
    <w:rsid w:val="009D7BE5"/>
    <w:pPr>
      <w:spacing w:after="100"/>
      <w:ind w:left="1760"/>
    </w:pPr>
    <w:rPr>
      <w:lang w:eastAsia="en-AU"/>
    </w:rPr>
  </w:style>
  <w:style w:type="paragraph" w:styleId="EndnoteText">
    <w:name w:val="endnote text"/>
    <w:basedOn w:val="Normal"/>
    <w:link w:val="EndnoteTextChar"/>
    <w:uiPriority w:val="99"/>
    <w:unhideWhenUsed/>
    <w:rsid w:val="009D7BE5"/>
    <w:pPr>
      <w:spacing w:after="200"/>
    </w:pPr>
    <w:rPr>
      <w:rFonts w:eastAsiaTheme="minorHAnsi"/>
      <w:lang w:eastAsia="en-AU"/>
    </w:rPr>
  </w:style>
  <w:style w:type="character" w:customStyle="1" w:styleId="EndnoteTextChar">
    <w:name w:val="Endnote Text Char"/>
    <w:basedOn w:val="DefaultParagraphFont"/>
    <w:link w:val="EndnoteText"/>
    <w:uiPriority w:val="99"/>
    <w:rsid w:val="009D7BE5"/>
    <w:rPr>
      <w:rFonts w:eastAsiaTheme="minorHAnsi"/>
      <w:sz w:val="20"/>
      <w:lang w:eastAsia="en-AU"/>
    </w:rPr>
  </w:style>
  <w:style w:type="table" w:styleId="GridTable6Colorful-Accent2">
    <w:name w:val="Grid Table 6 Colorful Accent 2"/>
    <w:basedOn w:val="TableNormal"/>
    <w:uiPriority w:val="51"/>
    <w:rsid w:val="00731702"/>
    <w:pPr>
      <w:spacing w:after="0" w:line="240" w:lineRule="auto"/>
    </w:pPr>
    <w:rPr>
      <w:color w:val="3A1356" w:themeColor="accent2" w:themeShade="BF"/>
    </w:rPr>
    <w:tblPr>
      <w:tblStyleRowBandSize w:val="1"/>
      <w:tblStyleColBandSize w:val="1"/>
      <w:tblBorders>
        <w:top w:val="single" w:sz="4" w:space="0" w:color="9B4AD6" w:themeColor="accent2" w:themeTint="99"/>
        <w:left w:val="single" w:sz="4" w:space="0" w:color="9B4AD6" w:themeColor="accent2" w:themeTint="99"/>
        <w:bottom w:val="single" w:sz="4" w:space="0" w:color="9B4AD6" w:themeColor="accent2" w:themeTint="99"/>
        <w:right w:val="single" w:sz="4" w:space="0" w:color="9B4AD6" w:themeColor="accent2" w:themeTint="99"/>
        <w:insideH w:val="single" w:sz="4" w:space="0" w:color="9B4AD6" w:themeColor="accent2" w:themeTint="99"/>
        <w:insideV w:val="single" w:sz="4" w:space="0" w:color="9B4AD6" w:themeColor="accent2" w:themeTint="99"/>
      </w:tblBorders>
    </w:tblPr>
    <w:tblStylePr w:type="firstRow">
      <w:rPr>
        <w:b/>
        <w:bCs/>
      </w:rPr>
      <w:tblPr/>
      <w:tcPr>
        <w:tcBorders>
          <w:bottom w:val="single" w:sz="12" w:space="0" w:color="9B4AD6" w:themeColor="accent2" w:themeTint="99"/>
        </w:tcBorders>
      </w:tcPr>
    </w:tblStylePr>
    <w:tblStylePr w:type="lastRow">
      <w:rPr>
        <w:b/>
        <w:bCs/>
      </w:rPr>
      <w:tblPr/>
      <w:tcPr>
        <w:tcBorders>
          <w:top w:val="double" w:sz="4" w:space="0" w:color="9B4AD6" w:themeColor="accent2" w:themeTint="99"/>
        </w:tcBorders>
      </w:tcPr>
    </w:tblStylePr>
    <w:tblStylePr w:type="firstCol">
      <w:rPr>
        <w:b/>
        <w:bCs/>
      </w:rPr>
    </w:tblStylePr>
    <w:tblStylePr w:type="lastCol">
      <w:rPr>
        <w:b/>
        <w:bCs/>
      </w:rPr>
    </w:tblStylePr>
    <w:tblStylePr w:type="band1Vert">
      <w:tblPr/>
      <w:tcPr>
        <w:shd w:val="clear" w:color="auto" w:fill="DDC2F1" w:themeFill="accent2" w:themeFillTint="33"/>
      </w:tcPr>
    </w:tblStylePr>
    <w:tblStylePr w:type="band1Horz">
      <w:tblPr/>
      <w:tcPr>
        <w:shd w:val="clear" w:color="auto" w:fill="DDC2F1" w:themeFill="accent2" w:themeFillTint="33"/>
      </w:tcPr>
    </w:tblStylePr>
  </w:style>
  <w:style w:type="paragraph" w:styleId="NormalWeb">
    <w:name w:val="Normal (Web)"/>
    <w:basedOn w:val="Normal"/>
    <w:rsid w:val="00864A7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1">
    <w:name w:val="P1"/>
    <w:aliases w:val="(a)"/>
    <w:basedOn w:val="Normal"/>
    <w:rsid w:val="009C43FE"/>
    <w:pPr>
      <w:tabs>
        <w:tab w:val="right" w:pos="1191"/>
      </w:tabs>
      <w:autoSpaceDE w:val="0"/>
      <w:autoSpaceDN w:val="0"/>
      <w:spacing w:before="60" w:line="260" w:lineRule="exact"/>
      <w:ind w:left="1418" w:hanging="1418"/>
    </w:pPr>
    <w:rPr>
      <w:rFonts w:ascii="Times New Roman" w:eastAsia="Times New Roman" w:hAnsi="Times New Roman" w:cs="Times New Roman"/>
      <w:sz w:val="24"/>
      <w:szCs w:val="24"/>
      <w:lang w:eastAsia="en-AU"/>
    </w:rPr>
  </w:style>
  <w:style w:type="paragraph" w:customStyle="1" w:styleId="R1">
    <w:name w:val="R1"/>
    <w:aliases w:val="1. or 1.(1)"/>
    <w:basedOn w:val="Normal"/>
    <w:next w:val="Normal"/>
    <w:rsid w:val="009C43FE"/>
    <w:pPr>
      <w:tabs>
        <w:tab w:val="right" w:pos="794"/>
      </w:tabs>
      <w:autoSpaceDE w:val="0"/>
      <w:autoSpaceDN w:val="0"/>
      <w:spacing w:line="260" w:lineRule="exact"/>
      <w:ind w:left="964" w:hanging="964"/>
    </w:pPr>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unhideWhenUsed/>
    <w:rsid w:val="007B4701"/>
    <w:rPr>
      <w:sz w:val="16"/>
      <w:szCs w:val="16"/>
    </w:rPr>
  </w:style>
  <w:style w:type="character" w:customStyle="1" w:styleId="BodyText3Char">
    <w:name w:val="Body Text 3 Char"/>
    <w:basedOn w:val="DefaultParagraphFont"/>
    <w:link w:val="BodyText3"/>
    <w:uiPriority w:val="99"/>
    <w:rsid w:val="007B4701"/>
    <w:rPr>
      <w:sz w:val="16"/>
      <w:szCs w:val="16"/>
    </w:rPr>
  </w:style>
  <w:style w:type="paragraph" w:styleId="PlainText">
    <w:name w:val="Plain Text"/>
    <w:basedOn w:val="Normal"/>
    <w:link w:val="PlainTextChar"/>
    <w:uiPriority w:val="99"/>
    <w:unhideWhenUsed/>
    <w:rsid w:val="00EF6DED"/>
    <w:pPr>
      <w:spacing w:line="240" w:lineRule="auto"/>
    </w:pPr>
    <w:rPr>
      <w:rFonts w:ascii="Consolas" w:eastAsia="Calibri" w:hAnsi="Consolas" w:cs="Times New Roman"/>
      <w:sz w:val="21"/>
      <w:szCs w:val="21"/>
      <w:lang w:eastAsia="en-AU"/>
    </w:rPr>
  </w:style>
  <w:style w:type="character" w:customStyle="1" w:styleId="PlainTextChar">
    <w:name w:val="Plain Text Char"/>
    <w:basedOn w:val="DefaultParagraphFont"/>
    <w:link w:val="PlainText"/>
    <w:uiPriority w:val="99"/>
    <w:rsid w:val="00EF6DED"/>
    <w:rPr>
      <w:rFonts w:ascii="Consolas" w:eastAsia="Calibri" w:hAnsi="Consolas" w:cs="Times New Roman"/>
      <w:sz w:val="21"/>
      <w:szCs w:val="21"/>
      <w:lang w:eastAsia="en-AU"/>
    </w:rPr>
  </w:style>
  <w:style w:type="table" w:customStyle="1" w:styleId="GridTable4-Accent41">
    <w:name w:val="Grid Table 4 - Accent 41"/>
    <w:basedOn w:val="TableNormal"/>
    <w:next w:val="GridTable4-Accent4"/>
    <w:uiPriority w:val="49"/>
    <w:rsid w:val="00CE00CF"/>
    <w:pPr>
      <w:spacing w:before="0" w:after="0" w:line="240" w:lineRule="auto"/>
    </w:pPr>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GridTable4-Accent4">
    <w:name w:val="Grid Table 4 Accent 4"/>
    <w:basedOn w:val="TableNormal"/>
    <w:uiPriority w:val="49"/>
    <w:rsid w:val="00CE00CF"/>
    <w:pPr>
      <w:spacing w:after="0" w:line="240" w:lineRule="auto"/>
    </w:pPr>
    <w:tblPr>
      <w:tblStyleRowBandSize w:val="1"/>
      <w:tblStyleColBandSize w:val="1"/>
      <w:tblBorders>
        <w:top w:val="single" w:sz="4" w:space="0" w:color="FDDD7A" w:themeColor="accent4" w:themeTint="99"/>
        <w:left w:val="single" w:sz="4" w:space="0" w:color="FDDD7A" w:themeColor="accent4" w:themeTint="99"/>
        <w:bottom w:val="single" w:sz="4" w:space="0" w:color="FDDD7A" w:themeColor="accent4" w:themeTint="99"/>
        <w:right w:val="single" w:sz="4" w:space="0" w:color="FDDD7A" w:themeColor="accent4" w:themeTint="99"/>
        <w:insideH w:val="single" w:sz="4" w:space="0" w:color="FDDD7A" w:themeColor="accent4" w:themeTint="99"/>
        <w:insideV w:val="single" w:sz="4" w:space="0" w:color="FDDD7A" w:themeColor="accent4" w:themeTint="99"/>
      </w:tblBorders>
    </w:tblPr>
    <w:tblStylePr w:type="firstRow">
      <w:rPr>
        <w:b/>
        <w:bCs/>
        <w:color w:val="FFFFFF" w:themeColor="background1"/>
      </w:rPr>
      <w:tblPr/>
      <w:tcPr>
        <w:tcBorders>
          <w:top w:val="single" w:sz="4" w:space="0" w:color="FDC822" w:themeColor="accent4"/>
          <w:left w:val="single" w:sz="4" w:space="0" w:color="FDC822" w:themeColor="accent4"/>
          <w:bottom w:val="single" w:sz="4" w:space="0" w:color="FDC822" w:themeColor="accent4"/>
          <w:right w:val="single" w:sz="4" w:space="0" w:color="FDC822" w:themeColor="accent4"/>
          <w:insideH w:val="nil"/>
          <w:insideV w:val="nil"/>
        </w:tcBorders>
        <w:shd w:val="clear" w:color="auto" w:fill="FDC822" w:themeFill="accent4"/>
      </w:tcPr>
    </w:tblStylePr>
    <w:tblStylePr w:type="lastRow">
      <w:rPr>
        <w:b/>
        <w:bCs/>
      </w:rPr>
      <w:tblPr/>
      <w:tcPr>
        <w:tcBorders>
          <w:top w:val="double" w:sz="4" w:space="0" w:color="FDC822" w:themeColor="accent4"/>
        </w:tcBorders>
      </w:tcPr>
    </w:tblStylePr>
    <w:tblStylePr w:type="firstCol">
      <w:rPr>
        <w:b/>
        <w:bCs/>
      </w:rPr>
    </w:tblStylePr>
    <w:tblStylePr w:type="lastCol">
      <w:rPr>
        <w:b/>
        <w:bCs/>
      </w:rPr>
    </w:tblStylePr>
    <w:tblStylePr w:type="band1Vert">
      <w:tblPr/>
      <w:tcPr>
        <w:shd w:val="clear" w:color="auto" w:fill="FEF3D2" w:themeFill="accent4" w:themeFillTint="33"/>
      </w:tcPr>
    </w:tblStylePr>
    <w:tblStylePr w:type="band1Horz">
      <w:tblPr/>
      <w:tcPr>
        <w:shd w:val="clear" w:color="auto" w:fill="FEF3D2" w:themeFill="accent4" w:themeFillTint="33"/>
      </w:tcPr>
    </w:tblStylePr>
  </w:style>
  <w:style w:type="table" w:customStyle="1" w:styleId="GenericARPANSA41">
    <w:name w:val="Generic ARPANSA 41"/>
    <w:basedOn w:val="TableNormal"/>
    <w:uiPriority w:val="99"/>
    <w:rsid w:val="00BE5CAF"/>
    <w:pPr>
      <w:spacing w:before="0" w:after="60" w:line="240" w:lineRule="auto"/>
      <w:jc w:val="center"/>
    </w:pPr>
    <w:rPr>
      <w:rFonts w:eastAsiaTheme="minorHAnsi"/>
      <w:color w:val="444444"/>
    </w:rPr>
    <w:tblPr>
      <w:tblStyleRowBandSize w:val="1"/>
      <w:tblStyleCol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TableGrid71">
    <w:name w:val="Table Grid71"/>
    <w:basedOn w:val="TableNormal"/>
    <w:next w:val="TableGrid"/>
    <w:uiPriority w:val="59"/>
    <w:rsid w:val="005F2DA7"/>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411">
    <w:name w:val="Grid Table 4 - Accent 411"/>
    <w:basedOn w:val="TableNormal"/>
    <w:next w:val="GridTable4-Accent4"/>
    <w:uiPriority w:val="49"/>
    <w:rsid w:val="003A317B"/>
    <w:pPr>
      <w:spacing w:before="0" w:after="0" w:line="240" w:lineRule="auto"/>
    </w:pPr>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paragraph" w:customStyle="1" w:styleId="BodyTextList">
    <w:name w:val="Body Text List"/>
    <w:basedOn w:val="BodyText"/>
    <w:rsid w:val="001F4868"/>
    <w:pPr>
      <w:overflowPunct w:val="0"/>
      <w:autoSpaceDE w:val="0"/>
      <w:autoSpaceDN w:val="0"/>
      <w:adjustRightInd w:val="0"/>
      <w:spacing w:line="240" w:lineRule="auto"/>
      <w:ind w:left="567"/>
      <w:textAlignment w:val="baseline"/>
    </w:pPr>
    <w:rPr>
      <w:rFonts w:ascii="Times New Roman" w:eastAsia="Times New Roman" w:hAnsi="Times New Roman" w:cs="Times New Roman"/>
      <w:noProof/>
      <w:sz w:val="24"/>
      <w:szCs w:val="20"/>
      <w:lang w:val="en-GB"/>
    </w:rPr>
  </w:style>
  <w:style w:type="paragraph" w:customStyle="1" w:styleId="IAEATableHeading">
    <w:name w:val="IAEA Table Heading"/>
    <w:basedOn w:val="BodyText"/>
    <w:next w:val="BodyText"/>
    <w:rsid w:val="00E46AB2"/>
    <w:pPr>
      <w:keepNext/>
      <w:keepLines/>
      <w:spacing w:line="240" w:lineRule="auto"/>
    </w:pPr>
    <w:rPr>
      <w:rFonts w:ascii="Times New Roman" w:eastAsia="Times New Roman" w:hAnsi="Times New Roman" w:cs="Times New Roman"/>
      <w:sz w:val="24"/>
      <w:szCs w:val="20"/>
      <w:lang w:val="en-US"/>
    </w:rPr>
  </w:style>
  <w:style w:type="character" w:styleId="UnresolvedMention">
    <w:name w:val="Unresolved Mention"/>
    <w:basedOn w:val="DefaultParagraphFont"/>
    <w:uiPriority w:val="99"/>
    <w:semiHidden/>
    <w:unhideWhenUsed/>
    <w:rsid w:val="002B427D"/>
    <w:rPr>
      <w:color w:val="605E5C"/>
      <w:shd w:val="clear" w:color="auto" w:fill="E1DFDD"/>
    </w:rPr>
  </w:style>
  <w:style w:type="paragraph" w:customStyle="1" w:styleId="paragraph">
    <w:name w:val="paragraph"/>
    <w:basedOn w:val="Normal"/>
    <w:rsid w:val="00B331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331E3"/>
  </w:style>
  <w:style w:type="character" w:customStyle="1" w:styleId="eop">
    <w:name w:val="eop"/>
    <w:basedOn w:val="DefaultParagraphFont"/>
    <w:rsid w:val="00B33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8762">
      <w:bodyDiv w:val="1"/>
      <w:marLeft w:val="0"/>
      <w:marRight w:val="0"/>
      <w:marTop w:val="0"/>
      <w:marBottom w:val="0"/>
      <w:divBdr>
        <w:top w:val="none" w:sz="0" w:space="0" w:color="auto"/>
        <w:left w:val="none" w:sz="0" w:space="0" w:color="auto"/>
        <w:bottom w:val="none" w:sz="0" w:space="0" w:color="auto"/>
        <w:right w:val="none" w:sz="0" w:space="0" w:color="auto"/>
      </w:divBdr>
    </w:div>
    <w:div w:id="324404230">
      <w:bodyDiv w:val="1"/>
      <w:marLeft w:val="0"/>
      <w:marRight w:val="0"/>
      <w:marTop w:val="0"/>
      <w:marBottom w:val="0"/>
      <w:divBdr>
        <w:top w:val="none" w:sz="0" w:space="0" w:color="auto"/>
        <w:left w:val="none" w:sz="0" w:space="0" w:color="auto"/>
        <w:bottom w:val="none" w:sz="0" w:space="0" w:color="auto"/>
        <w:right w:val="none" w:sz="0" w:space="0" w:color="auto"/>
      </w:divBdr>
    </w:div>
    <w:div w:id="560096847">
      <w:bodyDiv w:val="1"/>
      <w:marLeft w:val="0"/>
      <w:marRight w:val="0"/>
      <w:marTop w:val="0"/>
      <w:marBottom w:val="0"/>
      <w:divBdr>
        <w:top w:val="none" w:sz="0" w:space="0" w:color="auto"/>
        <w:left w:val="none" w:sz="0" w:space="0" w:color="auto"/>
        <w:bottom w:val="none" w:sz="0" w:space="0" w:color="auto"/>
        <w:right w:val="none" w:sz="0" w:space="0" w:color="auto"/>
      </w:divBdr>
    </w:div>
    <w:div w:id="587885064">
      <w:bodyDiv w:val="1"/>
      <w:marLeft w:val="0"/>
      <w:marRight w:val="0"/>
      <w:marTop w:val="0"/>
      <w:marBottom w:val="0"/>
      <w:divBdr>
        <w:top w:val="none" w:sz="0" w:space="0" w:color="auto"/>
        <w:left w:val="none" w:sz="0" w:space="0" w:color="auto"/>
        <w:bottom w:val="none" w:sz="0" w:space="0" w:color="auto"/>
        <w:right w:val="none" w:sz="0" w:space="0" w:color="auto"/>
      </w:divBdr>
    </w:div>
    <w:div w:id="672495429">
      <w:bodyDiv w:val="1"/>
      <w:marLeft w:val="0"/>
      <w:marRight w:val="0"/>
      <w:marTop w:val="0"/>
      <w:marBottom w:val="0"/>
      <w:divBdr>
        <w:top w:val="none" w:sz="0" w:space="0" w:color="auto"/>
        <w:left w:val="none" w:sz="0" w:space="0" w:color="auto"/>
        <w:bottom w:val="none" w:sz="0" w:space="0" w:color="auto"/>
        <w:right w:val="none" w:sz="0" w:space="0" w:color="auto"/>
      </w:divBdr>
    </w:div>
    <w:div w:id="825164996">
      <w:bodyDiv w:val="1"/>
      <w:marLeft w:val="0"/>
      <w:marRight w:val="0"/>
      <w:marTop w:val="0"/>
      <w:marBottom w:val="0"/>
      <w:divBdr>
        <w:top w:val="none" w:sz="0" w:space="0" w:color="auto"/>
        <w:left w:val="none" w:sz="0" w:space="0" w:color="auto"/>
        <w:bottom w:val="none" w:sz="0" w:space="0" w:color="auto"/>
        <w:right w:val="none" w:sz="0" w:space="0" w:color="auto"/>
      </w:divBdr>
    </w:div>
    <w:div w:id="840124148">
      <w:bodyDiv w:val="1"/>
      <w:marLeft w:val="0"/>
      <w:marRight w:val="0"/>
      <w:marTop w:val="0"/>
      <w:marBottom w:val="0"/>
      <w:divBdr>
        <w:top w:val="none" w:sz="0" w:space="0" w:color="auto"/>
        <w:left w:val="none" w:sz="0" w:space="0" w:color="auto"/>
        <w:bottom w:val="none" w:sz="0" w:space="0" w:color="auto"/>
        <w:right w:val="none" w:sz="0" w:space="0" w:color="auto"/>
      </w:divBdr>
    </w:div>
    <w:div w:id="1118765895">
      <w:bodyDiv w:val="1"/>
      <w:marLeft w:val="0"/>
      <w:marRight w:val="0"/>
      <w:marTop w:val="0"/>
      <w:marBottom w:val="0"/>
      <w:divBdr>
        <w:top w:val="none" w:sz="0" w:space="0" w:color="auto"/>
        <w:left w:val="none" w:sz="0" w:space="0" w:color="auto"/>
        <w:bottom w:val="none" w:sz="0" w:space="0" w:color="auto"/>
        <w:right w:val="none" w:sz="0" w:space="0" w:color="auto"/>
      </w:divBdr>
    </w:div>
    <w:div w:id="1236210893">
      <w:bodyDiv w:val="1"/>
      <w:marLeft w:val="0"/>
      <w:marRight w:val="0"/>
      <w:marTop w:val="0"/>
      <w:marBottom w:val="0"/>
      <w:divBdr>
        <w:top w:val="none" w:sz="0" w:space="0" w:color="auto"/>
        <w:left w:val="none" w:sz="0" w:space="0" w:color="auto"/>
        <w:bottom w:val="none" w:sz="0" w:space="0" w:color="auto"/>
        <w:right w:val="none" w:sz="0" w:space="0" w:color="auto"/>
      </w:divBdr>
    </w:div>
    <w:div w:id="1359744395">
      <w:bodyDiv w:val="1"/>
      <w:marLeft w:val="0"/>
      <w:marRight w:val="0"/>
      <w:marTop w:val="0"/>
      <w:marBottom w:val="0"/>
      <w:divBdr>
        <w:top w:val="none" w:sz="0" w:space="0" w:color="auto"/>
        <w:left w:val="none" w:sz="0" w:space="0" w:color="auto"/>
        <w:bottom w:val="none" w:sz="0" w:space="0" w:color="auto"/>
        <w:right w:val="none" w:sz="0" w:space="0" w:color="auto"/>
      </w:divBdr>
    </w:div>
    <w:div w:id="1585529920">
      <w:bodyDiv w:val="1"/>
      <w:marLeft w:val="0"/>
      <w:marRight w:val="0"/>
      <w:marTop w:val="0"/>
      <w:marBottom w:val="0"/>
      <w:divBdr>
        <w:top w:val="none" w:sz="0" w:space="0" w:color="auto"/>
        <w:left w:val="none" w:sz="0" w:space="0" w:color="auto"/>
        <w:bottom w:val="none" w:sz="0" w:space="0" w:color="auto"/>
        <w:right w:val="none" w:sz="0" w:space="0" w:color="auto"/>
      </w:divBdr>
    </w:div>
    <w:div w:id="1833136849">
      <w:bodyDiv w:val="1"/>
      <w:marLeft w:val="0"/>
      <w:marRight w:val="0"/>
      <w:marTop w:val="0"/>
      <w:marBottom w:val="0"/>
      <w:divBdr>
        <w:top w:val="none" w:sz="0" w:space="0" w:color="auto"/>
        <w:left w:val="none" w:sz="0" w:space="0" w:color="auto"/>
        <w:bottom w:val="none" w:sz="0" w:space="0" w:color="auto"/>
        <w:right w:val="none" w:sz="0" w:space="0" w:color="auto"/>
      </w:divBdr>
    </w:div>
    <w:div w:id="1916892145">
      <w:bodyDiv w:val="1"/>
      <w:marLeft w:val="0"/>
      <w:marRight w:val="0"/>
      <w:marTop w:val="0"/>
      <w:marBottom w:val="0"/>
      <w:divBdr>
        <w:top w:val="none" w:sz="0" w:space="0" w:color="auto"/>
        <w:left w:val="none" w:sz="0" w:space="0" w:color="auto"/>
        <w:bottom w:val="none" w:sz="0" w:space="0" w:color="auto"/>
        <w:right w:val="none" w:sz="0" w:space="0" w:color="auto"/>
      </w:divBdr>
    </w:div>
    <w:div w:id="211891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rpansa.gov.au/regulation-and-licensing/licensing/information-for-licence-holders/regulatory-guides" TargetMode="External"/><Relationship Id="rId18" Type="http://schemas.openxmlformats.org/officeDocument/2006/relationships/hyperlink" Target="el://ARPANSA-TMP-2082?db=VP&amp;view" TargetMode="External"/><Relationship Id="rId26" Type="http://schemas.openxmlformats.org/officeDocument/2006/relationships/hyperlink" Target="mailto:LicenceAdmin@arpansa.gov.au" TargetMode="External"/><Relationship Id="rId39" Type="http://schemas.openxmlformats.org/officeDocument/2006/relationships/hyperlink" Target="https://www.iaea.org/publications/6573/decommissioning-of-small-medical-industrial-and-research-facilities" TargetMode="External"/><Relationship Id="rId21" Type="http://schemas.openxmlformats.org/officeDocument/2006/relationships/hyperlink" Target="mailto:LicenceAdmin@arpansa.gov.au" TargetMode="External"/><Relationship Id="rId34" Type="http://schemas.openxmlformats.org/officeDocument/2006/relationships/hyperlink" Target="el://ARPANSA-TMP-1730?db=VP&amp;view" TargetMode="External"/><Relationship Id="rId42" Type="http://schemas.openxmlformats.org/officeDocument/2006/relationships/hyperlink" Target="https://www.arpansa.gov.au/sites/default/files/legacy/pubs/regulatory/guides/REG-LA-SUP-246A.pdf" TargetMode="External"/><Relationship Id="rId47" Type="http://schemas.openxmlformats.org/officeDocument/2006/relationships/hyperlink" Target="http://www.directory.gov.au" TargetMode="External"/><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rpansaonline.sharepoint.com/teams/RegulatoryServices/" TargetMode="External"/><Relationship Id="rId29" Type="http://schemas.openxmlformats.org/officeDocument/2006/relationships/hyperlink" Target="https://arpansaonline.sharepoint.com/teams/RegulatoryServices/" TargetMode="External"/><Relationship Id="rId11" Type="http://schemas.openxmlformats.org/officeDocument/2006/relationships/hyperlink" Target="https://www.arpansa.gov.au/sites/default/files/arpansa-reg-com-man-270w_compliance_enforcement_manual.pdf" TargetMode="External"/><Relationship Id="rId24" Type="http://schemas.openxmlformats.org/officeDocument/2006/relationships/hyperlink" Target="https://arpansaonline.sharepoint.com/teams/RegulatoryServices/" TargetMode="External"/><Relationship Id="rId32" Type="http://schemas.openxmlformats.org/officeDocument/2006/relationships/hyperlink" Target="el://R20%2f05299?db=VP&amp;edit" TargetMode="External"/><Relationship Id="rId37" Type="http://schemas.openxmlformats.org/officeDocument/2006/relationships/hyperlink" Target="https://www-pub.iaea.org/MTCD/Publications/PDF/Pub1854_web.pdf" TargetMode="External"/><Relationship Id="rId40" Type="http://schemas.openxmlformats.org/officeDocument/2006/relationships/hyperlink" Target="mailto:LicenceAdmin@arpansa.gov.au" TargetMode="External"/><Relationship Id="rId45" Type="http://schemas.openxmlformats.org/officeDocument/2006/relationships/hyperlink" Target="http://isaac.arpansa.local/OurBusinessUnits/RegulatoryServices/continuous/Pages/Security-and-Transport.aspx" TargetMode="External"/><Relationship Id="rId5" Type="http://schemas.openxmlformats.org/officeDocument/2006/relationships/webSettings" Target="webSettings.xml"/><Relationship Id="rId15" Type="http://schemas.openxmlformats.org/officeDocument/2006/relationships/hyperlink" Target="mailto:LicenceAdmin@arpansa.gov.au" TargetMode="External"/><Relationship Id="rId23" Type="http://schemas.openxmlformats.org/officeDocument/2006/relationships/hyperlink" Target="http://isaac.arpansa.local/DocumentCentre/ARPANSADocuments/Instrument_No_6_of_2020_Regulatory.pdf" TargetMode="External"/><Relationship Id="rId28" Type="http://schemas.openxmlformats.org/officeDocument/2006/relationships/hyperlink" Target="mailto:LicenceAdmin@arpansa.gov.au" TargetMode="External"/><Relationship Id="rId36" Type="http://schemas.openxmlformats.org/officeDocument/2006/relationships/hyperlink" Target="http://vic-hprm01/EasyLink/?2020%252f01080%3fdb%3dVP%26open" TargetMode="External"/><Relationship Id="rId49" Type="http://schemas.openxmlformats.org/officeDocument/2006/relationships/footer" Target="footer1.xml"/><Relationship Id="rId10" Type="http://schemas.openxmlformats.org/officeDocument/2006/relationships/hyperlink" Target="https://www.arpansa.gov.au/sites/default/files/arpansa-reg-ins-man-280w.pdf" TargetMode="External"/><Relationship Id="rId19" Type="http://schemas.openxmlformats.org/officeDocument/2006/relationships/hyperlink" Target="https://teams.microsoft.com/l/entity/a6b63365-31a4-4f43-92ec-710b71557af9/_djb2_msteams_prefix_3933530074?context=%7B%22subEntityId%22%3Anull%2C%22channelId%22%3A%2219%3Aab9c8b119e124e70bd8cf104ea762364%40thread.tacv2%22%7D&amp;groupId=9dd7cc3f-5c3d-4457-b747-6754e14850d1&amp;tenantId=e23b7344-00e1-49cb-9468-2759cc63a844&amp;allowXTenantAccess=false" TargetMode="External"/><Relationship Id="rId31" Type="http://schemas.openxmlformats.org/officeDocument/2006/relationships/hyperlink" Target="https://www.arpansa.gov.au/regulation-and-licensing/licensing/information-for-licence-holders/regulatory-guides/regulatory-guide-how-seek-exemption-licence" TargetMode="External"/><Relationship Id="rId44" Type="http://schemas.openxmlformats.org/officeDocument/2006/relationships/hyperlink" Target="http://www.arpansa.gov.au/publications/codes/rpsc-2.cf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rpansa.gov.au/about-us/our-policies/regulatory-activity-policies" TargetMode="External"/><Relationship Id="rId14" Type="http://schemas.openxmlformats.org/officeDocument/2006/relationships/image" Target="media/image2.jpeg"/><Relationship Id="rId22" Type="http://schemas.openxmlformats.org/officeDocument/2006/relationships/hyperlink" Target="https://arpansaonline.sharepoint.com/teams/RegulatoryServices/" TargetMode="External"/><Relationship Id="rId27" Type="http://schemas.openxmlformats.org/officeDocument/2006/relationships/hyperlink" Target="el://ARPANSA-GDE-1746?db=VP&amp;view" TargetMode="External"/><Relationship Id="rId30" Type="http://schemas.openxmlformats.org/officeDocument/2006/relationships/hyperlink" Target="http://vic-hprm01/EasyLink/?2020%252f01080%3fdb%3dVP" TargetMode="External"/><Relationship Id="rId35" Type="http://schemas.openxmlformats.org/officeDocument/2006/relationships/hyperlink" Target="file:///C:\Users\harrid\AppData\Local\Micro%20Focus\Content%20Manager\TEMP\HPTRIM.5432\RAR%20exemption%20in%20relation%20to%20a%20controlled%20facility" TargetMode="External"/><Relationship Id="rId43" Type="http://schemas.openxmlformats.org/officeDocument/2006/relationships/hyperlink" Target="mailto:LicenceAdmin@arpansa.gov.au" TargetMode="External"/><Relationship Id="rId48" Type="http://schemas.openxmlformats.org/officeDocument/2006/relationships/hyperlink" Target="http://www.asic.gov.au"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arpansa.gov.au/regulation-and-licensing/licensing/information-for-licence-holders/regulatory-guides/regulatory-guide-wipe-testing-sealed-sources" TargetMode="External"/><Relationship Id="rId17" Type="http://schemas.openxmlformats.org/officeDocument/2006/relationships/hyperlink" Target="https://www.arpansa.gov.au/regulation-and-licensing/licensing/information-for-licence-holders/licence-conditions" TargetMode="External"/><Relationship Id="rId25" Type="http://schemas.openxmlformats.org/officeDocument/2006/relationships/hyperlink" Target="mailto:LicenceAdmin@arpansa.gov.au" TargetMode="External"/><Relationship Id="rId33" Type="http://schemas.openxmlformats.org/officeDocument/2006/relationships/hyperlink" Target="el://ARPANSA-TMP-1900?db=VP&amp;view" TargetMode="External"/><Relationship Id="rId38" Type="http://schemas.openxmlformats.org/officeDocument/2006/relationships/hyperlink" Target="https://op.europa.eu/en/publication-detail/-/publication/7321365e-d716-445c-9ab2-bcd35ec73e38" TargetMode="External"/><Relationship Id="rId46" Type="http://schemas.openxmlformats.org/officeDocument/2006/relationships/hyperlink" Target="trim://R10%2f03617?db=VP&amp;edit" TargetMode="External"/><Relationship Id="rId20" Type="http://schemas.openxmlformats.org/officeDocument/2006/relationships/hyperlink" Target="mailto:LicenceAdmin@arpansa.gov.au" TargetMode="External"/><Relationship Id="rId41" Type="http://schemas.openxmlformats.org/officeDocument/2006/relationships/hyperlink" Target="http://vic-hprm01/EasyLink/?ARPANSA-TMP-2065?db%3dVP%26view"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el://R20%2f04528?db=VP&amp;edit" TargetMode="External"/><Relationship Id="rId1" Type="http://schemas.openxmlformats.org/officeDocument/2006/relationships/hyperlink" Target="el://ARPANSA-GDE-1117?db=VP&amp;view" TargetMode="External"/></Relationships>
</file>

<file path=word/theme/theme1.xml><?xml version="1.0" encoding="utf-8"?>
<a:theme xmlns:a="http://schemas.openxmlformats.org/drawingml/2006/main" name="Office Theme">
  <a:themeElements>
    <a:clrScheme name="ARPANSA Brand">
      <a:dk1>
        <a:sysClr val="windowText" lastClr="000000"/>
      </a:dk1>
      <a:lt1>
        <a:sysClr val="window" lastClr="FFFFFF"/>
      </a:lt1>
      <a:dk2>
        <a:srgbClr val="444448"/>
      </a:dk2>
      <a:lt2>
        <a:srgbClr val="EEECE1"/>
      </a:lt2>
      <a:accent1>
        <a:srgbClr val="2B992B"/>
      </a:accent1>
      <a:accent2>
        <a:srgbClr val="4E1A74"/>
      </a:accent2>
      <a:accent3>
        <a:srgbClr val="B6C900"/>
      </a:accent3>
      <a:accent4>
        <a:srgbClr val="FDC822"/>
      </a:accent4>
      <a:accent5>
        <a:srgbClr val="CDACD2"/>
      </a:accent5>
      <a:accent6>
        <a:srgbClr val="EE743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B4A8E-D0D3-46E3-9456-73E1868BB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9733</Words>
  <Characters>55479</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2023-03-30T22:41:00Z</dcterms:created>
  <dcterms:modified xsi:type="dcterms:W3CDTF">2023-03-30T22:41:00Z</dcterms:modified>
</cp:coreProperties>
</file>