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E4B3" w14:textId="6AEAFBE9" w:rsidR="008D443A" w:rsidRDefault="00FC5C46" w:rsidP="00351040">
      <w:bookmarkStart w:id="0" w:name="im2"/>
      <w:r>
        <w:rPr>
          <w:noProof/>
          <w:lang w:eastAsia="en-AU"/>
        </w:rPr>
        <w:drawing>
          <wp:anchor distT="0" distB="0" distL="114300" distR="114300" simplePos="0" relativeHeight="251648512" behindDoc="1" locked="0" layoutInCell="1" allowOverlap="1" wp14:anchorId="6137A7B2" wp14:editId="1E1B45E0">
            <wp:simplePos x="0" y="0"/>
            <wp:positionH relativeFrom="page">
              <wp:posOffset>-15240</wp:posOffset>
            </wp:positionH>
            <wp:positionV relativeFrom="paragraph">
              <wp:posOffset>-826135</wp:posOffset>
            </wp:positionV>
            <wp:extent cx="7558768" cy="106920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cence template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0DF19B18" w14:textId="77777777" w:rsidR="00B11AAC" w:rsidRDefault="00B11AAC" w:rsidP="00351040">
      <w:pPr>
        <w:rPr>
          <w:rFonts w:eastAsia="Times New Roman"/>
        </w:rPr>
      </w:pPr>
    </w:p>
    <w:p w14:paraId="08D7A923" w14:textId="77777777" w:rsidR="006303F4" w:rsidRDefault="006303F4" w:rsidP="00351040">
      <w:pPr>
        <w:rPr>
          <w:rFonts w:eastAsia="Times New Roman"/>
        </w:rPr>
      </w:pPr>
    </w:p>
    <w:p w14:paraId="548046C8" w14:textId="77777777" w:rsidR="005F256B" w:rsidRDefault="005F256B" w:rsidP="00351040">
      <w:pPr>
        <w:rPr>
          <w:rFonts w:eastAsia="Times New Roman"/>
        </w:rPr>
      </w:pPr>
    </w:p>
    <w:p w14:paraId="7EADBAFE" w14:textId="77777777" w:rsidR="00F1188C" w:rsidRDefault="00F1188C" w:rsidP="00351040">
      <w:pPr>
        <w:pStyle w:val="TITLE2"/>
      </w:pPr>
      <w:bookmarkStart w:id="1" w:name="_Toc492399336"/>
    </w:p>
    <w:p w14:paraId="0F71664B" w14:textId="77777777" w:rsidR="00F1188C" w:rsidRDefault="00F1188C" w:rsidP="00351040">
      <w:pPr>
        <w:pStyle w:val="TITLE2"/>
      </w:pPr>
    </w:p>
    <w:p w14:paraId="559A3DBA" w14:textId="22CB677E" w:rsidR="00FC5C46" w:rsidRPr="0050108B" w:rsidRDefault="00FC5C46" w:rsidP="00642AB5">
      <w:pPr>
        <w:pStyle w:val="TITLE2"/>
        <w:spacing w:before="0" w:after="0"/>
        <w:jc w:val="center"/>
        <w:rPr>
          <w:color w:val="FFFFFF" w:themeColor="background1"/>
          <w:sz w:val="36"/>
          <w:szCs w:val="36"/>
        </w:rPr>
      </w:pPr>
      <w:r w:rsidRPr="0050108B">
        <w:rPr>
          <w:color w:val="FFFFFF" w:themeColor="background1"/>
          <w:sz w:val="36"/>
          <w:szCs w:val="36"/>
        </w:rPr>
        <w:t>regulatory services</w:t>
      </w:r>
    </w:p>
    <w:p w14:paraId="61036A8A" w14:textId="77777777" w:rsidR="00FC5C46" w:rsidRPr="0050108B" w:rsidRDefault="00FC5C46" w:rsidP="00351040">
      <w:pPr>
        <w:pStyle w:val="TITLE2"/>
        <w:rPr>
          <w:color w:val="FFFFFF" w:themeColor="background1"/>
        </w:rPr>
      </w:pPr>
    </w:p>
    <w:p w14:paraId="582840CB" w14:textId="18675A24" w:rsidR="00B11AAC" w:rsidRDefault="00B11AAC" w:rsidP="0050108B">
      <w:pPr>
        <w:pStyle w:val="TITLE2"/>
        <w:spacing w:before="360"/>
        <w:jc w:val="center"/>
        <w:rPr>
          <w:color w:val="FFFFFF" w:themeColor="background1"/>
          <w:sz w:val="48"/>
          <w:szCs w:val="48"/>
        </w:rPr>
      </w:pPr>
      <w:r w:rsidRPr="0050108B">
        <w:rPr>
          <w:color w:val="FFFFFF" w:themeColor="background1"/>
          <w:sz w:val="48"/>
          <w:szCs w:val="48"/>
        </w:rPr>
        <w:t>INSPECTION MANUAL</w:t>
      </w:r>
      <w:bookmarkEnd w:id="1"/>
    </w:p>
    <w:p w14:paraId="01B257DD" w14:textId="77777777" w:rsidR="00DC55D6" w:rsidRDefault="00BF75BF" w:rsidP="00BF75BF">
      <w:pPr>
        <w:spacing w:before="600"/>
        <w:jc w:val="center"/>
        <w:rPr>
          <w:i/>
          <w:color w:val="FFFFFF" w:themeColor="background1"/>
          <w:sz w:val="28"/>
          <w:szCs w:val="28"/>
        </w:rPr>
      </w:pPr>
      <w:r w:rsidRPr="00BF75BF">
        <w:rPr>
          <w:i/>
          <w:color w:val="FFFFFF" w:themeColor="background1"/>
          <w:sz w:val="28"/>
          <w:szCs w:val="28"/>
        </w:rPr>
        <w:t>G</w:t>
      </w:r>
      <w:r w:rsidRPr="00DC55D6">
        <w:rPr>
          <w:i/>
          <w:color w:val="FFFFFF" w:themeColor="background1"/>
          <w:sz w:val="28"/>
          <w:szCs w:val="28"/>
        </w:rPr>
        <w:t xml:space="preserve">uide for regulatory officers on </w:t>
      </w:r>
      <w:r w:rsidR="00DC55D6">
        <w:rPr>
          <w:i/>
          <w:color w:val="FFFFFF" w:themeColor="background1"/>
          <w:sz w:val="28"/>
          <w:szCs w:val="28"/>
        </w:rPr>
        <w:t xml:space="preserve">the management &amp; implementation of </w:t>
      </w:r>
    </w:p>
    <w:p w14:paraId="255504B5" w14:textId="1552ABF7" w:rsidR="00DC55D6" w:rsidRDefault="00DC55D6" w:rsidP="0050108B">
      <w:pPr>
        <w:jc w:val="center"/>
        <w:rPr>
          <w:i/>
          <w:color w:val="FFFFFF" w:themeColor="background1"/>
          <w:sz w:val="28"/>
          <w:szCs w:val="28"/>
        </w:rPr>
      </w:pPr>
      <w:r>
        <w:rPr>
          <w:i/>
          <w:color w:val="FFFFFF" w:themeColor="background1"/>
          <w:sz w:val="28"/>
          <w:szCs w:val="28"/>
        </w:rPr>
        <w:t>ARPANSA’s inspection program</w:t>
      </w:r>
      <w:r w:rsidR="00BF75BF" w:rsidRPr="00DC55D6">
        <w:rPr>
          <w:i/>
          <w:color w:val="FFFFFF" w:themeColor="background1"/>
          <w:sz w:val="28"/>
          <w:szCs w:val="28"/>
        </w:rPr>
        <w:t xml:space="preserve"> </w:t>
      </w:r>
    </w:p>
    <w:p w14:paraId="1B4A994B" w14:textId="618B7784" w:rsidR="00B11AAC" w:rsidRDefault="00B11AAC" w:rsidP="0050108B">
      <w:pPr>
        <w:jc w:val="center"/>
        <w:rPr>
          <w:rFonts w:eastAsia="Calibri"/>
        </w:rPr>
      </w:pPr>
    </w:p>
    <w:p w14:paraId="3E74F153" w14:textId="77777777" w:rsidR="000E2214" w:rsidRPr="00B11AAC" w:rsidRDefault="000E2214" w:rsidP="0050108B">
      <w:pPr>
        <w:jc w:val="center"/>
        <w:rPr>
          <w:rFonts w:eastAsia="Calibri"/>
        </w:rPr>
      </w:pPr>
    </w:p>
    <w:p w14:paraId="65E0DD78" w14:textId="3F7EC626" w:rsidR="00DC55D6" w:rsidRDefault="00DC55D6" w:rsidP="00DC55D6"/>
    <w:p w14:paraId="7D846376" w14:textId="3B54C2BD" w:rsidR="00DC55D6" w:rsidRDefault="00DC55D6" w:rsidP="0050108B"/>
    <w:p w14:paraId="3DBFA407" w14:textId="340F8FBE" w:rsidR="00DC55D6" w:rsidRDefault="00DC55D6" w:rsidP="0050108B"/>
    <w:p w14:paraId="540A46B0" w14:textId="77777777" w:rsidR="00DC55D6" w:rsidRPr="0050108B" w:rsidRDefault="00DC55D6" w:rsidP="0050108B"/>
    <w:p w14:paraId="2729E719" w14:textId="77777777" w:rsidR="000E2214" w:rsidRDefault="000E2214" w:rsidP="004B5149">
      <w:pPr>
        <w:pStyle w:val="Heading2"/>
        <w:numPr>
          <w:ilvl w:val="0"/>
          <w:numId w:val="0"/>
        </w:numPr>
        <w:ind w:left="1080"/>
        <w:jc w:val="right"/>
      </w:pPr>
    </w:p>
    <w:p w14:paraId="6E9485D0" w14:textId="77777777" w:rsidR="000E2214" w:rsidRDefault="000E2214" w:rsidP="004B5149">
      <w:pPr>
        <w:pStyle w:val="Heading2"/>
        <w:numPr>
          <w:ilvl w:val="0"/>
          <w:numId w:val="0"/>
        </w:numPr>
        <w:ind w:left="1080"/>
        <w:jc w:val="right"/>
      </w:pPr>
    </w:p>
    <w:p w14:paraId="23CE6A74" w14:textId="1DD52B2C" w:rsidR="00BD4D84" w:rsidRPr="00B07B6E" w:rsidRDefault="00BF75BF" w:rsidP="00642AB5">
      <w:pPr>
        <w:pStyle w:val="Heading2"/>
        <w:numPr>
          <w:ilvl w:val="0"/>
          <w:numId w:val="0"/>
        </w:numPr>
        <w:spacing w:before="480"/>
        <w:ind w:left="1080"/>
        <w:jc w:val="right"/>
        <w:rPr>
          <w:b w:val="0"/>
        </w:rPr>
      </w:pPr>
      <w:r w:rsidRPr="00B07B6E">
        <w:rPr>
          <w:b w:val="0"/>
        </w:rPr>
        <w:t>ARPANSA-GDE-1119</w:t>
      </w:r>
      <w:r w:rsidR="003A6C05" w:rsidRPr="00B07B6E">
        <w:rPr>
          <w:b w:val="0"/>
        </w:rPr>
        <w:t xml:space="preserve"> v</w:t>
      </w:r>
      <w:r w:rsidR="00B662EF">
        <w:rPr>
          <w:b w:val="0"/>
        </w:rPr>
        <w:t>5.</w:t>
      </w:r>
      <w:r w:rsidR="0047040F">
        <w:rPr>
          <w:b w:val="0"/>
        </w:rPr>
        <w:t>2</w:t>
      </w:r>
      <w:r w:rsidR="00F1188C" w:rsidRPr="00B07B6E">
        <w:rPr>
          <w:b w:val="0"/>
        </w:rPr>
        <w:t xml:space="preserve"> </w:t>
      </w:r>
    </w:p>
    <w:p w14:paraId="7C8C655C" w14:textId="763DFB26" w:rsidR="00F1188C" w:rsidRPr="00526EA0" w:rsidRDefault="005F3458" w:rsidP="0050108B">
      <w:pPr>
        <w:jc w:val="right"/>
        <w:rPr>
          <w:color w:val="4E1A74" w:themeColor="accent2"/>
          <w:sz w:val="24"/>
          <w:szCs w:val="24"/>
        </w:rPr>
      </w:pPr>
      <w:r>
        <w:rPr>
          <w:color w:val="4E1A74" w:themeColor="accent2"/>
          <w:sz w:val="24"/>
          <w:szCs w:val="24"/>
        </w:rPr>
        <w:t>Ma</w:t>
      </w:r>
      <w:r w:rsidR="0047040F">
        <w:rPr>
          <w:color w:val="4E1A74" w:themeColor="accent2"/>
          <w:sz w:val="24"/>
          <w:szCs w:val="24"/>
        </w:rPr>
        <w:t>y</w:t>
      </w:r>
      <w:r>
        <w:rPr>
          <w:color w:val="4E1A74" w:themeColor="accent2"/>
          <w:sz w:val="24"/>
          <w:szCs w:val="24"/>
        </w:rPr>
        <w:t xml:space="preserve"> 2023</w:t>
      </w:r>
    </w:p>
    <w:bookmarkEnd w:id="0"/>
    <w:p w14:paraId="5D692BA7" w14:textId="3AF5F9A0" w:rsidR="00DC55D6" w:rsidRPr="00DC55D6" w:rsidRDefault="000E2214" w:rsidP="000E2214">
      <w:pPr>
        <w:spacing w:before="200" w:after="200"/>
        <w:rPr>
          <w:b/>
          <w:color w:val="4E1A74" w:themeColor="accent2"/>
          <w:sz w:val="44"/>
          <w:szCs w:val="44"/>
        </w:rPr>
      </w:pPr>
      <w:r>
        <w:rPr>
          <w:b/>
          <w:color w:val="4E1A74" w:themeColor="accent2"/>
          <w:sz w:val="44"/>
          <w:szCs w:val="44"/>
        </w:rPr>
        <w:br w:type="page"/>
      </w:r>
      <w:r w:rsidR="00DC55D6" w:rsidRPr="00DC55D6">
        <w:rPr>
          <w:b/>
          <w:color w:val="4E1A74" w:themeColor="accent2"/>
          <w:sz w:val="44"/>
          <w:szCs w:val="44"/>
        </w:rPr>
        <w:lastRenderedPageBreak/>
        <w:t>Introduction</w:t>
      </w:r>
    </w:p>
    <w:p w14:paraId="26BC9071" w14:textId="18612D57" w:rsidR="00DC55D6" w:rsidRPr="00DC55D6" w:rsidRDefault="00DC55D6" w:rsidP="00DC55D6">
      <w:pPr>
        <w:spacing w:before="240" w:after="0" w:line="240" w:lineRule="auto"/>
      </w:pPr>
      <w:r w:rsidRPr="00DC55D6">
        <w:t>ARPANSA’s</w:t>
      </w:r>
      <w:hyperlink r:id="rId9" w:history="1">
        <w:r w:rsidRPr="00DC55D6">
          <w:t xml:space="preserve"> </w:t>
        </w:r>
        <w:r w:rsidRPr="00DC55D6">
          <w:rPr>
            <w:i/>
            <w:color w:val="0000FF" w:themeColor="hyperlink"/>
            <w:u w:val="single"/>
          </w:rPr>
          <w:t>Regulatory Activities Policy</w:t>
        </w:r>
        <w:r w:rsidRPr="00DC55D6">
          <w:rPr>
            <w:color w:val="0000FF" w:themeColor="hyperlink"/>
            <w:u w:val="single"/>
          </w:rPr>
          <w:t xml:space="preserve"> (ARPANSA-POL-0002)</w:t>
        </w:r>
      </w:hyperlink>
      <w:r w:rsidRPr="00DC55D6">
        <w:t xml:space="preserve"> provides the over-arching framework for efficient and effective regulatory activities to achieve the object of the </w:t>
      </w:r>
      <w:r w:rsidRPr="00DC55D6">
        <w:rPr>
          <w:i/>
        </w:rPr>
        <w:t>Australian Radiation Protection and Nuclear Safety Act 1998</w:t>
      </w:r>
      <w:r w:rsidRPr="00DC55D6">
        <w:t xml:space="preserve"> (the Act) </w:t>
      </w:r>
      <w:r w:rsidRPr="00DC55D6">
        <w:rPr>
          <w:i/>
        </w:rPr>
        <w:t>to protect the health and safety of people, and to protect the environment, from the harmful effects of radiation</w:t>
      </w:r>
      <w:r w:rsidRPr="00DC55D6">
        <w:t xml:space="preserve">.  This manual should be read in conjunction with that policy. </w:t>
      </w:r>
    </w:p>
    <w:p w14:paraId="2AFE12AC" w14:textId="0CC8EFA1" w:rsidR="00DC55D6" w:rsidRPr="00DC55D6" w:rsidRDefault="00DC55D6" w:rsidP="00DC55D6">
      <w:pPr>
        <w:spacing w:before="240" w:after="0" w:line="240" w:lineRule="auto"/>
      </w:pPr>
      <w:r w:rsidRPr="00DC55D6">
        <w:t xml:space="preserve">This manual provides guidance to regulatory officers on </w:t>
      </w:r>
      <w:r w:rsidR="0050108B">
        <w:t xml:space="preserve">ARPANSA’s inspection program in particular the planning, conduct and reporting of inspections. </w:t>
      </w:r>
      <w:r w:rsidRPr="00DC55D6">
        <w:t xml:space="preserve">It provides information on how a graded approach is applied to </w:t>
      </w:r>
      <w:r w:rsidR="0050108B">
        <w:t>determine inspection scope and frequency</w:t>
      </w:r>
      <w:r w:rsidRPr="00DC55D6">
        <w:t xml:space="preserve">. </w:t>
      </w:r>
    </w:p>
    <w:p w14:paraId="701F1F3B" w14:textId="35562DC1" w:rsidR="00DC55D6" w:rsidRPr="00DC55D6" w:rsidRDefault="00DC55D6" w:rsidP="00DC55D6">
      <w:pPr>
        <w:spacing w:before="240" w:after="0" w:line="240" w:lineRule="auto"/>
      </w:pPr>
      <w:r w:rsidRPr="00DC55D6">
        <w:t xml:space="preserve">By making the manual available on ARPANSA’s website, licence holders and interested parties are informed of how ARPANSA </w:t>
      </w:r>
      <w:r w:rsidR="0050108B">
        <w:t>manages and implements its regulatory inspection program</w:t>
      </w:r>
      <w:r w:rsidRPr="00DC55D6">
        <w:t xml:space="preserve">.  Process descriptions, flow-charts, templates, </w:t>
      </w:r>
      <w:r w:rsidR="0050108B">
        <w:t xml:space="preserve">and other detailed elements of the integrated management systems </w:t>
      </w:r>
      <w:r w:rsidRPr="00DC55D6">
        <w:t>are not included in the online version of this Manual.</w:t>
      </w:r>
    </w:p>
    <w:p w14:paraId="74FE16F6" w14:textId="55DD2E57" w:rsidR="00DC55D6" w:rsidRDefault="00DC55D6" w:rsidP="00DC55D6">
      <w:pPr>
        <w:spacing w:before="240" w:after="0" w:line="240" w:lineRule="auto"/>
      </w:pPr>
      <w:r w:rsidRPr="00DC55D6">
        <w:t xml:space="preserve">ARPANSA’s </w:t>
      </w:r>
      <w:r>
        <w:t xml:space="preserve">processes for review and assessment of licence applications, requests for </w:t>
      </w:r>
      <w:r w:rsidR="0050108B">
        <w:t>exemption, significant changes, and other submissions seeking to undertake activities that require prior approval from the CEO of ARPANSA</w:t>
      </w:r>
      <w:r w:rsidRPr="00DC55D6">
        <w:t xml:space="preserve"> </w:t>
      </w:r>
      <w:r w:rsidR="0050108B">
        <w:t xml:space="preserve">are </w:t>
      </w:r>
      <w:r w:rsidRPr="00DC55D6">
        <w:t>described in</w:t>
      </w:r>
      <w:r w:rsidR="0012242C">
        <w:t xml:space="preserve"> the</w:t>
      </w:r>
      <w:r w:rsidRPr="00DC55D6">
        <w:t xml:space="preserve"> </w:t>
      </w:r>
      <w:hyperlink r:id="rId10" w:history="1">
        <w:r w:rsidR="00642AB5">
          <w:rPr>
            <w:rStyle w:val="Hyperlink"/>
          </w:rPr>
          <w:t xml:space="preserve">Review </w:t>
        </w:r>
        <w:r w:rsidR="0050108B" w:rsidRPr="0012242C">
          <w:rPr>
            <w:rStyle w:val="Hyperlink"/>
          </w:rPr>
          <w:t>&amp; Assessment Manual</w:t>
        </w:r>
      </w:hyperlink>
      <w:r w:rsidR="0050108B">
        <w:t xml:space="preserve"> </w:t>
      </w:r>
      <w:r w:rsidRPr="00DC55D6">
        <w:t xml:space="preserve">while the </w:t>
      </w:r>
      <w:hyperlink r:id="rId11" w:history="1">
        <w:r w:rsidRPr="00DC55D6">
          <w:rPr>
            <w:color w:val="0000FF" w:themeColor="hyperlink"/>
            <w:u w:val="single"/>
          </w:rPr>
          <w:t>Compliance Manual</w:t>
        </w:r>
      </w:hyperlink>
      <w:r w:rsidRPr="00DC55D6">
        <w:t xml:space="preserve"> describes how ARPANSA promotes compliance and manages non-compliance. </w:t>
      </w:r>
    </w:p>
    <w:p w14:paraId="559F7E21" w14:textId="106FD50A" w:rsidR="00A17738" w:rsidRPr="00DC55D6" w:rsidRDefault="00BF00F5" w:rsidP="00DC55D6">
      <w:pPr>
        <w:spacing w:before="240" w:after="0" w:line="240" w:lineRule="auto"/>
      </w:pPr>
      <w:r>
        <w:t>I</w:t>
      </w:r>
      <w:r w:rsidR="00A17738">
        <w:t xml:space="preserve">nspection does not diminish the prime responsibility for safety of the licence holder and cannot substitute for the control, </w:t>
      </w:r>
      <w:proofErr w:type="gramStart"/>
      <w:r w:rsidR="00A17738">
        <w:t>supervision</w:t>
      </w:r>
      <w:proofErr w:type="gramEnd"/>
      <w:r w:rsidR="00A17738">
        <w:t xml:space="preserve"> and verification activities </w:t>
      </w:r>
      <w:r w:rsidR="00FA4780">
        <w:t>that the licence holder is expected to implement</w:t>
      </w:r>
      <w:r w:rsidR="00A17738">
        <w:t xml:space="preserve">. </w:t>
      </w:r>
    </w:p>
    <w:p w14:paraId="2223F7E4" w14:textId="0058E302" w:rsidR="00DC55D6" w:rsidRDefault="00DC55D6">
      <w:pPr>
        <w:spacing w:before="200" w:after="200"/>
        <w:rPr>
          <w:rStyle w:val="Hyperlink"/>
          <w:color w:val="4E1A74" w:themeColor="accent2"/>
          <w:u w:val="none"/>
        </w:rPr>
      </w:pPr>
      <w:r>
        <w:rPr>
          <w:rStyle w:val="Hyperlink"/>
          <w:color w:val="4E1A74" w:themeColor="accent2"/>
          <w:u w:val="none"/>
        </w:rPr>
        <w:br w:type="page"/>
      </w:r>
    </w:p>
    <w:p w14:paraId="4D2AC940" w14:textId="11188851" w:rsidR="00DC55D6" w:rsidRDefault="00DC55D6">
      <w:pPr>
        <w:spacing w:before="200" w:after="200"/>
        <w:rPr>
          <w:rStyle w:val="Hyperlink"/>
          <w:b/>
          <w:color w:val="4E1A74" w:themeColor="accent2"/>
          <w:sz w:val="32"/>
          <w:szCs w:val="32"/>
          <w:u w:val="none"/>
        </w:rPr>
      </w:pPr>
    </w:p>
    <w:p w14:paraId="2CC8140B" w14:textId="3BF37C51" w:rsidR="00617A95" w:rsidRPr="0050108B" w:rsidRDefault="0050108B" w:rsidP="00466AC8">
      <w:pPr>
        <w:pStyle w:val="Heading1"/>
        <w:numPr>
          <w:ilvl w:val="0"/>
          <w:numId w:val="0"/>
        </w:numPr>
        <w:rPr>
          <w:rStyle w:val="Hyperlink"/>
          <w:color w:val="4E1A74" w:themeColor="accent2"/>
          <w:sz w:val="24"/>
          <w:szCs w:val="24"/>
          <w:u w:val="none"/>
        </w:rPr>
      </w:pPr>
      <w:r w:rsidRPr="0050108B">
        <w:rPr>
          <w:rStyle w:val="Hyperlink"/>
          <w:color w:val="4E1A74" w:themeColor="accent2"/>
          <w:sz w:val="24"/>
          <w:szCs w:val="24"/>
          <w:u w:val="none"/>
        </w:rPr>
        <w:t>In this document:</w:t>
      </w:r>
    </w:p>
    <w:p w14:paraId="41EA6430" w14:textId="16096671" w:rsidR="00617A95" w:rsidRDefault="00000000" w:rsidP="00122B75">
      <w:pPr>
        <w:pStyle w:val="ListParagraph"/>
        <w:numPr>
          <w:ilvl w:val="0"/>
          <w:numId w:val="43"/>
        </w:numPr>
        <w:rPr>
          <w:rStyle w:val="Hyperlink"/>
          <w:color w:val="4E1A74" w:themeColor="accent2"/>
        </w:rPr>
      </w:pPr>
      <w:hyperlink w:anchor="_Inspection_program_objectives" w:history="1">
        <w:r w:rsidR="006210E9">
          <w:rPr>
            <w:rStyle w:val="Hyperlink"/>
            <w:color w:val="4E1A74" w:themeColor="accent2"/>
          </w:rPr>
          <w:t>I</w:t>
        </w:r>
        <w:r w:rsidR="00617A95" w:rsidRPr="006E059A">
          <w:rPr>
            <w:rStyle w:val="Hyperlink"/>
            <w:color w:val="4E1A74" w:themeColor="accent2"/>
          </w:rPr>
          <w:t>nspection p</w:t>
        </w:r>
        <w:r w:rsidR="006210E9">
          <w:rPr>
            <w:rStyle w:val="Hyperlink"/>
            <w:color w:val="4E1A74" w:themeColor="accent2"/>
          </w:rPr>
          <w:t>rinciples</w:t>
        </w:r>
        <w:r w:rsidR="00617A95" w:rsidRPr="006E059A">
          <w:rPr>
            <w:rStyle w:val="Hyperlink"/>
            <w:color w:val="4E1A74" w:themeColor="accent2"/>
          </w:rPr>
          <w:t xml:space="preserve"> </w:t>
        </w:r>
      </w:hyperlink>
    </w:p>
    <w:p w14:paraId="58126F29" w14:textId="5547F0B9" w:rsidR="00617A95" w:rsidRPr="00E84518" w:rsidRDefault="00000000" w:rsidP="00122B75">
      <w:pPr>
        <w:pStyle w:val="ListParagraph"/>
        <w:numPr>
          <w:ilvl w:val="0"/>
          <w:numId w:val="43"/>
        </w:numPr>
        <w:rPr>
          <w:rStyle w:val="Hyperlink"/>
          <w:color w:val="4E1A74" w:themeColor="accent2"/>
          <w:u w:val="none"/>
        </w:rPr>
      </w:pPr>
      <w:hyperlink w:anchor="_Inspection_procedure" w:history="1">
        <w:r w:rsidR="00617A95" w:rsidRPr="006E059A">
          <w:rPr>
            <w:rStyle w:val="Hyperlink"/>
            <w:color w:val="4E1A74" w:themeColor="accent2"/>
          </w:rPr>
          <w:t>Inspection proce</w:t>
        </w:r>
      </w:hyperlink>
      <w:r w:rsidR="00EF1689">
        <w:rPr>
          <w:rStyle w:val="Hyperlink"/>
          <w:color w:val="4E1A74" w:themeColor="accent2"/>
        </w:rPr>
        <w:t>ss</w:t>
      </w:r>
    </w:p>
    <w:p w14:paraId="57E17770" w14:textId="77777777" w:rsidR="00617A95" w:rsidRPr="00D23958" w:rsidRDefault="00000000" w:rsidP="00122B75">
      <w:pPr>
        <w:pStyle w:val="ListParagraph"/>
        <w:numPr>
          <w:ilvl w:val="0"/>
          <w:numId w:val="43"/>
        </w:numPr>
      </w:pPr>
      <w:hyperlink w:anchor="_Inspector_health,_safety" w:history="1">
        <w:r w:rsidR="00617A95" w:rsidRPr="006E059A">
          <w:rPr>
            <w:rStyle w:val="Hyperlink"/>
            <w:color w:val="4E1A74" w:themeColor="accent2"/>
          </w:rPr>
          <w:t xml:space="preserve">Inspector health, </w:t>
        </w:r>
        <w:proofErr w:type="gramStart"/>
        <w:r w:rsidR="00617A95" w:rsidRPr="006E059A">
          <w:rPr>
            <w:rStyle w:val="Hyperlink"/>
            <w:color w:val="4E1A74" w:themeColor="accent2"/>
          </w:rPr>
          <w:t>safety</w:t>
        </w:r>
        <w:proofErr w:type="gramEnd"/>
        <w:r w:rsidR="00617A95" w:rsidRPr="006E059A">
          <w:rPr>
            <w:rStyle w:val="Hyperlink"/>
            <w:color w:val="4E1A74" w:themeColor="accent2"/>
          </w:rPr>
          <w:t xml:space="preserve"> and security</w:t>
        </w:r>
      </w:hyperlink>
    </w:p>
    <w:p w14:paraId="1D3C02E4" w14:textId="13F1CF55" w:rsidR="00617A95" w:rsidRPr="006E059A" w:rsidRDefault="00000000" w:rsidP="00122B75">
      <w:pPr>
        <w:pStyle w:val="ListParagraph"/>
        <w:numPr>
          <w:ilvl w:val="0"/>
          <w:numId w:val="43"/>
        </w:numPr>
        <w:rPr>
          <w:rStyle w:val="Hyperlink"/>
          <w:color w:val="4E1A74" w:themeColor="accent2"/>
        </w:rPr>
      </w:pPr>
      <w:hyperlink w:anchor="_Glossary" w:history="1">
        <w:r w:rsidR="00617A95" w:rsidRPr="006E059A">
          <w:rPr>
            <w:rStyle w:val="Hyperlink"/>
            <w:color w:val="4E1A74" w:themeColor="accent2"/>
          </w:rPr>
          <w:t>Glossary</w:t>
        </w:r>
      </w:hyperlink>
    </w:p>
    <w:p w14:paraId="2247B5FA" w14:textId="77777777" w:rsidR="00617A95" w:rsidRPr="007F60E6" w:rsidRDefault="00617A95">
      <w:pPr>
        <w:rPr>
          <w:rStyle w:val="Hyperlink"/>
          <w:color w:val="4E1A74" w:themeColor="accent2"/>
          <w:sz w:val="10"/>
          <w:szCs w:val="10"/>
        </w:rPr>
      </w:pPr>
    </w:p>
    <w:p w14:paraId="366927BA" w14:textId="4C93324D" w:rsidR="0050108B" w:rsidRPr="00ED1A65" w:rsidRDefault="006E059A" w:rsidP="0050108B">
      <w:pPr>
        <w:spacing w:before="360"/>
        <w:rPr>
          <w:b/>
          <w:color w:val="444448" w:themeColor="text2"/>
          <w:sz w:val="24"/>
          <w:szCs w:val="24"/>
        </w:rPr>
      </w:pPr>
      <w:r>
        <w:rPr>
          <w:b/>
          <w:color w:val="4E1A74" w:themeColor="accent2"/>
          <w:sz w:val="24"/>
          <w:szCs w:val="24"/>
        </w:rPr>
        <w:t>Detailed m</w:t>
      </w:r>
      <w:r w:rsidR="0050108B" w:rsidRPr="00ED1A65">
        <w:rPr>
          <w:b/>
          <w:color w:val="4E1A74" w:themeColor="accent2"/>
          <w:sz w:val="24"/>
          <w:szCs w:val="24"/>
        </w:rPr>
        <w:t>anagement system elements that are not part of the online version of this manual:</w:t>
      </w:r>
    </w:p>
    <w:p w14:paraId="589A84D1" w14:textId="67000D15" w:rsidR="00617A95" w:rsidRPr="001D34F3" w:rsidRDefault="00000000" w:rsidP="00466AC8">
      <w:pPr>
        <w:spacing w:before="0" w:after="0"/>
        <w:ind w:left="284"/>
        <w:rPr>
          <w:color w:val="4E1A74" w:themeColor="accent2"/>
        </w:rPr>
      </w:pPr>
      <w:hyperlink w:anchor="_Appendix_B:_Levels" w:history="1">
        <w:r w:rsidR="00617A95" w:rsidRPr="00567809">
          <w:rPr>
            <w:rStyle w:val="Hyperlink"/>
          </w:rPr>
          <w:t xml:space="preserve">Appendix </w:t>
        </w:r>
        <w:r w:rsidR="00885AB2">
          <w:rPr>
            <w:rStyle w:val="Hyperlink"/>
          </w:rPr>
          <w:t>1</w:t>
        </w:r>
        <w:r w:rsidR="00617A95" w:rsidRPr="00567809">
          <w:rPr>
            <w:rStyle w:val="Hyperlink"/>
          </w:rPr>
          <w:t>: Levels of controls for facilities</w:t>
        </w:r>
      </w:hyperlink>
    </w:p>
    <w:p w14:paraId="3AE6356B" w14:textId="2371633D" w:rsidR="00617A95" w:rsidRDefault="00000000" w:rsidP="00466AC8">
      <w:pPr>
        <w:spacing w:before="0" w:after="0"/>
        <w:ind w:left="284"/>
        <w:rPr>
          <w:rStyle w:val="Hyperlink"/>
          <w:color w:val="4E1A74" w:themeColor="accent2"/>
        </w:rPr>
      </w:pPr>
      <w:hyperlink w:anchor="_Appendix_C:_Inspection" w:history="1">
        <w:r w:rsidR="00617A95" w:rsidRPr="00567809">
          <w:rPr>
            <w:rStyle w:val="Hyperlink"/>
          </w:rPr>
          <w:t xml:space="preserve">Appendix </w:t>
        </w:r>
        <w:r w:rsidR="00885AB2">
          <w:rPr>
            <w:rStyle w:val="Hyperlink"/>
          </w:rPr>
          <w:t>2</w:t>
        </w:r>
        <w:r w:rsidR="00617A95" w:rsidRPr="00567809">
          <w:rPr>
            <w:rStyle w:val="Hyperlink"/>
          </w:rPr>
          <w:t>: Inspection flowchart</w:t>
        </w:r>
      </w:hyperlink>
    </w:p>
    <w:p w14:paraId="2C9C2E80" w14:textId="111ED863" w:rsidR="00617A95" w:rsidRPr="00D23958" w:rsidRDefault="00000000" w:rsidP="00466AC8">
      <w:pPr>
        <w:spacing w:before="0" w:after="0"/>
        <w:ind w:left="284"/>
        <w:rPr>
          <w:color w:val="4E1A74" w:themeColor="accent2"/>
        </w:rPr>
      </w:pPr>
      <w:hyperlink w:anchor="_Appendix_D:_Radiation" w:history="1">
        <w:r w:rsidR="00617A95" w:rsidRPr="00567809">
          <w:rPr>
            <w:rStyle w:val="Hyperlink"/>
          </w:rPr>
          <w:t xml:space="preserve">Appendix </w:t>
        </w:r>
        <w:r w:rsidR="00885AB2">
          <w:rPr>
            <w:rStyle w:val="Hyperlink"/>
          </w:rPr>
          <w:t>3</w:t>
        </w:r>
        <w:r w:rsidR="00617A95" w:rsidRPr="00567809">
          <w:rPr>
            <w:rStyle w:val="Hyperlink"/>
          </w:rPr>
          <w:t>: Radiation monitoring equipment</w:t>
        </w:r>
      </w:hyperlink>
    </w:p>
    <w:p w14:paraId="7EB0BC2A" w14:textId="15541FAE" w:rsidR="00617A95" w:rsidRDefault="00000000" w:rsidP="00466AC8">
      <w:pPr>
        <w:spacing w:before="0" w:after="0"/>
        <w:ind w:left="284"/>
        <w:rPr>
          <w:rStyle w:val="Hyperlink"/>
          <w:color w:val="4E1A74" w:themeColor="accent2"/>
        </w:rPr>
      </w:pPr>
      <w:hyperlink w:anchor="_Appendix_E:_Report" w:history="1">
        <w:r w:rsidR="00617A95" w:rsidRPr="00567809">
          <w:rPr>
            <w:rStyle w:val="Hyperlink"/>
          </w:rPr>
          <w:t xml:space="preserve">Appendix </w:t>
        </w:r>
        <w:r w:rsidR="00885AB2">
          <w:rPr>
            <w:rStyle w:val="Hyperlink"/>
          </w:rPr>
          <w:t>4</w:t>
        </w:r>
        <w:r w:rsidR="00617A95" w:rsidRPr="00567809">
          <w:rPr>
            <w:rStyle w:val="Hyperlink"/>
          </w:rPr>
          <w:t>: Report writing guide</w:t>
        </w:r>
      </w:hyperlink>
    </w:p>
    <w:p w14:paraId="26435D6A" w14:textId="6D3CE35A" w:rsidR="00F05A8F" w:rsidRDefault="00000000" w:rsidP="00466AC8">
      <w:pPr>
        <w:spacing w:before="0" w:after="0"/>
        <w:ind w:left="284"/>
        <w:rPr>
          <w:rStyle w:val="Hyperlink"/>
        </w:rPr>
      </w:pPr>
      <w:hyperlink w:anchor="_Appendix_F:_Convention" w:history="1">
        <w:r w:rsidR="00F05A8F" w:rsidRPr="00F05A8F">
          <w:rPr>
            <w:rStyle w:val="Hyperlink"/>
          </w:rPr>
          <w:t xml:space="preserve">Appendix </w:t>
        </w:r>
        <w:r w:rsidR="00885AB2">
          <w:rPr>
            <w:rStyle w:val="Hyperlink"/>
          </w:rPr>
          <w:t>5</w:t>
        </w:r>
        <w:r w:rsidR="00F05A8F" w:rsidRPr="00F05A8F">
          <w:rPr>
            <w:rStyle w:val="Hyperlink"/>
          </w:rPr>
          <w:t>: Convention for citing legislation</w:t>
        </w:r>
      </w:hyperlink>
    </w:p>
    <w:p w14:paraId="53EAD361" w14:textId="61CCF3DC" w:rsidR="00885AB2" w:rsidRDefault="00000000" w:rsidP="00466AC8">
      <w:pPr>
        <w:spacing w:before="0" w:after="0"/>
        <w:ind w:left="284"/>
        <w:rPr>
          <w:rStyle w:val="Hyperlink"/>
          <w:color w:val="4E1A74" w:themeColor="accent2"/>
        </w:rPr>
      </w:pPr>
      <w:hyperlink w:anchor="_Appendix_6:_Record" w:history="1">
        <w:r w:rsidR="00885AB2" w:rsidRPr="00885AB2">
          <w:rPr>
            <w:rStyle w:val="Hyperlink"/>
          </w:rPr>
          <w:t xml:space="preserve">Appendix </w:t>
        </w:r>
        <w:r w:rsidR="00885AB2">
          <w:rPr>
            <w:rStyle w:val="Hyperlink"/>
          </w:rPr>
          <w:t>6</w:t>
        </w:r>
        <w:r w:rsidR="00885AB2" w:rsidRPr="00885AB2">
          <w:rPr>
            <w:rStyle w:val="Hyperlink"/>
          </w:rPr>
          <w:t>: Record of meeting template</w:t>
        </w:r>
      </w:hyperlink>
    </w:p>
    <w:p w14:paraId="5D2F8507" w14:textId="0A8B32D0" w:rsidR="00617A95" w:rsidRDefault="00000000" w:rsidP="00466AC8">
      <w:pPr>
        <w:spacing w:before="0" w:after="0"/>
        <w:ind w:left="284"/>
        <w:rPr>
          <w:rStyle w:val="Hyperlink"/>
          <w:noProof/>
        </w:rPr>
      </w:pPr>
      <w:hyperlink w:anchor="_Attachment_1:_email_1" w:history="1">
        <w:r w:rsidR="00617A95" w:rsidRPr="00F05A8F">
          <w:rPr>
            <w:rStyle w:val="Hyperlink"/>
            <w:noProof/>
          </w:rPr>
          <w:t xml:space="preserve">Attachment </w:t>
        </w:r>
        <w:r w:rsidR="00E84999">
          <w:rPr>
            <w:rStyle w:val="Hyperlink"/>
            <w:noProof/>
          </w:rPr>
          <w:t>A</w:t>
        </w:r>
        <w:r w:rsidR="00617A95" w:rsidRPr="00F05A8F">
          <w:rPr>
            <w:rStyle w:val="Hyperlink"/>
            <w:noProof/>
          </w:rPr>
          <w:t>: Email templates</w:t>
        </w:r>
      </w:hyperlink>
    </w:p>
    <w:p w14:paraId="36BC2EE3" w14:textId="08BA2EC4" w:rsidR="006E059A" w:rsidRDefault="006E059A">
      <w:pPr>
        <w:rPr>
          <w:rStyle w:val="Hyperlink"/>
          <w:noProof/>
        </w:rPr>
      </w:pPr>
    </w:p>
    <w:p w14:paraId="0F894C3A" w14:textId="77777777" w:rsidR="006E059A" w:rsidRPr="006E059A" w:rsidRDefault="006E059A" w:rsidP="008520E6">
      <w:pPr>
        <w:spacing w:before="240"/>
        <w:jc w:val="both"/>
        <w:rPr>
          <w:b/>
          <w:sz w:val="24"/>
          <w:szCs w:val="24"/>
        </w:rPr>
      </w:pPr>
      <w:r w:rsidRPr="006E059A">
        <w:rPr>
          <w:b/>
          <w:color w:val="4E1A74" w:themeColor="accent2"/>
          <w:sz w:val="24"/>
          <w:szCs w:val="24"/>
        </w:rPr>
        <w:t>Summary of changes to this version of the manual</w:t>
      </w:r>
      <w:r w:rsidRPr="006E059A">
        <w:rPr>
          <w:b/>
          <w:sz w:val="24"/>
          <w:szCs w:val="24"/>
        </w:rPr>
        <w:t>:</w:t>
      </w:r>
    </w:p>
    <w:p w14:paraId="7108F66D" w14:textId="2E4AF01D" w:rsidR="00761AB2" w:rsidRPr="00961142" w:rsidRDefault="00134961" w:rsidP="00961142">
      <w:pPr>
        <w:pStyle w:val="ListParagraph"/>
        <w:numPr>
          <w:ilvl w:val="0"/>
          <w:numId w:val="70"/>
        </w:numPr>
        <w:rPr>
          <w:rFonts w:ascii="Calibri" w:eastAsiaTheme="majorEastAsia" w:hAnsi="Calibri" w:cstheme="majorBidi"/>
          <w:color w:val="4E1A74"/>
        </w:rPr>
      </w:pPr>
      <w:r>
        <w:t>Note added to paragraph 2.9 that only ARPANSA issued devices are to be used for taking photos during inspections</w:t>
      </w:r>
      <w:r w:rsidR="00761AB2" w:rsidRPr="00961142">
        <w:br w:type="page"/>
      </w:r>
    </w:p>
    <w:p w14:paraId="24370247" w14:textId="141A6F41" w:rsidR="00AB035E" w:rsidRPr="001E099A" w:rsidRDefault="009A4B8D" w:rsidP="00BF565C">
      <w:pPr>
        <w:pStyle w:val="Heading1"/>
        <w:tabs>
          <w:tab w:val="clear" w:pos="851"/>
          <w:tab w:val="left" w:pos="709"/>
        </w:tabs>
        <w:ind w:left="567" w:hanging="425"/>
      </w:pPr>
      <w:bookmarkStart w:id="2" w:name="_Inspection_program_objectives"/>
      <w:bookmarkStart w:id="3" w:name="_Toc492399337"/>
      <w:bookmarkEnd w:id="2"/>
      <w:r w:rsidRPr="001E099A">
        <w:lastRenderedPageBreak/>
        <w:tab/>
      </w:r>
      <w:r w:rsidR="00046899">
        <w:t>General i</w:t>
      </w:r>
      <w:r w:rsidR="00AB035E" w:rsidRPr="001E099A">
        <w:t xml:space="preserve">nspection </w:t>
      </w:r>
      <w:r w:rsidR="003C0D65">
        <w:t>principles</w:t>
      </w:r>
    </w:p>
    <w:bookmarkEnd w:id="3"/>
    <w:p w14:paraId="272E21C9" w14:textId="75E7089F" w:rsidR="00B55711" w:rsidRPr="000C12E5" w:rsidRDefault="00B55711" w:rsidP="00D1746F">
      <w:pPr>
        <w:spacing w:before="240"/>
        <w:ind w:left="-284" w:right="-2"/>
      </w:pPr>
      <w:r w:rsidRPr="007F3566">
        <w:rPr>
          <w:rFonts w:eastAsia="Calibri"/>
          <w:snapToGrid w:val="0"/>
        </w:rPr>
        <w:t xml:space="preserve">This manual elaborates on the policy statement and supporting principles outlined in </w:t>
      </w:r>
      <w:r>
        <w:rPr>
          <w:rFonts w:eastAsia="Calibri"/>
          <w:snapToGrid w:val="0"/>
        </w:rPr>
        <w:t>ARPANSA’s</w:t>
      </w:r>
      <w:r w:rsidRPr="007F3566">
        <w:rPr>
          <w:rFonts w:eastAsia="Calibri"/>
          <w:snapToGrid w:val="0"/>
        </w:rPr>
        <w:t xml:space="preserve"> </w:t>
      </w:r>
      <w:hyperlink r:id="rId12" w:history="1">
        <w:r w:rsidRPr="007F3566">
          <w:rPr>
            <w:rStyle w:val="Hyperlink"/>
            <w:rFonts w:eastAsia="Calibri"/>
            <w:snapToGrid w:val="0"/>
          </w:rPr>
          <w:t>Regulatory Activitie</w:t>
        </w:r>
        <w:r>
          <w:rPr>
            <w:rStyle w:val="Hyperlink"/>
            <w:rFonts w:eastAsia="Calibri"/>
            <w:snapToGrid w:val="0"/>
          </w:rPr>
          <w:t>s Policy</w:t>
        </w:r>
      </w:hyperlink>
      <w:r w:rsidRPr="007F3566">
        <w:rPr>
          <w:rFonts w:eastAsia="Calibri"/>
          <w:snapToGrid w:val="0"/>
        </w:rPr>
        <w:t xml:space="preserve"> (ARPANSA-POL-002) a</w:t>
      </w:r>
      <w:r>
        <w:rPr>
          <w:rFonts w:eastAsia="Calibri"/>
          <w:snapToGrid w:val="0"/>
        </w:rPr>
        <w:t>s relevant to inspections. The p</w:t>
      </w:r>
      <w:r w:rsidRPr="007F3566">
        <w:rPr>
          <w:rFonts w:eastAsia="Calibri"/>
          <w:snapToGrid w:val="0"/>
        </w:rPr>
        <w:t xml:space="preserve">olicy is aligned with the </w:t>
      </w:r>
      <w:hyperlink r:id="rId13" w:history="1">
        <w:r w:rsidRPr="007F3566">
          <w:rPr>
            <w:rStyle w:val="Hyperlink"/>
            <w:rFonts w:eastAsia="Calibri"/>
            <w:snapToGrid w:val="0"/>
          </w:rPr>
          <w:t xml:space="preserve">IAEA General Safety Requirements (GSR Part 1 Rev 1) </w:t>
        </w:r>
        <w:r w:rsidRPr="007F3566">
          <w:rPr>
            <w:rStyle w:val="Hyperlink"/>
            <w:rFonts w:eastAsia="Calibri"/>
            <w:i/>
            <w:snapToGrid w:val="0"/>
          </w:rPr>
          <w:t>Governmental, Legal and Regulatory Framework for Safety</w:t>
        </w:r>
      </w:hyperlink>
      <w:r w:rsidRPr="007F3566">
        <w:rPr>
          <w:rFonts w:eastAsia="Calibri"/>
          <w:i/>
          <w:snapToGrid w:val="0"/>
        </w:rPr>
        <w:t>.</w:t>
      </w:r>
      <w:r w:rsidR="000C12E5">
        <w:rPr>
          <w:rFonts w:eastAsia="Calibri"/>
          <w:snapToGrid w:val="0"/>
        </w:rPr>
        <w:t xml:space="preserve"> Much of the practical guidance </w:t>
      </w:r>
      <w:r w:rsidR="006E3385">
        <w:rPr>
          <w:rFonts w:eastAsia="Calibri"/>
          <w:snapToGrid w:val="0"/>
        </w:rPr>
        <w:t xml:space="preserve">in this manual </w:t>
      </w:r>
      <w:r w:rsidR="000C12E5">
        <w:rPr>
          <w:rFonts w:eastAsia="Calibri"/>
          <w:snapToGrid w:val="0"/>
        </w:rPr>
        <w:t xml:space="preserve">is taken from </w:t>
      </w:r>
      <w:r w:rsidR="000C12E5" w:rsidRPr="000C12E5">
        <w:rPr>
          <w:rFonts w:eastAsia="Calibri"/>
          <w:snapToGrid w:val="0"/>
        </w:rPr>
        <w:t xml:space="preserve">IAEA </w:t>
      </w:r>
      <w:r w:rsidR="00FC6AD5">
        <w:rPr>
          <w:rFonts w:eastAsia="Calibri"/>
          <w:snapToGrid w:val="0"/>
        </w:rPr>
        <w:t xml:space="preserve">publications including </w:t>
      </w:r>
      <w:hyperlink r:id="rId14" w:history="1">
        <w:r w:rsidR="00FC6AD5" w:rsidRPr="00D1746F">
          <w:rPr>
            <w:rStyle w:val="Hyperlink"/>
            <w:rFonts w:eastAsia="Calibri"/>
            <w:i/>
            <w:snapToGrid w:val="0"/>
          </w:rPr>
          <w:t>Radiation Protection and Safety of Radiation Sources: International Basic Safety Standards GSR Part 3, 2014</w:t>
        </w:r>
      </w:hyperlink>
      <w:r w:rsidR="00FC6AD5">
        <w:rPr>
          <w:rFonts w:eastAsia="Calibri"/>
          <w:snapToGrid w:val="0"/>
        </w:rPr>
        <w:t xml:space="preserve"> and</w:t>
      </w:r>
      <w:r w:rsidR="006E3385" w:rsidRPr="006E3385">
        <w:rPr>
          <w:rFonts w:eastAsia="Calibri"/>
          <w:snapToGrid w:val="0"/>
        </w:rPr>
        <w:t xml:space="preserve"> </w:t>
      </w:r>
      <w:hyperlink r:id="rId15" w:history="1">
        <w:r w:rsidR="006E3385" w:rsidRPr="00E72AF3">
          <w:rPr>
            <w:rStyle w:val="Hyperlink"/>
            <w:rFonts w:eastAsia="Calibri"/>
            <w:i/>
            <w:snapToGrid w:val="0"/>
          </w:rPr>
          <w:t>General Safety Guide GSG-13</w:t>
        </w:r>
        <w:r w:rsidR="006E3385" w:rsidRPr="00D1746F">
          <w:rPr>
            <w:rStyle w:val="Hyperlink"/>
            <w:rFonts w:eastAsia="Calibri"/>
            <w:snapToGrid w:val="0"/>
          </w:rPr>
          <w:t xml:space="preserve"> </w:t>
        </w:r>
        <w:r w:rsidR="006E3385" w:rsidRPr="00D1746F">
          <w:rPr>
            <w:rStyle w:val="Hyperlink"/>
            <w:rFonts w:eastAsia="Calibri"/>
            <w:i/>
            <w:snapToGrid w:val="0"/>
          </w:rPr>
          <w:t>Functions and Processes of the Regulatory Body for Safety</w:t>
        </w:r>
        <w:r w:rsidR="006E3385" w:rsidRPr="00D1746F">
          <w:rPr>
            <w:rStyle w:val="Hyperlink"/>
            <w:rFonts w:eastAsia="Calibri"/>
            <w:snapToGrid w:val="0"/>
          </w:rPr>
          <w:t xml:space="preserve">, 2018 </w:t>
        </w:r>
      </w:hyperlink>
      <w:r w:rsidR="006E3385">
        <w:rPr>
          <w:rFonts w:eastAsia="Calibri"/>
          <w:snapToGrid w:val="0"/>
        </w:rPr>
        <w:t xml:space="preserve"> </w:t>
      </w:r>
    </w:p>
    <w:p w14:paraId="1A28157F" w14:textId="77777777" w:rsidR="00B55711" w:rsidRDefault="00B55711" w:rsidP="00D1746F">
      <w:pPr>
        <w:spacing w:before="240"/>
        <w:ind w:left="-284" w:right="-2"/>
        <w:rPr>
          <w:spacing w:val="4"/>
          <w:lang w:eastAsia="en-AU"/>
        </w:rPr>
      </w:pPr>
      <w:r w:rsidRPr="007F3566">
        <w:rPr>
          <w:spacing w:val="-1"/>
          <w:lang w:eastAsia="en-AU"/>
        </w:rPr>
        <w:t>R</w:t>
      </w:r>
      <w:r w:rsidRPr="007F3566">
        <w:rPr>
          <w:lang w:eastAsia="en-AU"/>
        </w:rPr>
        <w:t>equ</w:t>
      </w:r>
      <w:r w:rsidRPr="007F3566">
        <w:rPr>
          <w:spacing w:val="-1"/>
          <w:lang w:eastAsia="en-AU"/>
        </w:rPr>
        <w:t>i</w:t>
      </w:r>
      <w:r w:rsidRPr="007F3566">
        <w:rPr>
          <w:spacing w:val="1"/>
          <w:lang w:eastAsia="en-AU"/>
        </w:rPr>
        <w:t>r</w:t>
      </w:r>
      <w:r w:rsidRPr="007F3566">
        <w:rPr>
          <w:lang w:eastAsia="en-AU"/>
        </w:rPr>
        <w:t>e</w:t>
      </w:r>
      <w:r w:rsidRPr="007F3566">
        <w:rPr>
          <w:spacing w:val="-4"/>
          <w:lang w:eastAsia="en-AU"/>
        </w:rPr>
        <w:t>m</w:t>
      </w:r>
      <w:r w:rsidRPr="007F3566">
        <w:rPr>
          <w:lang w:eastAsia="en-AU"/>
        </w:rPr>
        <w:t>ent</w:t>
      </w:r>
      <w:r w:rsidRPr="007F3566">
        <w:rPr>
          <w:spacing w:val="4"/>
          <w:lang w:eastAsia="en-AU"/>
        </w:rPr>
        <w:t xml:space="preserve"> </w:t>
      </w:r>
      <w:r w:rsidRPr="007F3566">
        <w:rPr>
          <w:lang w:eastAsia="en-AU"/>
        </w:rPr>
        <w:t>27</w:t>
      </w:r>
      <w:r w:rsidRPr="007F3566">
        <w:rPr>
          <w:spacing w:val="3"/>
          <w:lang w:eastAsia="en-AU"/>
        </w:rPr>
        <w:t xml:space="preserve"> </w:t>
      </w:r>
      <w:r w:rsidRPr="007F3566">
        <w:rPr>
          <w:lang w:eastAsia="en-AU"/>
        </w:rPr>
        <w:t>of</w:t>
      </w:r>
      <w:r w:rsidRPr="007F3566">
        <w:rPr>
          <w:spacing w:val="4"/>
          <w:lang w:eastAsia="en-AU"/>
        </w:rPr>
        <w:t xml:space="preserve"> </w:t>
      </w:r>
      <w:r w:rsidRPr="007F3566">
        <w:rPr>
          <w:spacing w:val="-1"/>
          <w:lang w:eastAsia="en-AU"/>
        </w:rPr>
        <w:t>G</w:t>
      </w:r>
      <w:r w:rsidRPr="007F3566">
        <w:rPr>
          <w:lang w:eastAsia="en-AU"/>
        </w:rPr>
        <w:t>SR</w:t>
      </w:r>
      <w:r w:rsidRPr="007F3566">
        <w:rPr>
          <w:spacing w:val="2"/>
          <w:lang w:eastAsia="en-AU"/>
        </w:rPr>
        <w:t xml:space="preserve"> </w:t>
      </w:r>
      <w:r w:rsidRPr="007F3566">
        <w:rPr>
          <w:lang w:eastAsia="en-AU"/>
        </w:rPr>
        <w:t>Pa</w:t>
      </w:r>
      <w:r w:rsidRPr="007F3566">
        <w:rPr>
          <w:spacing w:val="1"/>
          <w:lang w:eastAsia="en-AU"/>
        </w:rPr>
        <w:t>r</w:t>
      </w:r>
      <w:r w:rsidRPr="007F3566">
        <w:rPr>
          <w:lang w:eastAsia="en-AU"/>
        </w:rPr>
        <w:t>t</w:t>
      </w:r>
      <w:r w:rsidRPr="007F3566">
        <w:rPr>
          <w:spacing w:val="4"/>
          <w:lang w:eastAsia="en-AU"/>
        </w:rPr>
        <w:t xml:space="preserve"> </w:t>
      </w:r>
      <w:r w:rsidRPr="007F3566">
        <w:rPr>
          <w:lang w:eastAsia="en-AU"/>
        </w:rPr>
        <w:t>1</w:t>
      </w:r>
      <w:r w:rsidRPr="007F3566">
        <w:rPr>
          <w:spacing w:val="3"/>
          <w:lang w:eastAsia="en-AU"/>
        </w:rPr>
        <w:t xml:space="preserve"> </w:t>
      </w:r>
      <w:r w:rsidRPr="007F3566">
        <w:rPr>
          <w:spacing w:val="4"/>
          <w:lang w:eastAsia="en-AU"/>
        </w:rPr>
        <w:t>states</w:t>
      </w:r>
      <w:r w:rsidRPr="007F3566">
        <w:rPr>
          <w:lang w:eastAsia="en-AU"/>
        </w:rPr>
        <w:t>:</w:t>
      </w:r>
      <w:r w:rsidRPr="007F3566">
        <w:rPr>
          <w:spacing w:val="4"/>
          <w:lang w:eastAsia="en-AU"/>
        </w:rPr>
        <w:t xml:space="preserve"> </w:t>
      </w:r>
    </w:p>
    <w:p w14:paraId="113FEC6D" w14:textId="49569893" w:rsidR="00B55711" w:rsidRPr="007F3566" w:rsidRDefault="00B55711" w:rsidP="00B55711">
      <w:pPr>
        <w:ind w:left="-284" w:right="-2"/>
        <w:rPr>
          <w:rFonts w:eastAsia="Calibri"/>
          <w:snapToGrid w:val="0"/>
        </w:rPr>
      </w:pPr>
      <w:r w:rsidRPr="009B55DA">
        <w:rPr>
          <w:i/>
          <w:spacing w:val="2"/>
          <w:lang w:eastAsia="en-AU"/>
        </w:rPr>
        <w:t>T</w:t>
      </w:r>
      <w:r w:rsidRPr="009B55DA">
        <w:rPr>
          <w:i/>
          <w:spacing w:val="-2"/>
          <w:lang w:eastAsia="en-AU"/>
        </w:rPr>
        <w:t>h</w:t>
      </w:r>
      <w:r w:rsidRPr="009B55DA">
        <w:rPr>
          <w:i/>
          <w:lang w:eastAsia="en-AU"/>
        </w:rPr>
        <w:t>e</w:t>
      </w:r>
      <w:r w:rsidRPr="009B55DA">
        <w:rPr>
          <w:i/>
          <w:spacing w:val="3"/>
          <w:lang w:eastAsia="en-AU"/>
        </w:rPr>
        <w:t xml:space="preserve"> </w:t>
      </w:r>
      <w:r w:rsidRPr="009B55DA">
        <w:rPr>
          <w:i/>
          <w:spacing w:val="1"/>
          <w:lang w:eastAsia="en-AU"/>
        </w:rPr>
        <w:t>r</w:t>
      </w:r>
      <w:r w:rsidRPr="009B55DA">
        <w:rPr>
          <w:i/>
          <w:lang w:eastAsia="en-AU"/>
        </w:rPr>
        <w:t>e</w:t>
      </w:r>
      <w:r w:rsidRPr="009B55DA">
        <w:rPr>
          <w:i/>
          <w:spacing w:val="-2"/>
          <w:lang w:eastAsia="en-AU"/>
        </w:rPr>
        <w:t>g</w:t>
      </w:r>
      <w:r w:rsidRPr="009B55DA">
        <w:rPr>
          <w:i/>
          <w:lang w:eastAsia="en-AU"/>
        </w:rPr>
        <w:t>u</w:t>
      </w:r>
      <w:r w:rsidRPr="009B55DA">
        <w:rPr>
          <w:i/>
          <w:spacing w:val="1"/>
          <w:lang w:eastAsia="en-AU"/>
        </w:rPr>
        <w:t>l</w:t>
      </w:r>
      <w:r w:rsidRPr="009B55DA">
        <w:rPr>
          <w:i/>
          <w:spacing w:val="-2"/>
          <w:lang w:eastAsia="en-AU"/>
        </w:rPr>
        <w:t>a</w:t>
      </w:r>
      <w:r w:rsidRPr="009B55DA">
        <w:rPr>
          <w:i/>
          <w:spacing w:val="1"/>
          <w:lang w:eastAsia="en-AU"/>
        </w:rPr>
        <w:t>t</w:t>
      </w:r>
      <w:r w:rsidRPr="009B55DA">
        <w:rPr>
          <w:i/>
          <w:lang w:eastAsia="en-AU"/>
        </w:rPr>
        <w:t>o</w:t>
      </w:r>
      <w:r w:rsidRPr="009B55DA">
        <w:rPr>
          <w:i/>
          <w:spacing w:val="1"/>
          <w:lang w:eastAsia="en-AU"/>
        </w:rPr>
        <w:t>r</w:t>
      </w:r>
      <w:r w:rsidRPr="009B55DA">
        <w:rPr>
          <w:i/>
          <w:lang w:eastAsia="en-AU"/>
        </w:rPr>
        <w:t xml:space="preserve">y body </w:t>
      </w:r>
      <w:r w:rsidRPr="009B55DA">
        <w:rPr>
          <w:i/>
          <w:spacing w:val="1"/>
          <w:lang w:eastAsia="en-AU"/>
        </w:rPr>
        <w:t>s</w:t>
      </w:r>
      <w:r w:rsidRPr="009B55DA">
        <w:rPr>
          <w:i/>
          <w:lang w:eastAsia="en-AU"/>
        </w:rPr>
        <w:t>ha</w:t>
      </w:r>
      <w:r w:rsidRPr="009B55DA">
        <w:rPr>
          <w:i/>
          <w:spacing w:val="1"/>
          <w:lang w:eastAsia="en-AU"/>
        </w:rPr>
        <w:t>l</w:t>
      </w:r>
      <w:r w:rsidRPr="009B55DA">
        <w:rPr>
          <w:i/>
          <w:lang w:eastAsia="en-AU"/>
        </w:rPr>
        <w:t>l</w:t>
      </w:r>
      <w:r w:rsidRPr="009B55DA">
        <w:rPr>
          <w:i/>
          <w:spacing w:val="1"/>
          <w:lang w:eastAsia="en-AU"/>
        </w:rPr>
        <w:t xml:space="preserve"> </w:t>
      </w:r>
      <w:r w:rsidRPr="009B55DA">
        <w:rPr>
          <w:i/>
          <w:lang w:eastAsia="en-AU"/>
        </w:rPr>
        <w:t>ca</w:t>
      </w:r>
      <w:r w:rsidRPr="009B55DA">
        <w:rPr>
          <w:i/>
          <w:spacing w:val="-2"/>
          <w:lang w:eastAsia="en-AU"/>
        </w:rPr>
        <w:t>r</w:t>
      </w:r>
      <w:r w:rsidRPr="009B55DA">
        <w:rPr>
          <w:i/>
          <w:spacing w:val="1"/>
          <w:lang w:eastAsia="en-AU"/>
        </w:rPr>
        <w:t>r</w:t>
      </w:r>
      <w:r w:rsidRPr="009B55DA">
        <w:rPr>
          <w:i/>
          <w:lang w:eastAsia="en-AU"/>
        </w:rPr>
        <w:t>y out</w:t>
      </w:r>
      <w:r w:rsidRPr="009B55DA">
        <w:rPr>
          <w:i/>
          <w:spacing w:val="4"/>
          <w:lang w:eastAsia="en-AU"/>
        </w:rPr>
        <w:t xml:space="preserve"> </w:t>
      </w:r>
      <w:r w:rsidRPr="009B55DA">
        <w:rPr>
          <w:i/>
          <w:spacing w:val="1"/>
          <w:lang w:eastAsia="en-AU"/>
        </w:rPr>
        <w:t>i</w:t>
      </w:r>
      <w:r w:rsidRPr="009B55DA">
        <w:rPr>
          <w:i/>
          <w:lang w:eastAsia="en-AU"/>
        </w:rPr>
        <w:t>n</w:t>
      </w:r>
      <w:r w:rsidRPr="009B55DA">
        <w:rPr>
          <w:i/>
          <w:spacing w:val="1"/>
          <w:lang w:eastAsia="en-AU"/>
        </w:rPr>
        <w:t>s</w:t>
      </w:r>
      <w:r w:rsidRPr="009B55DA">
        <w:rPr>
          <w:i/>
          <w:lang w:eastAsia="en-AU"/>
        </w:rPr>
        <w:t>p</w:t>
      </w:r>
      <w:r w:rsidRPr="009B55DA">
        <w:rPr>
          <w:i/>
          <w:spacing w:val="-2"/>
          <w:lang w:eastAsia="en-AU"/>
        </w:rPr>
        <w:t>e</w:t>
      </w:r>
      <w:r w:rsidRPr="009B55DA">
        <w:rPr>
          <w:i/>
          <w:lang w:eastAsia="en-AU"/>
        </w:rPr>
        <w:t>c</w:t>
      </w:r>
      <w:r w:rsidRPr="009B55DA">
        <w:rPr>
          <w:i/>
          <w:spacing w:val="-1"/>
          <w:lang w:eastAsia="en-AU"/>
        </w:rPr>
        <w:t>t</w:t>
      </w:r>
      <w:r w:rsidRPr="009B55DA">
        <w:rPr>
          <w:i/>
          <w:spacing w:val="1"/>
          <w:lang w:eastAsia="en-AU"/>
        </w:rPr>
        <w:t>i</w:t>
      </w:r>
      <w:r w:rsidRPr="009B55DA">
        <w:rPr>
          <w:i/>
          <w:lang w:eastAsia="en-AU"/>
        </w:rPr>
        <w:t>o</w:t>
      </w:r>
      <w:r w:rsidRPr="009B55DA">
        <w:rPr>
          <w:i/>
          <w:spacing w:val="-2"/>
          <w:lang w:eastAsia="en-AU"/>
        </w:rPr>
        <w:t>n</w:t>
      </w:r>
      <w:r w:rsidRPr="009B55DA">
        <w:rPr>
          <w:i/>
          <w:lang w:eastAsia="en-AU"/>
        </w:rPr>
        <w:t>s of</w:t>
      </w:r>
      <w:r w:rsidRPr="009B55DA">
        <w:rPr>
          <w:i/>
          <w:spacing w:val="4"/>
          <w:lang w:eastAsia="en-AU"/>
        </w:rPr>
        <w:t xml:space="preserve"> </w:t>
      </w:r>
      <w:r w:rsidRPr="009B55DA">
        <w:rPr>
          <w:i/>
          <w:spacing w:val="1"/>
          <w:lang w:eastAsia="en-AU"/>
        </w:rPr>
        <w:t>f</w:t>
      </w:r>
      <w:r w:rsidRPr="009B55DA">
        <w:rPr>
          <w:i/>
          <w:spacing w:val="-2"/>
          <w:lang w:eastAsia="en-AU"/>
        </w:rPr>
        <w:t>a</w:t>
      </w:r>
      <w:r w:rsidRPr="009B55DA">
        <w:rPr>
          <w:i/>
          <w:lang w:eastAsia="en-AU"/>
        </w:rPr>
        <w:t>c</w:t>
      </w:r>
      <w:r w:rsidRPr="009B55DA">
        <w:rPr>
          <w:i/>
          <w:spacing w:val="-1"/>
          <w:lang w:eastAsia="en-AU"/>
        </w:rPr>
        <w:t>i</w:t>
      </w:r>
      <w:r w:rsidRPr="009B55DA">
        <w:rPr>
          <w:i/>
          <w:spacing w:val="1"/>
          <w:lang w:eastAsia="en-AU"/>
        </w:rPr>
        <w:t>l</w:t>
      </w:r>
      <w:r w:rsidRPr="009B55DA">
        <w:rPr>
          <w:i/>
          <w:spacing w:val="-1"/>
          <w:lang w:eastAsia="en-AU"/>
        </w:rPr>
        <w:t>i</w:t>
      </w:r>
      <w:r w:rsidRPr="009B55DA">
        <w:rPr>
          <w:i/>
          <w:spacing w:val="1"/>
          <w:lang w:eastAsia="en-AU"/>
        </w:rPr>
        <w:t>t</w:t>
      </w:r>
      <w:r w:rsidRPr="009B55DA">
        <w:rPr>
          <w:i/>
          <w:spacing w:val="-1"/>
          <w:lang w:eastAsia="en-AU"/>
        </w:rPr>
        <w:t>i</w:t>
      </w:r>
      <w:r w:rsidRPr="009B55DA">
        <w:rPr>
          <w:i/>
          <w:lang w:eastAsia="en-AU"/>
        </w:rPr>
        <w:t>es</w:t>
      </w:r>
      <w:r w:rsidRPr="009B55DA">
        <w:rPr>
          <w:i/>
          <w:spacing w:val="3"/>
          <w:lang w:eastAsia="en-AU"/>
        </w:rPr>
        <w:t xml:space="preserve"> </w:t>
      </w:r>
      <w:r w:rsidRPr="009B55DA">
        <w:rPr>
          <w:i/>
          <w:spacing w:val="-2"/>
          <w:lang w:eastAsia="en-AU"/>
        </w:rPr>
        <w:t>a</w:t>
      </w:r>
      <w:r w:rsidRPr="009B55DA">
        <w:rPr>
          <w:i/>
          <w:lang w:eastAsia="en-AU"/>
        </w:rPr>
        <w:t>nd</w:t>
      </w:r>
      <w:r w:rsidRPr="009B55DA">
        <w:rPr>
          <w:i/>
          <w:spacing w:val="3"/>
          <w:lang w:eastAsia="en-AU"/>
        </w:rPr>
        <w:t xml:space="preserve"> </w:t>
      </w:r>
      <w:r w:rsidRPr="009B55DA">
        <w:rPr>
          <w:i/>
          <w:lang w:eastAsia="en-AU"/>
        </w:rPr>
        <w:t>a</w:t>
      </w:r>
      <w:r w:rsidRPr="009B55DA">
        <w:rPr>
          <w:i/>
          <w:spacing w:val="-2"/>
          <w:lang w:eastAsia="en-AU"/>
        </w:rPr>
        <w:t>c</w:t>
      </w:r>
      <w:r w:rsidRPr="009B55DA">
        <w:rPr>
          <w:i/>
          <w:spacing w:val="1"/>
          <w:lang w:eastAsia="en-AU"/>
        </w:rPr>
        <w:t>ti</w:t>
      </w:r>
      <w:r w:rsidRPr="009B55DA">
        <w:rPr>
          <w:i/>
          <w:spacing w:val="-2"/>
          <w:lang w:eastAsia="en-AU"/>
        </w:rPr>
        <w:t>v</w:t>
      </w:r>
      <w:r w:rsidRPr="009B55DA">
        <w:rPr>
          <w:i/>
          <w:spacing w:val="-1"/>
          <w:lang w:eastAsia="en-AU"/>
        </w:rPr>
        <w:t>i</w:t>
      </w:r>
      <w:r w:rsidRPr="009B55DA">
        <w:rPr>
          <w:i/>
          <w:spacing w:val="1"/>
          <w:lang w:eastAsia="en-AU"/>
        </w:rPr>
        <w:t>t</w:t>
      </w:r>
      <w:r w:rsidRPr="009B55DA">
        <w:rPr>
          <w:i/>
          <w:spacing w:val="-1"/>
          <w:lang w:eastAsia="en-AU"/>
        </w:rPr>
        <w:t>i</w:t>
      </w:r>
      <w:r w:rsidRPr="009B55DA">
        <w:rPr>
          <w:i/>
          <w:lang w:eastAsia="en-AU"/>
        </w:rPr>
        <w:t>es</w:t>
      </w:r>
      <w:r w:rsidRPr="009B55DA">
        <w:rPr>
          <w:i/>
          <w:spacing w:val="1"/>
          <w:lang w:eastAsia="en-AU"/>
        </w:rPr>
        <w:t xml:space="preserve"> t</w:t>
      </w:r>
      <w:r w:rsidRPr="009B55DA">
        <w:rPr>
          <w:i/>
          <w:lang w:eastAsia="en-AU"/>
        </w:rPr>
        <w:t>o</w:t>
      </w:r>
      <w:r w:rsidRPr="009B55DA">
        <w:rPr>
          <w:i/>
          <w:spacing w:val="3"/>
          <w:lang w:eastAsia="en-AU"/>
        </w:rPr>
        <w:t xml:space="preserve"> </w:t>
      </w:r>
      <w:r w:rsidRPr="009B55DA">
        <w:rPr>
          <w:i/>
          <w:spacing w:val="-2"/>
          <w:lang w:eastAsia="en-AU"/>
        </w:rPr>
        <w:t>v</w:t>
      </w:r>
      <w:r w:rsidRPr="009B55DA">
        <w:rPr>
          <w:i/>
          <w:lang w:eastAsia="en-AU"/>
        </w:rPr>
        <w:t>e</w:t>
      </w:r>
      <w:r w:rsidRPr="009B55DA">
        <w:rPr>
          <w:i/>
          <w:spacing w:val="1"/>
          <w:lang w:eastAsia="en-AU"/>
        </w:rPr>
        <w:t>r</w:t>
      </w:r>
      <w:r w:rsidRPr="009B55DA">
        <w:rPr>
          <w:i/>
          <w:spacing w:val="-1"/>
          <w:lang w:eastAsia="en-AU"/>
        </w:rPr>
        <w:t>i</w:t>
      </w:r>
      <w:r w:rsidRPr="009B55DA">
        <w:rPr>
          <w:i/>
          <w:spacing w:val="1"/>
          <w:lang w:eastAsia="en-AU"/>
        </w:rPr>
        <w:t>f</w:t>
      </w:r>
      <w:r w:rsidRPr="009B55DA">
        <w:rPr>
          <w:i/>
          <w:lang w:eastAsia="en-AU"/>
        </w:rPr>
        <w:t xml:space="preserve">y </w:t>
      </w:r>
      <w:r w:rsidRPr="009B55DA">
        <w:rPr>
          <w:i/>
          <w:spacing w:val="1"/>
          <w:lang w:eastAsia="en-AU"/>
        </w:rPr>
        <w:t>t</w:t>
      </w:r>
      <w:r w:rsidRPr="009B55DA">
        <w:rPr>
          <w:i/>
          <w:lang w:eastAsia="en-AU"/>
        </w:rPr>
        <w:t>hat</w:t>
      </w:r>
      <w:r w:rsidRPr="009B55DA">
        <w:rPr>
          <w:i/>
          <w:spacing w:val="1"/>
          <w:lang w:eastAsia="en-AU"/>
        </w:rPr>
        <w:t xml:space="preserve"> t</w:t>
      </w:r>
      <w:r w:rsidRPr="009B55DA">
        <w:rPr>
          <w:i/>
          <w:lang w:eastAsia="en-AU"/>
        </w:rPr>
        <w:t>he</w:t>
      </w:r>
      <w:r w:rsidRPr="009B55DA">
        <w:rPr>
          <w:i/>
          <w:spacing w:val="1"/>
          <w:lang w:eastAsia="en-AU"/>
        </w:rPr>
        <w:t xml:space="preserve"> </w:t>
      </w:r>
      <w:r w:rsidRPr="009B55DA">
        <w:rPr>
          <w:i/>
          <w:lang w:eastAsia="en-AU"/>
        </w:rPr>
        <w:t>a</w:t>
      </w:r>
      <w:r w:rsidRPr="009B55DA">
        <w:rPr>
          <w:i/>
          <w:spacing w:val="-2"/>
          <w:lang w:eastAsia="en-AU"/>
        </w:rPr>
        <w:t>u</w:t>
      </w:r>
      <w:r w:rsidRPr="009B55DA">
        <w:rPr>
          <w:i/>
          <w:spacing w:val="1"/>
          <w:lang w:eastAsia="en-AU"/>
        </w:rPr>
        <w:t>t</w:t>
      </w:r>
      <w:r w:rsidRPr="009B55DA">
        <w:rPr>
          <w:i/>
          <w:lang w:eastAsia="en-AU"/>
        </w:rPr>
        <w:t>ho</w:t>
      </w:r>
      <w:r w:rsidRPr="009B55DA">
        <w:rPr>
          <w:i/>
          <w:spacing w:val="-2"/>
          <w:lang w:eastAsia="en-AU"/>
        </w:rPr>
        <w:t>r</w:t>
      </w:r>
      <w:r w:rsidRPr="009B55DA">
        <w:rPr>
          <w:i/>
          <w:spacing w:val="1"/>
          <w:lang w:eastAsia="en-AU"/>
        </w:rPr>
        <w:t>i</w:t>
      </w:r>
      <w:r w:rsidRPr="009B55DA">
        <w:rPr>
          <w:i/>
          <w:spacing w:val="-2"/>
          <w:lang w:eastAsia="en-AU"/>
        </w:rPr>
        <w:t>z</w:t>
      </w:r>
      <w:r w:rsidRPr="009B55DA">
        <w:rPr>
          <w:i/>
          <w:spacing w:val="-1"/>
          <w:lang w:eastAsia="en-AU"/>
        </w:rPr>
        <w:t>e</w:t>
      </w:r>
      <w:r w:rsidRPr="009B55DA">
        <w:rPr>
          <w:i/>
          <w:lang w:eastAsia="en-AU"/>
        </w:rPr>
        <w:t>d</w:t>
      </w:r>
      <w:r w:rsidRPr="009B55DA">
        <w:rPr>
          <w:i/>
          <w:spacing w:val="3"/>
          <w:lang w:eastAsia="en-AU"/>
        </w:rPr>
        <w:t xml:space="preserve"> </w:t>
      </w:r>
      <w:r w:rsidRPr="009B55DA">
        <w:rPr>
          <w:i/>
          <w:lang w:eastAsia="en-AU"/>
        </w:rPr>
        <w:t>pa</w:t>
      </w:r>
      <w:r w:rsidRPr="009B55DA">
        <w:rPr>
          <w:i/>
          <w:spacing w:val="-2"/>
          <w:lang w:eastAsia="en-AU"/>
        </w:rPr>
        <w:t>r</w:t>
      </w:r>
      <w:r w:rsidRPr="009B55DA">
        <w:rPr>
          <w:i/>
          <w:spacing w:val="1"/>
          <w:lang w:eastAsia="en-AU"/>
        </w:rPr>
        <w:t>t</w:t>
      </w:r>
      <w:r w:rsidRPr="009B55DA">
        <w:rPr>
          <w:i/>
          <w:lang w:eastAsia="en-AU"/>
        </w:rPr>
        <w:t xml:space="preserve">y </w:t>
      </w:r>
      <w:proofErr w:type="gramStart"/>
      <w:r w:rsidRPr="009B55DA">
        <w:rPr>
          <w:i/>
          <w:spacing w:val="1"/>
          <w:lang w:eastAsia="en-AU"/>
        </w:rPr>
        <w:t>i</w:t>
      </w:r>
      <w:r w:rsidRPr="009B55DA">
        <w:rPr>
          <w:i/>
          <w:lang w:eastAsia="en-AU"/>
        </w:rPr>
        <w:t>s</w:t>
      </w:r>
      <w:r w:rsidRPr="009B55DA">
        <w:rPr>
          <w:i/>
          <w:spacing w:val="1"/>
          <w:lang w:eastAsia="en-AU"/>
        </w:rPr>
        <w:t xml:space="preserve"> i</w:t>
      </w:r>
      <w:r w:rsidRPr="009B55DA">
        <w:rPr>
          <w:i/>
          <w:lang w:eastAsia="en-AU"/>
        </w:rPr>
        <w:t>n</w:t>
      </w:r>
      <w:r w:rsidRPr="009B55DA">
        <w:rPr>
          <w:i/>
          <w:spacing w:val="3"/>
          <w:lang w:eastAsia="en-AU"/>
        </w:rPr>
        <w:t xml:space="preserve"> </w:t>
      </w:r>
      <w:r w:rsidRPr="009B55DA">
        <w:rPr>
          <w:i/>
          <w:lang w:eastAsia="en-AU"/>
        </w:rPr>
        <w:t>co</w:t>
      </w:r>
      <w:r w:rsidRPr="009B55DA">
        <w:rPr>
          <w:i/>
          <w:spacing w:val="-4"/>
          <w:lang w:eastAsia="en-AU"/>
        </w:rPr>
        <w:t>m</w:t>
      </w:r>
      <w:r w:rsidRPr="009B55DA">
        <w:rPr>
          <w:i/>
          <w:lang w:eastAsia="en-AU"/>
        </w:rPr>
        <w:t>p</w:t>
      </w:r>
      <w:r w:rsidRPr="009B55DA">
        <w:rPr>
          <w:i/>
          <w:spacing w:val="1"/>
          <w:lang w:eastAsia="en-AU"/>
        </w:rPr>
        <w:t>l</w:t>
      </w:r>
      <w:r w:rsidRPr="009B55DA">
        <w:rPr>
          <w:i/>
          <w:spacing w:val="-1"/>
          <w:lang w:eastAsia="en-AU"/>
        </w:rPr>
        <w:t>i</w:t>
      </w:r>
      <w:r w:rsidRPr="009B55DA">
        <w:rPr>
          <w:i/>
          <w:lang w:eastAsia="en-AU"/>
        </w:rPr>
        <w:t>ance</w:t>
      </w:r>
      <w:r w:rsidRPr="009B55DA">
        <w:rPr>
          <w:i/>
          <w:spacing w:val="1"/>
          <w:lang w:eastAsia="en-AU"/>
        </w:rPr>
        <w:t xml:space="preserve"> </w:t>
      </w:r>
      <w:r w:rsidRPr="009B55DA">
        <w:rPr>
          <w:i/>
          <w:spacing w:val="-1"/>
          <w:lang w:eastAsia="en-AU"/>
        </w:rPr>
        <w:t>w</w:t>
      </w:r>
      <w:r w:rsidRPr="009B55DA">
        <w:rPr>
          <w:i/>
          <w:spacing w:val="1"/>
          <w:lang w:eastAsia="en-AU"/>
        </w:rPr>
        <w:t>it</w:t>
      </w:r>
      <w:r w:rsidRPr="009B55DA">
        <w:rPr>
          <w:i/>
          <w:lang w:eastAsia="en-AU"/>
        </w:rPr>
        <w:t>h</w:t>
      </w:r>
      <w:proofErr w:type="gramEnd"/>
      <w:r w:rsidRPr="009B55DA">
        <w:rPr>
          <w:i/>
          <w:lang w:eastAsia="en-AU"/>
        </w:rPr>
        <w:t xml:space="preserve"> </w:t>
      </w:r>
      <w:r w:rsidRPr="009B55DA">
        <w:rPr>
          <w:i/>
          <w:spacing w:val="1"/>
          <w:lang w:eastAsia="en-AU"/>
        </w:rPr>
        <w:t>t</w:t>
      </w:r>
      <w:r w:rsidRPr="009B55DA">
        <w:rPr>
          <w:i/>
          <w:lang w:eastAsia="en-AU"/>
        </w:rPr>
        <w:t>he</w:t>
      </w:r>
      <w:r w:rsidRPr="009B55DA">
        <w:rPr>
          <w:i/>
          <w:spacing w:val="1"/>
          <w:lang w:eastAsia="en-AU"/>
        </w:rPr>
        <w:t xml:space="preserve"> r</w:t>
      </w:r>
      <w:r w:rsidRPr="009B55DA">
        <w:rPr>
          <w:i/>
          <w:lang w:eastAsia="en-AU"/>
        </w:rPr>
        <w:t>e</w:t>
      </w:r>
      <w:r w:rsidRPr="009B55DA">
        <w:rPr>
          <w:i/>
          <w:spacing w:val="-2"/>
          <w:lang w:eastAsia="en-AU"/>
        </w:rPr>
        <w:t>g</w:t>
      </w:r>
      <w:r w:rsidRPr="009B55DA">
        <w:rPr>
          <w:i/>
          <w:lang w:eastAsia="en-AU"/>
        </w:rPr>
        <w:t>u</w:t>
      </w:r>
      <w:r w:rsidRPr="009B55DA">
        <w:rPr>
          <w:i/>
          <w:spacing w:val="1"/>
          <w:lang w:eastAsia="en-AU"/>
        </w:rPr>
        <w:t>l</w:t>
      </w:r>
      <w:r w:rsidRPr="009B55DA">
        <w:rPr>
          <w:i/>
          <w:spacing w:val="-2"/>
          <w:lang w:eastAsia="en-AU"/>
        </w:rPr>
        <w:t>a</w:t>
      </w:r>
      <w:r w:rsidRPr="009B55DA">
        <w:rPr>
          <w:i/>
          <w:spacing w:val="1"/>
          <w:lang w:eastAsia="en-AU"/>
        </w:rPr>
        <w:t>t</w:t>
      </w:r>
      <w:r w:rsidRPr="009B55DA">
        <w:rPr>
          <w:i/>
          <w:lang w:eastAsia="en-AU"/>
        </w:rPr>
        <w:t>o</w:t>
      </w:r>
      <w:r w:rsidRPr="009B55DA">
        <w:rPr>
          <w:i/>
          <w:spacing w:val="1"/>
          <w:lang w:eastAsia="en-AU"/>
        </w:rPr>
        <w:t>r</w:t>
      </w:r>
      <w:r w:rsidRPr="009B55DA">
        <w:rPr>
          <w:i/>
          <w:lang w:eastAsia="en-AU"/>
        </w:rPr>
        <w:t xml:space="preserve">y </w:t>
      </w:r>
      <w:r w:rsidRPr="009B55DA">
        <w:rPr>
          <w:i/>
          <w:spacing w:val="1"/>
          <w:lang w:eastAsia="en-AU"/>
        </w:rPr>
        <w:t>r</w:t>
      </w:r>
      <w:r w:rsidRPr="009B55DA">
        <w:rPr>
          <w:i/>
          <w:lang w:eastAsia="en-AU"/>
        </w:rPr>
        <w:t>eq</w:t>
      </w:r>
      <w:r w:rsidRPr="009B55DA">
        <w:rPr>
          <w:i/>
          <w:spacing w:val="-2"/>
          <w:lang w:eastAsia="en-AU"/>
        </w:rPr>
        <w:t>u</w:t>
      </w:r>
      <w:r w:rsidRPr="009B55DA">
        <w:rPr>
          <w:i/>
          <w:spacing w:val="1"/>
          <w:lang w:eastAsia="en-AU"/>
        </w:rPr>
        <w:t>ir</w:t>
      </w:r>
      <w:r w:rsidRPr="009B55DA">
        <w:rPr>
          <w:i/>
          <w:lang w:eastAsia="en-AU"/>
        </w:rPr>
        <w:t>e</w:t>
      </w:r>
      <w:r w:rsidRPr="009B55DA">
        <w:rPr>
          <w:i/>
          <w:spacing w:val="-4"/>
          <w:lang w:eastAsia="en-AU"/>
        </w:rPr>
        <w:t>m</w:t>
      </w:r>
      <w:r w:rsidRPr="009B55DA">
        <w:rPr>
          <w:i/>
          <w:lang w:eastAsia="en-AU"/>
        </w:rPr>
        <w:t>en</w:t>
      </w:r>
      <w:r w:rsidRPr="009B55DA">
        <w:rPr>
          <w:i/>
          <w:spacing w:val="1"/>
          <w:lang w:eastAsia="en-AU"/>
        </w:rPr>
        <w:t>t</w:t>
      </w:r>
      <w:r w:rsidRPr="009B55DA">
        <w:rPr>
          <w:i/>
          <w:lang w:eastAsia="en-AU"/>
        </w:rPr>
        <w:t>s</w:t>
      </w:r>
      <w:r w:rsidRPr="009B55DA">
        <w:rPr>
          <w:i/>
          <w:spacing w:val="20"/>
          <w:lang w:eastAsia="en-AU"/>
        </w:rPr>
        <w:t xml:space="preserve"> </w:t>
      </w:r>
      <w:r w:rsidRPr="009B55DA">
        <w:rPr>
          <w:i/>
          <w:spacing w:val="-2"/>
          <w:lang w:eastAsia="en-AU"/>
        </w:rPr>
        <w:t>a</w:t>
      </w:r>
      <w:r w:rsidRPr="009B55DA">
        <w:rPr>
          <w:i/>
          <w:lang w:eastAsia="en-AU"/>
        </w:rPr>
        <w:t>nd</w:t>
      </w:r>
      <w:r w:rsidRPr="009B55DA">
        <w:rPr>
          <w:i/>
          <w:spacing w:val="19"/>
          <w:lang w:eastAsia="en-AU"/>
        </w:rPr>
        <w:t xml:space="preserve"> </w:t>
      </w:r>
      <w:r w:rsidRPr="009B55DA">
        <w:rPr>
          <w:i/>
          <w:spacing w:val="-1"/>
          <w:lang w:eastAsia="en-AU"/>
        </w:rPr>
        <w:t>w</w:t>
      </w:r>
      <w:r w:rsidRPr="009B55DA">
        <w:rPr>
          <w:i/>
          <w:spacing w:val="1"/>
          <w:lang w:eastAsia="en-AU"/>
        </w:rPr>
        <w:t>i</w:t>
      </w:r>
      <w:r w:rsidRPr="009B55DA">
        <w:rPr>
          <w:i/>
          <w:spacing w:val="-1"/>
          <w:lang w:eastAsia="en-AU"/>
        </w:rPr>
        <w:t>t</w:t>
      </w:r>
      <w:r w:rsidRPr="009B55DA">
        <w:rPr>
          <w:i/>
          <w:lang w:eastAsia="en-AU"/>
        </w:rPr>
        <w:t>h</w:t>
      </w:r>
      <w:r w:rsidRPr="009B55DA">
        <w:rPr>
          <w:i/>
          <w:spacing w:val="19"/>
          <w:lang w:eastAsia="en-AU"/>
        </w:rPr>
        <w:t xml:space="preserve"> </w:t>
      </w:r>
      <w:r w:rsidRPr="009B55DA">
        <w:rPr>
          <w:i/>
          <w:spacing w:val="1"/>
          <w:lang w:eastAsia="en-AU"/>
        </w:rPr>
        <w:t>t</w:t>
      </w:r>
      <w:r w:rsidRPr="009B55DA">
        <w:rPr>
          <w:i/>
          <w:lang w:eastAsia="en-AU"/>
        </w:rPr>
        <w:t>he</w:t>
      </w:r>
      <w:r w:rsidRPr="009B55DA">
        <w:rPr>
          <w:i/>
          <w:spacing w:val="17"/>
          <w:lang w:eastAsia="en-AU"/>
        </w:rPr>
        <w:t xml:space="preserve"> </w:t>
      </w:r>
      <w:r w:rsidRPr="009B55DA">
        <w:rPr>
          <w:i/>
          <w:lang w:eastAsia="en-AU"/>
        </w:rPr>
        <w:t>cond</w:t>
      </w:r>
      <w:r w:rsidRPr="009B55DA">
        <w:rPr>
          <w:i/>
          <w:spacing w:val="-1"/>
          <w:lang w:eastAsia="en-AU"/>
        </w:rPr>
        <w:t>i</w:t>
      </w:r>
      <w:r w:rsidRPr="009B55DA">
        <w:rPr>
          <w:i/>
          <w:spacing w:val="1"/>
          <w:lang w:eastAsia="en-AU"/>
        </w:rPr>
        <w:t>t</w:t>
      </w:r>
      <w:r w:rsidRPr="009B55DA">
        <w:rPr>
          <w:i/>
          <w:spacing w:val="-1"/>
          <w:lang w:eastAsia="en-AU"/>
        </w:rPr>
        <w:t>i</w:t>
      </w:r>
      <w:r w:rsidRPr="009B55DA">
        <w:rPr>
          <w:i/>
          <w:lang w:eastAsia="en-AU"/>
        </w:rPr>
        <w:t>ons</w:t>
      </w:r>
      <w:r w:rsidRPr="009B55DA">
        <w:rPr>
          <w:i/>
          <w:spacing w:val="20"/>
          <w:lang w:eastAsia="en-AU"/>
        </w:rPr>
        <w:t xml:space="preserve"> </w:t>
      </w:r>
      <w:r w:rsidRPr="009B55DA">
        <w:rPr>
          <w:i/>
          <w:lang w:eastAsia="en-AU"/>
        </w:rPr>
        <w:t>s</w:t>
      </w:r>
      <w:r w:rsidRPr="009B55DA">
        <w:rPr>
          <w:i/>
          <w:spacing w:val="-2"/>
          <w:lang w:eastAsia="en-AU"/>
        </w:rPr>
        <w:t>p</w:t>
      </w:r>
      <w:r w:rsidRPr="009B55DA">
        <w:rPr>
          <w:i/>
          <w:lang w:eastAsia="en-AU"/>
        </w:rPr>
        <w:t>ec</w:t>
      </w:r>
      <w:r w:rsidRPr="009B55DA">
        <w:rPr>
          <w:i/>
          <w:spacing w:val="-1"/>
          <w:lang w:eastAsia="en-AU"/>
        </w:rPr>
        <w:t>i</w:t>
      </w:r>
      <w:r w:rsidRPr="009B55DA">
        <w:rPr>
          <w:i/>
          <w:spacing w:val="1"/>
          <w:lang w:eastAsia="en-AU"/>
        </w:rPr>
        <w:t>f</w:t>
      </w:r>
      <w:r w:rsidRPr="009B55DA">
        <w:rPr>
          <w:i/>
          <w:spacing w:val="-1"/>
          <w:lang w:eastAsia="en-AU"/>
        </w:rPr>
        <w:t>i</w:t>
      </w:r>
      <w:r w:rsidRPr="009B55DA">
        <w:rPr>
          <w:i/>
          <w:lang w:eastAsia="en-AU"/>
        </w:rPr>
        <w:t>ed</w:t>
      </w:r>
      <w:r w:rsidRPr="009B55DA">
        <w:rPr>
          <w:i/>
          <w:spacing w:val="19"/>
          <w:lang w:eastAsia="en-AU"/>
        </w:rPr>
        <w:t xml:space="preserve"> </w:t>
      </w:r>
      <w:r w:rsidRPr="009B55DA">
        <w:rPr>
          <w:i/>
          <w:spacing w:val="1"/>
          <w:lang w:eastAsia="en-AU"/>
        </w:rPr>
        <w:t>i</w:t>
      </w:r>
      <w:r w:rsidRPr="009B55DA">
        <w:rPr>
          <w:i/>
          <w:lang w:eastAsia="en-AU"/>
        </w:rPr>
        <w:t>n</w:t>
      </w:r>
      <w:r w:rsidRPr="009B55DA">
        <w:rPr>
          <w:i/>
          <w:spacing w:val="17"/>
          <w:lang w:eastAsia="en-AU"/>
        </w:rPr>
        <w:t xml:space="preserve"> </w:t>
      </w:r>
      <w:r w:rsidRPr="009B55DA">
        <w:rPr>
          <w:i/>
          <w:spacing w:val="1"/>
          <w:lang w:eastAsia="en-AU"/>
        </w:rPr>
        <w:t>t</w:t>
      </w:r>
      <w:r w:rsidRPr="009B55DA">
        <w:rPr>
          <w:i/>
          <w:lang w:eastAsia="en-AU"/>
        </w:rPr>
        <w:t>he</w:t>
      </w:r>
      <w:r w:rsidRPr="009B55DA">
        <w:rPr>
          <w:i/>
          <w:spacing w:val="17"/>
          <w:lang w:eastAsia="en-AU"/>
        </w:rPr>
        <w:t xml:space="preserve"> </w:t>
      </w:r>
      <w:r w:rsidRPr="009B55DA">
        <w:rPr>
          <w:i/>
          <w:lang w:eastAsia="en-AU"/>
        </w:rPr>
        <w:t>au</w:t>
      </w:r>
      <w:r w:rsidRPr="009B55DA">
        <w:rPr>
          <w:i/>
          <w:spacing w:val="1"/>
          <w:lang w:eastAsia="en-AU"/>
        </w:rPr>
        <w:t>t</w:t>
      </w:r>
      <w:r w:rsidRPr="009B55DA">
        <w:rPr>
          <w:i/>
          <w:lang w:eastAsia="en-AU"/>
        </w:rPr>
        <w:t>h</w:t>
      </w:r>
      <w:r w:rsidRPr="009B55DA">
        <w:rPr>
          <w:i/>
          <w:spacing w:val="-2"/>
          <w:lang w:eastAsia="en-AU"/>
        </w:rPr>
        <w:t>o</w:t>
      </w:r>
      <w:r w:rsidRPr="009B55DA">
        <w:rPr>
          <w:i/>
          <w:spacing w:val="1"/>
          <w:lang w:eastAsia="en-AU"/>
        </w:rPr>
        <w:t>ri</w:t>
      </w:r>
      <w:r w:rsidRPr="009B55DA">
        <w:rPr>
          <w:i/>
          <w:spacing w:val="-2"/>
          <w:lang w:eastAsia="en-AU"/>
        </w:rPr>
        <w:t>z</w:t>
      </w:r>
      <w:r w:rsidRPr="009B55DA">
        <w:rPr>
          <w:i/>
          <w:lang w:eastAsia="en-AU"/>
        </w:rPr>
        <w:t>a</w:t>
      </w:r>
      <w:r w:rsidRPr="009B55DA">
        <w:rPr>
          <w:i/>
          <w:spacing w:val="-1"/>
          <w:lang w:eastAsia="en-AU"/>
        </w:rPr>
        <w:t>t</w:t>
      </w:r>
      <w:r w:rsidRPr="009B55DA">
        <w:rPr>
          <w:i/>
          <w:spacing w:val="1"/>
          <w:lang w:eastAsia="en-AU"/>
        </w:rPr>
        <w:t>i</w:t>
      </w:r>
      <w:r w:rsidRPr="009B55DA">
        <w:rPr>
          <w:i/>
          <w:lang w:eastAsia="en-AU"/>
        </w:rPr>
        <w:t>on</w:t>
      </w:r>
      <w:r w:rsidRPr="007F3566">
        <w:rPr>
          <w:spacing w:val="-2"/>
          <w:lang w:eastAsia="en-AU"/>
        </w:rPr>
        <w:t>.</w:t>
      </w:r>
      <w:r>
        <w:rPr>
          <w:spacing w:val="-2"/>
          <w:lang w:eastAsia="en-AU"/>
        </w:rPr>
        <w:t xml:space="preserve"> </w:t>
      </w:r>
    </w:p>
    <w:p w14:paraId="14D02226" w14:textId="77777777" w:rsidR="00B55711" w:rsidRPr="00D66550" w:rsidRDefault="00B55711" w:rsidP="00122B75">
      <w:pPr>
        <w:pStyle w:val="Heading2"/>
        <w:numPr>
          <w:ilvl w:val="1"/>
          <w:numId w:val="38"/>
        </w:numPr>
        <w:tabs>
          <w:tab w:val="clear" w:pos="851"/>
        </w:tabs>
        <w:spacing w:before="360"/>
        <w:ind w:left="1276" w:hanging="567"/>
      </w:pPr>
      <w:r w:rsidRPr="00D66550">
        <w:t>Objectives</w:t>
      </w:r>
    </w:p>
    <w:p w14:paraId="63603B72" w14:textId="6CF1DC9F" w:rsidR="000F7B44" w:rsidRPr="00617A95" w:rsidRDefault="006500D5" w:rsidP="00116415">
      <w:pPr>
        <w:ind w:left="-284" w:right="-2"/>
        <w:rPr>
          <w:rFonts w:eastAsia="Calibri"/>
          <w:snapToGrid w:val="0"/>
        </w:rPr>
      </w:pPr>
      <w:r w:rsidRPr="00617A95">
        <w:rPr>
          <w:rFonts w:eastAsia="Calibri"/>
          <w:snapToGrid w:val="0"/>
        </w:rPr>
        <w:t xml:space="preserve">The fundamental objective of </w:t>
      </w:r>
      <w:r w:rsidR="00DF3AB0" w:rsidRPr="00617A95">
        <w:rPr>
          <w:rStyle w:val="Normalbold"/>
        </w:rPr>
        <w:t xml:space="preserve">ARPANSA’s </w:t>
      </w:r>
      <w:r w:rsidRPr="00617A95">
        <w:rPr>
          <w:rStyle w:val="Normalbold"/>
        </w:rPr>
        <w:t xml:space="preserve">inspection </w:t>
      </w:r>
      <w:r w:rsidR="00DF3AB0" w:rsidRPr="00617A95">
        <w:rPr>
          <w:rStyle w:val="Normalbold"/>
        </w:rPr>
        <w:t xml:space="preserve">program </w:t>
      </w:r>
      <w:r w:rsidRPr="00617A95">
        <w:rPr>
          <w:rStyle w:val="Normalbold"/>
        </w:rPr>
        <w:t xml:space="preserve">is </w:t>
      </w:r>
      <w:r w:rsidR="007F3566">
        <w:rPr>
          <w:rStyle w:val="Normalbold"/>
        </w:rPr>
        <w:t xml:space="preserve">to </w:t>
      </w:r>
      <w:r w:rsidR="00FC6AD5">
        <w:rPr>
          <w:rStyle w:val="Normalbold"/>
        </w:rPr>
        <w:t xml:space="preserve">review and </w:t>
      </w:r>
      <w:r w:rsidR="007F3566">
        <w:rPr>
          <w:rStyle w:val="Normalbold"/>
        </w:rPr>
        <w:t xml:space="preserve">assess safety </w:t>
      </w:r>
      <w:r w:rsidRPr="00617A95">
        <w:rPr>
          <w:rStyle w:val="Normalbold"/>
        </w:rPr>
        <w:t xml:space="preserve">of </w:t>
      </w:r>
      <w:r w:rsidR="007F3566">
        <w:rPr>
          <w:rStyle w:val="Normalbold"/>
        </w:rPr>
        <w:t>licence holders</w:t>
      </w:r>
      <w:r w:rsidR="00FC6AD5">
        <w:rPr>
          <w:rStyle w:val="Normalbold"/>
        </w:rPr>
        <w:t>’ activities</w:t>
      </w:r>
      <w:r w:rsidR="00AA518B" w:rsidRPr="00617A95">
        <w:rPr>
          <w:rStyle w:val="Normalbold"/>
        </w:rPr>
        <w:t xml:space="preserve">. </w:t>
      </w:r>
      <w:r w:rsidR="005D6201" w:rsidRPr="00617A95">
        <w:rPr>
          <w:rStyle w:val="Normalbold"/>
        </w:rPr>
        <w:t xml:space="preserve">The program </w:t>
      </w:r>
      <w:r w:rsidR="00AA518B" w:rsidRPr="00617A95">
        <w:rPr>
          <w:rStyle w:val="Normalbold"/>
        </w:rPr>
        <w:t xml:space="preserve">will assist in providing assurance </w:t>
      </w:r>
      <w:r w:rsidR="000F7B44" w:rsidRPr="00617A95">
        <w:rPr>
          <w:rStyle w:val="Normalbold"/>
        </w:rPr>
        <w:t>to</w:t>
      </w:r>
      <w:r w:rsidR="000F7B44" w:rsidRPr="00617A95">
        <w:rPr>
          <w:rFonts w:eastAsia="Calibri"/>
          <w:snapToGrid w:val="0"/>
        </w:rPr>
        <w:t xml:space="preserve"> the Australian community </w:t>
      </w:r>
      <w:r w:rsidRPr="00617A95">
        <w:rPr>
          <w:rFonts w:eastAsia="Calibri"/>
          <w:snapToGrid w:val="0"/>
        </w:rPr>
        <w:t xml:space="preserve">that activities involving radiation facilities and sources do not pose </w:t>
      </w:r>
      <w:r w:rsidR="009B55DA">
        <w:rPr>
          <w:rFonts w:eastAsia="Calibri"/>
          <w:snapToGrid w:val="0"/>
        </w:rPr>
        <w:t xml:space="preserve">an </w:t>
      </w:r>
      <w:r w:rsidR="000F7B44" w:rsidRPr="00617A95">
        <w:rPr>
          <w:rFonts w:eastAsia="Calibri"/>
          <w:snapToGrid w:val="0"/>
        </w:rPr>
        <w:t>undue radiation risk</w:t>
      </w:r>
      <w:r w:rsidRPr="00617A95">
        <w:rPr>
          <w:rFonts w:eastAsia="Calibri"/>
          <w:snapToGrid w:val="0"/>
        </w:rPr>
        <w:t xml:space="preserve"> to </w:t>
      </w:r>
      <w:r w:rsidR="000F7B44" w:rsidRPr="00617A95">
        <w:rPr>
          <w:rFonts w:eastAsia="Calibri"/>
          <w:snapToGrid w:val="0"/>
        </w:rPr>
        <w:t>people and</w:t>
      </w:r>
      <w:r w:rsidRPr="00617A95">
        <w:rPr>
          <w:rFonts w:eastAsia="Calibri"/>
          <w:snapToGrid w:val="0"/>
        </w:rPr>
        <w:t xml:space="preserve"> the environment</w:t>
      </w:r>
      <w:r w:rsidR="007F60E6" w:rsidRPr="00617A95">
        <w:rPr>
          <w:rFonts w:eastAsia="Calibri"/>
          <w:snapToGrid w:val="0"/>
        </w:rPr>
        <w:t xml:space="preserve">. </w:t>
      </w:r>
    </w:p>
    <w:p w14:paraId="383CB905" w14:textId="11722774" w:rsidR="006500D5" w:rsidRPr="00617A95" w:rsidRDefault="00DF3AB0" w:rsidP="00116415">
      <w:pPr>
        <w:ind w:left="-284" w:right="-2"/>
        <w:rPr>
          <w:rFonts w:eastAsia="Calibri"/>
          <w:snapToGrid w:val="0"/>
        </w:rPr>
      </w:pPr>
      <w:r w:rsidRPr="00617A95">
        <w:rPr>
          <w:rFonts w:eastAsia="Calibri"/>
          <w:snapToGrid w:val="0"/>
        </w:rPr>
        <w:t xml:space="preserve">The </w:t>
      </w:r>
      <w:r w:rsidR="006500D5" w:rsidRPr="00617A95">
        <w:rPr>
          <w:rFonts w:eastAsia="Calibri"/>
          <w:snapToGrid w:val="0"/>
        </w:rPr>
        <w:t>inspection program is designed to:</w:t>
      </w:r>
    </w:p>
    <w:p w14:paraId="0C92C990" w14:textId="2F1F195E" w:rsidR="006500D5" w:rsidRPr="00617A95" w:rsidRDefault="009B55DA" w:rsidP="00116415">
      <w:pPr>
        <w:pStyle w:val="ListParagraph"/>
        <w:numPr>
          <w:ilvl w:val="0"/>
          <w:numId w:val="2"/>
        </w:numPr>
        <w:ind w:right="-2"/>
        <w:contextualSpacing w:val="0"/>
        <w:rPr>
          <w:rFonts w:eastAsia="Calibri"/>
        </w:rPr>
      </w:pPr>
      <w:r>
        <w:rPr>
          <w:rFonts w:eastAsia="Calibri"/>
          <w:snapToGrid w:val="0"/>
        </w:rPr>
        <w:t>i</w:t>
      </w:r>
      <w:r w:rsidR="006500D5" w:rsidRPr="00617A95">
        <w:rPr>
          <w:rFonts w:eastAsia="Calibri"/>
          <w:snapToGrid w:val="0"/>
        </w:rPr>
        <w:t>dentify activities prohibited under</w:t>
      </w:r>
      <w:r w:rsidR="00436B46" w:rsidRPr="00617A95">
        <w:rPr>
          <w:rFonts w:eastAsia="Calibri"/>
          <w:snapToGrid w:val="0"/>
        </w:rPr>
        <w:t xml:space="preserve"> the</w:t>
      </w:r>
      <w:r w:rsidR="006500D5" w:rsidRPr="00617A95">
        <w:rPr>
          <w:rFonts w:eastAsia="Calibri"/>
          <w:snapToGrid w:val="0"/>
        </w:rPr>
        <w:t xml:space="preserve"> </w:t>
      </w:r>
      <w:r w:rsidR="00436B46" w:rsidRPr="00617A95">
        <w:rPr>
          <w:rFonts w:eastAsia="Calibri"/>
          <w:i/>
          <w:snapToGrid w:val="0"/>
        </w:rPr>
        <w:t>Australian Radiation Protection and Nuclear Safety Act 1998 (</w:t>
      </w:r>
      <w:r w:rsidR="006500D5" w:rsidRPr="00617A95">
        <w:rPr>
          <w:rFonts w:eastAsia="Calibri"/>
          <w:snapToGrid w:val="0"/>
        </w:rPr>
        <w:t>the Act</w:t>
      </w:r>
      <w:r w:rsidR="00436B46" w:rsidRPr="00617A95">
        <w:rPr>
          <w:rFonts w:eastAsia="Calibri"/>
          <w:snapToGrid w:val="0"/>
        </w:rPr>
        <w:t>)</w:t>
      </w:r>
      <w:r w:rsidR="006500D5" w:rsidRPr="00617A95">
        <w:rPr>
          <w:rFonts w:eastAsia="Calibri"/>
          <w:snapToGrid w:val="0"/>
        </w:rPr>
        <w:t xml:space="preserve"> that are being undertaken without </w:t>
      </w:r>
      <w:r w:rsidR="002C2E34" w:rsidRPr="00617A95">
        <w:rPr>
          <w:rFonts w:eastAsia="Calibri"/>
          <w:snapToGrid w:val="0"/>
        </w:rPr>
        <w:t xml:space="preserve">appropriate authorisation or </w:t>
      </w:r>
      <w:r w:rsidR="006500D5" w:rsidRPr="00617A95">
        <w:rPr>
          <w:rFonts w:eastAsia="Calibri"/>
          <w:snapToGrid w:val="0"/>
        </w:rPr>
        <w:t>exemption</w:t>
      </w:r>
      <w:r w:rsidR="008A1C56" w:rsidRPr="00617A95">
        <w:rPr>
          <w:rStyle w:val="FootnoteReference"/>
          <w:rFonts w:eastAsia="Calibri"/>
          <w:snapToGrid w:val="0"/>
        </w:rPr>
        <w:footnoteReference w:id="1"/>
      </w:r>
    </w:p>
    <w:p w14:paraId="764B5D7F" w14:textId="11A8C225" w:rsidR="006500D5" w:rsidRPr="00617A95" w:rsidRDefault="009B55DA" w:rsidP="00116415">
      <w:pPr>
        <w:pStyle w:val="ListParagraph"/>
        <w:numPr>
          <w:ilvl w:val="0"/>
          <w:numId w:val="2"/>
        </w:numPr>
        <w:ind w:left="714" w:right="-2" w:hanging="357"/>
        <w:contextualSpacing w:val="0"/>
        <w:rPr>
          <w:rFonts w:eastAsia="Calibri"/>
        </w:rPr>
      </w:pPr>
      <w:r>
        <w:rPr>
          <w:rFonts w:eastAsia="Calibri"/>
          <w:snapToGrid w:val="0"/>
        </w:rPr>
        <w:t>a</w:t>
      </w:r>
      <w:r w:rsidR="006500D5" w:rsidRPr="00617A95">
        <w:rPr>
          <w:rFonts w:eastAsia="Calibri"/>
          <w:snapToGrid w:val="0"/>
        </w:rPr>
        <w:t>ssess and verify licence holder compliance with the</w:t>
      </w:r>
      <w:r w:rsidR="00436B46" w:rsidRPr="00617A95">
        <w:rPr>
          <w:rFonts w:eastAsia="Calibri"/>
          <w:snapToGrid w:val="0"/>
        </w:rPr>
        <w:t xml:space="preserve"> Act</w:t>
      </w:r>
      <w:r w:rsidR="006500D5" w:rsidRPr="00617A95">
        <w:rPr>
          <w:rFonts w:eastAsia="Calibri"/>
          <w:snapToGrid w:val="0"/>
        </w:rPr>
        <w:t xml:space="preserve">, </w:t>
      </w:r>
      <w:r w:rsidR="00436B46" w:rsidRPr="00617A95">
        <w:rPr>
          <w:rFonts w:eastAsia="Calibri"/>
          <w:snapToGrid w:val="0"/>
        </w:rPr>
        <w:t xml:space="preserve">the </w:t>
      </w:r>
      <w:r w:rsidR="006500D5" w:rsidRPr="00617A95">
        <w:rPr>
          <w:rFonts w:eastAsia="Calibri"/>
          <w:snapToGrid w:val="0"/>
        </w:rPr>
        <w:t xml:space="preserve">Australian Radiation Protection and Nuclear Safety Regulations </w:t>
      </w:r>
      <w:r w:rsidR="00617A95">
        <w:rPr>
          <w:rFonts w:eastAsia="Calibri"/>
          <w:snapToGrid w:val="0"/>
        </w:rPr>
        <w:t>2018</w:t>
      </w:r>
      <w:r w:rsidR="006500D5" w:rsidRPr="00617A95">
        <w:rPr>
          <w:rFonts w:eastAsia="Calibri"/>
          <w:snapToGrid w:val="0"/>
        </w:rPr>
        <w:t xml:space="preserve"> (the Regulations) and licence conditions</w:t>
      </w:r>
    </w:p>
    <w:p w14:paraId="40AE7A56" w14:textId="441E57EA" w:rsidR="00DF3AB0" w:rsidRPr="00617A95" w:rsidRDefault="009B55DA" w:rsidP="00116415">
      <w:pPr>
        <w:pStyle w:val="ListParagraph"/>
        <w:numPr>
          <w:ilvl w:val="0"/>
          <w:numId w:val="2"/>
        </w:numPr>
        <w:ind w:left="714" w:right="-2" w:hanging="357"/>
        <w:contextualSpacing w:val="0"/>
        <w:rPr>
          <w:rFonts w:eastAsia="Calibri"/>
        </w:rPr>
      </w:pPr>
      <w:r>
        <w:rPr>
          <w:rFonts w:eastAsia="Calibri"/>
          <w:snapToGrid w:val="0"/>
        </w:rPr>
        <w:t>a</w:t>
      </w:r>
      <w:r w:rsidR="006500D5" w:rsidRPr="00617A95">
        <w:rPr>
          <w:rFonts w:eastAsia="Calibri"/>
          <w:snapToGrid w:val="0"/>
        </w:rPr>
        <w:t xml:space="preserve">ppropriately respond to non-compliance, </w:t>
      </w:r>
      <w:r w:rsidR="004973EA" w:rsidRPr="00617A95">
        <w:rPr>
          <w:rFonts w:eastAsia="Calibri"/>
          <w:snapToGrid w:val="0"/>
        </w:rPr>
        <w:t>areas for improvement</w:t>
      </w:r>
      <w:r w:rsidR="006500D5" w:rsidRPr="00617A95">
        <w:rPr>
          <w:rFonts w:eastAsia="Calibri"/>
          <w:snapToGrid w:val="0"/>
        </w:rPr>
        <w:t xml:space="preserve">, abnormal occurrences, </w:t>
      </w:r>
      <w:proofErr w:type="gramStart"/>
      <w:r w:rsidR="006500D5" w:rsidRPr="00617A95">
        <w:rPr>
          <w:rFonts w:eastAsia="Calibri"/>
          <w:snapToGrid w:val="0"/>
        </w:rPr>
        <w:t>incidents</w:t>
      </w:r>
      <w:proofErr w:type="gramEnd"/>
      <w:r w:rsidR="006500D5" w:rsidRPr="00617A95">
        <w:rPr>
          <w:rFonts w:eastAsia="Calibri"/>
          <w:snapToGrid w:val="0"/>
        </w:rPr>
        <w:t xml:space="preserve"> and accidents </w:t>
      </w:r>
    </w:p>
    <w:p w14:paraId="444EB637" w14:textId="0B04BFFD" w:rsidR="00D1746F" w:rsidRDefault="00DF3AB0" w:rsidP="00116415">
      <w:pPr>
        <w:ind w:left="-284" w:right="-2"/>
        <w:rPr>
          <w:lang w:eastAsia="en-AU"/>
        </w:rPr>
      </w:pPr>
      <w:r w:rsidRPr="00617A95">
        <w:rPr>
          <w:lang w:eastAsia="en-AU"/>
        </w:rPr>
        <w:t xml:space="preserve">At no time does an </w:t>
      </w:r>
      <w:r w:rsidRPr="00617A95">
        <w:rPr>
          <w:spacing w:val="1"/>
          <w:lang w:eastAsia="en-AU"/>
        </w:rPr>
        <w:t>i</w:t>
      </w:r>
      <w:r w:rsidRPr="00617A95">
        <w:rPr>
          <w:lang w:eastAsia="en-AU"/>
        </w:rPr>
        <w:t>n</w:t>
      </w:r>
      <w:r w:rsidRPr="00617A95">
        <w:rPr>
          <w:spacing w:val="1"/>
          <w:lang w:eastAsia="en-AU"/>
        </w:rPr>
        <w:t>s</w:t>
      </w:r>
      <w:r w:rsidRPr="00617A95">
        <w:rPr>
          <w:lang w:eastAsia="en-AU"/>
        </w:rPr>
        <w:t>p</w:t>
      </w:r>
      <w:r w:rsidRPr="00617A95">
        <w:rPr>
          <w:spacing w:val="-2"/>
          <w:lang w:eastAsia="en-AU"/>
        </w:rPr>
        <w:t>e</w:t>
      </w:r>
      <w:r w:rsidRPr="00617A95">
        <w:rPr>
          <w:lang w:eastAsia="en-AU"/>
        </w:rPr>
        <w:t>c</w:t>
      </w:r>
      <w:r w:rsidRPr="00617A95">
        <w:rPr>
          <w:spacing w:val="-1"/>
          <w:lang w:eastAsia="en-AU"/>
        </w:rPr>
        <w:t>t</w:t>
      </w:r>
      <w:r w:rsidRPr="00617A95">
        <w:rPr>
          <w:spacing w:val="1"/>
          <w:lang w:eastAsia="en-AU"/>
        </w:rPr>
        <w:t>i</w:t>
      </w:r>
      <w:r w:rsidRPr="00617A95">
        <w:rPr>
          <w:lang w:eastAsia="en-AU"/>
        </w:rPr>
        <w:t>on</w:t>
      </w:r>
      <w:r w:rsidRPr="00617A95">
        <w:rPr>
          <w:spacing w:val="3"/>
          <w:lang w:eastAsia="en-AU"/>
        </w:rPr>
        <w:t xml:space="preserve"> </w:t>
      </w:r>
      <w:r w:rsidRPr="00617A95">
        <w:rPr>
          <w:lang w:eastAsia="en-AU"/>
        </w:rPr>
        <w:t>d</w:t>
      </w:r>
      <w:r w:rsidRPr="00617A95">
        <w:rPr>
          <w:spacing w:val="1"/>
          <w:lang w:eastAsia="en-AU"/>
        </w:rPr>
        <w:t>i</w:t>
      </w:r>
      <w:r w:rsidRPr="00617A95">
        <w:rPr>
          <w:spacing w:val="-4"/>
          <w:lang w:eastAsia="en-AU"/>
        </w:rPr>
        <w:t>m</w:t>
      </w:r>
      <w:r w:rsidRPr="00617A95">
        <w:rPr>
          <w:spacing w:val="1"/>
          <w:lang w:eastAsia="en-AU"/>
        </w:rPr>
        <w:t>i</w:t>
      </w:r>
      <w:r w:rsidRPr="00617A95">
        <w:rPr>
          <w:lang w:eastAsia="en-AU"/>
        </w:rPr>
        <w:t>n</w:t>
      </w:r>
      <w:r w:rsidRPr="00617A95">
        <w:rPr>
          <w:spacing w:val="1"/>
          <w:lang w:eastAsia="en-AU"/>
        </w:rPr>
        <w:t>is</w:t>
      </w:r>
      <w:r w:rsidRPr="00617A95">
        <w:rPr>
          <w:lang w:eastAsia="en-AU"/>
        </w:rPr>
        <w:t xml:space="preserve">h </w:t>
      </w:r>
      <w:r w:rsidRPr="00617A95">
        <w:rPr>
          <w:spacing w:val="1"/>
          <w:lang w:eastAsia="en-AU"/>
        </w:rPr>
        <w:t>t</w:t>
      </w:r>
      <w:r w:rsidRPr="00617A95">
        <w:rPr>
          <w:lang w:eastAsia="en-AU"/>
        </w:rPr>
        <w:t>he licence holder’s</w:t>
      </w:r>
      <w:r w:rsidRPr="00617A95">
        <w:rPr>
          <w:spacing w:val="3"/>
          <w:lang w:eastAsia="en-AU"/>
        </w:rPr>
        <w:t xml:space="preserve"> </w:t>
      </w:r>
      <w:r w:rsidRPr="00617A95">
        <w:rPr>
          <w:spacing w:val="-2"/>
          <w:lang w:eastAsia="en-AU"/>
        </w:rPr>
        <w:t>p</w:t>
      </w:r>
      <w:r w:rsidRPr="00617A95">
        <w:rPr>
          <w:spacing w:val="1"/>
          <w:lang w:eastAsia="en-AU"/>
        </w:rPr>
        <w:t>ri</w:t>
      </w:r>
      <w:r w:rsidRPr="00617A95">
        <w:rPr>
          <w:spacing w:val="-4"/>
          <w:lang w:eastAsia="en-AU"/>
        </w:rPr>
        <w:t>mary</w:t>
      </w:r>
      <w:r w:rsidRPr="00617A95">
        <w:rPr>
          <w:lang w:eastAsia="en-AU"/>
        </w:rPr>
        <w:t xml:space="preserve"> </w:t>
      </w:r>
      <w:r w:rsidRPr="00617A95">
        <w:rPr>
          <w:spacing w:val="1"/>
          <w:lang w:eastAsia="en-AU"/>
        </w:rPr>
        <w:t>r</w:t>
      </w:r>
      <w:r w:rsidRPr="00617A95">
        <w:rPr>
          <w:lang w:eastAsia="en-AU"/>
        </w:rPr>
        <w:t>e</w:t>
      </w:r>
      <w:r w:rsidRPr="00617A95">
        <w:rPr>
          <w:spacing w:val="1"/>
          <w:lang w:eastAsia="en-AU"/>
        </w:rPr>
        <w:t>s</w:t>
      </w:r>
      <w:r w:rsidRPr="00617A95">
        <w:rPr>
          <w:lang w:eastAsia="en-AU"/>
        </w:rPr>
        <w:t>p</w:t>
      </w:r>
      <w:r w:rsidRPr="00617A95">
        <w:rPr>
          <w:spacing w:val="-2"/>
          <w:lang w:eastAsia="en-AU"/>
        </w:rPr>
        <w:t>o</w:t>
      </w:r>
      <w:r w:rsidRPr="00617A95">
        <w:rPr>
          <w:lang w:eastAsia="en-AU"/>
        </w:rPr>
        <w:t>n</w:t>
      </w:r>
      <w:r w:rsidRPr="00617A95">
        <w:rPr>
          <w:spacing w:val="1"/>
          <w:lang w:eastAsia="en-AU"/>
        </w:rPr>
        <w:t>s</w:t>
      </w:r>
      <w:r w:rsidRPr="00617A95">
        <w:rPr>
          <w:spacing w:val="-1"/>
          <w:lang w:eastAsia="en-AU"/>
        </w:rPr>
        <w:t>i</w:t>
      </w:r>
      <w:r w:rsidRPr="00617A95">
        <w:rPr>
          <w:lang w:eastAsia="en-AU"/>
        </w:rPr>
        <w:t>b</w:t>
      </w:r>
      <w:r w:rsidRPr="00617A95">
        <w:rPr>
          <w:spacing w:val="-1"/>
          <w:lang w:eastAsia="en-AU"/>
        </w:rPr>
        <w:t>i</w:t>
      </w:r>
      <w:r w:rsidRPr="00617A95">
        <w:rPr>
          <w:spacing w:val="1"/>
          <w:lang w:eastAsia="en-AU"/>
        </w:rPr>
        <w:t>l</w:t>
      </w:r>
      <w:r w:rsidRPr="00617A95">
        <w:rPr>
          <w:spacing w:val="-1"/>
          <w:lang w:eastAsia="en-AU"/>
        </w:rPr>
        <w:t>i</w:t>
      </w:r>
      <w:r w:rsidRPr="00617A95">
        <w:rPr>
          <w:spacing w:val="1"/>
          <w:lang w:eastAsia="en-AU"/>
        </w:rPr>
        <w:t>t</w:t>
      </w:r>
      <w:r w:rsidRPr="00617A95">
        <w:rPr>
          <w:lang w:eastAsia="en-AU"/>
        </w:rPr>
        <w:t xml:space="preserve">y </w:t>
      </w:r>
      <w:r w:rsidRPr="00617A95">
        <w:rPr>
          <w:spacing w:val="1"/>
          <w:lang w:eastAsia="en-AU"/>
        </w:rPr>
        <w:t>f</w:t>
      </w:r>
      <w:r w:rsidRPr="00617A95">
        <w:rPr>
          <w:lang w:eastAsia="en-AU"/>
        </w:rPr>
        <w:t>or</w:t>
      </w:r>
      <w:r w:rsidRPr="00617A95">
        <w:rPr>
          <w:spacing w:val="3"/>
          <w:lang w:eastAsia="en-AU"/>
        </w:rPr>
        <w:t xml:space="preserve"> </w:t>
      </w:r>
      <w:r w:rsidRPr="00617A95">
        <w:rPr>
          <w:spacing w:val="1"/>
          <w:lang w:eastAsia="en-AU"/>
        </w:rPr>
        <w:t>s</w:t>
      </w:r>
      <w:r w:rsidRPr="00617A95">
        <w:rPr>
          <w:spacing w:val="-2"/>
          <w:lang w:eastAsia="en-AU"/>
        </w:rPr>
        <w:t>a</w:t>
      </w:r>
      <w:r w:rsidRPr="00617A95">
        <w:rPr>
          <w:spacing w:val="1"/>
          <w:lang w:eastAsia="en-AU"/>
        </w:rPr>
        <w:t>f</w:t>
      </w:r>
      <w:r w:rsidRPr="00617A95">
        <w:rPr>
          <w:spacing w:val="-2"/>
          <w:lang w:eastAsia="en-AU"/>
        </w:rPr>
        <w:t>e</w:t>
      </w:r>
      <w:r w:rsidRPr="00617A95">
        <w:rPr>
          <w:spacing w:val="1"/>
          <w:lang w:eastAsia="en-AU"/>
        </w:rPr>
        <w:t>t</w:t>
      </w:r>
      <w:r w:rsidRPr="00617A95">
        <w:rPr>
          <w:lang w:eastAsia="en-AU"/>
        </w:rPr>
        <w:t>y.</w:t>
      </w:r>
    </w:p>
    <w:p w14:paraId="0E4AFD8C" w14:textId="58879D93" w:rsidR="00351040" w:rsidRDefault="00EF1689" w:rsidP="004C0AAC">
      <w:pPr>
        <w:pStyle w:val="Heading2"/>
        <w:tabs>
          <w:tab w:val="clear" w:pos="851"/>
          <w:tab w:val="left" w:pos="1276"/>
        </w:tabs>
        <w:spacing w:before="240"/>
        <w:ind w:left="1276" w:hanging="567"/>
      </w:pPr>
      <w:r>
        <w:t xml:space="preserve">  </w:t>
      </w:r>
      <w:r w:rsidR="00351040">
        <w:t xml:space="preserve">Competence of </w:t>
      </w:r>
      <w:r w:rsidR="00B7559B">
        <w:t xml:space="preserve">regulatory </w:t>
      </w:r>
      <w:r w:rsidR="00B7559B" w:rsidRPr="00042CCA">
        <w:t>staf</w:t>
      </w:r>
      <w:r w:rsidR="00042CCA" w:rsidRPr="00042CCA">
        <w:t>f &amp; appointment of inspectors</w:t>
      </w:r>
    </w:p>
    <w:p w14:paraId="3D217582" w14:textId="1DE68AA8" w:rsidR="00351040" w:rsidRPr="0051066F" w:rsidRDefault="00351040" w:rsidP="00116415">
      <w:pPr>
        <w:ind w:left="-284"/>
        <w:rPr>
          <w:i/>
        </w:rPr>
      </w:pPr>
      <w:r>
        <w:t xml:space="preserve">The qualifications, competence </w:t>
      </w:r>
      <w:r w:rsidR="00B7559B">
        <w:t xml:space="preserve">and training </w:t>
      </w:r>
      <w:r>
        <w:t>require</w:t>
      </w:r>
      <w:r w:rsidR="00B7559B">
        <w:t>d</w:t>
      </w:r>
      <w:r>
        <w:t xml:space="preserve"> to be appointed as an inspector </w:t>
      </w:r>
      <w:r w:rsidR="00B7559B">
        <w:t xml:space="preserve">under section 62 of the Act </w:t>
      </w:r>
      <w:r>
        <w:t xml:space="preserve">are described </w:t>
      </w:r>
      <w:r w:rsidR="00D66550">
        <w:t xml:space="preserve">in </w:t>
      </w:r>
      <w:hyperlink r:id="rId16" w:history="1">
        <w:r w:rsidR="00042CCA" w:rsidRPr="00D66550">
          <w:rPr>
            <w:color w:val="0000FF"/>
            <w:u w:val="single"/>
          </w:rPr>
          <w:t xml:space="preserve">ARPANSA-GDE-1765 </w:t>
        </w:r>
        <w:r w:rsidR="00042CCA" w:rsidRPr="00D66550">
          <w:rPr>
            <w:i/>
            <w:color w:val="0000FF"/>
            <w:u w:val="single"/>
          </w:rPr>
          <w:t>I</w:t>
        </w:r>
        <w:r w:rsidR="00042CCA" w:rsidRPr="00D66550">
          <w:rPr>
            <w:rStyle w:val="Hyperlink"/>
            <w:i/>
            <w:color w:val="0000FF"/>
          </w:rPr>
          <w:t>nspector training &amp; competence manual</w:t>
        </w:r>
        <w:r w:rsidR="00D66550">
          <w:rPr>
            <w:rStyle w:val="Hyperlink"/>
            <w:i/>
            <w:color w:val="auto"/>
          </w:rPr>
          <w:t>.</w:t>
        </w:r>
        <w:r w:rsidR="00042CCA" w:rsidRPr="00D66550">
          <w:rPr>
            <w:rStyle w:val="Hyperlink"/>
            <w:color w:val="auto"/>
          </w:rPr>
          <w:t xml:space="preserve"> </w:t>
        </w:r>
      </w:hyperlink>
      <w:r w:rsidR="008F5044" w:rsidRPr="00D66550">
        <w:rPr>
          <w:i/>
        </w:rPr>
        <w:t xml:space="preserve"> </w:t>
      </w:r>
    </w:p>
    <w:p w14:paraId="2205A935" w14:textId="48E7E4E9" w:rsidR="00664CA8" w:rsidRPr="00617A95" w:rsidRDefault="00664CA8" w:rsidP="0051066F">
      <w:pPr>
        <w:rPr>
          <w:rStyle w:val="Normalbold"/>
          <w:sz w:val="20"/>
          <w:szCs w:val="20"/>
        </w:rPr>
      </w:pPr>
      <w:r w:rsidRPr="00617A95">
        <w:rPr>
          <w:rStyle w:val="Normalbold"/>
          <w:sz w:val="20"/>
          <w:szCs w:val="20"/>
        </w:rPr>
        <w:t xml:space="preserve">NOTE: ARPANSA does not </w:t>
      </w:r>
      <w:r w:rsidR="00123EB4" w:rsidRPr="00617A95">
        <w:rPr>
          <w:rStyle w:val="Normalbold"/>
          <w:sz w:val="20"/>
          <w:szCs w:val="20"/>
        </w:rPr>
        <w:t xml:space="preserve">contract </w:t>
      </w:r>
      <w:r w:rsidRPr="00617A95">
        <w:rPr>
          <w:rStyle w:val="Normalbold"/>
          <w:sz w:val="20"/>
          <w:szCs w:val="20"/>
        </w:rPr>
        <w:t xml:space="preserve">inspectors </w:t>
      </w:r>
      <w:r w:rsidR="008A4943" w:rsidRPr="00617A95">
        <w:rPr>
          <w:rStyle w:val="Normalbold"/>
          <w:sz w:val="20"/>
          <w:szCs w:val="20"/>
        </w:rPr>
        <w:t xml:space="preserve">however a </w:t>
      </w:r>
      <w:r w:rsidRPr="00617A95">
        <w:rPr>
          <w:rStyle w:val="Normalbold"/>
          <w:sz w:val="20"/>
          <w:szCs w:val="20"/>
        </w:rPr>
        <w:t>contractor</w:t>
      </w:r>
      <w:r w:rsidR="005D6201" w:rsidRPr="00617A95">
        <w:rPr>
          <w:rStyle w:val="Normalbold"/>
          <w:sz w:val="20"/>
          <w:szCs w:val="20"/>
        </w:rPr>
        <w:t>, an external regulator from another jurisdiction</w:t>
      </w:r>
      <w:r w:rsidRPr="00617A95">
        <w:rPr>
          <w:rStyle w:val="Normalbold"/>
          <w:sz w:val="20"/>
          <w:szCs w:val="20"/>
        </w:rPr>
        <w:t xml:space="preserve"> </w:t>
      </w:r>
      <w:r w:rsidR="005D6201" w:rsidRPr="00617A95">
        <w:rPr>
          <w:rStyle w:val="Normalbold"/>
          <w:sz w:val="20"/>
          <w:szCs w:val="20"/>
        </w:rPr>
        <w:t xml:space="preserve">or another suitably experienced staff member </w:t>
      </w:r>
      <w:r w:rsidR="008A4943" w:rsidRPr="00617A95">
        <w:rPr>
          <w:rStyle w:val="Normalbold"/>
          <w:sz w:val="20"/>
          <w:szCs w:val="20"/>
        </w:rPr>
        <w:t>may be involved in an inspection as a technical</w:t>
      </w:r>
      <w:r w:rsidR="006F735D" w:rsidRPr="00617A95">
        <w:rPr>
          <w:rStyle w:val="Normalbold"/>
          <w:sz w:val="20"/>
          <w:szCs w:val="20"/>
        </w:rPr>
        <w:t xml:space="preserve"> adviser</w:t>
      </w:r>
      <w:r w:rsidR="00436B46" w:rsidRPr="00617A95">
        <w:rPr>
          <w:rStyle w:val="Normalbold"/>
          <w:sz w:val="20"/>
          <w:szCs w:val="20"/>
        </w:rPr>
        <w:t xml:space="preserve"> or subject matter expert</w:t>
      </w:r>
      <w:r w:rsidR="008A4943" w:rsidRPr="00617A95">
        <w:rPr>
          <w:rStyle w:val="Normalbold"/>
          <w:sz w:val="20"/>
          <w:szCs w:val="20"/>
        </w:rPr>
        <w:t xml:space="preserve">. </w:t>
      </w:r>
    </w:p>
    <w:p w14:paraId="4E392454" w14:textId="582D0EBE" w:rsidR="002F3B32" w:rsidRPr="0041789C" w:rsidRDefault="00E91A08" w:rsidP="004C0AAC">
      <w:pPr>
        <w:pStyle w:val="Heading2"/>
        <w:tabs>
          <w:tab w:val="clear" w:pos="851"/>
          <w:tab w:val="left" w:pos="1276"/>
        </w:tabs>
        <w:spacing w:before="240"/>
        <w:ind w:left="1276" w:hanging="567"/>
      </w:pPr>
      <w:bookmarkStart w:id="4" w:name="_Toc483572270"/>
      <w:bookmarkStart w:id="5" w:name="_Toc492399339"/>
      <w:r w:rsidRPr="002B1F56">
        <w:t>R</w:t>
      </w:r>
      <w:r w:rsidR="001B1F25" w:rsidRPr="002B1F56">
        <w:t>esponsibil</w:t>
      </w:r>
      <w:r w:rsidRPr="002B1F56">
        <w:t>i</w:t>
      </w:r>
      <w:r w:rsidR="001B1F25" w:rsidRPr="002B1F56">
        <w:t>ties</w:t>
      </w:r>
      <w:r w:rsidR="001B1F25">
        <w:t xml:space="preserve"> &amp; </w:t>
      </w:r>
      <w:r w:rsidR="00EF48F0">
        <w:t>p</w:t>
      </w:r>
      <w:r w:rsidR="002F3B32" w:rsidRPr="0041789C">
        <w:t xml:space="preserve">ersonal </w:t>
      </w:r>
      <w:r w:rsidR="00EF48F0">
        <w:t>c</w:t>
      </w:r>
      <w:r w:rsidR="002F3B32" w:rsidRPr="0041789C">
        <w:t xml:space="preserve">onduct of </w:t>
      </w:r>
      <w:r w:rsidR="00EF48F0">
        <w:t>i</w:t>
      </w:r>
      <w:r w:rsidR="002F3B32" w:rsidRPr="0041789C">
        <w:t>nspectors</w:t>
      </w:r>
      <w:bookmarkEnd w:id="4"/>
      <w:bookmarkEnd w:id="5"/>
      <w:r w:rsidR="002F3B32" w:rsidRPr="0041789C">
        <w:t xml:space="preserve"> </w:t>
      </w:r>
    </w:p>
    <w:p w14:paraId="01338EB3" w14:textId="27F58C1E" w:rsidR="002F3B32" w:rsidRPr="00617A95" w:rsidRDefault="002F3B32" w:rsidP="00116415">
      <w:pPr>
        <w:ind w:left="-284"/>
      </w:pPr>
      <w:r w:rsidRPr="00617A95">
        <w:rPr>
          <w:rFonts w:eastAsia="Calibri"/>
          <w:snapToGrid w:val="0"/>
          <w:color w:val="000000"/>
          <w:lang w:val="en-US"/>
        </w:rPr>
        <w:t xml:space="preserve">Inspectors </w:t>
      </w:r>
      <w:r w:rsidR="005A13C9" w:rsidRPr="00617A95">
        <w:rPr>
          <w:rFonts w:eastAsia="Calibri"/>
          <w:snapToGrid w:val="0"/>
          <w:color w:val="000000"/>
          <w:lang w:val="en-US"/>
        </w:rPr>
        <w:t>must</w:t>
      </w:r>
      <w:r w:rsidRPr="00617A95">
        <w:rPr>
          <w:rFonts w:eastAsia="Calibri"/>
          <w:snapToGrid w:val="0"/>
          <w:color w:val="000000"/>
          <w:lang w:val="en-US"/>
        </w:rPr>
        <w:t xml:space="preserve"> behave </w:t>
      </w:r>
      <w:r w:rsidRPr="00617A95">
        <w:rPr>
          <w:rFonts w:eastAsia="Calibri"/>
          <w:snapToGrid w:val="0"/>
        </w:rPr>
        <w:t xml:space="preserve">in accordance with </w:t>
      </w:r>
      <w:r w:rsidRPr="00617A95">
        <w:rPr>
          <w:rFonts w:eastAsia="Calibri"/>
          <w:snapToGrid w:val="0"/>
          <w:color w:val="000000"/>
          <w:lang w:val="en-US"/>
        </w:rPr>
        <w:t xml:space="preserve">the </w:t>
      </w:r>
      <w:hyperlink r:id="rId17" w:history="1">
        <w:r w:rsidRPr="00617A95">
          <w:rPr>
            <w:rStyle w:val="Hyperlink"/>
            <w:rFonts w:ascii="Calibri" w:eastAsia="Calibri" w:hAnsi="Calibri" w:cs="Times New Roman"/>
            <w:snapToGrid w:val="0"/>
            <w:lang w:val="en-US"/>
          </w:rPr>
          <w:t>APS Values and APS Code of Conduct</w:t>
        </w:r>
      </w:hyperlink>
      <w:r w:rsidR="00F5630D" w:rsidRPr="00617A95">
        <w:rPr>
          <w:rFonts w:eastAsia="Calibri"/>
          <w:snapToGrid w:val="0"/>
          <w:color w:val="000000"/>
          <w:lang w:val="en-US"/>
        </w:rPr>
        <w:t xml:space="preserve"> to </w:t>
      </w:r>
      <w:r w:rsidR="00F5630D" w:rsidRPr="00617A95">
        <w:rPr>
          <w:rFonts w:eastAsia="Calibri"/>
          <w:snapToGrid w:val="0"/>
        </w:rPr>
        <w:t>uphold the reputation of ARPANSA</w:t>
      </w:r>
      <w:r w:rsidR="007F60E6" w:rsidRPr="00617A95">
        <w:rPr>
          <w:rFonts w:eastAsia="Calibri"/>
          <w:snapToGrid w:val="0"/>
          <w:color w:val="000000"/>
          <w:lang w:val="en-US"/>
        </w:rPr>
        <w:t xml:space="preserve">. </w:t>
      </w:r>
      <w:r w:rsidR="00A92106" w:rsidRPr="00617A95">
        <w:rPr>
          <w:rFonts w:eastAsia="Calibri"/>
          <w:snapToGrid w:val="0"/>
          <w:color w:val="000000"/>
          <w:lang w:val="en-US"/>
        </w:rPr>
        <w:t xml:space="preserve">Inspectors are expected to </w:t>
      </w:r>
      <w:r w:rsidR="003A01C1" w:rsidRPr="00617A95">
        <w:rPr>
          <w:rFonts w:eastAsia="Calibri"/>
          <w:snapToGrid w:val="0"/>
          <w:color w:val="000000"/>
          <w:lang w:val="en-US"/>
        </w:rPr>
        <w:t xml:space="preserve">be </w:t>
      </w:r>
      <w:r w:rsidR="00A05276" w:rsidRPr="00617A95">
        <w:rPr>
          <w:rFonts w:eastAsia="Calibri"/>
          <w:snapToGrid w:val="0"/>
          <w:color w:val="000000"/>
          <w:lang w:val="en-US"/>
        </w:rPr>
        <w:t xml:space="preserve">impartial, committed to service, accountable, respectful, and </w:t>
      </w:r>
      <w:r w:rsidR="003A01C1" w:rsidRPr="00617A95">
        <w:rPr>
          <w:rFonts w:eastAsia="Calibri"/>
          <w:snapToGrid w:val="0"/>
          <w:color w:val="000000"/>
          <w:lang w:val="en-US"/>
        </w:rPr>
        <w:t>ethical</w:t>
      </w:r>
      <w:r w:rsidR="007F60E6" w:rsidRPr="00617A95">
        <w:rPr>
          <w:rFonts w:eastAsia="Calibri"/>
          <w:snapToGrid w:val="0"/>
          <w:color w:val="000000"/>
          <w:lang w:val="en-US"/>
        </w:rPr>
        <w:t xml:space="preserve">. </w:t>
      </w:r>
      <w:r w:rsidR="002D772F" w:rsidRPr="00617A95">
        <w:rPr>
          <w:rFonts w:eastAsia="Calibri"/>
          <w:snapToGrid w:val="0"/>
          <w:color w:val="000000"/>
          <w:lang w:val="en-US"/>
        </w:rPr>
        <w:t>T</w:t>
      </w:r>
      <w:r w:rsidR="003A01C1" w:rsidRPr="00617A95">
        <w:rPr>
          <w:rFonts w:eastAsia="Calibri"/>
          <w:snapToGrid w:val="0"/>
          <w:color w:val="000000"/>
          <w:lang w:val="en-US"/>
        </w:rPr>
        <w:t>hey have a</w:t>
      </w:r>
      <w:r w:rsidR="00A05276" w:rsidRPr="00617A95">
        <w:rPr>
          <w:rFonts w:eastAsia="Calibri"/>
          <w:snapToGrid w:val="0"/>
          <w:color w:val="000000"/>
          <w:lang w:val="en-US"/>
        </w:rPr>
        <w:t xml:space="preserve"> responsibility to </w:t>
      </w:r>
      <w:r w:rsidR="005D6201" w:rsidRPr="00617A95">
        <w:rPr>
          <w:rFonts w:eastAsia="Calibri"/>
          <w:snapToGrid w:val="0"/>
          <w:color w:val="000000"/>
          <w:lang w:val="en-US"/>
        </w:rPr>
        <w:t xml:space="preserve">gather, </w:t>
      </w:r>
      <w:r w:rsidR="00A05276" w:rsidRPr="00617A95">
        <w:rPr>
          <w:rFonts w:eastAsia="Calibri"/>
          <w:snapToGrid w:val="0"/>
          <w:color w:val="000000"/>
          <w:lang w:val="en-US"/>
        </w:rPr>
        <w:t xml:space="preserve">use and protect information in accordance with the </w:t>
      </w:r>
      <w:r w:rsidR="00A05276" w:rsidRPr="00617A95">
        <w:t>Australian Government Protective Security Policy Framework</w:t>
      </w:r>
      <w:r w:rsidR="007F60E6" w:rsidRPr="00617A95">
        <w:t xml:space="preserve">. </w:t>
      </w:r>
    </w:p>
    <w:p w14:paraId="31F616E2" w14:textId="77777777" w:rsidR="002F3B32" w:rsidRPr="00617A95" w:rsidRDefault="002F3B32" w:rsidP="00116415">
      <w:pPr>
        <w:ind w:left="-284"/>
      </w:pPr>
      <w:r w:rsidRPr="00617A95">
        <w:lastRenderedPageBreak/>
        <w:t xml:space="preserve">Inspectors are required to perform inspections in a professional manner </w:t>
      </w:r>
      <w:r w:rsidR="002B6CDE" w:rsidRPr="00617A95">
        <w:t>and comply with</w:t>
      </w:r>
      <w:r w:rsidRPr="00617A95">
        <w:t xml:space="preserve"> the licence holder’s arrangements </w:t>
      </w:r>
      <w:r w:rsidR="002B6CDE" w:rsidRPr="00617A95">
        <w:t xml:space="preserve">(where safe to do so) </w:t>
      </w:r>
      <w:r w:rsidRPr="00617A95">
        <w:t>regarding:</w:t>
      </w:r>
    </w:p>
    <w:p w14:paraId="48D8BC3C" w14:textId="77777777" w:rsidR="002F3B32" w:rsidRPr="00617A95" w:rsidRDefault="002F3B32" w:rsidP="003E65EA">
      <w:pPr>
        <w:pStyle w:val="ListParagraph"/>
        <w:numPr>
          <w:ilvl w:val="0"/>
          <w:numId w:val="3"/>
        </w:numPr>
        <w:ind w:left="709" w:hanging="283"/>
      </w:pPr>
      <w:r w:rsidRPr="00617A95">
        <w:t>site, building or room entry</w:t>
      </w:r>
    </w:p>
    <w:p w14:paraId="3DBA30DC" w14:textId="6305A98B" w:rsidR="002F3B32" w:rsidRPr="00617A95" w:rsidRDefault="005D6201" w:rsidP="003E65EA">
      <w:pPr>
        <w:pStyle w:val="ListParagraph"/>
        <w:numPr>
          <w:ilvl w:val="0"/>
          <w:numId w:val="3"/>
        </w:numPr>
        <w:ind w:left="709" w:hanging="283"/>
      </w:pPr>
      <w:r w:rsidRPr="00617A95">
        <w:t xml:space="preserve">adherence to </w:t>
      </w:r>
      <w:r w:rsidR="002F3B32" w:rsidRPr="00617A95">
        <w:t>security</w:t>
      </w:r>
      <w:r w:rsidRPr="00617A95">
        <w:t xml:space="preserve"> protocols</w:t>
      </w:r>
    </w:p>
    <w:p w14:paraId="2AF14F06" w14:textId="77777777" w:rsidR="002F3B32" w:rsidRPr="00617A95" w:rsidRDefault="002F3B32" w:rsidP="003E65EA">
      <w:pPr>
        <w:pStyle w:val="ListParagraph"/>
        <w:numPr>
          <w:ilvl w:val="0"/>
          <w:numId w:val="3"/>
        </w:numPr>
        <w:ind w:left="709" w:hanging="283"/>
      </w:pPr>
      <w:r w:rsidRPr="00617A95">
        <w:t xml:space="preserve">fire and emergency </w:t>
      </w:r>
      <w:r w:rsidR="00F5630D" w:rsidRPr="00617A95">
        <w:t>arrangements</w:t>
      </w:r>
    </w:p>
    <w:p w14:paraId="067170A0" w14:textId="39986C22" w:rsidR="002F3B32" w:rsidRPr="00617A95" w:rsidRDefault="002F3B32" w:rsidP="003E65EA">
      <w:pPr>
        <w:pStyle w:val="ListParagraph"/>
        <w:numPr>
          <w:ilvl w:val="0"/>
          <w:numId w:val="3"/>
        </w:numPr>
        <w:ind w:left="709" w:hanging="283"/>
      </w:pPr>
      <w:r w:rsidRPr="00617A95">
        <w:t>workplace health and safety</w:t>
      </w:r>
      <w:r w:rsidR="00F5630D" w:rsidRPr="00617A95">
        <w:t>, including</w:t>
      </w:r>
      <w:r w:rsidR="005D6201" w:rsidRPr="00617A95">
        <w:t xml:space="preserve"> but not limited to,</w:t>
      </w:r>
      <w:r w:rsidR="00F5630D" w:rsidRPr="00617A95">
        <w:t xml:space="preserve"> </w:t>
      </w:r>
      <w:r w:rsidRPr="00617A95">
        <w:t xml:space="preserve">hazardous substances, dangerous </w:t>
      </w:r>
      <w:proofErr w:type="gramStart"/>
      <w:r w:rsidRPr="00617A95">
        <w:t>goods</w:t>
      </w:r>
      <w:proofErr w:type="gramEnd"/>
      <w:r w:rsidRPr="00617A95">
        <w:t xml:space="preserve"> or biohazards</w:t>
      </w:r>
    </w:p>
    <w:p w14:paraId="48FA5CA0" w14:textId="7B93E447" w:rsidR="002F3B32" w:rsidRPr="00617A95" w:rsidRDefault="00617A95" w:rsidP="003E65EA">
      <w:pPr>
        <w:pStyle w:val="ListParagraph"/>
        <w:numPr>
          <w:ilvl w:val="0"/>
          <w:numId w:val="3"/>
        </w:numPr>
        <w:ind w:left="709" w:hanging="283"/>
        <w:rPr>
          <w:rStyle w:val="Hyperlink"/>
          <w:color w:val="auto"/>
          <w:u w:val="none"/>
        </w:rPr>
      </w:pPr>
      <w:r>
        <w:t>ASNO safeguards</w:t>
      </w:r>
      <w:r w:rsidR="002F3B32" w:rsidRPr="00617A95">
        <w:t xml:space="preserve"> noting section 82 of the</w:t>
      </w:r>
      <w:r>
        <w:t xml:space="preserve"> Act</w:t>
      </w:r>
      <w:r w:rsidR="002F3B32" w:rsidRPr="00617A95">
        <w:t xml:space="preserve"> </w:t>
      </w:r>
    </w:p>
    <w:p w14:paraId="37D55C36" w14:textId="000C225A" w:rsidR="004B18F6" w:rsidRPr="00617A95" w:rsidRDefault="00377859" w:rsidP="00116415">
      <w:pPr>
        <w:ind w:left="-284"/>
      </w:pPr>
      <w:r w:rsidRPr="00617A95">
        <w:t>I</w:t>
      </w:r>
      <w:r w:rsidR="004B18F6" w:rsidRPr="00617A95">
        <w:t xml:space="preserve">nspectors are </w:t>
      </w:r>
      <w:r w:rsidR="00F81519" w:rsidRPr="00617A95">
        <w:t>required</w:t>
      </w:r>
      <w:r w:rsidR="004B18F6" w:rsidRPr="00617A95">
        <w:t xml:space="preserve"> to </w:t>
      </w:r>
      <w:r w:rsidRPr="00617A95">
        <w:t xml:space="preserve">make an annual </w:t>
      </w:r>
      <w:r w:rsidR="004B18F6" w:rsidRPr="00617A95">
        <w:t>declar</w:t>
      </w:r>
      <w:r w:rsidRPr="00617A95">
        <w:t>ation of</w:t>
      </w:r>
      <w:r w:rsidR="004B18F6" w:rsidRPr="00617A95">
        <w:t xml:space="preserve"> conflict of interest </w:t>
      </w:r>
      <w:r w:rsidRPr="00617A95">
        <w:t>i</w:t>
      </w:r>
      <w:r w:rsidR="00D124DA" w:rsidRPr="00617A95">
        <w:t>n</w:t>
      </w:r>
      <w:r w:rsidR="00AE517B" w:rsidRPr="00617A95">
        <w:t xml:space="preserve"> </w:t>
      </w:r>
      <w:r w:rsidRPr="00617A95">
        <w:t>accordance with</w:t>
      </w:r>
      <w:r w:rsidR="00E74A4D" w:rsidRPr="00617A95">
        <w:t xml:space="preserve"> the ARPANSA</w:t>
      </w:r>
      <w:r w:rsidRPr="00617A95">
        <w:t xml:space="preserve"> </w:t>
      </w:r>
      <w:r w:rsidR="00D124DA" w:rsidRPr="00617A95">
        <w:rPr>
          <w:i/>
        </w:rPr>
        <w:t>Accountable Authority Instruction</w:t>
      </w:r>
      <w:r w:rsidR="00D124DA" w:rsidRPr="00617A95">
        <w:t xml:space="preserve"> (AIMS-AAI-COI-1)</w:t>
      </w:r>
      <w:r w:rsidR="00F81519" w:rsidRPr="00617A95">
        <w:t>. Guidance on conflict of interest is</w:t>
      </w:r>
      <w:r w:rsidR="00D124DA" w:rsidRPr="00617A95">
        <w:t xml:space="preserve"> available at:</w:t>
      </w:r>
      <w:r w:rsidR="00617A95">
        <w:t xml:space="preserve"> </w:t>
      </w:r>
      <w:hyperlink r:id="rId18" w:history="1">
        <w:r w:rsidR="00D124DA" w:rsidRPr="00617A95">
          <w:rPr>
            <w:rStyle w:val="Hyperlink"/>
          </w:rPr>
          <w:t>http://isaac.arpansa.local/Governance/Accountable_Authority_Instructions/Pages/Conflicts-Of-Interest.aspx</w:t>
        </w:r>
      </w:hyperlink>
      <w:r w:rsidR="00D124DA" w:rsidRPr="00617A95">
        <w:t xml:space="preserve"> </w:t>
      </w:r>
    </w:p>
    <w:p w14:paraId="0A78BFA2" w14:textId="6279D3BF" w:rsidR="007F4D16" w:rsidRDefault="00E91A08" w:rsidP="004C0AAC">
      <w:pPr>
        <w:pStyle w:val="Heading2"/>
        <w:tabs>
          <w:tab w:val="clear" w:pos="851"/>
          <w:tab w:val="left" w:pos="1276"/>
        </w:tabs>
        <w:spacing w:before="240"/>
        <w:ind w:left="1276" w:hanging="567"/>
      </w:pPr>
      <w:bookmarkStart w:id="6" w:name="_Toc483572271"/>
      <w:bookmarkStart w:id="7" w:name="_Toc492399340"/>
      <w:r w:rsidRPr="002B1F56">
        <w:t>A</w:t>
      </w:r>
      <w:r w:rsidR="007F4D16" w:rsidRPr="002B1F56">
        <w:t>ssignment</w:t>
      </w:r>
      <w:r w:rsidR="007F4D16">
        <w:t xml:space="preserve"> </w:t>
      </w:r>
      <w:r>
        <w:t>of inspectors</w:t>
      </w:r>
      <w:bookmarkEnd w:id="6"/>
      <w:bookmarkEnd w:id="7"/>
    </w:p>
    <w:p w14:paraId="555C4ECA" w14:textId="68AD92B5" w:rsidR="007F4D16" w:rsidRPr="00617A95" w:rsidRDefault="007F4D16" w:rsidP="00116415">
      <w:pPr>
        <w:ind w:left="-284"/>
        <w:rPr>
          <w:rStyle w:val="Normalbold"/>
        </w:rPr>
      </w:pPr>
      <w:r w:rsidRPr="00617A95">
        <w:rPr>
          <w:rStyle w:val="Normalbold"/>
        </w:rPr>
        <w:t>A lead inspector is assigned for each licence</w:t>
      </w:r>
      <w:r w:rsidR="00BF05DB" w:rsidRPr="00617A95">
        <w:rPr>
          <w:rStyle w:val="Normalbold"/>
        </w:rPr>
        <w:t xml:space="preserve"> </w:t>
      </w:r>
      <w:r w:rsidRPr="00617A95">
        <w:rPr>
          <w:rStyle w:val="Normalbold"/>
        </w:rPr>
        <w:t xml:space="preserve">based on experience and competence and </w:t>
      </w:r>
      <w:proofErr w:type="gramStart"/>
      <w:r w:rsidRPr="00617A95">
        <w:rPr>
          <w:rStyle w:val="Normalbold"/>
        </w:rPr>
        <w:t>taking into account</w:t>
      </w:r>
      <w:proofErr w:type="gramEnd"/>
      <w:r w:rsidRPr="00617A95">
        <w:rPr>
          <w:rStyle w:val="Normalbold"/>
        </w:rPr>
        <w:t xml:space="preserve"> any declared conflict of interest</w:t>
      </w:r>
      <w:r w:rsidR="007F60E6" w:rsidRPr="00617A95">
        <w:rPr>
          <w:rStyle w:val="Normalbold"/>
        </w:rPr>
        <w:t xml:space="preserve">. </w:t>
      </w:r>
    </w:p>
    <w:p w14:paraId="51478A47" w14:textId="650ECB54" w:rsidR="007F4D16" w:rsidRPr="00617A95" w:rsidRDefault="007F4D16" w:rsidP="00116415">
      <w:pPr>
        <w:ind w:left="-284"/>
        <w:rPr>
          <w:rStyle w:val="Normalbold"/>
          <w:rFonts w:ascii="Calibri" w:hAnsi="Calibri" w:cstheme="majorBidi"/>
          <w:b/>
          <w:bCs/>
          <w:snapToGrid w:val="0"/>
          <w:color w:val="4E1A74"/>
        </w:rPr>
      </w:pPr>
      <w:r w:rsidRPr="00617A95">
        <w:rPr>
          <w:rStyle w:val="Normalbold"/>
        </w:rPr>
        <w:t xml:space="preserve">Lead inspectors </w:t>
      </w:r>
      <w:r w:rsidR="000A24FE">
        <w:rPr>
          <w:rStyle w:val="Normalbold"/>
        </w:rPr>
        <w:t>are</w:t>
      </w:r>
      <w:r w:rsidR="00E75724" w:rsidRPr="00617A95">
        <w:rPr>
          <w:rStyle w:val="Normalbold"/>
        </w:rPr>
        <w:t xml:space="preserve"> </w:t>
      </w:r>
      <w:r w:rsidRPr="00617A95">
        <w:rPr>
          <w:rStyle w:val="Normalbold"/>
        </w:rPr>
        <w:t xml:space="preserve">rotated </w:t>
      </w:r>
      <w:r w:rsidR="00561B76" w:rsidRPr="00617A95">
        <w:rPr>
          <w:rStyle w:val="Normalbold"/>
        </w:rPr>
        <w:t>periodically</w:t>
      </w:r>
      <w:r w:rsidRPr="00617A95">
        <w:rPr>
          <w:rStyle w:val="Normalbold"/>
        </w:rPr>
        <w:t xml:space="preserve"> to:</w:t>
      </w:r>
    </w:p>
    <w:p w14:paraId="4090990A" w14:textId="77777777" w:rsidR="007F4D16" w:rsidRPr="00617A95" w:rsidRDefault="007F4D16" w:rsidP="003E65EA">
      <w:pPr>
        <w:pStyle w:val="ListParagraph"/>
        <w:numPr>
          <w:ilvl w:val="0"/>
          <w:numId w:val="15"/>
        </w:numPr>
        <w:rPr>
          <w:rStyle w:val="Normalbold"/>
        </w:rPr>
      </w:pPr>
      <w:r w:rsidRPr="00617A95">
        <w:rPr>
          <w:rStyle w:val="Normalbold"/>
        </w:rPr>
        <w:t>improve organisational resilience</w:t>
      </w:r>
    </w:p>
    <w:p w14:paraId="064BE6E8" w14:textId="77777777" w:rsidR="007F4D16" w:rsidRPr="00617A95" w:rsidRDefault="007F4D16" w:rsidP="003E65EA">
      <w:pPr>
        <w:pStyle w:val="ListParagraph"/>
        <w:numPr>
          <w:ilvl w:val="0"/>
          <w:numId w:val="15"/>
        </w:numPr>
        <w:rPr>
          <w:rStyle w:val="Normalbold"/>
        </w:rPr>
      </w:pPr>
      <w:r w:rsidRPr="00617A95">
        <w:rPr>
          <w:rStyle w:val="Normalbold"/>
        </w:rPr>
        <w:t>contribute to succession planning</w:t>
      </w:r>
    </w:p>
    <w:p w14:paraId="28E616B1" w14:textId="77777777" w:rsidR="007F4D16" w:rsidRPr="00617A95" w:rsidRDefault="007F4D16" w:rsidP="003E65EA">
      <w:pPr>
        <w:pStyle w:val="ListParagraph"/>
        <w:numPr>
          <w:ilvl w:val="0"/>
          <w:numId w:val="15"/>
        </w:numPr>
        <w:rPr>
          <w:rStyle w:val="Normalbold"/>
        </w:rPr>
      </w:pPr>
      <w:r w:rsidRPr="00617A95">
        <w:rPr>
          <w:rStyle w:val="Normalbold"/>
        </w:rPr>
        <w:t xml:space="preserve">improve teamwork and cooperation </w:t>
      </w:r>
    </w:p>
    <w:p w14:paraId="1E0157EC" w14:textId="77777777" w:rsidR="007F4D16" w:rsidRPr="00617A95" w:rsidRDefault="007F4D16" w:rsidP="003E65EA">
      <w:pPr>
        <w:pStyle w:val="ListParagraph"/>
        <w:numPr>
          <w:ilvl w:val="0"/>
          <w:numId w:val="15"/>
        </w:numPr>
        <w:rPr>
          <w:rStyle w:val="Normalbold"/>
        </w:rPr>
      </w:pPr>
      <w:r w:rsidRPr="00617A95">
        <w:rPr>
          <w:rStyle w:val="Normalbold"/>
        </w:rPr>
        <w:t>avoid regulatory capture</w:t>
      </w:r>
    </w:p>
    <w:p w14:paraId="3496C77C" w14:textId="77777777" w:rsidR="007F4D16" w:rsidRPr="00617A95" w:rsidRDefault="007F4D16" w:rsidP="003E65EA">
      <w:pPr>
        <w:pStyle w:val="ListParagraph"/>
        <w:numPr>
          <w:ilvl w:val="0"/>
          <w:numId w:val="15"/>
        </w:numPr>
        <w:rPr>
          <w:rStyle w:val="Normalbold"/>
        </w:rPr>
      </w:pPr>
      <w:r w:rsidRPr="00617A95">
        <w:rPr>
          <w:rStyle w:val="Normalbold"/>
        </w:rPr>
        <w:t>enhance inspector experience and engagement</w:t>
      </w:r>
    </w:p>
    <w:p w14:paraId="24BAD7D9" w14:textId="54D0643E" w:rsidR="00291059" w:rsidRPr="00291059" w:rsidRDefault="00E91A08" w:rsidP="004C0AAC">
      <w:pPr>
        <w:pStyle w:val="Heading2"/>
        <w:tabs>
          <w:tab w:val="clear" w:pos="851"/>
          <w:tab w:val="left" w:pos="1276"/>
        </w:tabs>
        <w:spacing w:before="240"/>
        <w:ind w:left="1276" w:hanging="567"/>
      </w:pPr>
      <w:bookmarkStart w:id="8" w:name="_Toc483572273"/>
      <w:bookmarkStart w:id="9" w:name="_Toc492399342"/>
      <w:r>
        <w:t>Graded approach</w:t>
      </w:r>
      <w:r w:rsidR="00283D6F">
        <w:t xml:space="preserve"> to inspection</w:t>
      </w:r>
      <w:bookmarkEnd w:id="8"/>
      <w:bookmarkEnd w:id="9"/>
    </w:p>
    <w:p w14:paraId="330562A6" w14:textId="1BA00BFB" w:rsidR="00846738" w:rsidRPr="00617A95" w:rsidRDefault="00F26FFD" w:rsidP="00116415">
      <w:pPr>
        <w:ind w:left="-284"/>
        <w:rPr>
          <w:rStyle w:val="Normalbold"/>
        </w:rPr>
      </w:pPr>
      <w:r w:rsidRPr="00617A95">
        <w:rPr>
          <w:rStyle w:val="Normalbold"/>
        </w:rPr>
        <w:t>Fundamental differences exist between facilities and sources including the complexity of operations</w:t>
      </w:r>
      <w:r w:rsidR="00961A41" w:rsidRPr="00617A95">
        <w:rPr>
          <w:rStyle w:val="Normalbold"/>
        </w:rPr>
        <w:t xml:space="preserve">, the </w:t>
      </w:r>
      <w:proofErr w:type="gramStart"/>
      <w:r w:rsidR="00961A41" w:rsidRPr="00617A95">
        <w:rPr>
          <w:rStyle w:val="Normalbold"/>
        </w:rPr>
        <w:t>life-cycle</w:t>
      </w:r>
      <w:proofErr w:type="gramEnd"/>
      <w:r w:rsidR="00961A41" w:rsidRPr="00617A95">
        <w:rPr>
          <w:rStyle w:val="Normalbold"/>
        </w:rPr>
        <w:t xml:space="preserve"> of </w:t>
      </w:r>
      <w:r w:rsidR="000A24FE">
        <w:rPr>
          <w:rStyle w:val="Normalbold"/>
        </w:rPr>
        <w:t xml:space="preserve">facilities, </w:t>
      </w:r>
      <w:r w:rsidR="00961A41" w:rsidRPr="00617A95">
        <w:rPr>
          <w:rStyle w:val="Normalbold"/>
        </w:rPr>
        <w:t>controlled material and apparatus</w:t>
      </w:r>
      <w:r w:rsidRPr="00617A95">
        <w:rPr>
          <w:rStyle w:val="Normalbold"/>
        </w:rPr>
        <w:t xml:space="preserve"> and </w:t>
      </w:r>
      <w:r w:rsidR="00961A41" w:rsidRPr="00617A95">
        <w:rPr>
          <w:rStyle w:val="Normalbold"/>
        </w:rPr>
        <w:t xml:space="preserve">their </w:t>
      </w:r>
      <w:r w:rsidRPr="00617A95">
        <w:rPr>
          <w:rStyle w:val="Normalbold"/>
        </w:rPr>
        <w:t>inherent hazards</w:t>
      </w:r>
      <w:r w:rsidR="007F60E6" w:rsidRPr="00617A95">
        <w:rPr>
          <w:rStyle w:val="Normalbold"/>
        </w:rPr>
        <w:t xml:space="preserve">. </w:t>
      </w:r>
      <w:r w:rsidR="00846738" w:rsidRPr="00617A95">
        <w:rPr>
          <w:rStyle w:val="Normalbold"/>
        </w:rPr>
        <w:t xml:space="preserve">A graded approach </w:t>
      </w:r>
      <w:r w:rsidR="00957C68" w:rsidRPr="00617A95">
        <w:rPr>
          <w:rStyle w:val="Normalbold"/>
        </w:rPr>
        <w:t>informed by</w:t>
      </w:r>
      <w:r w:rsidR="00846738" w:rsidRPr="00617A95">
        <w:rPr>
          <w:rStyle w:val="Normalbold"/>
        </w:rPr>
        <w:t xml:space="preserve"> risk is</w:t>
      </w:r>
      <w:r w:rsidR="00764ED0" w:rsidRPr="00617A95">
        <w:rPr>
          <w:rStyle w:val="Normalbold"/>
        </w:rPr>
        <w:t xml:space="preserve"> </w:t>
      </w:r>
      <w:r w:rsidR="00846738" w:rsidRPr="00617A95">
        <w:rPr>
          <w:rStyle w:val="Normalbold"/>
        </w:rPr>
        <w:t xml:space="preserve">applied </w:t>
      </w:r>
      <w:r w:rsidR="00291059" w:rsidRPr="00617A95">
        <w:rPr>
          <w:rStyle w:val="Normalbold"/>
        </w:rPr>
        <w:t xml:space="preserve">to the scope </w:t>
      </w:r>
      <w:r w:rsidRPr="00617A95">
        <w:rPr>
          <w:rStyle w:val="Normalbold"/>
        </w:rPr>
        <w:t xml:space="preserve">and frequency </w:t>
      </w:r>
      <w:r w:rsidR="00291059" w:rsidRPr="00617A95">
        <w:rPr>
          <w:rStyle w:val="Normalbold"/>
        </w:rPr>
        <w:t>of inspection</w:t>
      </w:r>
      <w:r w:rsidRPr="00617A95">
        <w:rPr>
          <w:rStyle w:val="Normalbold"/>
        </w:rPr>
        <w:t>s</w:t>
      </w:r>
      <w:r w:rsidR="007F60E6" w:rsidRPr="00617A95">
        <w:rPr>
          <w:rStyle w:val="Normalbold"/>
        </w:rPr>
        <w:t xml:space="preserve">. </w:t>
      </w:r>
    </w:p>
    <w:p w14:paraId="261DA1B0" w14:textId="50789E6B" w:rsidR="00046899" w:rsidRDefault="00206508" w:rsidP="00116415">
      <w:pPr>
        <w:ind w:left="-284"/>
        <w:rPr>
          <w:rStyle w:val="Normalbold"/>
        </w:rPr>
      </w:pPr>
      <w:r w:rsidRPr="00617A95">
        <w:rPr>
          <w:rStyle w:val="Normalbold"/>
        </w:rPr>
        <w:t xml:space="preserve">Inspection frequency is </w:t>
      </w:r>
      <w:r w:rsidR="00961A41" w:rsidRPr="00617A95">
        <w:rPr>
          <w:rStyle w:val="Normalbold"/>
        </w:rPr>
        <w:t xml:space="preserve">normally </w:t>
      </w:r>
      <w:r w:rsidR="00DD0C71" w:rsidRPr="00617A95">
        <w:rPr>
          <w:rStyle w:val="Normalbold"/>
        </w:rPr>
        <w:t xml:space="preserve">based on regulatory priority (RP). Facilities are assigned </w:t>
      </w:r>
      <w:r w:rsidRPr="00617A95">
        <w:rPr>
          <w:rStyle w:val="Normalbold"/>
        </w:rPr>
        <w:t xml:space="preserve">a </w:t>
      </w:r>
      <w:r w:rsidR="00DD0C71" w:rsidRPr="00617A95">
        <w:rPr>
          <w:rStyle w:val="Normalbold"/>
        </w:rPr>
        <w:t xml:space="preserve">RP using the methodology described </w:t>
      </w:r>
      <w:r w:rsidR="00DC0734" w:rsidRPr="00617A95">
        <w:rPr>
          <w:rStyle w:val="Normalbold"/>
        </w:rPr>
        <w:t>in paragraph 1.6</w:t>
      </w:r>
      <w:r w:rsidR="000E3455" w:rsidRPr="00617A95">
        <w:rPr>
          <w:rStyle w:val="Normalbold"/>
        </w:rPr>
        <w:t xml:space="preserve">. </w:t>
      </w:r>
      <w:r w:rsidR="00DD0C71" w:rsidRPr="00617A95">
        <w:rPr>
          <w:rStyle w:val="Normalbold"/>
        </w:rPr>
        <w:t>S</w:t>
      </w:r>
      <w:r w:rsidR="00F26FFD" w:rsidRPr="00617A95">
        <w:rPr>
          <w:rStyle w:val="Normalbold"/>
        </w:rPr>
        <w:t xml:space="preserve">ources </w:t>
      </w:r>
      <w:r w:rsidR="00DD0C71" w:rsidRPr="00617A95">
        <w:rPr>
          <w:rStyle w:val="Normalbold"/>
        </w:rPr>
        <w:t xml:space="preserve">are assigned </w:t>
      </w:r>
      <w:r w:rsidRPr="00617A95">
        <w:rPr>
          <w:rStyle w:val="Normalbold"/>
        </w:rPr>
        <w:t xml:space="preserve">a </w:t>
      </w:r>
      <w:r w:rsidR="00DD0C71" w:rsidRPr="00617A95">
        <w:rPr>
          <w:rStyle w:val="Normalbold"/>
        </w:rPr>
        <w:t xml:space="preserve">RP based on </w:t>
      </w:r>
      <w:r w:rsidRPr="00617A95">
        <w:rPr>
          <w:rStyle w:val="Normalbold"/>
        </w:rPr>
        <w:t xml:space="preserve">inherent hazard </w:t>
      </w:r>
      <w:r w:rsidR="007A3C5E" w:rsidRPr="00617A95">
        <w:rPr>
          <w:rStyle w:val="Normalbold"/>
        </w:rPr>
        <w:t xml:space="preserve">and </w:t>
      </w:r>
      <w:r w:rsidRPr="00617A95">
        <w:rPr>
          <w:rStyle w:val="Normalbold"/>
        </w:rPr>
        <w:t xml:space="preserve">aligned with Groups 1 - 3 in </w:t>
      </w:r>
      <w:r w:rsidR="007F3566">
        <w:rPr>
          <w:rStyle w:val="Normalbold"/>
        </w:rPr>
        <w:t>section 4</w:t>
      </w:r>
      <w:r w:rsidRPr="00617A95">
        <w:rPr>
          <w:rStyle w:val="Normalbold"/>
        </w:rPr>
        <w:t xml:space="preserve"> of the Regulations</w:t>
      </w:r>
      <w:r w:rsidR="007F60E6" w:rsidRPr="00617A95">
        <w:rPr>
          <w:rStyle w:val="Normalbold"/>
        </w:rPr>
        <w:t xml:space="preserve">. </w:t>
      </w:r>
      <w:bookmarkStart w:id="10" w:name="_Toc492399347"/>
    </w:p>
    <w:p w14:paraId="524C1B7D" w14:textId="14409059" w:rsidR="000E3455" w:rsidRPr="005F3B31" w:rsidRDefault="005F3B31" w:rsidP="004C0AAC">
      <w:pPr>
        <w:pStyle w:val="Heading2"/>
        <w:tabs>
          <w:tab w:val="clear" w:pos="851"/>
          <w:tab w:val="left" w:pos="1276"/>
        </w:tabs>
        <w:spacing w:before="240"/>
        <w:ind w:left="1276" w:hanging="567"/>
        <w:rPr>
          <w:color w:val="4E1A74" w:themeColor="accent2"/>
        </w:rPr>
      </w:pPr>
      <w:r>
        <w:rPr>
          <w:color w:val="4E1A74" w:themeColor="accent2"/>
        </w:rPr>
        <w:t>Regulatory priority of facilities</w:t>
      </w:r>
      <w:r w:rsidR="000E3455" w:rsidRPr="005F3B31">
        <w:rPr>
          <w:color w:val="4E1A74" w:themeColor="accent2"/>
        </w:rPr>
        <w:t xml:space="preserve"> </w:t>
      </w:r>
    </w:p>
    <w:p w14:paraId="4674BF13" w14:textId="0646F3F6" w:rsidR="005F3B31" w:rsidRPr="00306F1E" w:rsidRDefault="005F3B31" w:rsidP="00122B75">
      <w:pPr>
        <w:pStyle w:val="Heading3"/>
        <w:numPr>
          <w:ilvl w:val="1"/>
          <w:numId w:val="61"/>
        </w:numPr>
        <w:tabs>
          <w:tab w:val="clear" w:pos="851"/>
          <w:tab w:val="left" w:pos="567"/>
        </w:tabs>
        <w:ind w:hanging="786"/>
        <w:rPr>
          <w:rStyle w:val="Normalbold"/>
          <w:color w:val="4E1A74" w:themeColor="accent2"/>
          <w:sz w:val="24"/>
          <w:szCs w:val="24"/>
        </w:rPr>
      </w:pPr>
      <w:r w:rsidRPr="00306F1E">
        <w:rPr>
          <w:rStyle w:val="Normalbold"/>
          <w:color w:val="4E1A74" w:themeColor="accent2"/>
          <w:sz w:val="24"/>
          <w:szCs w:val="24"/>
        </w:rPr>
        <w:t>Establishing PRF risk (includ</w:t>
      </w:r>
      <w:r w:rsidR="006F5BB1">
        <w:rPr>
          <w:rStyle w:val="Normalbold"/>
          <w:color w:val="4E1A74" w:themeColor="accent2"/>
          <w:sz w:val="24"/>
          <w:szCs w:val="24"/>
        </w:rPr>
        <w:t>es</w:t>
      </w:r>
      <w:r w:rsidRPr="00306F1E">
        <w:rPr>
          <w:rStyle w:val="Normalbold"/>
          <w:color w:val="4E1A74" w:themeColor="accent2"/>
          <w:sz w:val="24"/>
          <w:szCs w:val="24"/>
        </w:rPr>
        <w:t xml:space="preserve"> legacy sites)</w:t>
      </w:r>
    </w:p>
    <w:p w14:paraId="057183D0" w14:textId="257D27A1" w:rsidR="005F3B31" w:rsidRDefault="005F3B31" w:rsidP="00116415">
      <w:pPr>
        <w:ind w:left="-284"/>
      </w:pPr>
      <w:r>
        <w:t xml:space="preserve">Two groups of PRFs are distinguished based on their complexity and potential hazard: </w:t>
      </w:r>
    </w:p>
    <w:p w14:paraId="10F9461F" w14:textId="4ED6D0AA" w:rsidR="005F3B31" w:rsidRDefault="005F3B31" w:rsidP="00FE18C8">
      <w:pPr>
        <w:tabs>
          <w:tab w:val="left" w:pos="426"/>
          <w:tab w:val="left" w:pos="1560"/>
        </w:tabs>
        <w:ind w:left="426"/>
      </w:pPr>
      <w:r w:rsidRPr="005F3B31">
        <w:rPr>
          <w:b/>
        </w:rPr>
        <w:t>Group 1</w:t>
      </w:r>
      <w:r>
        <w:t xml:space="preserve">:  includes low hazard facilities with a relatively low level of complexity such as waste stores, </w:t>
      </w:r>
      <w:proofErr w:type="spellStart"/>
      <w:r>
        <w:t>linacs</w:t>
      </w:r>
      <w:proofErr w:type="spellEnd"/>
      <w:r>
        <w:t xml:space="preserve">, general irradiators and accelerators. </w:t>
      </w:r>
    </w:p>
    <w:p w14:paraId="07D314B2" w14:textId="636B5B76" w:rsidR="005F3B31" w:rsidRDefault="005F3B31" w:rsidP="00FE18C8">
      <w:pPr>
        <w:tabs>
          <w:tab w:val="left" w:pos="426"/>
        </w:tabs>
        <w:ind w:left="426"/>
      </w:pPr>
      <w:r w:rsidRPr="005F3B31">
        <w:rPr>
          <w:b/>
        </w:rPr>
        <w:t>Group 2</w:t>
      </w:r>
      <w:r>
        <w:t>: includes facilities with a higher hazard level and complexity such as waste repositories, synchrotron</w:t>
      </w:r>
      <w:r w:rsidR="00FE18C8">
        <w:t>s</w:t>
      </w:r>
      <w:r>
        <w:t>, pharmaceutical production</w:t>
      </w:r>
      <w:r w:rsidR="00F43CD5">
        <w:t xml:space="preserve"> / research</w:t>
      </w:r>
      <w:r>
        <w:t xml:space="preserve"> facilities and waste research facilities, waste processing facilities and pool-type irradiators.</w:t>
      </w:r>
    </w:p>
    <w:p w14:paraId="268D5008" w14:textId="47E65DF5" w:rsidR="00F07E66" w:rsidRDefault="005F3B31" w:rsidP="00B07B6E">
      <w:pPr>
        <w:ind w:left="-284"/>
        <w:rPr>
          <w:color w:val="7030A0"/>
          <w:sz w:val="20"/>
          <w:szCs w:val="20"/>
        </w:rPr>
      </w:pPr>
      <w:r>
        <w:t xml:space="preserve">The resultant numbers presented in the matrix in Table </w:t>
      </w:r>
      <w:r w:rsidR="00CF5F04">
        <w:t>1</w:t>
      </w:r>
      <w:r>
        <w:t xml:space="preserve"> are indicators of the risk level </w:t>
      </w:r>
      <w:r w:rsidR="00F345D3">
        <w:t>(the higher the risk</w:t>
      </w:r>
      <w:r w:rsidR="00BB5F24">
        <w:t>,</w:t>
      </w:r>
      <w:r w:rsidR="00F345D3">
        <w:t xml:space="preserve"> the higher the number). </w:t>
      </w:r>
      <w:r>
        <w:t>Note non-linearity of the risk level as it best matches the range of</w:t>
      </w:r>
      <w:r w:rsidR="000E2214">
        <w:t xml:space="preserve"> </w:t>
      </w:r>
      <w:r>
        <w:t xml:space="preserve">PRFs. </w:t>
      </w:r>
      <w:bookmarkStart w:id="11" w:name="_Ref56684334"/>
      <w:r w:rsidR="00F07E66">
        <w:rPr>
          <w:color w:val="7030A0"/>
          <w:sz w:val="20"/>
          <w:szCs w:val="20"/>
        </w:rPr>
        <w:br w:type="page"/>
      </w:r>
    </w:p>
    <w:p w14:paraId="38861A96" w14:textId="5EA978D4" w:rsidR="005F3B31" w:rsidRPr="00CF5F04" w:rsidRDefault="005F3B31" w:rsidP="0004274B">
      <w:pPr>
        <w:spacing w:before="200"/>
        <w:jc w:val="center"/>
        <w:rPr>
          <w:i/>
          <w:color w:val="7030A0"/>
          <w:sz w:val="20"/>
          <w:szCs w:val="20"/>
        </w:rPr>
      </w:pPr>
      <w:r w:rsidRPr="00CF5F04">
        <w:rPr>
          <w:color w:val="7030A0"/>
          <w:sz w:val="20"/>
          <w:szCs w:val="20"/>
        </w:rPr>
        <w:lastRenderedPageBreak/>
        <w:t xml:space="preserve">TABLE </w:t>
      </w:r>
      <w:r w:rsidR="00CF5F04">
        <w:rPr>
          <w:color w:val="7030A0"/>
          <w:sz w:val="20"/>
          <w:szCs w:val="20"/>
        </w:rPr>
        <w:t>1</w:t>
      </w:r>
      <w:r w:rsidRPr="00CF5F04">
        <w:rPr>
          <w:color w:val="7030A0"/>
          <w:sz w:val="20"/>
          <w:szCs w:val="20"/>
        </w:rPr>
        <w:t>:</w:t>
      </w:r>
      <w:bookmarkEnd w:id="11"/>
      <w:r w:rsidRPr="00CF5F04">
        <w:rPr>
          <w:color w:val="7030A0"/>
          <w:sz w:val="20"/>
          <w:szCs w:val="20"/>
        </w:rPr>
        <w:t xml:space="preserve"> PRF RISK GROUPING</w:t>
      </w:r>
    </w:p>
    <w:tbl>
      <w:tblPr>
        <w:tblStyle w:val="TableGrid"/>
        <w:tblW w:w="9216" w:type="dxa"/>
        <w:jc w:val="center"/>
        <w:tblLook w:val="04A0" w:firstRow="1" w:lastRow="0" w:firstColumn="1" w:lastColumn="0" w:noHBand="0" w:noVBand="1"/>
      </w:tblPr>
      <w:tblGrid>
        <w:gridCol w:w="2830"/>
        <w:gridCol w:w="1275"/>
        <w:gridCol w:w="1277"/>
        <w:gridCol w:w="1276"/>
        <w:gridCol w:w="1275"/>
        <w:gridCol w:w="1283"/>
      </w:tblGrid>
      <w:tr w:rsidR="005F3B31" w14:paraId="69AE05A3" w14:textId="77777777" w:rsidTr="00340649">
        <w:trPr>
          <w:jc w:val="center"/>
        </w:trPr>
        <w:tc>
          <w:tcPr>
            <w:tcW w:w="2830" w:type="dxa"/>
            <w:vMerge w:val="restart"/>
            <w:vAlign w:val="center"/>
          </w:tcPr>
          <w:p w14:paraId="0BB6B57A" w14:textId="77777777" w:rsidR="005F3B31" w:rsidRPr="005F3B31" w:rsidRDefault="005F3B31" w:rsidP="005F3B31">
            <w:pPr>
              <w:jc w:val="center"/>
              <w:rPr>
                <w:b/>
                <w:sz w:val="18"/>
                <w:szCs w:val="18"/>
              </w:rPr>
            </w:pPr>
            <w:r w:rsidRPr="005F3B31">
              <w:rPr>
                <w:b/>
                <w:sz w:val="18"/>
                <w:szCs w:val="18"/>
              </w:rPr>
              <w:t xml:space="preserve">PRF </w:t>
            </w:r>
            <w:r w:rsidRPr="005F3B31">
              <w:rPr>
                <w:b/>
                <w:sz w:val="18"/>
                <w:szCs w:val="18"/>
              </w:rPr>
              <w:br/>
              <w:t>(type, complexity, potential hazard)</w:t>
            </w:r>
          </w:p>
        </w:tc>
        <w:tc>
          <w:tcPr>
            <w:tcW w:w="6386" w:type="dxa"/>
            <w:gridSpan w:val="5"/>
          </w:tcPr>
          <w:p w14:paraId="7B5CB9A5" w14:textId="77777777" w:rsidR="005F3B31" w:rsidRPr="005F3B31" w:rsidRDefault="005F3B31" w:rsidP="005F3B31">
            <w:pPr>
              <w:jc w:val="center"/>
              <w:rPr>
                <w:b/>
                <w:sz w:val="18"/>
                <w:szCs w:val="18"/>
              </w:rPr>
            </w:pPr>
            <w:r w:rsidRPr="005F3B31">
              <w:rPr>
                <w:b/>
                <w:sz w:val="18"/>
                <w:szCs w:val="18"/>
              </w:rPr>
              <w:t>Level of Control</w:t>
            </w:r>
          </w:p>
        </w:tc>
      </w:tr>
      <w:tr w:rsidR="005F3B31" w14:paraId="46C79AA7" w14:textId="77777777" w:rsidTr="00340649">
        <w:trPr>
          <w:jc w:val="center"/>
        </w:trPr>
        <w:tc>
          <w:tcPr>
            <w:tcW w:w="2830" w:type="dxa"/>
            <w:vMerge/>
          </w:tcPr>
          <w:p w14:paraId="541B2311" w14:textId="77777777" w:rsidR="005F3B31" w:rsidRPr="005F3B31" w:rsidRDefault="005F3B31" w:rsidP="005F3B31">
            <w:pPr>
              <w:rPr>
                <w:b/>
                <w:sz w:val="18"/>
                <w:szCs w:val="18"/>
              </w:rPr>
            </w:pPr>
          </w:p>
        </w:tc>
        <w:tc>
          <w:tcPr>
            <w:tcW w:w="1275" w:type="dxa"/>
            <w:tcBorders>
              <w:bottom w:val="single" w:sz="4" w:space="0" w:color="auto"/>
            </w:tcBorders>
          </w:tcPr>
          <w:p w14:paraId="301D2FC0" w14:textId="77777777" w:rsidR="005F3B31" w:rsidRPr="005F3B31" w:rsidRDefault="005F3B31" w:rsidP="005F3B31">
            <w:pPr>
              <w:jc w:val="center"/>
              <w:rPr>
                <w:b/>
                <w:sz w:val="18"/>
                <w:szCs w:val="18"/>
              </w:rPr>
            </w:pPr>
            <w:r w:rsidRPr="005F3B31">
              <w:rPr>
                <w:b/>
                <w:sz w:val="18"/>
                <w:szCs w:val="18"/>
              </w:rPr>
              <w:t>Very High</w:t>
            </w:r>
          </w:p>
          <w:p w14:paraId="6ABD93CB" w14:textId="77777777" w:rsidR="005F3B31" w:rsidRPr="005F3B31" w:rsidRDefault="005F3B31" w:rsidP="005F3B31">
            <w:pPr>
              <w:jc w:val="center"/>
              <w:rPr>
                <w:b/>
                <w:sz w:val="18"/>
                <w:szCs w:val="18"/>
              </w:rPr>
            </w:pPr>
            <w:r w:rsidRPr="005F3B31">
              <w:rPr>
                <w:b/>
                <w:sz w:val="18"/>
                <w:szCs w:val="18"/>
              </w:rPr>
              <w:t>1</w:t>
            </w:r>
          </w:p>
        </w:tc>
        <w:tc>
          <w:tcPr>
            <w:tcW w:w="1277" w:type="dxa"/>
            <w:tcBorders>
              <w:bottom w:val="single" w:sz="4" w:space="0" w:color="auto"/>
            </w:tcBorders>
          </w:tcPr>
          <w:p w14:paraId="05DBB1AF" w14:textId="77777777" w:rsidR="005F3B31" w:rsidRPr="005F3B31" w:rsidRDefault="005F3B31" w:rsidP="005F3B31">
            <w:pPr>
              <w:jc w:val="center"/>
              <w:rPr>
                <w:b/>
                <w:sz w:val="18"/>
                <w:szCs w:val="18"/>
              </w:rPr>
            </w:pPr>
            <w:r w:rsidRPr="005F3B31">
              <w:rPr>
                <w:b/>
                <w:sz w:val="18"/>
                <w:szCs w:val="18"/>
              </w:rPr>
              <w:t>High</w:t>
            </w:r>
          </w:p>
          <w:p w14:paraId="583C3F5E" w14:textId="77777777" w:rsidR="005F3B31" w:rsidRPr="005F3B31" w:rsidRDefault="005F3B31" w:rsidP="005F3B31">
            <w:pPr>
              <w:jc w:val="center"/>
              <w:rPr>
                <w:b/>
                <w:sz w:val="18"/>
                <w:szCs w:val="18"/>
              </w:rPr>
            </w:pPr>
            <w:r w:rsidRPr="005F3B31">
              <w:rPr>
                <w:b/>
                <w:sz w:val="18"/>
                <w:szCs w:val="18"/>
              </w:rPr>
              <w:t>2</w:t>
            </w:r>
          </w:p>
        </w:tc>
        <w:tc>
          <w:tcPr>
            <w:tcW w:w="1276" w:type="dxa"/>
            <w:tcBorders>
              <w:bottom w:val="single" w:sz="4" w:space="0" w:color="auto"/>
            </w:tcBorders>
          </w:tcPr>
          <w:p w14:paraId="1A57ED37" w14:textId="77777777" w:rsidR="005F3B31" w:rsidRPr="005F3B31" w:rsidRDefault="005F3B31" w:rsidP="005F3B31">
            <w:pPr>
              <w:jc w:val="center"/>
              <w:rPr>
                <w:b/>
                <w:sz w:val="18"/>
                <w:szCs w:val="18"/>
              </w:rPr>
            </w:pPr>
            <w:r w:rsidRPr="005F3B31">
              <w:rPr>
                <w:b/>
                <w:sz w:val="18"/>
                <w:szCs w:val="18"/>
              </w:rPr>
              <w:t>Medium</w:t>
            </w:r>
          </w:p>
          <w:p w14:paraId="3A341852" w14:textId="77777777" w:rsidR="005F3B31" w:rsidRPr="005F3B31" w:rsidRDefault="005F3B31" w:rsidP="005F3B31">
            <w:pPr>
              <w:jc w:val="center"/>
              <w:rPr>
                <w:b/>
                <w:sz w:val="18"/>
                <w:szCs w:val="18"/>
              </w:rPr>
            </w:pPr>
            <w:r w:rsidRPr="005F3B31">
              <w:rPr>
                <w:b/>
                <w:sz w:val="18"/>
                <w:szCs w:val="18"/>
              </w:rPr>
              <w:t>3</w:t>
            </w:r>
          </w:p>
        </w:tc>
        <w:tc>
          <w:tcPr>
            <w:tcW w:w="1275" w:type="dxa"/>
            <w:tcBorders>
              <w:bottom w:val="single" w:sz="4" w:space="0" w:color="auto"/>
            </w:tcBorders>
          </w:tcPr>
          <w:p w14:paraId="7B95C43F" w14:textId="31F9B6E4" w:rsidR="005F3B31" w:rsidRPr="005F3B31" w:rsidRDefault="00675F79" w:rsidP="005F3B31">
            <w:pPr>
              <w:jc w:val="center"/>
              <w:rPr>
                <w:b/>
                <w:sz w:val="18"/>
                <w:szCs w:val="18"/>
              </w:rPr>
            </w:pPr>
            <w:r>
              <w:rPr>
                <w:b/>
                <w:sz w:val="18"/>
                <w:szCs w:val="18"/>
              </w:rPr>
              <w:t>Lower</w:t>
            </w:r>
          </w:p>
          <w:p w14:paraId="3B96A983" w14:textId="77777777" w:rsidR="005F3B31" w:rsidRPr="005F3B31" w:rsidRDefault="005F3B31" w:rsidP="005F3B31">
            <w:pPr>
              <w:jc w:val="center"/>
              <w:rPr>
                <w:b/>
                <w:sz w:val="18"/>
                <w:szCs w:val="18"/>
              </w:rPr>
            </w:pPr>
            <w:r w:rsidRPr="005F3B31">
              <w:rPr>
                <w:b/>
                <w:sz w:val="18"/>
                <w:szCs w:val="18"/>
              </w:rPr>
              <w:t>4</w:t>
            </w:r>
          </w:p>
        </w:tc>
        <w:tc>
          <w:tcPr>
            <w:tcW w:w="1279" w:type="dxa"/>
            <w:tcBorders>
              <w:bottom w:val="single" w:sz="4" w:space="0" w:color="auto"/>
            </w:tcBorders>
          </w:tcPr>
          <w:p w14:paraId="1DF1CD8D" w14:textId="53EA1508" w:rsidR="005F3B31" w:rsidRPr="005F3B31" w:rsidRDefault="005F3B31" w:rsidP="005F3B31">
            <w:pPr>
              <w:jc w:val="center"/>
              <w:rPr>
                <w:b/>
                <w:sz w:val="18"/>
                <w:szCs w:val="18"/>
              </w:rPr>
            </w:pPr>
            <w:r w:rsidRPr="005F3B31">
              <w:rPr>
                <w:b/>
                <w:sz w:val="18"/>
                <w:szCs w:val="18"/>
              </w:rPr>
              <w:t>Limited</w:t>
            </w:r>
          </w:p>
          <w:p w14:paraId="60674E39" w14:textId="77777777" w:rsidR="005F3B31" w:rsidRPr="005F3B31" w:rsidRDefault="005F3B31" w:rsidP="005F3B31">
            <w:pPr>
              <w:jc w:val="center"/>
              <w:rPr>
                <w:b/>
                <w:sz w:val="18"/>
                <w:szCs w:val="18"/>
              </w:rPr>
            </w:pPr>
            <w:r w:rsidRPr="005F3B31">
              <w:rPr>
                <w:b/>
                <w:sz w:val="18"/>
                <w:szCs w:val="18"/>
              </w:rPr>
              <w:t>5</w:t>
            </w:r>
          </w:p>
        </w:tc>
      </w:tr>
      <w:tr w:rsidR="005F3B31" w14:paraId="36DFDE7B" w14:textId="77777777" w:rsidTr="00340649">
        <w:trPr>
          <w:trHeight w:val="1036"/>
          <w:jc w:val="center"/>
        </w:trPr>
        <w:tc>
          <w:tcPr>
            <w:tcW w:w="2830" w:type="dxa"/>
          </w:tcPr>
          <w:p w14:paraId="7284C983" w14:textId="02A82A46" w:rsidR="005F3B31" w:rsidRPr="005F3B31" w:rsidRDefault="005F3B31" w:rsidP="00122B75">
            <w:pPr>
              <w:pStyle w:val="ListParagraph"/>
              <w:numPr>
                <w:ilvl w:val="0"/>
                <w:numId w:val="54"/>
              </w:numPr>
              <w:spacing w:before="60" w:after="60"/>
              <w:ind w:left="164" w:hanging="164"/>
              <w:rPr>
                <w:sz w:val="18"/>
                <w:szCs w:val="18"/>
              </w:rPr>
            </w:pPr>
            <w:r w:rsidRPr="005F3B31">
              <w:rPr>
                <w:sz w:val="18"/>
                <w:szCs w:val="18"/>
              </w:rPr>
              <w:t>Low risk PRF</w:t>
            </w:r>
            <w:r w:rsidR="00340649">
              <w:rPr>
                <w:sz w:val="18"/>
                <w:szCs w:val="18"/>
              </w:rPr>
              <w:t xml:space="preserve"> - </w:t>
            </w:r>
            <w:r w:rsidRPr="005F3B31">
              <w:rPr>
                <w:sz w:val="18"/>
                <w:szCs w:val="18"/>
              </w:rPr>
              <w:t xml:space="preserve">waste store, </w:t>
            </w:r>
            <w:proofErr w:type="spellStart"/>
            <w:r w:rsidRPr="005F3B31">
              <w:rPr>
                <w:sz w:val="18"/>
                <w:szCs w:val="18"/>
              </w:rPr>
              <w:t>linac</w:t>
            </w:r>
            <w:proofErr w:type="spellEnd"/>
            <w:r w:rsidRPr="005F3B31">
              <w:rPr>
                <w:sz w:val="18"/>
                <w:szCs w:val="18"/>
              </w:rPr>
              <w:t>, general irradiator, accelerator</w:t>
            </w:r>
          </w:p>
        </w:tc>
        <w:tc>
          <w:tcPr>
            <w:tcW w:w="1275" w:type="dxa"/>
            <w:tcBorders>
              <w:bottom w:val="single" w:sz="4" w:space="0" w:color="000000" w:themeColor="text1"/>
            </w:tcBorders>
            <w:shd w:val="clear" w:color="auto" w:fill="0070C0"/>
            <w:vAlign w:val="center"/>
          </w:tcPr>
          <w:p w14:paraId="6B33A66A" w14:textId="77777777" w:rsidR="005F3B31" w:rsidRPr="005F3B31" w:rsidRDefault="005F3B31" w:rsidP="005F3B31">
            <w:pPr>
              <w:jc w:val="center"/>
              <w:rPr>
                <w:sz w:val="18"/>
                <w:szCs w:val="18"/>
              </w:rPr>
            </w:pPr>
            <w:r w:rsidRPr="005F3B31">
              <w:rPr>
                <w:sz w:val="18"/>
                <w:szCs w:val="18"/>
              </w:rPr>
              <w:t>1</w:t>
            </w:r>
          </w:p>
        </w:tc>
        <w:tc>
          <w:tcPr>
            <w:tcW w:w="1277" w:type="dxa"/>
            <w:tcBorders>
              <w:bottom w:val="single" w:sz="4" w:space="0" w:color="000000" w:themeColor="text1"/>
            </w:tcBorders>
            <w:shd w:val="clear" w:color="auto" w:fill="0070C0"/>
            <w:vAlign w:val="center"/>
          </w:tcPr>
          <w:p w14:paraId="37842C37" w14:textId="77777777" w:rsidR="005F3B31" w:rsidRPr="005F3B31" w:rsidRDefault="005F3B31" w:rsidP="005F3B31">
            <w:pPr>
              <w:jc w:val="center"/>
              <w:rPr>
                <w:sz w:val="18"/>
                <w:szCs w:val="18"/>
              </w:rPr>
            </w:pPr>
            <w:r w:rsidRPr="005F3B31">
              <w:rPr>
                <w:sz w:val="18"/>
                <w:szCs w:val="18"/>
              </w:rPr>
              <w:t>2</w:t>
            </w:r>
          </w:p>
        </w:tc>
        <w:tc>
          <w:tcPr>
            <w:tcW w:w="1276" w:type="dxa"/>
            <w:tcBorders>
              <w:bottom w:val="single" w:sz="4" w:space="0" w:color="000000" w:themeColor="text1"/>
            </w:tcBorders>
            <w:shd w:val="clear" w:color="auto" w:fill="8EAADB"/>
            <w:vAlign w:val="center"/>
          </w:tcPr>
          <w:p w14:paraId="64A10F9F" w14:textId="77777777" w:rsidR="005F3B31" w:rsidRPr="005F3B31" w:rsidRDefault="005F3B31" w:rsidP="005F3B31">
            <w:pPr>
              <w:jc w:val="center"/>
              <w:rPr>
                <w:sz w:val="18"/>
                <w:szCs w:val="18"/>
              </w:rPr>
            </w:pPr>
            <w:r w:rsidRPr="005F3B31">
              <w:rPr>
                <w:sz w:val="18"/>
                <w:szCs w:val="18"/>
              </w:rPr>
              <w:t>3</w:t>
            </w:r>
          </w:p>
        </w:tc>
        <w:tc>
          <w:tcPr>
            <w:tcW w:w="1275" w:type="dxa"/>
            <w:tcBorders>
              <w:bottom w:val="single" w:sz="4" w:space="0" w:color="000000" w:themeColor="text1"/>
            </w:tcBorders>
            <w:shd w:val="clear" w:color="auto" w:fill="DBDBDB"/>
            <w:vAlign w:val="center"/>
          </w:tcPr>
          <w:p w14:paraId="11E13835" w14:textId="77777777" w:rsidR="005F3B31" w:rsidRPr="005F3B31" w:rsidRDefault="005F3B31" w:rsidP="005F3B31">
            <w:pPr>
              <w:jc w:val="center"/>
              <w:rPr>
                <w:sz w:val="18"/>
                <w:szCs w:val="18"/>
              </w:rPr>
            </w:pPr>
            <w:r w:rsidRPr="005F3B31">
              <w:rPr>
                <w:sz w:val="18"/>
                <w:szCs w:val="18"/>
              </w:rPr>
              <w:t>5</w:t>
            </w:r>
          </w:p>
        </w:tc>
        <w:tc>
          <w:tcPr>
            <w:tcW w:w="1279" w:type="dxa"/>
            <w:tcBorders>
              <w:bottom w:val="single" w:sz="4" w:space="0" w:color="000000" w:themeColor="text1"/>
            </w:tcBorders>
            <w:shd w:val="clear" w:color="auto" w:fill="DBDBDB"/>
            <w:vAlign w:val="center"/>
          </w:tcPr>
          <w:p w14:paraId="0835FCE2" w14:textId="77777777" w:rsidR="005F3B31" w:rsidRPr="005F3B31" w:rsidRDefault="005F3B31" w:rsidP="005F3B31">
            <w:pPr>
              <w:jc w:val="center"/>
              <w:rPr>
                <w:sz w:val="18"/>
                <w:szCs w:val="18"/>
              </w:rPr>
            </w:pPr>
            <w:r w:rsidRPr="005F3B31">
              <w:rPr>
                <w:sz w:val="18"/>
                <w:szCs w:val="18"/>
              </w:rPr>
              <w:t>6</w:t>
            </w:r>
          </w:p>
        </w:tc>
      </w:tr>
      <w:tr w:rsidR="005F3B31" w14:paraId="076876C1" w14:textId="77777777" w:rsidTr="00340649">
        <w:trPr>
          <w:jc w:val="center"/>
        </w:trPr>
        <w:tc>
          <w:tcPr>
            <w:tcW w:w="2830" w:type="dxa"/>
            <w:tcBorders>
              <w:bottom w:val="single" w:sz="4" w:space="0" w:color="auto"/>
              <w:right w:val="single" w:sz="4" w:space="0" w:color="000000" w:themeColor="text1"/>
            </w:tcBorders>
          </w:tcPr>
          <w:p w14:paraId="4566E3A8" w14:textId="3333C9E2" w:rsidR="005F3B31" w:rsidRPr="005F3B31" w:rsidRDefault="005F3B31" w:rsidP="00122B75">
            <w:pPr>
              <w:pStyle w:val="ListParagraph"/>
              <w:numPr>
                <w:ilvl w:val="0"/>
                <w:numId w:val="54"/>
              </w:numPr>
              <w:spacing w:before="60" w:after="60"/>
              <w:ind w:left="164" w:hanging="164"/>
              <w:rPr>
                <w:sz w:val="18"/>
                <w:szCs w:val="18"/>
              </w:rPr>
            </w:pPr>
            <w:r w:rsidRPr="005F3B31">
              <w:rPr>
                <w:sz w:val="18"/>
                <w:szCs w:val="18"/>
              </w:rPr>
              <w:t xml:space="preserve">Medium risk PRF </w:t>
            </w:r>
            <w:r w:rsidR="00340649">
              <w:rPr>
                <w:sz w:val="18"/>
                <w:szCs w:val="18"/>
              </w:rPr>
              <w:t xml:space="preserve">- </w:t>
            </w:r>
            <w:r w:rsidRPr="005F3B31">
              <w:rPr>
                <w:sz w:val="18"/>
                <w:szCs w:val="18"/>
              </w:rPr>
              <w:t>waste repositor</w:t>
            </w:r>
            <w:r w:rsidR="00340649">
              <w:rPr>
                <w:sz w:val="18"/>
                <w:szCs w:val="18"/>
              </w:rPr>
              <w:t>y</w:t>
            </w:r>
            <w:r w:rsidRPr="005F3B31">
              <w:rPr>
                <w:sz w:val="18"/>
                <w:szCs w:val="18"/>
              </w:rPr>
              <w:t>, synchrotron, pharmaceutical and waste research, waste processing, pool-type irradiator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17388F1B" w14:textId="77777777" w:rsidR="005F3B31" w:rsidRPr="005F3B31" w:rsidRDefault="005F3B31" w:rsidP="005F3B31">
            <w:pPr>
              <w:jc w:val="center"/>
              <w:rPr>
                <w:sz w:val="18"/>
                <w:szCs w:val="18"/>
              </w:rPr>
            </w:pPr>
            <w:r w:rsidRPr="005F3B31">
              <w:rPr>
                <w:sz w:val="18"/>
                <w:szCs w:val="18"/>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vAlign w:val="center"/>
          </w:tcPr>
          <w:p w14:paraId="6FD6C7F0" w14:textId="77777777" w:rsidR="005F3B31" w:rsidRPr="005F3B31" w:rsidRDefault="005F3B31" w:rsidP="005F3B31">
            <w:pPr>
              <w:jc w:val="center"/>
              <w:rPr>
                <w:sz w:val="18"/>
                <w:szCs w:val="18"/>
              </w:rPr>
            </w:pPr>
            <w:r w:rsidRPr="005F3B31">
              <w:rPr>
                <w:sz w:val="18"/>
                <w:szCs w:val="1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vAlign w:val="center"/>
          </w:tcPr>
          <w:p w14:paraId="1DC126D2" w14:textId="77777777" w:rsidR="005F3B31" w:rsidRPr="005F3B31" w:rsidRDefault="005F3B31" w:rsidP="005F3B31">
            <w:pPr>
              <w:jc w:val="center"/>
              <w:rPr>
                <w:sz w:val="18"/>
                <w:szCs w:val="18"/>
              </w:rPr>
            </w:pPr>
            <w:r w:rsidRPr="005F3B31">
              <w:rPr>
                <w:sz w:val="18"/>
                <w:szCs w:val="1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vAlign w:val="center"/>
          </w:tcPr>
          <w:p w14:paraId="15FAF7AB" w14:textId="77777777" w:rsidR="005F3B31" w:rsidRPr="005F3B31" w:rsidRDefault="005F3B31" w:rsidP="005F3B31">
            <w:pPr>
              <w:jc w:val="center"/>
              <w:rPr>
                <w:sz w:val="18"/>
                <w:szCs w:val="18"/>
              </w:rPr>
            </w:pPr>
            <w:r w:rsidRPr="005F3B31">
              <w:rPr>
                <w:sz w:val="18"/>
                <w:szCs w:val="18"/>
              </w:rPr>
              <w:t>8</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7FC297F" w14:textId="77777777" w:rsidR="005F3B31" w:rsidRPr="005F3B31" w:rsidRDefault="005F3B31" w:rsidP="005F3B31">
            <w:pPr>
              <w:jc w:val="center"/>
              <w:rPr>
                <w:sz w:val="18"/>
                <w:szCs w:val="18"/>
              </w:rPr>
            </w:pPr>
            <w:r w:rsidRPr="005F3B31">
              <w:rPr>
                <w:sz w:val="18"/>
                <w:szCs w:val="18"/>
              </w:rPr>
              <w:t>10</w:t>
            </w:r>
          </w:p>
        </w:tc>
      </w:tr>
    </w:tbl>
    <w:p w14:paraId="38D3A810" w14:textId="0D4E9DD9" w:rsidR="005F3B31" w:rsidRPr="00CF5F04" w:rsidRDefault="005F3B31" w:rsidP="0004274B">
      <w:pPr>
        <w:spacing w:before="480"/>
        <w:jc w:val="center"/>
        <w:rPr>
          <w:i/>
          <w:color w:val="7030A0"/>
          <w:sz w:val="20"/>
          <w:szCs w:val="20"/>
        </w:rPr>
      </w:pPr>
      <w:bookmarkStart w:id="12" w:name="_Ref56684387"/>
      <w:r w:rsidRPr="00CF5F04">
        <w:rPr>
          <w:color w:val="7030A0"/>
          <w:sz w:val="20"/>
          <w:szCs w:val="20"/>
        </w:rPr>
        <w:t xml:space="preserve">TABLE </w:t>
      </w:r>
      <w:bookmarkEnd w:id="12"/>
      <w:r w:rsidR="00CF5F04">
        <w:rPr>
          <w:color w:val="7030A0"/>
          <w:sz w:val="20"/>
          <w:szCs w:val="20"/>
        </w:rPr>
        <w:t>2</w:t>
      </w:r>
      <w:r w:rsidRPr="00CF5F04">
        <w:rPr>
          <w:color w:val="7030A0"/>
          <w:sz w:val="20"/>
          <w:szCs w:val="20"/>
        </w:rPr>
        <w:t>: INSPECTION SCHEDUL</w:t>
      </w:r>
      <w:r w:rsidR="00FE18C8" w:rsidRPr="00CF5F04">
        <w:rPr>
          <w:color w:val="7030A0"/>
          <w:sz w:val="20"/>
          <w:szCs w:val="20"/>
        </w:rPr>
        <w:t>ING</w:t>
      </w:r>
      <w:r w:rsidRPr="00CF5F04">
        <w:rPr>
          <w:color w:val="7030A0"/>
          <w:sz w:val="20"/>
          <w:szCs w:val="20"/>
        </w:rPr>
        <w:t xml:space="preserve"> BASED ON REGULATORY PRIORITY</w:t>
      </w:r>
    </w:p>
    <w:tbl>
      <w:tblPr>
        <w:tblStyle w:val="TableGrid"/>
        <w:tblW w:w="9640" w:type="dxa"/>
        <w:tblInd w:w="-147" w:type="dxa"/>
        <w:tblLook w:val="04A0" w:firstRow="1" w:lastRow="0" w:firstColumn="1" w:lastColumn="0" w:noHBand="0" w:noVBand="1"/>
      </w:tblPr>
      <w:tblGrid>
        <w:gridCol w:w="1560"/>
        <w:gridCol w:w="1701"/>
        <w:gridCol w:w="1559"/>
        <w:gridCol w:w="1559"/>
        <w:gridCol w:w="1560"/>
        <w:gridCol w:w="1701"/>
      </w:tblGrid>
      <w:tr w:rsidR="005F3B31" w:rsidRPr="00B035BC" w14:paraId="271560DA" w14:textId="77777777" w:rsidTr="001E0013">
        <w:tc>
          <w:tcPr>
            <w:tcW w:w="1560" w:type="dxa"/>
            <w:vMerge w:val="restart"/>
            <w:vAlign w:val="center"/>
          </w:tcPr>
          <w:p w14:paraId="2AE33CA4" w14:textId="77777777" w:rsidR="005F3B31" w:rsidRPr="005F3B31" w:rsidRDefault="005F3B31" w:rsidP="005F3B31">
            <w:pPr>
              <w:jc w:val="center"/>
              <w:rPr>
                <w:b/>
                <w:sz w:val="18"/>
                <w:szCs w:val="18"/>
              </w:rPr>
            </w:pPr>
            <w:r w:rsidRPr="005F3B31">
              <w:rPr>
                <w:b/>
                <w:sz w:val="18"/>
                <w:szCs w:val="18"/>
              </w:rPr>
              <w:t>Reg priority</w:t>
            </w:r>
          </w:p>
        </w:tc>
        <w:tc>
          <w:tcPr>
            <w:tcW w:w="1701" w:type="dxa"/>
            <w:vMerge w:val="restart"/>
            <w:vAlign w:val="center"/>
          </w:tcPr>
          <w:p w14:paraId="6A9A1659" w14:textId="77777777" w:rsidR="005F3B31" w:rsidRPr="005F3B31" w:rsidRDefault="005F3B31" w:rsidP="005F3B31">
            <w:pPr>
              <w:jc w:val="center"/>
              <w:rPr>
                <w:b/>
                <w:sz w:val="18"/>
                <w:szCs w:val="18"/>
              </w:rPr>
            </w:pPr>
            <w:r w:rsidRPr="005F3B31">
              <w:rPr>
                <w:b/>
                <w:sz w:val="18"/>
                <w:szCs w:val="18"/>
              </w:rPr>
              <w:t>Risk level indicator</w:t>
            </w:r>
          </w:p>
        </w:tc>
        <w:tc>
          <w:tcPr>
            <w:tcW w:w="1559" w:type="dxa"/>
            <w:vMerge w:val="restart"/>
            <w:vAlign w:val="center"/>
          </w:tcPr>
          <w:p w14:paraId="34584C12" w14:textId="77777777" w:rsidR="005F3B31" w:rsidRPr="005F3B31" w:rsidRDefault="005F3B31" w:rsidP="005F3B31">
            <w:pPr>
              <w:jc w:val="center"/>
              <w:rPr>
                <w:b/>
                <w:sz w:val="18"/>
                <w:szCs w:val="18"/>
              </w:rPr>
            </w:pPr>
            <w:r w:rsidRPr="005F3B31">
              <w:rPr>
                <w:b/>
                <w:sz w:val="18"/>
                <w:szCs w:val="18"/>
              </w:rPr>
              <w:t>POC module cycle length</w:t>
            </w:r>
          </w:p>
          <w:p w14:paraId="3A6B0C0E" w14:textId="77777777" w:rsidR="005F3B31" w:rsidRPr="005F3B31" w:rsidRDefault="005F3B31" w:rsidP="005F3B31">
            <w:pPr>
              <w:jc w:val="center"/>
              <w:rPr>
                <w:b/>
                <w:sz w:val="18"/>
                <w:szCs w:val="18"/>
              </w:rPr>
            </w:pPr>
            <w:r w:rsidRPr="005F3B31">
              <w:rPr>
                <w:b/>
                <w:sz w:val="18"/>
                <w:szCs w:val="18"/>
              </w:rPr>
              <w:t>(years)</w:t>
            </w:r>
          </w:p>
        </w:tc>
        <w:tc>
          <w:tcPr>
            <w:tcW w:w="3119" w:type="dxa"/>
            <w:gridSpan w:val="2"/>
          </w:tcPr>
          <w:p w14:paraId="37BA53CC" w14:textId="77777777" w:rsidR="005F3B31" w:rsidRPr="005F3B31" w:rsidRDefault="005F3B31" w:rsidP="005F3B31">
            <w:pPr>
              <w:jc w:val="center"/>
              <w:rPr>
                <w:b/>
                <w:sz w:val="18"/>
                <w:szCs w:val="18"/>
              </w:rPr>
            </w:pPr>
            <w:r w:rsidRPr="005F3B31">
              <w:rPr>
                <w:b/>
                <w:sz w:val="18"/>
                <w:szCs w:val="18"/>
              </w:rPr>
              <w:t xml:space="preserve">Inspection format </w:t>
            </w:r>
          </w:p>
        </w:tc>
        <w:tc>
          <w:tcPr>
            <w:tcW w:w="1701" w:type="dxa"/>
            <w:vMerge w:val="restart"/>
            <w:vAlign w:val="center"/>
          </w:tcPr>
          <w:p w14:paraId="022D835E" w14:textId="77777777" w:rsidR="005F3B31" w:rsidRPr="005F3B31" w:rsidRDefault="005F3B31" w:rsidP="005F3B31">
            <w:pPr>
              <w:jc w:val="center"/>
              <w:rPr>
                <w:b/>
                <w:sz w:val="18"/>
                <w:szCs w:val="18"/>
              </w:rPr>
            </w:pPr>
            <w:r w:rsidRPr="005F3B31">
              <w:rPr>
                <w:b/>
                <w:sz w:val="18"/>
                <w:szCs w:val="18"/>
              </w:rPr>
              <w:t xml:space="preserve"># </w:t>
            </w:r>
            <w:proofErr w:type="gramStart"/>
            <w:r w:rsidRPr="005F3B31">
              <w:rPr>
                <w:b/>
                <w:sz w:val="18"/>
                <w:szCs w:val="18"/>
              </w:rPr>
              <w:t>of</w:t>
            </w:r>
            <w:proofErr w:type="gramEnd"/>
            <w:r w:rsidRPr="005F3B31">
              <w:rPr>
                <w:b/>
                <w:sz w:val="18"/>
                <w:szCs w:val="18"/>
              </w:rPr>
              <w:t xml:space="preserve"> quarters between inspections</w:t>
            </w:r>
          </w:p>
        </w:tc>
      </w:tr>
      <w:tr w:rsidR="005F3B31" w:rsidRPr="00B035BC" w14:paraId="359B8D40" w14:textId="77777777" w:rsidTr="001E0013">
        <w:tc>
          <w:tcPr>
            <w:tcW w:w="1560" w:type="dxa"/>
            <w:vMerge/>
          </w:tcPr>
          <w:p w14:paraId="7A314B68" w14:textId="77777777" w:rsidR="005F3B31" w:rsidRPr="005F3B31" w:rsidRDefault="005F3B31" w:rsidP="005F3B31">
            <w:pPr>
              <w:jc w:val="center"/>
              <w:rPr>
                <w:b/>
                <w:sz w:val="18"/>
                <w:szCs w:val="18"/>
              </w:rPr>
            </w:pPr>
          </w:p>
        </w:tc>
        <w:tc>
          <w:tcPr>
            <w:tcW w:w="1701" w:type="dxa"/>
            <w:vMerge/>
          </w:tcPr>
          <w:p w14:paraId="5026DF2C" w14:textId="77777777" w:rsidR="005F3B31" w:rsidRPr="005F3B31" w:rsidRDefault="005F3B31" w:rsidP="005F3B31">
            <w:pPr>
              <w:jc w:val="center"/>
              <w:rPr>
                <w:b/>
                <w:sz w:val="18"/>
                <w:szCs w:val="18"/>
              </w:rPr>
            </w:pPr>
          </w:p>
        </w:tc>
        <w:tc>
          <w:tcPr>
            <w:tcW w:w="1559" w:type="dxa"/>
            <w:vMerge/>
          </w:tcPr>
          <w:p w14:paraId="7E4C87B4" w14:textId="77777777" w:rsidR="005F3B31" w:rsidRPr="005F3B31" w:rsidRDefault="005F3B31" w:rsidP="005F3B31">
            <w:pPr>
              <w:jc w:val="center"/>
              <w:rPr>
                <w:b/>
                <w:sz w:val="18"/>
                <w:szCs w:val="18"/>
              </w:rPr>
            </w:pPr>
          </w:p>
        </w:tc>
        <w:tc>
          <w:tcPr>
            <w:tcW w:w="1559" w:type="dxa"/>
          </w:tcPr>
          <w:p w14:paraId="58FEF3BC" w14:textId="77777777" w:rsidR="005F3B31" w:rsidRPr="005F3B31" w:rsidRDefault="005F3B31" w:rsidP="005F3B31">
            <w:pPr>
              <w:jc w:val="center"/>
              <w:rPr>
                <w:b/>
                <w:sz w:val="18"/>
                <w:szCs w:val="18"/>
              </w:rPr>
            </w:pPr>
            <w:r w:rsidRPr="005F3B31">
              <w:rPr>
                <w:b/>
                <w:sz w:val="18"/>
                <w:szCs w:val="18"/>
              </w:rPr>
              <w:t xml:space="preserve"># </w:t>
            </w:r>
            <w:proofErr w:type="gramStart"/>
            <w:r w:rsidRPr="005F3B31">
              <w:rPr>
                <w:b/>
                <w:sz w:val="18"/>
                <w:szCs w:val="18"/>
              </w:rPr>
              <w:t>of</w:t>
            </w:r>
            <w:proofErr w:type="gramEnd"/>
            <w:r w:rsidRPr="005F3B31">
              <w:rPr>
                <w:b/>
                <w:sz w:val="18"/>
                <w:szCs w:val="18"/>
              </w:rPr>
              <w:t xml:space="preserve"> inspections in POC module cycle</w:t>
            </w:r>
          </w:p>
        </w:tc>
        <w:tc>
          <w:tcPr>
            <w:tcW w:w="1560" w:type="dxa"/>
          </w:tcPr>
          <w:p w14:paraId="47D94A23" w14:textId="77777777" w:rsidR="005F3B31" w:rsidRPr="005F3B31" w:rsidRDefault="005F3B31" w:rsidP="005F3B31">
            <w:pPr>
              <w:jc w:val="center"/>
              <w:rPr>
                <w:b/>
                <w:sz w:val="18"/>
                <w:szCs w:val="18"/>
              </w:rPr>
            </w:pPr>
            <w:r w:rsidRPr="005F3B31">
              <w:rPr>
                <w:b/>
                <w:sz w:val="18"/>
                <w:szCs w:val="18"/>
              </w:rPr>
              <w:t>Depth</w:t>
            </w:r>
          </w:p>
          <w:p w14:paraId="75FE0E8F" w14:textId="77777777" w:rsidR="005F3B31" w:rsidRPr="005F3B31" w:rsidRDefault="005F3B31" w:rsidP="005F3B31">
            <w:pPr>
              <w:jc w:val="center"/>
              <w:rPr>
                <w:b/>
                <w:sz w:val="18"/>
                <w:szCs w:val="18"/>
              </w:rPr>
            </w:pPr>
            <w:r w:rsidRPr="005F3B31">
              <w:rPr>
                <w:b/>
                <w:sz w:val="18"/>
                <w:szCs w:val="18"/>
              </w:rPr>
              <w:t>(# of POC modules)</w:t>
            </w:r>
          </w:p>
        </w:tc>
        <w:tc>
          <w:tcPr>
            <w:tcW w:w="1701" w:type="dxa"/>
            <w:vMerge/>
          </w:tcPr>
          <w:p w14:paraId="2E8168BB" w14:textId="77777777" w:rsidR="005F3B31" w:rsidRPr="005F3B31" w:rsidRDefault="005F3B31" w:rsidP="005F3B31">
            <w:pPr>
              <w:jc w:val="center"/>
              <w:rPr>
                <w:b/>
                <w:sz w:val="18"/>
                <w:szCs w:val="18"/>
              </w:rPr>
            </w:pPr>
          </w:p>
        </w:tc>
      </w:tr>
      <w:tr w:rsidR="005F3B31" w:rsidRPr="00B035BC" w14:paraId="041455C4" w14:textId="77777777" w:rsidTr="001E0013">
        <w:tc>
          <w:tcPr>
            <w:tcW w:w="1560" w:type="dxa"/>
            <w:shd w:val="clear" w:color="auto" w:fill="0070C0"/>
          </w:tcPr>
          <w:p w14:paraId="2B869662" w14:textId="77777777" w:rsidR="005F3B31" w:rsidRPr="005F3B31" w:rsidRDefault="005F3B31" w:rsidP="005F3B31">
            <w:pPr>
              <w:jc w:val="center"/>
              <w:rPr>
                <w:color w:val="FFFFFF" w:themeColor="background1"/>
                <w:sz w:val="18"/>
                <w:szCs w:val="18"/>
              </w:rPr>
            </w:pPr>
            <w:r w:rsidRPr="005F3B31">
              <w:rPr>
                <w:color w:val="FFFFFF" w:themeColor="background1"/>
                <w:sz w:val="18"/>
                <w:szCs w:val="18"/>
              </w:rPr>
              <w:t>PRF Very Low (VL)</w:t>
            </w:r>
          </w:p>
        </w:tc>
        <w:tc>
          <w:tcPr>
            <w:tcW w:w="1701" w:type="dxa"/>
            <w:shd w:val="clear" w:color="auto" w:fill="0070C0"/>
          </w:tcPr>
          <w:p w14:paraId="6544080A" w14:textId="77777777" w:rsidR="005F3B31" w:rsidRPr="005F3B31" w:rsidRDefault="005F3B31" w:rsidP="005F3B31">
            <w:pPr>
              <w:jc w:val="center"/>
              <w:rPr>
                <w:color w:val="FFFFFF" w:themeColor="background1"/>
                <w:sz w:val="18"/>
                <w:szCs w:val="18"/>
              </w:rPr>
            </w:pPr>
            <w:r w:rsidRPr="005F3B31">
              <w:rPr>
                <w:color w:val="FFFFFF" w:themeColor="background1"/>
                <w:sz w:val="18"/>
                <w:szCs w:val="18"/>
              </w:rPr>
              <w:t>1-2</w:t>
            </w:r>
          </w:p>
        </w:tc>
        <w:tc>
          <w:tcPr>
            <w:tcW w:w="1559" w:type="dxa"/>
            <w:shd w:val="clear" w:color="auto" w:fill="0070C0"/>
          </w:tcPr>
          <w:p w14:paraId="7DF54AAF" w14:textId="77777777" w:rsidR="005F3B31" w:rsidRPr="005F3B31" w:rsidRDefault="005F3B31" w:rsidP="005F3B31">
            <w:pPr>
              <w:jc w:val="center"/>
              <w:rPr>
                <w:color w:val="FFFFFF" w:themeColor="background1"/>
                <w:sz w:val="18"/>
                <w:szCs w:val="18"/>
              </w:rPr>
            </w:pPr>
            <w:r w:rsidRPr="005F3B31">
              <w:rPr>
                <w:color w:val="FFFFFF" w:themeColor="background1"/>
                <w:sz w:val="18"/>
                <w:szCs w:val="18"/>
              </w:rPr>
              <w:t>2-3</w:t>
            </w:r>
          </w:p>
        </w:tc>
        <w:tc>
          <w:tcPr>
            <w:tcW w:w="1559" w:type="dxa"/>
            <w:shd w:val="clear" w:color="auto" w:fill="0070C0"/>
          </w:tcPr>
          <w:p w14:paraId="463F20B9" w14:textId="77777777" w:rsidR="005F3B31" w:rsidRPr="005F3B31" w:rsidRDefault="005F3B31" w:rsidP="005F3B31">
            <w:pPr>
              <w:jc w:val="center"/>
              <w:rPr>
                <w:color w:val="FFFFFF" w:themeColor="background1"/>
                <w:sz w:val="18"/>
                <w:szCs w:val="18"/>
              </w:rPr>
            </w:pPr>
            <w:r w:rsidRPr="005F3B31">
              <w:rPr>
                <w:color w:val="FFFFFF" w:themeColor="background1"/>
                <w:sz w:val="18"/>
                <w:szCs w:val="18"/>
              </w:rPr>
              <w:t>1</w:t>
            </w:r>
          </w:p>
        </w:tc>
        <w:tc>
          <w:tcPr>
            <w:tcW w:w="1560" w:type="dxa"/>
            <w:shd w:val="clear" w:color="auto" w:fill="0070C0"/>
          </w:tcPr>
          <w:p w14:paraId="7ED72A80" w14:textId="77777777" w:rsidR="005F3B31" w:rsidRPr="005F3B31" w:rsidRDefault="005F3B31" w:rsidP="005F3B31">
            <w:pPr>
              <w:jc w:val="center"/>
              <w:rPr>
                <w:color w:val="FFFFFF" w:themeColor="background1"/>
                <w:sz w:val="18"/>
                <w:szCs w:val="18"/>
              </w:rPr>
            </w:pPr>
            <w:r w:rsidRPr="005F3B31">
              <w:rPr>
                <w:color w:val="FFFFFF" w:themeColor="background1"/>
                <w:sz w:val="18"/>
                <w:szCs w:val="18"/>
              </w:rPr>
              <w:t>8</w:t>
            </w:r>
          </w:p>
        </w:tc>
        <w:tc>
          <w:tcPr>
            <w:tcW w:w="1701" w:type="dxa"/>
            <w:shd w:val="clear" w:color="auto" w:fill="0070C0"/>
          </w:tcPr>
          <w:p w14:paraId="1F8673C7" w14:textId="77777777" w:rsidR="005F3B31" w:rsidRPr="005F3B31" w:rsidRDefault="005F3B31" w:rsidP="005F3B31">
            <w:pPr>
              <w:jc w:val="center"/>
              <w:rPr>
                <w:color w:val="FFFFFF" w:themeColor="background1"/>
                <w:sz w:val="18"/>
                <w:szCs w:val="18"/>
              </w:rPr>
            </w:pPr>
            <w:r w:rsidRPr="005F3B31">
              <w:rPr>
                <w:color w:val="FFFFFF" w:themeColor="background1"/>
                <w:sz w:val="18"/>
                <w:szCs w:val="18"/>
              </w:rPr>
              <w:t>8-12</w:t>
            </w:r>
          </w:p>
        </w:tc>
      </w:tr>
      <w:tr w:rsidR="005F3B31" w14:paraId="12245357" w14:textId="77777777" w:rsidTr="001E0013">
        <w:tc>
          <w:tcPr>
            <w:tcW w:w="1560" w:type="dxa"/>
            <w:shd w:val="clear" w:color="auto" w:fill="8EAADB"/>
          </w:tcPr>
          <w:p w14:paraId="1B2AE3B9" w14:textId="77777777" w:rsidR="005F3B31" w:rsidRPr="005F3B31" w:rsidRDefault="005F3B31" w:rsidP="005F3B31">
            <w:pPr>
              <w:jc w:val="center"/>
              <w:rPr>
                <w:sz w:val="18"/>
                <w:szCs w:val="18"/>
              </w:rPr>
            </w:pPr>
            <w:r w:rsidRPr="005F3B31">
              <w:rPr>
                <w:sz w:val="18"/>
                <w:szCs w:val="18"/>
              </w:rPr>
              <w:t>PRF Low (L)</w:t>
            </w:r>
          </w:p>
        </w:tc>
        <w:tc>
          <w:tcPr>
            <w:tcW w:w="1701" w:type="dxa"/>
            <w:shd w:val="clear" w:color="auto" w:fill="8EAADB"/>
          </w:tcPr>
          <w:p w14:paraId="576EE76E" w14:textId="77777777" w:rsidR="005F3B31" w:rsidRPr="005F3B31" w:rsidRDefault="005F3B31" w:rsidP="005F3B31">
            <w:pPr>
              <w:jc w:val="center"/>
              <w:rPr>
                <w:sz w:val="18"/>
                <w:szCs w:val="18"/>
              </w:rPr>
            </w:pPr>
            <w:r w:rsidRPr="005F3B31">
              <w:rPr>
                <w:sz w:val="18"/>
                <w:szCs w:val="18"/>
              </w:rPr>
              <w:t>3-4</w:t>
            </w:r>
          </w:p>
        </w:tc>
        <w:tc>
          <w:tcPr>
            <w:tcW w:w="1559" w:type="dxa"/>
            <w:shd w:val="clear" w:color="auto" w:fill="8EAADB"/>
          </w:tcPr>
          <w:p w14:paraId="54B13BC7" w14:textId="77777777" w:rsidR="005F3B31" w:rsidRPr="005F3B31" w:rsidRDefault="005F3B31" w:rsidP="005F3B31">
            <w:pPr>
              <w:jc w:val="center"/>
              <w:rPr>
                <w:sz w:val="18"/>
                <w:szCs w:val="18"/>
              </w:rPr>
            </w:pPr>
            <w:r w:rsidRPr="005F3B31">
              <w:rPr>
                <w:sz w:val="18"/>
                <w:szCs w:val="18"/>
              </w:rPr>
              <w:t>2</w:t>
            </w:r>
          </w:p>
        </w:tc>
        <w:tc>
          <w:tcPr>
            <w:tcW w:w="1559" w:type="dxa"/>
            <w:shd w:val="clear" w:color="auto" w:fill="8EAADB"/>
          </w:tcPr>
          <w:p w14:paraId="2E4F32D0" w14:textId="77777777" w:rsidR="005F3B31" w:rsidRPr="005F3B31" w:rsidRDefault="005F3B31" w:rsidP="005F3B31">
            <w:pPr>
              <w:jc w:val="center"/>
              <w:rPr>
                <w:sz w:val="18"/>
                <w:szCs w:val="18"/>
              </w:rPr>
            </w:pPr>
            <w:r w:rsidRPr="005F3B31">
              <w:rPr>
                <w:sz w:val="18"/>
                <w:szCs w:val="18"/>
              </w:rPr>
              <w:t>1</w:t>
            </w:r>
          </w:p>
        </w:tc>
        <w:tc>
          <w:tcPr>
            <w:tcW w:w="1560" w:type="dxa"/>
            <w:shd w:val="clear" w:color="auto" w:fill="8EAADB"/>
          </w:tcPr>
          <w:p w14:paraId="2F5D1028" w14:textId="77777777" w:rsidR="005F3B31" w:rsidRPr="005F3B31" w:rsidRDefault="005F3B31" w:rsidP="005F3B31">
            <w:pPr>
              <w:jc w:val="center"/>
              <w:rPr>
                <w:sz w:val="18"/>
                <w:szCs w:val="18"/>
              </w:rPr>
            </w:pPr>
            <w:r w:rsidRPr="005F3B31">
              <w:rPr>
                <w:sz w:val="18"/>
                <w:szCs w:val="18"/>
              </w:rPr>
              <w:t>8</w:t>
            </w:r>
          </w:p>
        </w:tc>
        <w:tc>
          <w:tcPr>
            <w:tcW w:w="1701" w:type="dxa"/>
            <w:shd w:val="clear" w:color="auto" w:fill="8EAADB"/>
          </w:tcPr>
          <w:p w14:paraId="2041AA05" w14:textId="77777777" w:rsidR="005F3B31" w:rsidRPr="005F3B31" w:rsidRDefault="005F3B31" w:rsidP="005F3B31">
            <w:pPr>
              <w:jc w:val="center"/>
              <w:rPr>
                <w:sz w:val="18"/>
                <w:szCs w:val="18"/>
              </w:rPr>
            </w:pPr>
            <w:r w:rsidRPr="005F3B31">
              <w:rPr>
                <w:sz w:val="18"/>
                <w:szCs w:val="18"/>
              </w:rPr>
              <w:t>8</w:t>
            </w:r>
          </w:p>
        </w:tc>
      </w:tr>
      <w:tr w:rsidR="005F3B31" w14:paraId="3F688FDF" w14:textId="77777777" w:rsidTr="001E0013">
        <w:tc>
          <w:tcPr>
            <w:tcW w:w="1560" w:type="dxa"/>
            <w:shd w:val="clear" w:color="auto" w:fill="DBDBDB"/>
          </w:tcPr>
          <w:p w14:paraId="169DFC10" w14:textId="77777777" w:rsidR="005F3B31" w:rsidRPr="005F3B31" w:rsidRDefault="005F3B31" w:rsidP="005F3B31">
            <w:pPr>
              <w:jc w:val="center"/>
              <w:rPr>
                <w:sz w:val="18"/>
                <w:szCs w:val="18"/>
              </w:rPr>
            </w:pPr>
            <w:r w:rsidRPr="005F3B31">
              <w:rPr>
                <w:sz w:val="18"/>
                <w:szCs w:val="18"/>
              </w:rPr>
              <w:t>PRF Med (M)</w:t>
            </w:r>
          </w:p>
        </w:tc>
        <w:tc>
          <w:tcPr>
            <w:tcW w:w="1701" w:type="dxa"/>
            <w:shd w:val="clear" w:color="auto" w:fill="DBDBDB"/>
          </w:tcPr>
          <w:p w14:paraId="45DBA1EB" w14:textId="77777777" w:rsidR="005F3B31" w:rsidRPr="005F3B31" w:rsidRDefault="005F3B31" w:rsidP="005F3B31">
            <w:pPr>
              <w:jc w:val="center"/>
              <w:rPr>
                <w:sz w:val="18"/>
                <w:szCs w:val="18"/>
              </w:rPr>
            </w:pPr>
            <w:r w:rsidRPr="005F3B31">
              <w:rPr>
                <w:sz w:val="18"/>
                <w:szCs w:val="18"/>
              </w:rPr>
              <w:t>5-8</w:t>
            </w:r>
          </w:p>
        </w:tc>
        <w:tc>
          <w:tcPr>
            <w:tcW w:w="1559" w:type="dxa"/>
            <w:shd w:val="clear" w:color="auto" w:fill="DBDBDB"/>
          </w:tcPr>
          <w:p w14:paraId="15DF7F61" w14:textId="77777777" w:rsidR="005F3B31" w:rsidRPr="005F3B31" w:rsidRDefault="005F3B31" w:rsidP="005F3B31">
            <w:pPr>
              <w:jc w:val="center"/>
              <w:rPr>
                <w:sz w:val="18"/>
                <w:szCs w:val="18"/>
              </w:rPr>
            </w:pPr>
            <w:r w:rsidRPr="005F3B31">
              <w:rPr>
                <w:sz w:val="18"/>
                <w:szCs w:val="18"/>
              </w:rPr>
              <w:t>1-2</w:t>
            </w:r>
          </w:p>
        </w:tc>
        <w:tc>
          <w:tcPr>
            <w:tcW w:w="1559" w:type="dxa"/>
            <w:shd w:val="clear" w:color="auto" w:fill="DBDBDB"/>
          </w:tcPr>
          <w:p w14:paraId="3A2658E5" w14:textId="77777777" w:rsidR="005F3B31" w:rsidRPr="005F3B31" w:rsidRDefault="005F3B31" w:rsidP="005F3B31">
            <w:pPr>
              <w:jc w:val="center"/>
              <w:rPr>
                <w:sz w:val="18"/>
                <w:szCs w:val="18"/>
              </w:rPr>
            </w:pPr>
            <w:r w:rsidRPr="005F3B31">
              <w:rPr>
                <w:sz w:val="18"/>
                <w:szCs w:val="18"/>
              </w:rPr>
              <w:t xml:space="preserve">1 </w:t>
            </w:r>
          </w:p>
        </w:tc>
        <w:tc>
          <w:tcPr>
            <w:tcW w:w="1560" w:type="dxa"/>
            <w:shd w:val="clear" w:color="auto" w:fill="DBDBDB"/>
          </w:tcPr>
          <w:p w14:paraId="6C2D2CEB" w14:textId="77777777" w:rsidR="005F3B31" w:rsidRPr="005F3B31" w:rsidRDefault="005F3B31" w:rsidP="005F3B31">
            <w:pPr>
              <w:jc w:val="center"/>
              <w:rPr>
                <w:sz w:val="18"/>
                <w:szCs w:val="18"/>
              </w:rPr>
            </w:pPr>
            <w:r w:rsidRPr="005F3B31">
              <w:rPr>
                <w:sz w:val="18"/>
                <w:szCs w:val="18"/>
              </w:rPr>
              <w:t>8</w:t>
            </w:r>
          </w:p>
        </w:tc>
        <w:tc>
          <w:tcPr>
            <w:tcW w:w="1701" w:type="dxa"/>
            <w:shd w:val="clear" w:color="auto" w:fill="DBDBDB"/>
          </w:tcPr>
          <w:p w14:paraId="1C212A82" w14:textId="77777777" w:rsidR="005F3B31" w:rsidRPr="005F3B31" w:rsidRDefault="005F3B31" w:rsidP="005F3B31">
            <w:pPr>
              <w:jc w:val="center"/>
              <w:rPr>
                <w:sz w:val="18"/>
                <w:szCs w:val="18"/>
              </w:rPr>
            </w:pPr>
            <w:r w:rsidRPr="005F3B31">
              <w:rPr>
                <w:sz w:val="18"/>
                <w:szCs w:val="18"/>
              </w:rPr>
              <w:t>4-8</w:t>
            </w:r>
          </w:p>
        </w:tc>
      </w:tr>
      <w:tr w:rsidR="005F3B31" w14:paraId="6FC7B7EC" w14:textId="77777777" w:rsidTr="001E0013">
        <w:tc>
          <w:tcPr>
            <w:tcW w:w="1560" w:type="dxa"/>
            <w:shd w:val="clear" w:color="auto" w:fill="FFFF00"/>
          </w:tcPr>
          <w:p w14:paraId="29644544" w14:textId="77777777" w:rsidR="005F3B31" w:rsidRPr="005F3B31" w:rsidRDefault="005F3B31" w:rsidP="005F3B31">
            <w:pPr>
              <w:jc w:val="center"/>
              <w:rPr>
                <w:sz w:val="18"/>
                <w:szCs w:val="18"/>
              </w:rPr>
            </w:pPr>
            <w:r w:rsidRPr="005F3B31">
              <w:rPr>
                <w:sz w:val="18"/>
                <w:szCs w:val="18"/>
              </w:rPr>
              <w:t>PRF High (H)</w:t>
            </w:r>
          </w:p>
        </w:tc>
        <w:tc>
          <w:tcPr>
            <w:tcW w:w="1701" w:type="dxa"/>
            <w:shd w:val="clear" w:color="auto" w:fill="FFFF00"/>
          </w:tcPr>
          <w:p w14:paraId="06C200B9" w14:textId="77777777" w:rsidR="005F3B31" w:rsidRPr="005F3B31" w:rsidRDefault="005F3B31" w:rsidP="005F3B31">
            <w:pPr>
              <w:jc w:val="center"/>
              <w:rPr>
                <w:sz w:val="18"/>
                <w:szCs w:val="18"/>
              </w:rPr>
            </w:pPr>
            <w:r w:rsidRPr="005F3B31">
              <w:rPr>
                <w:sz w:val="18"/>
                <w:szCs w:val="18"/>
              </w:rPr>
              <w:t>9-11</w:t>
            </w:r>
          </w:p>
        </w:tc>
        <w:tc>
          <w:tcPr>
            <w:tcW w:w="1559" w:type="dxa"/>
            <w:shd w:val="clear" w:color="auto" w:fill="FFFF00"/>
          </w:tcPr>
          <w:p w14:paraId="5BA26377" w14:textId="77777777" w:rsidR="005F3B31" w:rsidRPr="005F3B31" w:rsidRDefault="005F3B31" w:rsidP="005F3B31">
            <w:pPr>
              <w:jc w:val="center"/>
              <w:rPr>
                <w:sz w:val="18"/>
                <w:szCs w:val="18"/>
              </w:rPr>
            </w:pPr>
            <w:r w:rsidRPr="005F3B31">
              <w:rPr>
                <w:sz w:val="18"/>
                <w:szCs w:val="18"/>
              </w:rPr>
              <w:t>1-2</w:t>
            </w:r>
          </w:p>
        </w:tc>
        <w:tc>
          <w:tcPr>
            <w:tcW w:w="1559" w:type="dxa"/>
            <w:shd w:val="clear" w:color="auto" w:fill="FFFF00"/>
          </w:tcPr>
          <w:p w14:paraId="7FCEB726" w14:textId="77777777" w:rsidR="005F3B31" w:rsidRPr="005F3B31" w:rsidRDefault="005F3B31" w:rsidP="005F3B31">
            <w:pPr>
              <w:jc w:val="center"/>
              <w:rPr>
                <w:sz w:val="18"/>
                <w:szCs w:val="18"/>
              </w:rPr>
            </w:pPr>
            <w:r w:rsidRPr="005F3B31">
              <w:rPr>
                <w:sz w:val="18"/>
                <w:szCs w:val="18"/>
              </w:rPr>
              <w:t>2</w:t>
            </w:r>
          </w:p>
        </w:tc>
        <w:tc>
          <w:tcPr>
            <w:tcW w:w="1560" w:type="dxa"/>
            <w:shd w:val="clear" w:color="auto" w:fill="FFFF00"/>
          </w:tcPr>
          <w:p w14:paraId="385534BA" w14:textId="77777777" w:rsidR="005F3B31" w:rsidRPr="005F3B31" w:rsidRDefault="005F3B31" w:rsidP="005F3B31">
            <w:pPr>
              <w:jc w:val="center"/>
              <w:rPr>
                <w:sz w:val="18"/>
                <w:szCs w:val="18"/>
              </w:rPr>
            </w:pPr>
            <w:r w:rsidRPr="005F3B31">
              <w:rPr>
                <w:sz w:val="18"/>
                <w:szCs w:val="18"/>
              </w:rPr>
              <w:t>4</w:t>
            </w:r>
          </w:p>
        </w:tc>
        <w:tc>
          <w:tcPr>
            <w:tcW w:w="1701" w:type="dxa"/>
            <w:shd w:val="clear" w:color="auto" w:fill="FFFF00"/>
          </w:tcPr>
          <w:p w14:paraId="37D48A3B" w14:textId="77777777" w:rsidR="005F3B31" w:rsidRPr="005F3B31" w:rsidRDefault="005F3B31" w:rsidP="005F3B31">
            <w:pPr>
              <w:jc w:val="center"/>
              <w:rPr>
                <w:sz w:val="18"/>
                <w:szCs w:val="18"/>
              </w:rPr>
            </w:pPr>
            <w:r w:rsidRPr="005F3B31">
              <w:rPr>
                <w:sz w:val="18"/>
                <w:szCs w:val="18"/>
              </w:rPr>
              <w:t>2-4</w:t>
            </w:r>
          </w:p>
        </w:tc>
      </w:tr>
    </w:tbl>
    <w:p w14:paraId="5A27DBFF" w14:textId="77777777" w:rsidR="005F3B31" w:rsidRDefault="005F3B31" w:rsidP="005F3B31">
      <w:pPr>
        <w:pStyle w:val="Heading2"/>
        <w:numPr>
          <w:ilvl w:val="0"/>
          <w:numId w:val="0"/>
        </w:numPr>
        <w:tabs>
          <w:tab w:val="clear" w:pos="851"/>
        </w:tabs>
        <w:spacing w:before="40" w:line="259" w:lineRule="auto"/>
        <w:rPr>
          <w:rFonts w:asciiTheme="minorHAnsi" w:eastAsiaTheme="minorEastAsia" w:hAnsiTheme="minorHAnsi" w:cstheme="minorBidi"/>
          <w:b w:val="0"/>
          <w:bCs w:val="0"/>
          <w:snapToGrid/>
          <w:color w:val="auto"/>
          <w:sz w:val="22"/>
          <w:szCs w:val="22"/>
          <w:lang w:eastAsia="en-US"/>
        </w:rPr>
      </w:pPr>
    </w:p>
    <w:p w14:paraId="658922D1" w14:textId="4A4E0619" w:rsidR="005F3B31" w:rsidRPr="00D05168" w:rsidRDefault="005F3B31" w:rsidP="00122B75">
      <w:pPr>
        <w:pStyle w:val="Heading3"/>
        <w:numPr>
          <w:ilvl w:val="1"/>
          <w:numId w:val="60"/>
        </w:numPr>
        <w:ind w:left="709" w:hanging="425"/>
        <w:rPr>
          <w:rStyle w:val="Normalbold"/>
          <w:sz w:val="24"/>
          <w:szCs w:val="24"/>
        </w:rPr>
      </w:pPr>
      <w:r w:rsidRPr="00D05168">
        <w:rPr>
          <w:rStyle w:val="Normalbold"/>
          <w:sz w:val="24"/>
          <w:szCs w:val="24"/>
        </w:rPr>
        <w:t xml:space="preserve">Determining </w:t>
      </w:r>
      <w:r w:rsidR="00FE18C8" w:rsidRPr="00D05168">
        <w:rPr>
          <w:rStyle w:val="Normalbold"/>
          <w:sz w:val="24"/>
          <w:szCs w:val="24"/>
        </w:rPr>
        <w:t xml:space="preserve">the </w:t>
      </w:r>
      <w:r w:rsidRPr="00D05168">
        <w:rPr>
          <w:rStyle w:val="Normalbold"/>
          <w:sz w:val="24"/>
          <w:szCs w:val="24"/>
        </w:rPr>
        <w:t>level of control</w:t>
      </w:r>
      <w:r w:rsidR="006F5BB1" w:rsidRPr="00D05168">
        <w:rPr>
          <w:rStyle w:val="Normalbold"/>
          <w:sz w:val="24"/>
          <w:szCs w:val="24"/>
        </w:rPr>
        <w:t xml:space="preserve"> of a PRF</w:t>
      </w:r>
    </w:p>
    <w:p w14:paraId="590991D4" w14:textId="77777777" w:rsidR="005F3B31" w:rsidRPr="00617A95" w:rsidRDefault="005F3B31" w:rsidP="005C66A2">
      <w:pPr>
        <w:ind w:left="-284"/>
        <w:contextualSpacing/>
        <w:rPr>
          <w:rStyle w:val="Normalbold"/>
        </w:rPr>
      </w:pPr>
      <w:r w:rsidRPr="00617A95">
        <w:rPr>
          <w:rStyle w:val="Normalbold"/>
        </w:rPr>
        <w:t xml:space="preserve">Control is defined as the demonstrated ability to maintain safety of facilities. There are five levels of control: </w:t>
      </w:r>
    </w:p>
    <w:p w14:paraId="5F2C4D0D" w14:textId="77777777" w:rsidR="005F3B31" w:rsidRPr="00617A95" w:rsidRDefault="005F3B31" w:rsidP="005F3B31">
      <w:pPr>
        <w:spacing w:before="240"/>
        <w:contextualSpacing/>
        <w:rPr>
          <w:rStyle w:val="Normalbold"/>
        </w:rPr>
      </w:pPr>
      <w:r w:rsidRPr="00617A95">
        <w:rPr>
          <w:rStyle w:val="Normalbold"/>
        </w:rPr>
        <w:tab/>
      </w:r>
      <w:r w:rsidRPr="00617A95">
        <w:rPr>
          <w:rStyle w:val="Normalbold"/>
        </w:rPr>
        <w:tab/>
        <w:t xml:space="preserve">1. Very high </w:t>
      </w:r>
    </w:p>
    <w:p w14:paraId="4194E029" w14:textId="77777777" w:rsidR="005F3B31" w:rsidRPr="00617A95" w:rsidRDefault="005F3B31" w:rsidP="005F3B31">
      <w:pPr>
        <w:contextualSpacing/>
        <w:rPr>
          <w:rStyle w:val="Normalbold"/>
        </w:rPr>
      </w:pPr>
      <w:r w:rsidRPr="00617A95">
        <w:rPr>
          <w:rStyle w:val="Normalbold"/>
        </w:rPr>
        <w:tab/>
      </w:r>
      <w:r w:rsidRPr="00617A95">
        <w:rPr>
          <w:rStyle w:val="Normalbold"/>
        </w:rPr>
        <w:tab/>
        <w:t xml:space="preserve">2. High </w:t>
      </w:r>
    </w:p>
    <w:p w14:paraId="07686914" w14:textId="77777777" w:rsidR="005F3B31" w:rsidRPr="00617A95" w:rsidRDefault="005F3B31" w:rsidP="005F3B31">
      <w:pPr>
        <w:contextualSpacing/>
        <w:rPr>
          <w:rStyle w:val="Normalbold"/>
        </w:rPr>
      </w:pPr>
      <w:r w:rsidRPr="00617A95">
        <w:rPr>
          <w:rStyle w:val="Normalbold"/>
        </w:rPr>
        <w:tab/>
      </w:r>
      <w:r w:rsidRPr="00617A95">
        <w:rPr>
          <w:rStyle w:val="Normalbold"/>
        </w:rPr>
        <w:tab/>
        <w:t xml:space="preserve">3. Medium </w:t>
      </w:r>
    </w:p>
    <w:p w14:paraId="4B93D21F" w14:textId="5635A354" w:rsidR="005F3B31" w:rsidRPr="00617A95" w:rsidRDefault="005F3B31" w:rsidP="005F3B31">
      <w:pPr>
        <w:contextualSpacing/>
        <w:rPr>
          <w:rStyle w:val="Normalbold"/>
        </w:rPr>
      </w:pPr>
      <w:r w:rsidRPr="00617A95">
        <w:rPr>
          <w:rStyle w:val="Normalbold"/>
        </w:rPr>
        <w:tab/>
      </w:r>
      <w:r w:rsidRPr="00617A95">
        <w:rPr>
          <w:rStyle w:val="Normalbold"/>
        </w:rPr>
        <w:tab/>
        <w:t xml:space="preserve">4. </w:t>
      </w:r>
      <w:r w:rsidR="00675F79">
        <w:rPr>
          <w:rStyle w:val="Normalbold"/>
        </w:rPr>
        <w:t>Lower</w:t>
      </w:r>
      <w:r w:rsidR="00675F79" w:rsidRPr="00617A95">
        <w:rPr>
          <w:rStyle w:val="Normalbold"/>
        </w:rPr>
        <w:t xml:space="preserve"> </w:t>
      </w:r>
    </w:p>
    <w:p w14:paraId="00F0CF66" w14:textId="76E75901" w:rsidR="005F3B31" w:rsidRPr="00617A95" w:rsidRDefault="005F3B31" w:rsidP="005F3B31">
      <w:pPr>
        <w:contextualSpacing/>
        <w:rPr>
          <w:rStyle w:val="Normalbold"/>
        </w:rPr>
      </w:pPr>
      <w:r w:rsidRPr="00617A95">
        <w:rPr>
          <w:rStyle w:val="Normalbold"/>
        </w:rPr>
        <w:tab/>
      </w:r>
      <w:r w:rsidRPr="00617A95">
        <w:rPr>
          <w:rStyle w:val="Normalbold"/>
        </w:rPr>
        <w:tab/>
        <w:t xml:space="preserve">5. </w:t>
      </w:r>
      <w:r w:rsidR="003C7762">
        <w:rPr>
          <w:rStyle w:val="Normalbold"/>
        </w:rPr>
        <w:t>L</w:t>
      </w:r>
      <w:r w:rsidRPr="00617A95">
        <w:rPr>
          <w:rStyle w:val="Normalbold"/>
        </w:rPr>
        <w:t xml:space="preserve">imited </w:t>
      </w:r>
    </w:p>
    <w:p w14:paraId="31513141" w14:textId="77777777" w:rsidR="005F3B31" w:rsidRPr="00617A95" w:rsidRDefault="005F3B31" w:rsidP="005C66A2">
      <w:pPr>
        <w:spacing w:before="240"/>
        <w:ind w:left="-284"/>
        <w:rPr>
          <w:rStyle w:val="Normalbold"/>
        </w:rPr>
      </w:pPr>
      <w:r w:rsidRPr="00617A95">
        <w:rPr>
          <w:rStyle w:val="Normalbold"/>
        </w:rPr>
        <w:t xml:space="preserve">Control is based initially on an evaluation of the licence application and later by the licence holder’s compliance history. This includes evaluation of </w:t>
      </w:r>
      <w:proofErr w:type="gramStart"/>
      <w:r w:rsidRPr="00617A95">
        <w:rPr>
          <w:rStyle w:val="Normalbold"/>
        </w:rPr>
        <w:t>a number of</w:t>
      </w:r>
      <w:proofErr w:type="gramEnd"/>
      <w:r w:rsidRPr="00617A95">
        <w:rPr>
          <w:rStyle w:val="Normalbold"/>
        </w:rPr>
        <w:t xml:space="preserve"> parameters and assessment of information available to ARPANSA. The assessment should </w:t>
      </w:r>
      <w:proofErr w:type="gramStart"/>
      <w:r w:rsidRPr="00617A95">
        <w:rPr>
          <w:rStyle w:val="Normalbold"/>
        </w:rPr>
        <w:t>take into account</w:t>
      </w:r>
      <w:proofErr w:type="gramEnd"/>
      <w:r w:rsidRPr="00617A95">
        <w:rPr>
          <w:rStyle w:val="Normalbold"/>
        </w:rPr>
        <w:t xml:space="preserve"> various sources of information which include:</w:t>
      </w:r>
    </w:p>
    <w:p w14:paraId="12DB631C" w14:textId="77777777" w:rsidR="005F3B31" w:rsidRPr="00617A95" w:rsidRDefault="005F3B31" w:rsidP="00122B75">
      <w:pPr>
        <w:pStyle w:val="ListParagraph"/>
        <w:numPr>
          <w:ilvl w:val="0"/>
          <w:numId w:val="39"/>
        </w:numPr>
        <w:tabs>
          <w:tab w:val="left" w:pos="142"/>
        </w:tabs>
        <w:rPr>
          <w:rStyle w:val="Normalbold"/>
        </w:rPr>
      </w:pPr>
      <w:r w:rsidRPr="00617A95">
        <w:rPr>
          <w:rStyle w:val="Normalbold"/>
        </w:rPr>
        <w:t>Inspection findings and licence holder’s response</w:t>
      </w:r>
    </w:p>
    <w:p w14:paraId="0575D5A5" w14:textId="77777777" w:rsidR="005F3B31" w:rsidRPr="00617A95" w:rsidRDefault="005F3B31" w:rsidP="00122B75">
      <w:pPr>
        <w:pStyle w:val="ListParagraph"/>
        <w:numPr>
          <w:ilvl w:val="0"/>
          <w:numId w:val="39"/>
        </w:numPr>
        <w:tabs>
          <w:tab w:val="left" w:pos="142"/>
        </w:tabs>
        <w:rPr>
          <w:rStyle w:val="Normalbold"/>
        </w:rPr>
      </w:pPr>
      <w:r w:rsidRPr="00617A95">
        <w:rPr>
          <w:rStyle w:val="Normalbold"/>
        </w:rPr>
        <w:t>Information from quarterly reports</w:t>
      </w:r>
    </w:p>
    <w:p w14:paraId="1491DA12" w14:textId="77777777" w:rsidR="005F3B31" w:rsidRPr="00617A95" w:rsidRDefault="005F3B31" w:rsidP="00122B75">
      <w:pPr>
        <w:pStyle w:val="ListParagraph"/>
        <w:numPr>
          <w:ilvl w:val="0"/>
          <w:numId w:val="39"/>
        </w:numPr>
        <w:tabs>
          <w:tab w:val="left" w:pos="142"/>
        </w:tabs>
        <w:rPr>
          <w:rStyle w:val="Normalbold"/>
        </w:rPr>
      </w:pPr>
      <w:r w:rsidRPr="00617A95">
        <w:rPr>
          <w:rStyle w:val="Normalbold"/>
        </w:rPr>
        <w:t>Other reports provided to ARPANSA (for example incident or accident reports)</w:t>
      </w:r>
    </w:p>
    <w:p w14:paraId="3A67AC6F" w14:textId="77777777" w:rsidR="005F3B31" w:rsidRPr="00617A95" w:rsidRDefault="005F3B31" w:rsidP="00122B75">
      <w:pPr>
        <w:pStyle w:val="ListParagraph"/>
        <w:numPr>
          <w:ilvl w:val="0"/>
          <w:numId w:val="39"/>
        </w:numPr>
        <w:tabs>
          <w:tab w:val="left" w:pos="142"/>
        </w:tabs>
        <w:rPr>
          <w:rStyle w:val="Normalbold"/>
        </w:rPr>
      </w:pPr>
      <w:r w:rsidRPr="00617A95">
        <w:rPr>
          <w:rStyle w:val="Normalbold"/>
        </w:rPr>
        <w:t>Information presented to ARPANSA in various types of submissions</w:t>
      </w:r>
    </w:p>
    <w:p w14:paraId="364EEFE2" w14:textId="01D97845" w:rsidR="00116415" w:rsidRDefault="005F3B31" w:rsidP="00122B75">
      <w:pPr>
        <w:pStyle w:val="ListParagraph"/>
        <w:numPr>
          <w:ilvl w:val="0"/>
          <w:numId w:val="39"/>
        </w:numPr>
        <w:tabs>
          <w:tab w:val="left" w:pos="142"/>
        </w:tabs>
        <w:rPr>
          <w:rStyle w:val="Normalbold"/>
        </w:rPr>
      </w:pPr>
      <w:r w:rsidRPr="00617A95">
        <w:rPr>
          <w:rStyle w:val="Normalbold"/>
        </w:rPr>
        <w:t>Information obtained in meetings with licence holders</w:t>
      </w:r>
    </w:p>
    <w:p w14:paraId="0EE7B162" w14:textId="77777777" w:rsidR="005F3B31" w:rsidRPr="00116415" w:rsidRDefault="005F3B31" w:rsidP="00116415">
      <w:pPr>
        <w:jc w:val="right"/>
      </w:pPr>
    </w:p>
    <w:p w14:paraId="0D559343" w14:textId="5CCBB5C9" w:rsidR="005F3B31" w:rsidRPr="00617A95" w:rsidRDefault="00000000" w:rsidP="00116415">
      <w:pPr>
        <w:ind w:left="-284" w:right="-2"/>
        <w:rPr>
          <w:rStyle w:val="Normalbold"/>
        </w:rPr>
      </w:pPr>
      <w:hyperlink w:anchor="_Appendix_2:_Control" w:history="1">
        <w:r w:rsidR="001A0FD3" w:rsidRPr="001A0FD3">
          <w:rPr>
            <w:rStyle w:val="Hyperlink"/>
            <w:rFonts w:eastAsia="Calibri"/>
          </w:rPr>
          <w:t xml:space="preserve">Appendix </w:t>
        </w:r>
      </w:hyperlink>
      <w:r w:rsidR="00885AB2">
        <w:rPr>
          <w:rStyle w:val="Hyperlink"/>
          <w:rFonts w:eastAsia="Calibri"/>
        </w:rPr>
        <w:t>1</w:t>
      </w:r>
      <w:r w:rsidR="005F3B31" w:rsidRPr="00617A95">
        <w:rPr>
          <w:rStyle w:val="Normalbold"/>
        </w:rPr>
        <w:t xml:space="preserve"> </w:t>
      </w:r>
      <w:r w:rsidR="005F3B31">
        <w:rPr>
          <w:rStyle w:val="Normalbold"/>
        </w:rPr>
        <w:t>should</w:t>
      </w:r>
      <w:r w:rsidR="005F3B31" w:rsidRPr="00617A95">
        <w:rPr>
          <w:rStyle w:val="Normalbold"/>
        </w:rPr>
        <w:t xml:space="preserve"> be used as a guide to assist in determining the </w:t>
      </w:r>
      <w:r w:rsidR="003C7762">
        <w:rPr>
          <w:rStyle w:val="Normalbold"/>
        </w:rPr>
        <w:t xml:space="preserve">level of </w:t>
      </w:r>
      <w:r w:rsidR="005F3B31" w:rsidRPr="00617A95">
        <w:rPr>
          <w:rStyle w:val="Normalbold"/>
        </w:rPr>
        <w:t xml:space="preserve">control for a licence holder. The list is not </w:t>
      </w:r>
      <w:proofErr w:type="gramStart"/>
      <w:r w:rsidR="005F3B31" w:rsidRPr="00617A95">
        <w:rPr>
          <w:rStyle w:val="Normalbold"/>
        </w:rPr>
        <w:t>exclusive</w:t>
      </w:r>
      <w:proofErr w:type="gramEnd"/>
      <w:r w:rsidR="005F3B31" w:rsidRPr="00617A95">
        <w:rPr>
          <w:rStyle w:val="Normalbold"/>
        </w:rPr>
        <w:t xml:space="preserve"> and the parameters should not be considered as absolute criteria. The highest number obtained when assessing the licence holder against the criteria should </w:t>
      </w:r>
      <w:r w:rsidR="005F3B31">
        <w:rPr>
          <w:rStyle w:val="Normalbold"/>
        </w:rPr>
        <w:t>determine</w:t>
      </w:r>
      <w:r w:rsidR="005F3B31" w:rsidRPr="00617A95">
        <w:rPr>
          <w:rStyle w:val="Normalbold"/>
        </w:rPr>
        <w:t xml:space="preserve"> the </w:t>
      </w:r>
      <w:r w:rsidR="005F3B31">
        <w:rPr>
          <w:rStyle w:val="Normalbold"/>
        </w:rPr>
        <w:t xml:space="preserve">level of </w:t>
      </w:r>
      <w:r w:rsidR="005F3B31" w:rsidRPr="00617A95">
        <w:rPr>
          <w:rStyle w:val="Normalbold"/>
        </w:rPr>
        <w:t xml:space="preserve">control. This number </w:t>
      </w:r>
      <w:r w:rsidR="005F3B31">
        <w:rPr>
          <w:rStyle w:val="Normalbold"/>
        </w:rPr>
        <w:t>is entered into</w:t>
      </w:r>
      <w:r w:rsidR="005F3B31" w:rsidRPr="00617A95">
        <w:rPr>
          <w:rStyle w:val="Normalbold"/>
        </w:rPr>
        <w:t xml:space="preserve"> </w:t>
      </w:r>
      <w:r w:rsidR="00E60B8C">
        <w:rPr>
          <w:rStyle w:val="Normalbold"/>
        </w:rPr>
        <w:t>Table 1</w:t>
      </w:r>
      <w:r w:rsidR="005F3B31" w:rsidRPr="00617A95">
        <w:rPr>
          <w:rStyle w:val="Normalbold"/>
        </w:rPr>
        <w:t xml:space="preserve"> to determine the regulatory priority. If the control of the facility is not known a default control of 4 (</w:t>
      </w:r>
      <w:r w:rsidR="003C7762">
        <w:rPr>
          <w:rStyle w:val="Normalbold"/>
        </w:rPr>
        <w:t>lower</w:t>
      </w:r>
      <w:r w:rsidR="005F3B31" w:rsidRPr="00617A95">
        <w:rPr>
          <w:rStyle w:val="Normalbold"/>
        </w:rPr>
        <w:t xml:space="preserve">) </w:t>
      </w:r>
      <w:r w:rsidR="005F3B31">
        <w:rPr>
          <w:rStyle w:val="Normalbold"/>
        </w:rPr>
        <w:t xml:space="preserve">should be </w:t>
      </w:r>
      <w:r w:rsidR="005F3B31" w:rsidRPr="00617A95">
        <w:rPr>
          <w:rStyle w:val="Normalbold"/>
        </w:rPr>
        <w:t xml:space="preserve">used. </w:t>
      </w:r>
    </w:p>
    <w:p w14:paraId="26FF22DF" w14:textId="77777777" w:rsidR="005F3B31" w:rsidRPr="00617A95" w:rsidRDefault="005F3B31" w:rsidP="00116415">
      <w:pPr>
        <w:ind w:left="-284" w:right="-2"/>
        <w:rPr>
          <w:rStyle w:val="Normalbold"/>
        </w:rPr>
      </w:pPr>
      <w:r w:rsidRPr="00617A95">
        <w:rPr>
          <w:rStyle w:val="Normalbold"/>
        </w:rPr>
        <w:t xml:space="preserve">The level of engineered safety provisions will vary in type and scope of operation depending on the complexity of the facility and the stage of licensing. A graded approach should be applied, for example, a less sophisticated facility will not require as comprehensive plans and arrangements as a nuclear reactor. </w:t>
      </w:r>
    </w:p>
    <w:p w14:paraId="24E97AF6" w14:textId="77777777" w:rsidR="005F3B31" w:rsidRDefault="005F3B31" w:rsidP="00116415">
      <w:pPr>
        <w:ind w:left="-284" w:right="-2"/>
        <w:rPr>
          <w:rStyle w:val="Normalbold"/>
        </w:rPr>
      </w:pPr>
      <w:r w:rsidRPr="00617A95">
        <w:rPr>
          <w:rStyle w:val="Normalbold"/>
        </w:rPr>
        <w:t xml:space="preserve">ARPANSA guidelines such as </w:t>
      </w:r>
      <w:hyperlink r:id="rId19" w:anchor="plans-and-arrangements-for-managing-safety" w:history="1">
        <w:r w:rsidRPr="00CF5549">
          <w:rPr>
            <w:rStyle w:val="Normalbold"/>
            <w:color w:val="4E1A74" w:themeColor="accent2"/>
            <w:u w:val="single"/>
          </w:rPr>
          <w:t>REGULATORY GUIDE: Plans and Arrangements for Managing Safety</w:t>
        </w:r>
      </w:hyperlink>
      <w:r w:rsidRPr="00617A95">
        <w:rPr>
          <w:rStyle w:val="Normalbold"/>
        </w:rPr>
        <w:t xml:space="preserve"> and </w:t>
      </w:r>
      <w:hyperlink r:id="rId20" w:anchor="holistic-safety" w:history="1">
        <w:r w:rsidRPr="00CF5549">
          <w:rPr>
            <w:rStyle w:val="Hyperlink"/>
            <w:rFonts w:eastAsia="Calibri"/>
          </w:rPr>
          <w:t>REGULATORY GUIDE: Holistic Safety Guidelines</w:t>
        </w:r>
      </w:hyperlink>
      <w:r w:rsidRPr="00CF5549">
        <w:rPr>
          <w:rStyle w:val="Normalbold"/>
          <w:color w:val="4E1A74" w:themeColor="accent2"/>
        </w:rPr>
        <w:t xml:space="preserve"> </w:t>
      </w:r>
      <w:r w:rsidRPr="00617A95">
        <w:rPr>
          <w:rStyle w:val="Normalbold"/>
        </w:rPr>
        <w:t>may provide further guidance.</w:t>
      </w:r>
    </w:p>
    <w:p w14:paraId="2C1F00D1" w14:textId="1BD32410" w:rsidR="005F3B31" w:rsidRPr="00D05168" w:rsidRDefault="005F3B31" w:rsidP="00122B75">
      <w:pPr>
        <w:pStyle w:val="Heading3"/>
        <w:numPr>
          <w:ilvl w:val="1"/>
          <w:numId w:val="59"/>
        </w:numPr>
        <w:tabs>
          <w:tab w:val="clear" w:pos="851"/>
          <w:tab w:val="left" w:pos="709"/>
        </w:tabs>
        <w:spacing w:before="240"/>
        <w:ind w:left="709" w:hanging="425"/>
        <w:rPr>
          <w:rStyle w:val="Normalbold"/>
          <w:sz w:val="24"/>
          <w:szCs w:val="24"/>
        </w:rPr>
      </w:pPr>
      <w:r w:rsidRPr="00D05168">
        <w:rPr>
          <w:rStyle w:val="Normalbold"/>
          <w:sz w:val="24"/>
          <w:szCs w:val="24"/>
        </w:rPr>
        <w:t xml:space="preserve">Determining </w:t>
      </w:r>
      <w:r w:rsidR="00823D95">
        <w:rPr>
          <w:rStyle w:val="Normalbold"/>
          <w:sz w:val="24"/>
          <w:szCs w:val="24"/>
        </w:rPr>
        <w:t xml:space="preserve">the </w:t>
      </w:r>
      <w:r w:rsidRPr="00D05168">
        <w:rPr>
          <w:rStyle w:val="Normalbold"/>
          <w:sz w:val="24"/>
          <w:szCs w:val="24"/>
        </w:rPr>
        <w:t xml:space="preserve">inspection schedule </w:t>
      </w:r>
      <w:r w:rsidR="009A6021" w:rsidRPr="00D05168">
        <w:rPr>
          <w:rStyle w:val="Normalbold"/>
          <w:sz w:val="24"/>
          <w:szCs w:val="24"/>
        </w:rPr>
        <w:t>for PRFs</w:t>
      </w:r>
    </w:p>
    <w:p w14:paraId="252DEC4A" w14:textId="77777777" w:rsidR="00E922E7" w:rsidRPr="00E922E7" w:rsidRDefault="00116415" w:rsidP="00E922E7">
      <w:pPr>
        <w:ind w:left="-284" w:right="-2"/>
        <w:rPr>
          <w:color w:val="7030A0"/>
        </w:rPr>
      </w:pPr>
      <w:r>
        <w:rPr>
          <w:rStyle w:val="Normalbold"/>
        </w:rPr>
        <w:t>From t</w:t>
      </w:r>
      <w:r w:rsidR="005F3B31">
        <w:rPr>
          <w:rStyle w:val="Normalbold"/>
        </w:rPr>
        <w:t xml:space="preserve">he </w:t>
      </w:r>
      <w:r>
        <w:rPr>
          <w:rStyle w:val="Normalbold"/>
        </w:rPr>
        <w:t xml:space="preserve">facility </w:t>
      </w:r>
      <w:r w:rsidR="005F3B31">
        <w:rPr>
          <w:rStyle w:val="Normalbold"/>
        </w:rPr>
        <w:t xml:space="preserve">risk group and assessed level of control </w:t>
      </w:r>
      <w:r>
        <w:rPr>
          <w:rStyle w:val="Normalbold"/>
        </w:rPr>
        <w:t xml:space="preserve">the </w:t>
      </w:r>
      <w:r w:rsidR="005F3B31">
        <w:rPr>
          <w:rStyle w:val="Normalbold"/>
        </w:rPr>
        <w:t>RO will determine the format of the inspection schedule. The colour coded regulatory priority established in</w:t>
      </w:r>
      <w:r w:rsidR="00E60B8C">
        <w:rPr>
          <w:rStyle w:val="Normalbold"/>
        </w:rPr>
        <w:t xml:space="preserve"> </w:t>
      </w:r>
      <w:r w:rsidR="005F3B31">
        <w:rPr>
          <w:rStyle w:val="Normalbold"/>
        </w:rPr>
        <w:fldChar w:fldCharType="begin"/>
      </w:r>
      <w:r w:rsidR="005F3B31">
        <w:rPr>
          <w:rStyle w:val="Normalbold"/>
        </w:rPr>
        <w:instrText xml:space="preserve"> REF _Ref56684334 \h </w:instrText>
      </w:r>
      <w:r w:rsidR="005C66A2">
        <w:rPr>
          <w:rStyle w:val="Normalbold"/>
        </w:rPr>
        <w:instrText xml:space="preserve"> \* MERGEFORMAT </w:instrText>
      </w:r>
      <w:r w:rsidR="005F3B31">
        <w:rPr>
          <w:rStyle w:val="Normalbold"/>
        </w:rPr>
      </w:r>
      <w:r w:rsidR="005F3B31">
        <w:rPr>
          <w:rStyle w:val="Normalbold"/>
        </w:rPr>
        <w:fldChar w:fldCharType="separate"/>
      </w:r>
      <w:r w:rsidR="00E922E7" w:rsidRPr="00E922E7">
        <w:rPr>
          <w:color w:val="7030A0"/>
        </w:rPr>
        <w:br w:type="page"/>
      </w:r>
    </w:p>
    <w:p w14:paraId="1435A9A0" w14:textId="0D57C2B7" w:rsidR="00F07E66" w:rsidRDefault="00E922E7" w:rsidP="00F07E66">
      <w:pPr>
        <w:ind w:left="-284" w:right="-2"/>
        <w:rPr>
          <w:rStyle w:val="Normalbold"/>
        </w:rPr>
      </w:pPr>
      <w:r w:rsidRPr="00CF5F04">
        <w:rPr>
          <w:color w:val="7030A0"/>
          <w:sz w:val="20"/>
          <w:szCs w:val="20"/>
        </w:rPr>
        <w:lastRenderedPageBreak/>
        <w:t xml:space="preserve">TABLE </w:t>
      </w:r>
      <w:r>
        <w:rPr>
          <w:color w:val="7030A0"/>
          <w:sz w:val="20"/>
          <w:szCs w:val="20"/>
        </w:rPr>
        <w:t>1</w:t>
      </w:r>
      <w:r w:rsidRPr="00CF5F04">
        <w:rPr>
          <w:color w:val="7030A0"/>
          <w:sz w:val="20"/>
          <w:szCs w:val="20"/>
        </w:rPr>
        <w:t>:</w:t>
      </w:r>
      <w:r w:rsidR="005F3B31">
        <w:rPr>
          <w:rStyle w:val="Normalbold"/>
        </w:rPr>
        <w:fldChar w:fldCharType="end"/>
      </w:r>
      <w:r w:rsidR="005F3B31">
        <w:rPr>
          <w:rStyle w:val="Normalbold"/>
        </w:rPr>
        <w:t>allocate</w:t>
      </w:r>
      <w:r w:rsidR="00116415">
        <w:rPr>
          <w:rStyle w:val="Normalbold"/>
        </w:rPr>
        <w:t>s</w:t>
      </w:r>
      <w:r w:rsidR="005F3B31">
        <w:rPr>
          <w:rStyle w:val="Normalbold"/>
        </w:rPr>
        <w:t xml:space="preserve"> the level of risk</w:t>
      </w:r>
      <w:r w:rsidR="001A3E17">
        <w:rPr>
          <w:rStyle w:val="Normalbold"/>
        </w:rPr>
        <w:t>;</w:t>
      </w:r>
      <w:r w:rsidR="005F3B31">
        <w:rPr>
          <w:rStyle w:val="Normalbold"/>
        </w:rPr>
        <w:t xml:space="preserve"> </w:t>
      </w:r>
      <w:r w:rsidR="001A3E17">
        <w:rPr>
          <w:rStyle w:val="Normalbold"/>
        </w:rPr>
        <w:t xml:space="preserve">this together with </w:t>
      </w:r>
      <w:r w:rsidR="00EF4145">
        <w:rPr>
          <w:rStyle w:val="Normalbold"/>
        </w:rPr>
        <w:t xml:space="preserve">the </w:t>
      </w:r>
      <w:r w:rsidR="005F3B31">
        <w:rPr>
          <w:rStyle w:val="Normalbold"/>
        </w:rPr>
        <w:t>POC module cycle</w:t>
      </w:r>
      <w:r w:rsidR="003C7762">
        <w:rPr>
          <w:rStyle w:val="Normalbold"/>
        </w:rPr>
        <w:t xml:space="preserve"> length</w:t>
      </w:r>
      <w:r w:rsidR="005F3B31">
        <w:rPr>
          <w:rStyle w:val="Normalbold"/>
        </w:rPr>
        <w:t xml:space="preserve">, number of inspections per POC module cycle, </w:t>
      </w:r>
      <w:r w:rsidR="001A3E17">
        <w:rPr>
          <w:rStyle w:val="Normalbold"/>
        </w:rPr>
        <w:t xml:space="preserve">and </w:t>
      </w:r>
      <w:r w:rsidR="005F3B31">
        <w:rPr>
          <w:rStyle w:val="Normalbold"/>
        </w:rPr>
        <w:t xml:space="preserve">number of POC modules per inspection </w:t>
      </w:r>
      <w:r w:rsidR="001A3E17">
        <w:rPr>
          <w:rStyle w:val="Normalbold"/>
        </w:rPr>
        <w:t xml:space="preserve">determines the </w:t>
      </w:r>
      <w:r w:rsidR="005F3B31">
        <w:rPr>
          <w:rStyle w:val="Normalbold"/>
        </w:rPr>
        <w:t xml:space="preserve">inspection frequency. Where a value range instead of a single value is presented in </w:t>
      </w:r>
      <w:r w:rsidR="005F3B31">
        <w:rPr>
          <w:rStyle w:val="Normalbold"/>
        </w:rPr>
        <w:fldChar w:fldCharType="begin"/>
      </w:r>
      <w:r w:rsidR="005F3B31">
        <w:rPr>
          <w:rStyle w:val="Normalbold"/>
        </w:rPr>
        <w:instrText xml:space="preserve"> REF _Ref56684387 \h </w:instrText>
      </w:r>
      <w:r w:rsidR="005C66A2">
        <w:rPr>
          <w:rStyle w:val="Normalbold"/>
        </w:rPr>
        <w:instrText xml:space="preserve"> \* MERGEFORMAT </w:instrText>
      </w:r>
      <w:r w:rsidR="005F3B31">
        <w:rPr>
          <w:rStyle w:val="Normalbold"/>
        </w:rPr>
      </w:r>
      <w:r w:rsidR="005F3B31">
        <w:rPr>
          <w:rStyle w:val="Normalbold"/>
        </w:rPr>
        <w:fldChar w:fldCharType="separate"/>
      </w:r>
      <w:r w:rsidRPr="00E922E7">
        <w:rPr>
          <w:color w:val="7030A0"/>
        </w:rPr>
        <w:t xml:space="preserve">TABLE </w:t>
      </w:r>
      <w:r w:rsidR="005F3B31">
        <w:rPr>
          <w:rStyle w:val="Normalbold"/>
        </w:rPr>
        <w:fldChar w:fldCharType="end"/>
      </w:r>
      <w:r w:rsidR="001A3E17">
        <w:rPr>
          <w:rStyle w:val="Normalbold"/>
        </w:rPr>
        <w:t xml:space="preserve">the </w:t>
      </w:r>
      <w:r w:rsidR="005F3B31">
        <w:rPr>
          <w:rStyle w:val="Normalbold"/>
        </w:rPr>
        <w:t>RO establishes an appropriate POC module cycle at her/his discretion.</w:t>
      </w:r>
      <w:r w:rsidR="00F07E66" w:rsidRPr="00F07E66">
        <w:rPr>
          <w:rStyle w:val="Normalbold"/>
        </w:rPr>
        <w:t xml:space="preserve"> </w:t>
      </w:r>
    </w:p>
    <w:p w14:paraId="6B263F24" w14:textId="14D47B62" w:rsidR="00F07E66" w:rsidRDefault="00F07E66" w:rsidP="00F07E66">
      <w:pPr>
        <w:ind w:left="-284" w:right="-2"/>
        <w:rPr>
          <w:rStyle w:val="Normalbold"/>
        </w:rPr>
      </w:pPr>
      <w:r w:rsidRPr="00617A95">
        <w:rPr>
          <w:rStyle w:val="Normalbold"/>
        </w:rPr>
        <w:t xml:space="preserve">ARPANSA maintains a three-yearly inspection schedule for </w:t>
      </w:r>
      <w:r>
        <w:rPr>
          <w:rStyle w:val="Normalbold"/>
        </w:rPr>
        <w:t>PRFs and provides this to licence holders.</w:t>
      </w:r>
    </w:p>
    <w:p w14:paraId="2DCA8B3A" w14:textId="0E7B41CE" w:rsidR="001A0FD3" w:rsidRPr="00D05168" w:rsidRDefault="001A0FD3" w:rsidP="00122B75">
      <w:pPr>
        <w:pStyle w:val="Heading3"/>
        <w:numPr>
          <w:ilvl w:val="1"/>
          <w:numId w:val="58"/>
        </w:numPr>
        <w:tabs>
          <w:tab w:val="clear" w:pos="851"/>
          <w:tab w:val="left" w:pos="709"/>
        </w:tabs>
        <w:spacing w:before="240"/>
        <w:ind w:hanging="644"/>
        <w:rPr>
          <w:rStyle w:val="Normalbold"/>
          <w:sz w:val="24"/>
          <w:szCs w:val="24"/>
        </w:rPr>
      </w:pPr>
      <w:r w:rsidRPr="00D05168">
        <w:rPr>
          <w:rStyle w:val="Normalbold"/>
          <w:sz w:val="24"/>
          <w:szCs w:val="24"/>
        </w:rPr>
        <w:t xml:space="preserve">Establishing NI risk   </w:t>
      </w:r>
    </w:p>
    <w:p w14:paraId="4E4C0317" w14:textId="00DE6BB9" w:rsidR="001A0FD3" w:rsidRDefault="001A0FD3" w:rsidP="00340649">
      <w:pPr>
        <w:ind w:left="-284"/>
      </w:pPr>
      <w:r>
        <w:t xml:space="preserve">The risk grouping is based on </w:t>
      </w:r>
      <w:r w:rsidR="009E33EC">
        <w:t xml:space="preserve">the </w:t>
      </w:r>
      <w:r>
        <w:t xml:space="preserve">emergency planning categorisation as defined in </w:t>
      </w:r>
      <w:r w:rsidR="004F692E">
        <w:t>ARPANSA’s RPS</w:t>
      </w:r>
      <w:r w:rsidR="00E60B8C">
        <w:t xml:space="preserve"> </w:t>
      </w:r>
      <w:r w:rsidR="004F692E">
        <w:t>G</w:t>
      </w:r>
      <w:r w:rsidR="00E60B8C">
        <w:t>-</w:t>
      </w:r>
      <w:r w:rsidR="004F692E">
        <w:t>3</w:t>
      </w:r>
      <w:r>
        <w:t xml:space="preserve">. ARPANSA currently regulates only two facilities that are categorised as EPC II. These are the OPAL Reactor and ANSTO ANM.  The OPAL reactor </w:t>
      </w:r>
      <w:proofErr w:type="gramStart"/>
      <w:r>
        <w:t>is considered to be</w:t>
      </w:r>
      <w:proofErr w:type="gramEnd"/>
      <w:r>
        <w:t xml:space="preserve"> more complex than ANM and as such OPAL is allocated to a higher risk group.</w:t>
      </w:r>
    </w:p>
    <w:p w14:paraId="1A135656" w14:textId="2433C919" w:rsidR="009E33EC" w:rsidRDefault="001A0FD3" w:rsidP="00340649">
      <w:pPr>
        <w:ind w:left="-284"/>
      </w:pPr>
      <w:r>
        <w:t>There are four hazard groups for nuclear installations</w:t>
      </w:r>
      <w:r w:rsidR="00E60B8C">
        <w:t>:</w:t>
      </w:r>
    </w:p>
    <w:p w14:paraId="3CC45A60" w14:textId="7DA07C94" w:rsidR="009E33EC" w:rsidRDefault="001A0FD3" w:rsidP="009E33EC">
      <w:r w:rsidRPr="009E33EC">
        <w:rPr>
          <w:b/>
        </w:rPr>
        <w:t>Group 1</w:t>
      </w:r>
      <w:r w:rsidR="009E33EC">
        <w:t>:</w:t>
      </w:r>
      <w:r>
        <w:t xml:space="preserve"> includes facilities of lowest hazard and complexity such as waste stores and facilities normally of higher risk but </w:t>
      </w:r>
      <w:r w:rsidR="009E33EC">
        <w:t>which are</w:t>
      </w:r>
      <w:r>
        <w:t xml:space="preserve"> </w:t>
      </w:r>
      <w:r w:rsidR="009E33EC">
        <w:t xml:space="preserve">currently </w:t>
      </w:r>
      <w:r>
        <w:t xml:space="preserve">under </w:t>
      </w:r>
      <w:r w:rsidR="009E33EC">
        <w:t xml:space="preserve">possess </w:t>
      </w:r>
      <w:r>
        <w:t>or</w:t>
      </w:r>
      <w:r w:rsidR="009E33EC">
        <w:t xml:space="preserve"> control</w:t>
      </w:r>
      <w:r>
        <w:t xml:space="preserve">, </w:t>
      </w:r>
      <w:proofErr w:type="gramStart"/>
      <w:r>
        <w:t>siting</w:t>
      </w:r>
      <w:proofErr w:type="gramEnd"/>
      <w:r>
        <w:t xml:space="preserve"> or construction licence. This group includes the HIFAR defueled facility and the Intermediate Waste Store. </w:t>
      </w:r>
    </w:p>
    <w:p w14:paraId="4360C4B5" w14:textId="77777777" w:rsidR="009E33EC" w:rsidRDefault="001A0FD3" w:rsidP="009E33EC">
      <w:r w:rsidRPr="009E33EC">
        <w:rPr>
          <w:b/>
        </w:rPr>
        <w:t>Group 2</w:t>
      </w:r>
      <w:r w:rsidR="009E33EC">
        <w:rPr>
          <w:b/>
        </w:rPr>
        <w:t>:</w:t>
      </w:r>
      <w:r>
        <w:t xml:space="preserve"> includes waste processing facilities and radiopharmaceutical facilities that have no off-site consequences. This group includes ANSTO Waste Management and Health Products. </w:t>
      </w:r>
    </w:p>
    <w:p w14:paraId="51A2ABE6" w14:textId="2C794ACF" w:rsidR="00DA0D92" w:rsidRDefault="001A0FD3" w:rsidP="009E33EC">
      <w:r w:rsidRPr="009E33EC">
        <w:rPr>
          <w:b/>
        </w:rPr>
        <w:t>Group 3</w:t>
      </w:r>
      <w:r w:rsidR="009E33EC">
        <w:rPr>
          <w:b/>
        </w:rPr>
        <w:t>:</w:t>
      </w:r>
      <w:r>
        <w:t xml:space="preserve"> i</w:t>
      </w:r>
      <w:r w:rsidR="00DA0D92">
        <w:t>ncludes</w:t>
      </w:r>
      <w:r>
        <w:t xml:space="preserve"> fuel cycle or radiopharmaceutical processing facilit</w:t>
      </w:r>
      <w:r w:rsidR="00DA0D92">
        <w:t>ies</w:t>
      </w:r>
      <w:r>
        <w:t xml:space="preserve"> with an off-site consequence. There is currently only one facility – ANSTO ANM in this group. </w:t>
      </w:r>
    </w:p>
    <w:p w14:paraId="551F6D16" w14:textId="2D178072" w:rsidR="001A0FD3" w:rsidRDefault="00DA0D92" w:rsidP="009E33EC">
      <w:r w:rsidRPr="00DA0D92">
        <w:rPr>
          <w:b/>
        </w:rPr>
        <w:t>Group 4</w:t>
      </w:r>
      <w:r>
        <w:t xml:space="preserve">: includes Australia’s only operating research reactor – the </w:t>
      </w:r>
      <w:r w:rsidR="001A0FD3">
        <w:t xml:space="preserve">OPAL Reactor </w:t>
      </w:r>
    </w:p>
    <w:p w14:paraId="31A8B5C4" w14:textId="71DB5654" w:rsidR="001A0FD3" w:rsidRDefault="001A0FD3" w:rsidP="00340649">
      <w:pPr>
        <w:ind w:left="-284"/>
      </w:pPr>
      <w:r>
        <w:t>The risk level indicators are included in the matrix cells</w:t>
      </w:r>
      <w:r w:rsidR="00DA0D92">
        <w:t xml:space="preserve"> in Table </w:t>
      </w:r>
      <w:r w:rsidR="00CF5F04">
        <w:t>3</w:t>
      </w:r>
      <w:r>
        <w:t xml:space="preserve">. Note non-linearity of the risk level as it best matches the range of </w:t>
      </w:r>
      <w:r w:rsidR="0004274B">
        <w:t>licensed</w:t>
      </w:r>
      <w:r>
        <w:t xml:space="preserve"> facilities. </w:t>
      </w:r>
    </w:p>
    <w:p w14:paraId="18C4367C" w14:textId="77777777" w:rsidR="00DA0D92" w:rsidRDefault="00DA0D92">
      <w:pPr>
        <w:spacing w:before="200" w:after="200"/>
        <w:rPr>
          <w:bCs/>
          <w:color w:val="7030A0"/>
          <w:szCs w:val="16"/>
        </w:rPr>
      </w:pPr>
      <w:r>
        <w:rPr>
          <w:b/>
          <w:color w:val="7030A0"/>
        </w:rPr>
        <w:br w:type="page"/>
      </w:r>
    </w:p>
    <w:p w14:paraId="3051F2B3" w14:textId="41A4E2EE" w:rsidR="001A0FD3" w:rsidRPr="00CF5F04" w:rsidRDefault="001A0FD3" w:rsidP="00DA0D92">
      <w:pPr>
        <w:pStyle w:val="Caption"/>
        <w:keepNext/>
        <w:spacing w:before="240" w:after="0"/>
        <w:jc w:val="center"/>
        <w:rPr>
          <w:b w:val="0"/>
          <w:color w:val="7030A0"/>
          <w:sz w:val="20"/>
          <w:szCs w:val="20"/>
        </w:rPr>
      </w:pPr>
      <w:r w:rsidRPr="00CF5F04">
        <w:rPr>
          <w:b w:val="0"/>
          <w:color w:val="7030A0"/>
          <w:sz w:val="20"/>
          <w:szCs w:val="20"/>
        </w:rPr>
        <w:lastRenderedPageBreak/>
        <w:t>T</w:t>
      </w:r>
      <w:r w:rsidR="00CF5F04">
        <w:rPr>
          <w:b w:val="0"/>
          <w:color w:val="7030A0"/>
          <w:sz w:val="20"/>
          <w:szCs w:val="20"/>
        </w:rPr>
        <w:t>ABLE 3</w:t>
      </w:r>
      <w:r w:rsidRPr="00CF5F04">
        <w:rPr>
          <w:b w:val="0"/>
          <w:color w:val="7030A0"/>
          <w:sz w:val="20"/>
          <w:szCs w:val="20"/>
        </w:rPr>
        <w:t>: D</w:t>
      </w:r>
      <w:r w:rsidR="00DA0D92" w:rsidRPr="00CF5F04">
        <w:rPr>
          <w:b w:val="0"/>
          <w:color w:val="7030A0"/>
          <w:sz w:val="20"/>
          <w:szCs w:val="20"/>
        </w:rPr>
        <w:t>ETERMINING NI REGULATORY PRIORITY</w:t>
      </w:r>
    </w:p>
    <w:tbl>
      <w:tblPr>
        <w:tblStyle w:val="TableGrid"/>
        <w:tblW w:w="9209" w:type="dxa"/>
        <w:jc w:val="center"/>
        <w:tblLook w:val="04A0" w:firstRow="1" w:lastRow="0" w:firstColumn="1" w:lastColumn="0" w:noHBand="0" w:noVBand="1"/>
      </w:tblPr>
      <w:tblGrid>
        <w:gridCol w:w="2193"/>
        <w:gridCol w:w="1346"/>
        <w:gridCol w:w="1418"/>
        <w:gridCol w:w="1417"/>
        <w:gridCol w:w="1418"/>
        <w:gridCol w:w="1417"/>
      </w:tblGrid>
      <w:tr w:rsidR="00340649" w:rsidRPr="00E5144F" w14:paraId="5434E85B" w14:textId="77777777" w:rsidTr="001E0013">
        <w:trPr>
          <w:trHeight w:val="243"/>
          <w:jc w:val="center"/>
        </w:trPr>
        <w:tc>
          <w:tcPr>
            <w:tcW w:w="2193" w:type="dxa"/>
            <w:vMerge w:val="restart"/>
            <w:tcBorders>
              <w:top w:val="single" w:sz="4" w:space="0" w:color="auto"/>
              <w:left w:val="single" w:sz="4" w:space="0" w:color="auto"/>
              <w:right w:val="single" w:sz="4" w:space="0" w:color="auto"/>
            </w:tcBorders>
            <w:shd w:val="clear" w:color="auto" w:fill="auto"/>
          </w:tcPr>
          <w:p w14:paraId="52D89657" w14:textId="77777777" w:rsidR="00340649" w:rsidRPr="00340649" w:rsidRDefault="00340649" w:rsidP="002176E5">
            <w:pPr>
              <w:ind w:left="58"/>
              <w:rPr>
                <w:b/>
                <w:bCs/>
                <w:sz w:val="18"/>
                <w:szCs w:val="18"/>
              </w:rPr>
            </w:pPr>
          </w:p>
          <w:p w14:paraId="5A0C7539" w14:textId="77777777" w:rsidR="00340649" w:rsidRPr="00340649" w:rsidRDefault="00340649" w:rsidP="00340649">
            <w:pPr>
              <w:jc w:val="center"/>
              <w:rPr>
                <w:b/>
                <w:bCs/>
                <w:sz w:val="18"/>
                <w:szCs w:val="18"/>
              </w:rPr>
            </w:pPr>
            <w:r w:rsidRPr="00340649">
              <w:rPr>
                <w:b/>
                <w:sz w:val="18"/>
                <w:szCs w:val="18"/>
              </w:rPr>
              <w:t xml:space="preserve">NI </w:t>
            </w:r>
            <w:r w:rsidRPr="00340649">
              <w:rPr>
                <w:b/>
                <w:sz w:val="18"/>
                <w:szCs w:val="18"/>
              </w:rPr>
              <w:br/>
              <w:t>(type, complexity, potential hazard)</w:t>
            </w:r>
          </w:p>
        </w:tc>
        <w:tc>
          <w:tcPr>
            <w:tcW w:w="7016" w:type="dxa"/>
            <w:gridSpan w:val="5"/>
            <w:tcBorders>
              <w:left w:val="single" w:sz="4" w:space="0" w:color="auto"/>
            </w:tcBorders>
            <w:shd w:val="clear" w:color="auto" w:fill="auto"/>
          </w:tcPr>
          <w:p w14:paraId="2AFA01F2" w14:textId="77777777" w:rsidR="00340649" w:rsidRPr="00340649" w:rsidRDefault="00340649" w:rsidP="002176E5">
            <w:pPr>
              <w:jc w:val="center"/>
              <w:rPr>
                <w:sz w:val="18"/>
                <w:szCs w:val="18"/>
              </w:rPr>
            </w:pPr>
            <w:r w:rsidRPr="00340649">
              <w:rPr>
                <w:b/>
                <w:sz w:val="18"/>
                <w:szCs w:val="18"/>
              </w:rPr>
              <w:t>Level of Control</w:t>
            </w:r>
          </w:p>
        </w:tc>
      </w:tr>
      <w:tr w:rsidR="00340649" w14:paraId="08D9FBC9" w14:textId="77777777" w:rsidTr="001E0013">
        <w:trPr>
          <w:trHeight w:val="729"/>
          <w:jc w:val="center"/>
        </w:trPr>
        <w:tc>
          <w:tcPr>
            <w:tcW w:w="2193" w:type="dxa"/>
            <w:vMerge/>
            <w:tcBorders>
              <w:left w:val="single" w:sz="4" w:space="0" w:color="auto"/>
              <w:bottom w:val="single" w:sz="4" w:space="0" w:color="auto"/>
              <w:right w:val="single" w:sz="4" w:space="0" w:color="auto"/>
            </w:tcBorders>
          </w:tcPr>
          <w:p w14:paraId="0CC2D430" w14:textId="77777777" w:rsidR="00340649" w:rsidRPr="00340649" w:rsidRDefault="00340649" w:rsidP="002176E5">
            <w:pPr>
              <w:rPr>
                <w:b/>
                <w:sz w:val="18"/>
                <w:szCs w:val="18"/>
              </w:rPr>
            </w:pPr>
          </w:p>
        </w:tc>
        <w:tc>
          <w:tcPr>
            <w:tcW w:w="1346" w:type="dxa"/>
            <w:tcBorders>
              <w:left w:val="single" w:sz="4" w:space="0" w:color="auto"/>
              <w:bottom w:val="single" w:sz="4" w:space="0" w:color="auto"/>
            </w:tcBorders>
          </w:tcPr>
          <w:p w14:paraId="2952E2D9" w14:textId="77777777" w:rsidR="00340649" w:rsidRPr="00340649" w:rsidRDefault="00340649" w:rsidP="002176E5">
            <w:pPr>
              <w:jc w:val="center"/>
              <w:rPr>
                <w:b/>
                <w:sz w:val="18"/>
                <w:szCs w:val="18"/>
              </w:rPr>
            </w:pPr>
            <w:r w:rsidRPr="00340649">
              <w:rPr>
                <w:b/>
                <w:sz w:val="18"/>
                <w:szCs w:val="18"/>
              </w:rPr>
              <w:t>Very High</w:t>
            </w:r>
          </w:p>
          <w:p w14:paraId="6BD55527" w14:textId="77777777" w:rsidR="00340649" w:rsidRPr="00340649" w:rsidRDefault="00340649" w:rsidP="002176E5">
            <w:pPr>
              <w:jc w:val="center"/>
              <w:rPr>
                <w:b/>
                <w:sz w:val="18"/>
                <w:szCs w:val="18"/>
              </w:rPr>
            </w:pPr>
            <w:r w:rsidRPr="00340649">
              <w:rPr>
                <w:b/>
                <w:sz w:val="18"/>
                <w:szCs w:val="18"/>
              </w:rPr>
              <w:t>1</w:t>
            </w:r>
          </w:p>
        </w:tc>
        <w:tc>
          <w:tcPr>
            <w:tcW w:w="1418" w:type="dxa"/>
            <w:tcBorders>
              <w:bottom w:val="single" w:sz="4" w:space="0" w:color="auto"/>
            </w:tcBorders>
          </w:tcPr>
          <w:p w14:paraId="7230AD74" w14:textId="77777777" w:rsidR="00340649" w:rsidRPr="00340649" w:rsidRDefault="00340649" w:rsidP="002176E5">
            <w:pPr>
              <w:jc w:val="center"/>
              <w:rPr>
                <w:b/>
                <w:sz w:val="18"/>
                <w:szCs w:val="18"/>
              </w:rPr>
            </w:pPr>
            <w:r w:rsidRPr="00340649">
              <w:rPr>
                <w:b/>
                <w:sz w:val="18"/>
                <w:szCs w:val="18"/>
              </w:rPr>
              <w:t>High</w:t>
            </w:r>
          </w:p>
          <w:p w14:paraId="507B37BF" w14:textId="77777777" w:rsidR="00340649" w:rsidRPr="00340649" w:rsidRDefault="00340649" w:rsidP="002176E5">
            <w:pPr>
              <w:jc w:val="center"/>
              <w:rPr>
                <w:b/>
                <w:sz w:val="18"/>
                <w:szCs w:val="18"/>
              </w:rPr>
            </w:pPr>
            <w:r w:rsidRPr="00340649">
              <w:rPr>
                <w:b/>
                <w:sz w:val="18"/>
                <w:szCs w:val="18"/>
              </w:rPr>
              <w:t>2</w:t>
            </w:r>
          </w:p>
        </w:tc>
        <w:tc>
          <w:tcPr>
            <w:tcW w:w="1417" w:type="dxa"/>
            <w:tcBorders>
              <w:bottom w:val="single" w:sz="4" w:space="0" w:color="auto"/>
            </w:tcBorders>
          </w:tcPr>
          <w:p w14:paraId="221676ED" w14:textId="77777777" w:rsidR="00340649" w:rsidRPr="00340649" w:rsidRDefault="00340649" w:rsidP="002176E5">
            <w:pPr>
              <w:jc w:val="center"/>
              <w:rPr>
                <w:b/>
                <w:sz w:val="18"/>
                <w:szCs w:val="18"/>
              </w:rPr>
            </w:pPr>
            <w:r w:rsidRPr="00340649">
              <w:rPr>
                <w:b/>
                <w:sz w:val="18"/>
                <w:szCs w:val="18"/>
              </w:rPr>
              <w:t>Medium</w:t>
            </w:r>
          </w:p>
          <w:p w14:paraId="52DD2216" w14:textId="77777777" w:rsidR="00340649" w:rsidRPr="00340649" w:rsidRDefault="00340649" w:rsidP="002176E5">
            <w:pPr>
              <w:jc w:val="center"/>
              <w:rPr>
                <w:b/>
                <w:sz w:val="18"/>
                <w:szCs w:val="18"/>
              </w:rPr>
            </w:pPr>
            <w:r w:rsidRPr="00340649">
              <w:rPr>
                <w:b/>
                <w:sz w:val="18"/>
                <w:szCs w:val="18"/>
              </w:rPr>
              <w:t>3</w:t>
            </w:r>
          </w:p>
        </w:tc>
        <w:tc>
          <w:tcPr>
            <w:tcW w:w="1418" w:type="dxa"/>
            <w:tcBorders>
              <w:bottom w:val="single" w:sz="4" w:space="0" w:color="auto"/>
            </w:tcBorders>
          </w:tcPr>
          <w:p w14:paraId="0871847B" w14:textId="52F44C25" w:rsidR="00340649" w:rsidRPr="00340649" w:rsidRDefault="00675F79" w:rsidP="002176E5">
            <w:pPr>
              <w:jc w:val="center"/>
              <w:rPr>
                <w:b/>
                <w:sz w:val="18"/>
                <w:szCs w:val="18"/>
              </w:rPr>
            </w:pPr>
            <w:r>
              <w:rPr>
                <w:b/>
                <w:sz w:val="18"/>
                <w:szCs w:val="18"/>
              </w:rPr>
              <w:t>Lower</w:t>
            </w:r>
          </w:p>
          <w:p w14:paraId="05F41809" w14:textId="77777777" w:rsidR="00340649" w:rsidRPr="00340649" w:rsidRDefault="00340649" w:rsidP="002176E5">
            <w:pPr>
              <w:jc w:val="center"/>
              <w:rPr>
                <w:b/>
                <w:sz w:val="18"/>
                <w:szCs w:val="18"/>
              </w:rPr>
            </w:pPr>
            <w:r w:rsidRPr="00340649">
              <w:rPr>
                <w:b/>
                <w:sz w:val="18"/>
                <w:szCs w:val="18"/>
              </w:rPr>
              <w:t>4</w:t>
            </w:r>
          </w:p>
        </w:tc>
        <w:tc>
          <w:tcPr>
            <w:tcW w:w="1417" w:type="dxa"/>
            <w:tcBorders>
              <w:bottom w:val="single" w:sz="4" w:space="0" w:color="auto"/>
              <w:right w:val="single" w:sz="4" w:space="0" w:color="auto"/>
            </w:tcBorders>
          </w:tcPr>
          <w:p w14:paraId="004AD156" w14:textId="011A1058" w:rsidR="00340649" w:rsidRPr="00340649" w:rsidRDefault="00340649" w:rsidP="002176E5">
            <w:pPr>
              <w:jc w:val="center"/>
              <w:rPr>
                <w:b/>
                <w:sz w:val="18"/>
                <w:szCs w:val="18"/>
              </w:rPr>
            </w:pPr>
            <w:r w:rsidRPr="00340649">
              <w:rPr>
                <w:b/>
                <w:sz w:val="18"/>
                <w:szCs w:val="18"/>
              </w:rPr>
              <w:t>Limited</w:t>
            </w:r>
          </w:p>
          <w:p w14:paraId="514D8F55" w14:textId="77777777" w:rsidR="00340649" w:rsidRPr="00340649" w:rsidRDefault="00340649" w:rsidP="002176E5">
            <w:pPr>
              <w:jc w:val="center"/>
              <w:rPr>
                <w:b/>
                <w:sz w:val="18"/>
                <w:szCs w:val="18"/>
              </w:rPr>
            </w:pPr>
            <w:r w:rsidRPr="00340649">
              <w:rPr>
                <w:b/>
                <w:sz w:val="18"/>
                <w:szCs w:val="18"/>
              </w:rPr>
              <w:t>5</w:t>
            </w:r>
          </w:p>
        </w:tc>
      </w:tr>
      <w:tr w:rsidR="00340649" w:rsidRPr="00E5144F" w14:paraId="0F1A0DD0" w14:textId="77777777" w:rsidTr="001E0013">
        <w:trPr>
          <w:trHeight w:val="1082"/>
          <w:jc w:val="center"/>
        </w:trPr>
        <w:tc>
          <w:tcPr>
            <w:tcW w:w="2193" w:type="dxa"/>
            <w:tcBorders>
              <w:top w:val="single" w:sz="4" w:space="0" w:color="auto"/>
              <w:left w:val="single" w:sz="4" w:space="0" w:color="auto"/>
              <w:bottom w:val="single" w:sz="4" w:space="0" w:color="auto"/>
              <w:right w:val="single" w:sz="4" w:space="0" w:color="auto"/>
            </w:tcBorders>
            <w:shd w:val="clear" w:color="auto" w:fill="auto"/>
          </w:tcPr>
          <w:p w14:paraId="2D9D04CB" w14:textId="030C35F5" w:rsidR="00340649" w:rsidRPr="00340649" w:rsidRDefault="00340649" w:rsidP="00122B75">
            <w:pPr>
              <w:pStyle w:val="ListParagraph"/>
              <w:numPr>
                <w:ilvl w:val="0"/>
                <w:numId w:val="55"/>
              </w:numPr>
              <w:spacing w:before="60" w:after="60"/>
              <w:ind w:left="306" w:hanging="245"/>
              <w:rPr>
                <w:color w:val="FFFFFF" w:themeColor="background1"/>
                <w:sz w:val="18"/>
                <w:szCs w:val="18"/>
              </w:rPr>
            </w:pPr>
            <w:r w:rsidRPr="00340649">
              <w:rPr>
                <w:bCs/>
                <w:sz w:val="18"/>
                <w:szCs w:val="18"/>
              </w:rPr>
              <w:t xml:space="preserve">Very low </w:t>
            </w:r>
            <w:r w:rsidR="00DA0D92">
              <w:rPr>
                <w:bCs/>
                <w:sz w:val="18"/>
                <w:szCs w:val="18"/>
              </w:rPr>
              <w:t>NI- w</w:t>
            </w:r>
            <w:r w:rsidRPr="00340649">
              <w:rPr>
                <w:bCs/>
                <w:sz w:val="18"/>
                <w:szCs w:val="18"/>
              </w:rPr>
              <w:t>aste store, facilities of higher category</w:t>
            </w:r>
            <w:r w:rsidR="00DA0D92">
              <w:rPr>
                <w:bCs/>
                <w:sz w:val="18"/>
                <w:szCs w:val="18"/>
              </w:rPr>
              <w:t xml:space="preserve"> but</w:t>
            </w:r>
            <w:r w:rsidRPr="00340649">
              <w:rPr>
                <w:bCs/>
                <w:sz w:val="18"/>
                <w:szCs w:val="18"/>
              </w:rPr>
              <w:t xml:space="preserve"> under P</w:t>
            </w:r>
            <w:r w:rsidR="00DA0D92">
              <w:rPr>
                <w:bCs/>
                <w:sz w:val="18"/>
                <w:szCs w:val="18"/>
              </w:rPr>
              <w:t xml:space="preserve"> </w:t>
            </w:r>
            <w:r w:rsidRPr="00340649">
              <w:rPr>
                <w:bCs/>
                <w:sz w:val="18"/>
                <w:szCs w:val="18"/>
              </w:rPr>
              <w:t>or</w:t>
            </w:r>
            <w:r w:rsidR="00DA0D92">
              <w:rPr>
                <w:bCs/>
                <w:sz w:val="18"/>
                <w:szCs w:val="18"/>
              </w:rPr>
              <w:t xml:space="preserve"> </w:t>
            </w:r>
            <w:r w:rsidRPr="00340649">
              <w:rPr>
                <w:bCs/>
                <w:sz w:val="18"/>
                <w:szCs w:val="18"/>
              </w:rPr>
              <w:t>C, siting</w:t>
            </w:r>
            <w:r w:rsidR="00DA0D92">
              <w:rPr>
                <w:bCs/>
                <w:sz w:val="18"/>
                <w:szCs w:val="18"/>
              </w:rPr>
              <w:t>,</w:t>
            </w:r>
            <w:r w:rsidRPr="00340649">
              <w:rPr>
                <w:bCs/>
                <w:sz w:val="18"/>
                <w:szCs w:val="18"/>
              </w:rPr>
              <w:t xml:space="preserve"> or construction licence</w:t>
            </w:r>
          </w:p>
        </w:tc>
        <w:tc>
          <w:tcPr>
            <w:tcW w:w="1346" w:type="dxa"/>
            <w:tcBorders>
              <w:top w:val="single" w:sz="4" w:space="0" w:color="auto"/>
              <w:left w:val="single" w:sz="4" w:space="0" w:color="auto"/>
              <w:bottom w:val="single" w:sz="4" w:space="0" w:color="auto"/>
              <w:right w:val="single" w:sz="4" w:space="0" w:color="auto"/>
            </w:tcBorders>
            <w:shd w:val="clear" w:color="auto" w:fill="0070C0"/>
            <w:vAlign w:val="center"/>
          </w:tcPr>
          <w:p w14:paraId="7BCDB11D" w14:textId="77777777" w:rsidR="00340649" w:rsidRPr="00340649" w:rsidRDefault="00340649" w:rsidP="002176E5">
            <w:pPr>
              <w:jc w:val="center"/>
              <w:rPr>
                <w:sz w:val="18"/>
                <w:szCs w:val="18"/>
              </w:rPr>
            </w:pPr>
            <w:r w:rsidRPr="00340649">
              <w:rPr>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8EAADB"/>
            <w:vAlign w:val="center"/>
          </w:tcPr>
          <w:p w14:paraId="1D10AFC8" w14:textId="77777777" w:rsidR="00340649" w:rsidRPr="00340649" w:rsidRDefault="00340649" w:rsidP="002176E5">
            <w:pPr>
              <w:jc w:val="center"/>
              <w:rPr>
                <w:sz w:val="18"/>
                <w:szCs w:val="18"/>
              </w:rPr>
            </w:pPr>
            <w:r w:rsidRPr="00340649">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DBDBDB"/>
            <w:vAlign w:val="center"/>
          </w:tcPr>
          <w:p w14:paraId="24344414" w14:textId="77777777" w:rsidR="00340649" w:rsidRPr="00340649" w:rsidRDefault="00340649" w:rsidP="002176E5">
            <w:pPr>
              <w:jc w:val="center"/>
              <w:rPr>
                <w:sz w:val="18"/>
                <w:szCs w:val="18"/>
              </w:rPr>
            </w:pPr>
            <w:r w:rsidRPr="00340649">
              <w:rPr>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424847E" w14:textId="77777777" w:rsidR="00340649" w:rsidRPr="00340649" w:rsidRDefault="00340649" w:rsidP="002176E5">
            <w:pPr>
              <w:jc w:val="center"/>
              <w:rPr>
                <w:sz w:val="18"/>
                <w:szCs w:val="18"/>
              </w:rPr>
            </w:pPr>
            <w:r w:rsidRPr="00340649">
              <w:rPr>
                <w:sz w:val="18"/>
                <w:szCs w:val="18"/>
              </w:rPr>
              <w:t>9</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07FB855B" w14:textId="77777777" w:rsidR="00340649" w:rsidRPr="00340649" w:rsidRDefault="00340649" w:rsidP="002176E5">
            <w:pPr>
              <w:jc w:val="center"/>
              <w:rPr>
                <w:sz w:val="18"/>
                <w:szCs w:val="18"/>
              </w:rPr>
            </w:pPr>
            <w:r w:rsidRPr="00340649">
              <w:rPr>
                <w:sz w:val="18"/>
                <w:szCs w:val="18"/>
              </w:rPr>
              <w:t>12</w:t>
            </w:r>
          </w:p>
        </w:tc>
      </w:tr>
      <w:tr w:rsidR="00340649" w:rsidRPr="00E5144F" w14:paraId="760E84AC" w14:textId="77777777" w:rsidTr="000E2214">
        <w:trPr>
          <w:trHeight w:val="850"/>
          <w:jc w:val="center"/>
        </w:trPr>
        <w:tc>
          <w:tcPr>
            <w:tcW w:w="2193" w:type="dxa"/>
            <w:tcBorders>
              <w:top w:val="single" w:sz="4" w:space="0" w:color="auto"/>
              <w:left w:val="single" w:sz="4" w:space="0" w:color="auto"/>
              <w:bottom w:val="single" w:sz="4" w:space="0" w:color="auto"/>
              <w:right w:val="single" w:sz="4" w:space="0" w:color="auto"/>
            </w:tcBorders>
            <w:shd w:val="clear" w:color="auto" w:fill="auto"/>
          </w:tcPr>
          <w:p w14:paraId="1747118F" w14:textId="77777777" w:rsidR="00DA0D92" w:rsidRPr="00DA0D92" w:rsidRDefault="00340649" w:rsidP="00122B75">
            <w:pPr>
              <w:pStyle w:val="ListParagraph"/>
              <w:numPr>
                <w:ilvl w:val="0"/>
                <w:numId w:val="55"/>
              </w:numPr>
              <w:spacing w:before="60" w:after="60"/>
              <w:ind w:left="306" w:hanging="245"/>
              <w:rPr>
                <w:color w:val="FFFFFF" w:themeColor="background1"/>
                <w:sz w:val="18"/>
                <w:szCs w:val="18"/>
              </w:rPr>
            </w:pPr>
            <w:r w:rsidRPr="00340649">
              <w:rPr>
                <w:bCs/>
                <w:sz w:val="18"/>
                <w:szCs w:val="18"/>
              </w:rPr>
              <w:t>Low risk NI</w:t>
            </w:r>
            <w:r w:rsidR="00DA0D92">
              <w:rPr>
                <w:bCs/>
                <w:sz w:val="18"/>
                <w:szCs w:val="18"/>
              </w:rPr>
              <w:t xml:space="preserve"> - </w:t>
            </w:r>
          </w:p>
          <w:p w14:paraId="75909F4E" w14:textId="21A35CEA" w:rsidR="00340649" w:rsidRPr="00340649" w:rsidRDefault="00DA0D92" w:rsidP="00DA0D92">
            <w:pPr>
              <w:pStyle w:val="ListParagraph"/>
              <w:spacing w:before="60" w:after="60"/>
              <w:ind w:left="306"/>
              <w:rPr>
                <w:color w:val="FFFFFF" w:themeColor="background1"/>
                <w:sz w:val="18"/>
                <w:szCs w:val="18"/>
              </w:rPr>
            </w:pPr>
            <w:r>
              <w:rPr>
                <w:bCs/>
                <w:sz w:val="18"/>
                <w:szCs w:val="18"/>
              </w:rPr>
              <w:t>w</w:t>
            </w:r>
            <w:r w:rsidR="00340649" w:rsidRPr="00340649">
              <w:rPr>
                <w:bCs/>
                <w:sz w:val="18"/>
                <w:szCs w:val="18"/>
              </w:rPr>
              <w:t>aste processing,</w:t>
            </w:r>
            <w:r w:rsidR="00340649" w:rsidRPr="00340649">
              <w:rPr>
                <w:sz w:val="18"/>
                <w:szCs w:val="18"/>
              </w:rPr>
              <w:t xml:space="preserve"> rad</w:t>
            </w:r>
            <w:r>
              <w:rPr>
                <w:sz w:val="18"/>
                <w:szCs w:val="18"/>
              </w:rPr>
              <w:t xml:space="preserve">io pharm processing </w:t>
            </w:r>
            <w:r w:rsidR="00340649" w:rsidRPr="00340649">
              <w:rPr>
                <w:sz w:val="18"/>
                <w:szCs w:val="18"/>
              </w:rPr>
              <w:t>with no off-site effect</w:t>
            </w:r>
          </w:p>
        </w:tc>
        <w:tc>
          <w:tcPr>
            <w:tcW w:w="1346" w:type="dxa"/>
            <w:tcBorders>
              <w:top w:val="single" w:sz="4" w:space="0" w:color="auto"/>
              <w:left w:val="single" w:sz="4" w:space="0" w:color="auto"/>
              <w:bottom w:val="single" w:sz="4" w:space="0" w:color="auto"/>
              <w:right w:val="single" w:sz="4" w:space="0" w:color="auto"/>
            </w:tcBorders>
            <w:shd w:val="clear" w:color="auto" w:fill="8EAADB"/>
            <w:vAlign w:val="center"/>
          </w:tcPr>
          <w:p w14:paraId="483C5CC3" w14:textId="77777777" w:rsidR="00340649" w:rsidRPr="00340649" w:rsidRDefault="00340649" w:rsidP="002176E5">
            <w:pPr>
              <w:jc w:val="center"/>
              <w:rPr>
                <w:sz w:val="18"/>
                <w:szCs w:val="18"/>
              </w:rPr>
            </w:pPr>
            <w:r w:rsidRPr="00340649">
              <w:rPr>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BDBDB"/>
            <w:vAlign w:val="center"/>
          </w:tcPr>
          <w:p w14:paraId="4EBF6E32" w14:textId="77777777" w:rsidR="00340649" w:rsidRPr="00340649" w:rsidRDefault="00340649" w:rsidP="002176E5">
            <w:pPr>
              <w:jc w:val="center"/>
              <w:rPr>
                <w:sz w:val="18"/>
                <w:szCs w:val="18"/>
              </w:rPr>
            </w:pPr>
            <w:r w:rsidRPr="00340649">
              <w:rPr>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0F34756" w14:textId="77777777" w:rsidR="00340649" w:rsidRPr="00340649" w:rsidRDefault="00340649" w:rsidP="002176E5">
            <w:pPr>
              <w:jc w:val="center"/>
              <w:rPr>
                <w:sz w:val="18"/>
                <w:szCs w:val="18"/>
              </w:rPr>
            </w:pPr>
            <w:r w:rsidRPr="00340649">
              <w:rPr>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DC822" w:themeFill="accent4"/>
            <w:vAlign w:val="center"/>
          </w:tcPr>
          <w:p w14:paraId="3004798C" w14:textId="77777777" w:rsidR="00340649" w:rsidRPr="00340649" w:rsidRDefault="00340649" w:rsidP="002176E5">
            <w:pPr>
              <w:jc w:val="center"/>
              <w:rPr>
                <w:sz w:val="18"/>
                <w:szCs w:val="18"/>
              </w:rPr>
            </w:pPr>
            <w:r w:rsidRPr="00340649">
              <w:rPr>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EA32B1"/>
            <w:vAlign w:val="center"/>
          </w:tcPr>
          <w:p w14:paraId="36B7B864" w14:textId="77777777" w:rsidR="00340649" w:rsidRPr="00340649" w:rsidRDefault="00340649" w:rsidP="002176E5">
            <w:pPr>
              <w:jc w:val="center"/>
              <w:rPr>
                <w:sz w:val="18"/>
                <w:szCs w:val="18"/>
              </w:rPr>
            </w:pPr>
            <w:r w:rsidRPr="00340649">
              <w:rPr>
                <w:sz w:val="18"/>
                <w:szCs w:val="18"/>
              </w:rPr>
              <w:t>15</w:t>
            </w:r>
          </w:p>
        </w:tc>
      </w:tr>
      <w:tr w:rsidR="00340649" w:rsidRPr="00E5144F" w14:paraId="15815DFE" w14:textId="77777777" w:rsidTr="000E2214">
        <w:trPr>
          <w:trHeight w:val="1082"/>
          <w:jc w:val="center"/>
        </w:trPr>
        <w:tc>
          <w:tcPr>
            <w:tcW w:w="2193" w:type="dxa"/>
            <w:tcBorders>
              <w:top w:val="single" w:sz="4" w:space="0" w:color="auto"/>
              <w:left w:val="single" w:sz="4" w:space="0" w:color="auto"/>
              <w:bottom w:val="single" w:sz="4" w:space="0" w:color="auto"/>
              <w:right w:val="single" w:sz="4" w:space="0" w:color="auto"/>
            </w:tcBorders>
            <w:shd w:val="clear" w:color="auto" w:fill="auto"/>
          </w:tcPr>
          <w:p w14:paraId="2604A542" w14:textId="50094F0B" w:rsidR="00340649" w:rsidRPr="00340649" w:rsidRDefault="00340649" w:rsidP="00122B75">
            <w:pPr>
              <w:pStyle w:val="ListParagraph"/>
              <w:numPr>
                <w:ilvl w:val="0"/>
                <w:numId w:val="55"/>
              </w:numPr>
              <w:spacing w:before="60" w:after="60"/>
              <w:ind w:left="306" w:hanging="245"/>
              <w:rPr>
                <w:sz w:val="18"/>
                <w:szCs w:val="18"/>
              </w:rPr>
            </w:pPr>
            <w:r w:rsidRPr="00340649">
              <w:rPr>
                <w:sz w:val="18"/>
                <w:szCs w:val="18"/>
              </w:rPr>
              <w:t>Medium risk NI</w:t>
            </w:r>
            <w:r w:rsidR="00DA0D92">
              <w:rPr>
                <w:sz w:val="18"/>
                <w:szCs w:val="18"/>
              </w:rPr>
              <w:t xml:space="preserve"> -</w:t>
            </w:r>
            <w:r w:rsidRPr="00340649">
              <w:rPr>
                <w:sz w:val="18"/>
                <w:szCs w:val="18"/>
              </w:rPr>
              <w:br/>
            </w:r>
            <w:r w:rsidR="00DA0D92">
              <w:rPr>
                <w:sz w:val="18"/>
                <w:szCs w:val="18"/>
              </w:rPr>
              <w:t>f</w:t>
            </w:r>
            <w:r w:rsidRPr="00340649">
              <w:rPr>
                <w:sz w:val="18"/>
                <w:szCs w:val="18"/>
              </w:rPr>
              <w:t>uel cycle or rad</w:t>
            </w:r>
            <w:r w:rsidR="00DA0D92">
              <w:rPr>
                <w:sz w:val="18"/>
                <w:szCs w:val="18"/>
              </w:rPr>
              <w:t>io</w:t>
            </w:r>
            <w:r w:rsidRPr="00340649">
              <w:rPr>
                <w:sz w:val="18"/>
                <w:szCs w:val="18"/>
              </w:rPr>
              <w:t xml:space="preserve"> pharm processing with off-site effect </w:t>
            </w:r>
          </w:p>
        </w:tc>
        <w:tc>
          <w:tcPr>
            <w:tcW w:w="1346" w:type="dxa"/>
            <w:tcBorders>
              <w:top w:val="single" w:sz="4" w:space="0" w:color="auto"/>
              <w:left w:val="single" w:sz="4" w:space="0" w:color="auto"/>
              <w:bottom w:val="single" w:sz="4" w:space="0" w:color="auto"/>
              <w:right w:val="single" w:sz="4" w:space="0" w:color="auto"/>
            </w:tcBorders>
            <w:shd w:val="clear" w:color="auto" w:fill="DBDBDB"/>
            <w:vAlign w:val="center"/>
          </w:tcPr>
          <w:p w14:paraId="1B44A8AD" w14:textId="77777777" w:rsidR="00340649" w:rsidRPr="00340649" w:rsidRDefault="00340649" w:rsidP="002176E5">
            <w:pPr>
              <w:jc w:val="center"/>
              <w:rPr>
                <w:sz w:val="18"/>
                <w:szCs w:val="18"/>
              </w:rPr>
            </w:pPr>
            <w:r w:rsidRPr="00340649">
              <w:rPr>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407A434" w14:textId="77777777" w:rsidR="00340649" w:rsidRPr="00340649" w:rsidRDefault="00340649" w:rsidP="002176E5">
            <w:pPr>
              <w:jc w:val="center"/>
              <w:rPr>
                <w:sz w:val="18"/>
                <w:szCs w:val="18"/>
              </w:rPr>
            </w:pPr>
            <w:r w:rsidRPr="00340649">
              <w:rPr>
                <w:sz w:val="18"/>
                <w:szCs w:val="18"/>
              </w:rPr>
              <w:t>9</w:t>
            </w:r>
          </w:p>
        </w:tc>
        <w:tc>
          <w:tcPr>
            <w:tcW w:w="1417" w:type="dxa"/>
            <w:tcBorders>
              <w:top w:val="single" w:sz="4" w:space="0" w:color="auto"/>
              <w:left w:val="single" w:sz="4" w:space="0" w:color="auto"/>
              <w:bottom w:val="single" w:sz="4" w:space="0" w:color="auto"/>
              <w:right w:val="single" w:sz="4" w:space="0" w:color="auto"/>
            </w:tcBorders>
            <w:shd w:val="clear" w:color="auto" w:fill="FDC822" w:themeFill="accent4"/>
            <w:vAlign w:val="center"/>
          </w:tcPr>
          <w:p w14:paraId="243330F0" w14:textId="77777777" w:rsidR="00340649" w:rsidRPr="00340649" w:rsidRDefault="00340649" w:rsidP="002176E5">
            <w:pPr>
              <w:jc w:val="center"/>
              <w:rPr>
                <w:sz w:val="18"/>
                <w:szCs w:val="18"/>
              </w:rPr>
            </w:pPr>
            <w:r w:rsidRPr="00340649">
              <w:rPr>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EA32B1"/>
            <w:vAlign w:val="center"/>
          </w:tcPr>
          <w:p w14:paraId="5AE93D0E" w14:textId="77777777" w:rsidR="00340649" w:rsidRPr="00340649" w:rsidRDefault="00340649" w:rsidP="002176E5">
            <w:pPr>
              <w:jc w:val="center"/>
              <w:rPr>
                <w:sz w:val="18"/>
                <w:szCs w:val="18"/>
              </w:rPr>
            </w:pPr>
            <w:r w:rsidRPr="00340649">
              <w:rPr>
                <w:sz w:val="18"/>
                <w:szCs w:val="18"/>
              </w:rPr>
              <w:t>17</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tcPr>
          <w:p w14:paraId="40D82212" w14:textId="77777777" w:rsidR="00340649" w:rsidRPr="00340649" w:rsidRDefault="00340649" w:rsidP="002176E5">
            <w:pPr>
              <w:jc w:val="center"/>
              <w:rPr>
                <w:sz w:val="18"/>
                <w:szCs w:val="18"/>
              </w:rPr>
            </w:pPr>
            <w:r w:rsidRPr="00340649">
              <w:rPr>
                <w:sz w:val="18"/>
                <w:szCs w:val="18"/>
              </w:rPr>
              <w:t>21</w:t>
            </w:r>
          </w:p>
        </w:tc>
      </w:tr>
      <w:tr w:rsidR="00340649" w:rsidRPr="00E5144F" w14:paraId="293F88C0" w14:textId="77777777" w:rsidTr="001E0013">
        <w:trPr>
          <w:trHeight w:val="352"/>
          <w:jc w:val="center"/>
        </w:trPr>
        <w:tc>
          <w:tcPr>
            <w:tcW w:w="2193" w:type="dxa"/>
            <w:tcBorders>
              <w:top w:val="single" w:sz="4" w:space="0" w:color="auto"/>
              <w:left w:val="single" w:sz="4" w:space="0" w:color="auto"/>
              <w:bottom w:val="single" w:sz="4" w:space="0" w:color="auto"/>
              <w:right w:val="single" w:sz="4" w:space="0" w:color="auto"/>
            </w:tcBorders>
            <w:shd w:val="clear" w:color="auto" w:fill="auto"/>
          </w:tcPr>
          <w:p w14:paraId="1EFF9FDC" w14:textId="4C4B5452" w:rsidR="00340649" w:rsidRPr="00340649" w:rsidRDefault="00340649" w:rsidP="00122B75">
            <w:pPr>
              <w:pStyle w:val="ListParagraph"/>
              <w:numPr>
                <w:ilvl w:val="0"/>
                <w:numId w:val="55"/>
              </w:numPr>
              <w:spacing w:before="360" w:after="360"/>
              <w:ind w:left="306" w:hanging="245"/>
              <w:rPr>
                <w:color w:val="FFFFFF" w:themeColor="background1"/>
                <w:sz w:val="18"/>
                <w:szCs w:val="18"/>
              </w:rPr>
            </w:pPr>
            <w:r w:rsidRPr="00340649">
              <w:rPr>
                <w:sz w:val="18"/>
                <w:szCs w:val="18"/>
              </w:rPr>
              <w:t>High risk NI</w:t>
            </w:r>
            <w:r w:rsidR="00DA0D92">
              <w:rPr>
                <w:sz w:val="18"/>
                <w:szCs w:val="18"/>
              </w:rPr>
              <w:t xml:space="preserve"> -</w:t>
            </w:r>
            <w:r w:rsidRPr="00340649">
              <w:rPr>
                <w:sz w:val="18"/>
                <w:szCs w:val="18"/>
              </w:rPr>
              <w:br/>
            </w:r>
            <w:r w:rsidR="00DA0D92">
              <w:rPr>
                <w:sz w:val="18"/>
                <w:szCs w:val="18"/>
              </w:rPr>
              <w:t>research r</w:t>
            </w:r>
            <w:r w:rsidRPr="00340649">
              <w:rPr>
                <w:sz w:val="18"/>
                <w:szCs w:val="18"/>
              </w:rPr>
              <w:t xml:space="preserve">eactor </w:t>
            </w:r>
          </w:p>
        </w:tc>
        <w:tc>
          <w:tcPr>
            <w:tcW w:w="1346" w:type="dxa"/>
            <w:tcBorders>
              <w:top w:val="single" w:sz="4" w:space="0" w:color="auto"/>
              <w:left w:val="single" w:sz="4" w:space="0" w:color="auto"/>
              <w:bottom w:val="single" w:sz="4" w:space="0" w:color="auto"/>
              <w:right w:val="single" w:sz="4" w:space="0" w:color="auto"/>
            </w:tcBorders>
            <w:shd w:val="clear" w:color="auto" w:fill="FFFF00"/>
            <w:vAlign w:val="center"/>
          </w:tcPr>
          <w:p w14:paraId="4FA47271" w14:textId="77777777" w:rsidR="00340649" w:rsidRPr="00340649" w:rsidRDefault="00340649" w:rsidP="002176E5">
            <w:pPr>
              <w:jc w:val="center"/>
              <w:rPr>
                <w:sz w:val="18"/>
                <w:szCs w:val="18"/>
              </w:rPr>
            </w:pPr>
            <w:r w:rsidRPr="00340649">
              <w:rPr>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DC822" w:themeFill="accent4"/>
            <w:vAlign w:val="center"/>
          </w:tcPr>
          <w:p w14:paraId="72C749BD" w14:textId="77777777" w:rsidR="00340649" w:rsidRPr="00340649" w:rsidRDefault="00340649" w:rsidP="002176E5">
            <w:pPr>
              <w:jc w:val="center"/>
              <w:rPr>
                <w:sz w:val="18"/>
                <w:szCs w:val="18"/>
              </w:rPr>
            </w:pPr>
            <w:r w:rsidRPr="00340649">
              <w:rPr>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EA32B1"/>
            <w:vAlign w:val="center"/>
          </w:tcPr>
          <w:p w14:paraId="6264DF0E" w14:textId="77777777" w:rsidR="00340649" w:rsidRPr="00340649" w:rsidRDefault="00340649" w:rsidP="002176E5">
            <w:pPr>
              <w:jc w:val="center"/>
              <w:rPr>
                <w:sz w:val="18"/>
                <w:szCs w:val="18"/>
              </w:rPr>
            </w:pPr>
            <w:r w:rsidRPr="00340649">
              <w:rPr>
                <w:sz w:val="18"/>
                <w:szCs w:val="18"/>
              </w:rPr>
              <w:t>17</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52CDFE9E" w14:textId="77777777" w:rsidR="00340649" w:rsidRPr="00340649" w:rsidRDefault="00340649" w:rsidP="002176E5">
            <w:pPr>
              <w:jc w:val="center"/>
              <w:rPr>
                <w:sz w:val="18"/>
                <w:szCs w:val="18"/>
              </w:rPr>
            </w:pPr>
            <w:r w:rsidRPr="00340649">
              <w:rPr>
                <w:sz w:val="18"/>
                <w:szCs w:val="18"/>
              </w:rPr>
              <w:t>21</w:t>
            </w:r>
          </w:p>
        </w:tc>
        <w:tc>
          <w:tcPr>
            <w:tcW w:w="1417" w:type="dxa"/>
            <w:tcBorders>
              <w:top w:val="single" w:sz="4" w:space="0" w:color="auto"/>
              <w:left w:val="single" w:sz="4" w:space="0" w:color="auto"/>
              <w:bottom w:val="single" w:sz="4" w:space="0" w:color="auto"/>
            </w:tcBorders>
            <w:shd w:val="clear" w:color="auto" w:fill="FF0000"/>
            <w:vAlign w:val="center"/>
          </w:tcPr>
          <w:p w14:paraId="43ADC7C5" w14:textId="77777777" w:rsidR="00340649" w:rsidRPr="00340649" w:rsidRDefault="00340649" w:rsidP="002176E5">
            <w:pPr>
              <w:jc w:val="center"/>
              <w:rPr>
                <w:sz w:val="18"/>
                <w:szCs w:val="18"/>
              </w:rPr>
            </w:pPr>
            <w:r w:rsidRPr="00340649">
              <w:rPr>
                <w:sz w:val="18"/>
                <w:szCs w:val="18"/>
              </w:rPr>
              <w:t>25</w:t>
            </w:r>
          </w:p>
        </w:tc>
      </w:tr>
    </w:tbl>
    <w:p w14:paraId="690EFE8F" w14:textId="03236D63" w:rsidR="001A0FD3" w:rsidRPr="00D05168" w:rsidRDefault="001A0FD3" w:rsidP="00122B75">
      <w:pPr>
        <w:pStyle w:val="Heading3"/>
        <w:numPr>
          <w:ilvl w:val="0"/>
          <w:numId w:val="57"/>
        </w:numPr>
        <w:tabs>
          <w:tab w:val="clear" w:pos="851"/>
          <w:tab w:val="left" w:pos="709"/>
        </w:tabs>
        <w:spacing w:before="240"/>
        <w:ind w:hanging="436"/>
        <w:rPr>
          <w:rStyle w:val="Normalbold"/>
          <w:sz w:val="24"/>
          <w:szCs w:val="24"/>
        </w:rPr>
      </w:pPr>
      <w:r w:rsidRPr="00D05168">
        <w:rPr>
          <w:rStyle w:val="Normalbold"/>
          <w:sz w:val="24"/>
          <w:szCs w:val="24"/>
        </w:rPr>
        <w:t>Determining</w:t>
      </w:r>
      <w:r w:rsidR="00823D95">
        <w:rPr>
          <w:rStyle w:val="Normalbold"/>
          <w:sz w:val="24"/>
          <w:szCs w:val="24"/>
        </w:rPr>
        <w:t xml:space="preserve"> the</w:t>
      </w:r>
      <w:r w:rsidRPr="00D05168">
        <w:rPr>
          <w:rStyle w:val="Normalbold"/>
          <w:sz w:val="24"/>
          <w:szCs w:val="24"/>
        </w:rPr>
        <w:t xml:space="preserve"> level of control of </w:t>
      </w:r>
      <w:r w:rsidR="006F5BB1" w:rsidRPr="00D05168">
        <w:rPr>
          <w:rStyle w:val="Normalbold"/>
          <w:sz w:val="24"/>
          <w:szCs w:val="24"/>
        </w:rPr>
        <w:t xml:space="preserve">a </w:t>
      </w:r>
      <w:r w:rsidRPr="00D05168">
        <w:rPr>
          <w:rStyle w:val="Normalbold"/>
          <w:sz w:val="24"/>
          <w:szCs w:val="24"/>
        </w:rPr>
        <w:t>NI</w:t>
      </w:r>
    </w:p>
    <w:p w14:paraId="7F48AE4E" w14:textId="10015840" w:rsidR="001A0FD3" w:rsidRPr="00D45325" w:rsidRDefault="00000000" w:rsidP="00CF5F04">
      <w:pPr>
        <w:ind w:left="-142"/>
      </w:pPr>
      <w:hyperlink w:anchor="_Appendix_2:_Levels" w:history="1">
        <w:r w:rsidR="009A6021" w:rsidRPr="009A6021">
          <w:rPr>
            <w:rStyle w:val="Hyperlink"/>
          </w:rPr>
          <w:t xml:space="preserve">Appendix </w:t>
        </w:r>
      </w:hyperlink>
      <w:r w:rsidR="00885AB2">
        <w:rPr>
          <w:rStyle w:val="Hyperlink"/>
        </w:rPr>
        <w:t>1</w:t>
      </w:r>
      <w:r w:rsidR="001A0FD3">
        <w:t xml:space="preserve"> is used for determining the level of control of NIs. Additional aspects specific to assessment of NIs are included in that table. </w:t>
      </w:r>
    </w:p>
    <w:p w14:paraId="2253D7EE" w14:textId="0F067379" w:rsidR="001A0FD3" w:rsidRPr="00D05168" w:rsidRDefault="001A0FD3" w:rsidP="00122B75">
      <w:pPr>
        <w:pStyle w:val="Heading3"/>
        <w:numPr>
          <w:ilvl w:val="0"/>
          <w:numId w:val="56"/>
        </w:numPr>
        <w:tabs>
          <w:tab w:val="clear" w:pos="851"/>
          <w:tab w:val="left" w:pos="709"/>
        </w:tabs>
        <w:ind w:hanging="436"/>
        <w:rPr>
          <w:sz w:val="24"/>
          <w:szCs w:val="24"/>
        </w:rPr>
      </w:pPr>
      <w:r w:rsidRPr="00D05168">
        <w:rPr>
          <w:sz w:val="24"/>
          <w:szCs w:val="24"/>
        </w:rPr>
        <w:t>Determining</w:t>
      </w:r>
      <w:r w:rsidR="00823D95">
        <w:rPr>
          <w:sz w:val="24"/>
          <w:szCs w:val="24"/>
        </w:rPr>
        <w:t xml:space="preserve"> the</w:t>
      </w:r>
      <w:r w:rsidRPr="00D05168">
        <w:rPr>
          <w:sz w:val="24"/>
          <w:szCs w:val="24"/>
        </w:rPr>
        <w:t xml:space="preserve"> inspection schedule for NIs</w:t>
      </w:r>
    </w:p>
    <w:p w14:paraId="058F8707" w14:textId="622506C4" w:rsidR="001A0FD3" w:rsidRDefault="001A0FD3" w:rsidP="006F5BB1">
      <w:pPr>
        <w:spacing w:before="100" w:after="0"/>
        <w:ind w:left="-142"/>
      </w:pPr>
      <w:proofErr w:type="gramStart"/>
      <w:r>
        <w:t>Similar to</w:t>
      </w:r>
      <w:proofErr w:type="gramEnd"/>
      <w:r>
        <w:t xml:space="preserve"> </w:t>
      </w:r>
      <w:r w:rsidR="006F5BB1">
        <w:t xml:space="preserve">the </w:t>
      </w:r>
      <w:r>
        <w:t xml:space="preserve">determination of the PRF inspection schedule format, the NI inspection format presented in </w:t>
      </w:r>
      <w:r w:rsidR="00CF5F04">
        <w:t>Table 4</w:t>
      </w:r>
      <w:r>
        <w:t xml:space="preserve"> is based on the POC module cycle length, number of inspections in </w:t>
      </w:r>
      <w:r w:rsidR="00CF5F04">
        <w:t xml:space="preserve">a </w:t>
      </w:r>
      <w:r>
        <w:t xml:space="preserve">POC module cycle and inspection depth defined by the number of POC modules per inspection. </w:t>
      </w:r>
      <w:r w:rsidR="00F07E66">
        <w:t xml:space="preserve"> </w:t>
      </w:r>
      <w:r w:rsidR="00F07E66" w:rsidRPr="00617A95">
        <w:rPr>
          <w:rStyle w:val="Normalbold"/>
        </w:rPr>
        <w:t xml:space="preserve">ARPANSA maintains a three-yearly inspection schedule for </w:t>
      </w:r>
      <w:r w:rsidR="00F07E66">
        <w:rPr>
          <w:rStyle w:val="Normalbold"/>
        </w:rPr>
        <w:t>nuclear installations</w:t>
      </w:r>
      <w:r w:rsidR="00F07E66" w:rsidRPr="00617A95">
        <w:rPr>
          <w:rStyle w:val="Normalbold"/>
        </w:rPr>
        <w:t xml:space="preserve"> </w:t>
      </w:r>
      <w:r w:rsidR="00F07E66">
        <w:rPr>
          <w:rStyle w:val="Normalbold"/>
        </w:rPr>
        <w:t>and provides this to licence holder.</w:t>
      </w:r>
    </w:p>
    <w:p w14:paraId="6E3BC88B" w14:textId="0C000EA7" w:rsidR="001A0FD3" w:rsidRPr="00CF5F04" w:rsidRDefault="001A0FD3" w:rsidP="009A6021">
      <w:pPr>
        <w:pStyle w:val="Caption"/>
        <w:keepNext/>
        <w:spacing w:after="0"/>
        <w:jc w:val="center"/>
        <w:rPr>
          <w:b w:val="0"/>
          <w:color w:val="7030A0"/>
          <w:sz w:val="20"/>
          <w:szCs w:val="20"/>
        </w:rPr>
      </w:pPr>
      <w:bookmarkStart w:id="13" w:name="_Ref56684779"/>
      <w:r w:rsidRPr="00CF5F04">
        <w:rPr>
          <w:b w:val="0"/>
          <w:color w:val="7030A0"/>
          <w:sz w:val="20"/>
          <w:szCs w:val="20"/>
        </w:rPr>
        <w:t>T</w:t>
      </w:r>
      <w:r w:rsidR="009A6021" w:rsidRPr="00CF5F04">
        <w:rPr>
          <w:b w:val="0"/>
          <w:color w:val="7030A0"/>
          <w:sz w:val="20"/>
          <w:szCs w:val="20"/>
        </w:rPr>
        <w:t xml:space="preserve">ABLE </w:t>
      </w:r>
      <w:bookmarkEnd w:id="13"/>
      <w:r w:rsidR="00CF5F04">
        <w:rPr>
          <w:b w:val="0"/>
          <w:color w:val="7030A0"/>
          <w:sz w:val="20"/>
          <w:szCs w:val="20"/>
        </w:rPr>
        <w:t>4</w:t>
      </w:r>
      <w:r w:rsidRPr="00CF5F04">
        <w:rPr>
          <w:b w:val="0"/>
          <w:color w:val="7030A0"/>
          <w:sz w:val="20"/>
          <w:szCs w:val="20"/>
        </w:rPr>
        <w:t>: D</w:t>
      </w:r>
      <w:r w:rsidR="009A6021" w:rsidRPr="00CF5F04">
        <w:rPr>
          <w:b w:val="0"/>
          <w:color w:val="7030A0"/>
          <w:sz w:val="20"/>
          <w:szCs w:val="20"/>
        </w:rPr>
        <w:t>ETERMINING NI INSPECTION SCHEDULE FORMAT</w:t>
      </w:r>
    </w:p>
    <w:tbl>
      <w:tblPr>
        <w:tblStyle w:val="TableGrid"/>
        <w:tblW w:w="9776" w:type="dxa"/>
        <w:jc w:val="center"/>
        <w:tblLook w:val="04A0" w:firstRow="1" w:lastRow="0" w:firstColumn="1" w:lastColumn="0" w:noHBand="0" w:noVBand="1"/>
      </w:tblPr>
      <w:tblGrid>
        <w:gridCol w:w="1696"/>
        <w:gridCol w:w="1560"/>
        <w:gridCol w:w="1701"/>
        <w:gridCol w:w="1559"/>
        <w:gridCol w:w="1701"/>
        <w:gridCol w:w="1559"/>
      </w:tblGrid>
      <w:tr w:rsidR="001A0FD3" w:rsidRPr="00B035BC" w14:paraId="435F5843" w14:textId="77777777" w:rsidTr="009A6021">
        <w:trPr>
          <w:jc w:val="center"/>
        </w:trPr>
        <w:tc>
          <w:tcPr>
            <w:tcW w:w="1696" w:type="dxa"/>
            <w:vMerge w:val="restart"/>
            <w:vAlign w:val="center"/>
          </w:tcPr>
          <w:p w14:paraId="068974C3" w14:textId="77777777" w:rsidR="001A0FD3" w:rsidRPr="009A6021" w:rsidRDefault="001A0FD3" w:rsidP="002176E5">
            <w:pPr>
              <w:jc w:val="center"/>
              <w:rPr>
                <w:rFonts w:cstheme="minorHAnsi"/>
                <w:b/>
                <w:sz w:val="18"/>
                <w:szCs w:val="18"/>
              </w:rPr>
            </w:pPr>
            <w:r w:rsidRPr="009A6021">
              <w:rPr>
                <w:rFonts w:cstheme="minorHAnsi"/>
                <w:b/>
                <w:sz w:val="18"/>
                <w:szCs w:val="18"/>
              </w:rPr>
              <w:t>Reg priority</w:t>
            </w:r>
          </w:p>
        </w:tc>
        <w:tc>
          <w:tcPr>
            <w:tcW w:w="1560" w:type="dxa"/>
            <w:vMerge w:val="restart"/>
            <w:vAlign w:val="center"/>
          </w:tcPr>
          <w:p w14:paraId="6250FE7B" w14:textId="77777777" w:rsidR="001A0FD3" w:rsidRPr="009A6021" w:rsidRDefault="001A0FD3" w:rsidP="002176E5">
            <w:pPr>
              <w:jc w:val="center"/>
              <w:rPr>
                <w:rFonts w:cstheme="minorHAnsi"/>
                <w:b/>
                <w:sz w:val="18"/>
                <w:szCs w:val="18"/>
              </w:rPr>
            </w:pPr>
            <w:r w:rsidRPr="009A6021">
              <w:rPr>
                <w:rFonts w:cstheme="minorHAnsi"/>
                <w:b/>
                <w:sz w:val="18"/>
                <w:szCs w:val="18"/>
              </w:rPr>
              <w:t>Risk level indicator</w:t>
            </w:r>
          </w:p>
        </w:tc>
        <w:tc>
          <w:tcPr>
            <w:tcW w:w="1701" w:type="dxa"/>
            <w:vMerge w:val="restart"/>
            <w:vAlign w:val="center"/>
          </w:tcPr>
          <w:p w14:paraId="583FA3E0" w14:textId="77777777" w:rsidR="001A0FD3" w:rsidRPr="009A6021" w:rsidRDefault="001A0FD3" w:rsidP="002176E5">
            <w:pPr>
              <w:jc w:val="center"/>
              <w:rPr>
                <w:rFonts w:cstheme="minorHAnsi"/>
                <w:b/>
                <w:sz w:val="18"/>
                <w:szCs w:val="18"/>
              </w:rPr>
            </w:pPr>
            <w:r w:rsidRPr="009A6021">
              <w:rPr>
                <w:rFonts w:cstheme="minorHAnsi"/>
                <w:b/>
                <w:sz w:val="18"/>
                <w:szCs w:val="18"/>
              </w:rPr>
              <w:t>POC module cycle length</w:t>
            </w:r>
          </w:p>
          <w:p w14:paraId="1C7EB77F" w14:textId="77777777" w:rsidR="001A0FD3" w:rsidRPr="009A6021" w:rsidRDefault="001A0FD3" w:rsidP="002176E5">
            <w:pPr>
              <w:jc w:val="center"/>
              <w:rPr>
                <w:rFonts w:cstheme="minorHAnsi"/>
                <w:b/>
                <w:sz w:val="18"/>
                <w:szCs w:val="18"/>
              </w:rPr>
            </w:pPr>
            <w:r w:rsidRPr="009A6021">
              <w:rPr>
                <w:rFonts w:cstheme="minorHAnsi"/>
                <w:b/>
                <w:sz w:val="18"/>
                <w:szCs w:val="18"/>
              </w:rPr>
              <w:t>(years)</w:t>
            </w:r>
          </w:p>
        </w:tc>
        <w:tc>
          <w:tcPr>
            <w:tcW w:w="3260" w:type="dxa"/>
            <w:gridSpan w:val="2"/>
          </w:tcPr>
          <w:p w14:paraId="445244EC" w14:textId="77777777" w:rsidR="001A0FD3" w:rsidRPr="009A6021" w:rsidRDefault="001A0FD3" w:rsidP="002176E5">
            <w:pPr>
              <w:jc w:val="center"/>
              <w:rPr>
                <w:rFonts w:cstheme="minorHAnsi"/>
                <w:b/>
                <w:sz w:val="18"/>
                <w:szCs w:val="18"/>
              </w:rPr>
            </w:pPr>
            <w:r w:rsidRPr="009A6021">
              <w:rPr>
                <w:rFonts w:cstheme="minorHAnsi"/>
                <w:b/>
                <w:sz w:val="18"/>
                <w:szCs w:val="18"/>
              </w:rPr>
              <w:t xml:space="preserve">Inspection format </w:t>
            </w:r>
          </w:p>
        </w:tc>
        <w:tc>
          <w:tcPr>
            <w:tcW w:w="1559" w:type="dxa"/>
            <w:vMerge w:val="restart"/>
            <w:vAlign w:val="center"/>
          </w:tcPr>
          <w:p w14:paraId="232AFE02" w14:textId="77777777" w:rsidR="001A0FD3" w:rsidRPr="009A6021" w:rsidRDefault="001A0FD3" w:rsidP="002176E5">
            <w:pPr>
              <w:jc w:val="center"/>
              <w:rPr>
                <w:rFonts w:cstheme="minorHAnsi"/>
                <w:b/>
                <w:sz w:val="18"/>
                <w:szCs w:val="18"/>
              </w:rPr>
            </w:pPr>
            <w:r w:rsidRPr="009A6021">
              <w:rPr>
                <w:rFonts w:cstheme="minorHAnsi"/>
                <w:b/>
                <w:sz w:val="18"/>
                <w:szCs w:val="18"/>
              </w:rPr>
              <w:t xml:space="preserve"># </w:t>
            </w:r>
            <w:proofErr w:type="gramStart"/>
            <w:r w:rsidRPr="009A6021">
              <w:rPr>
                <w:rFonts w:cstheme="minorHAnsi"/>
                <w:b/>
                <w:sz w:val="18"/>
                <w:szCs w:val="18"/>
              </w:rPr>
              <w:t>of</w:t>
            </w:r>
            <w:proofErr w:type="gramEnd"/>
            <w:r w:rsidRPr="009A6021">
              <w:rPr>
                <w:rFonts w:cstheme="minorHAnsi"/>
                <w:b/>
                <w:sz w:val="18"/>
                <w:szCs w:val="18"/>
              </w:rPr>
              <w:t xml:space="preserve"> quarters between inspections</w:t>
            </w:r>
          </w:p>
        </w:tc>
      </w:tr>
      <w:tr w:rsidR="009A6021" w:rsidRPr="00B035BC" w14:paraId="42008A72" w14:textId="77777777" w:rsidTr="009A6021">
        <w:trPr>
          <w:jc w:val="center"/>
        </w:trPr>
        <w:tc>
          <w:tcPr>
            <w:tcW w:w="1696" w:type="dxa"/>
            <w:vMerge/>
          </w:tcPr>
          <w:p w14:paraId="3BC9CB65" w14:textId="77777777" w:rsidR="001A0FD3" w:rsidRPr="009A6021" w:rsidRDefault="001A0FD3" w:rsidP="002176E5">
            <w:pPr>
              <w:jc w:val="center"/>
              <w:rPr>
                <w:rFonts w:cstheme="minorHAnsi"/>
                <w:b/>
                <w:sz w:val="18"/>
                <w:szCs w:val="18"/>
              </w:rPr>
            </w:pPr>
          </w:p>
        </w:tc>
        <w:tc>
          <w:tcPr>
            <w:tcW w:w="1560" w:type="dxa"/>
            <w:vMerge/>
          </w:tcPr>
          <w:p w14:paraId="478CBF5A" w14:textId="77777777" w:rsidR="001A0FD3" w:rsidRPr="009A6021" w:rsidRDefault="001A0FD3" w:rsidP="002176E5">
            <w:pPr>
              <w:jc w:val="center"/>
              <w:rPr>
                <w:rFonts w:cstheme="minorHAnsi"/>
                <w:b/>
                <w:sz w:val="18"/>
                <w:szCs w:val="18"/>
              </w:rPr>
            </w:pPr>
          </w:p>
        </w:tc>
        <w:tc>
          <w:tcPr>
            <w:tcW w:w="1701" w:type="dxa"/>
            <w:vMerge/>
          </w:tcPr>
          <w:p w14:paraId="7D95BB7B" w14:textId="77777777" w:rsidR="001A0FD3" w:rsidRPr="009A6021" w:rsidRDefault="001A0FD3" w:rsidP="002176E5">
            <w:pPr>
              <w:jc w:val="center"/>
              <w:rPr>
                <w:rFonts w:cstheme="minorHAnsi"/>
                <w:b/>
                <w:sz w:val="18"/>
                <w:szCs w:val="18"/>
              </w:rPr>
            </w:pPr>
          </w:p>
        </w:tc>
        <w:tc>
          <w:tcPr>
            <w:tcW w:w="1559" w:type="dxa"/>
          </w:tcPr>
          <w:p w14:paraId="74464B13" w14:textId="77777777" w:rsidR="001A0FD3" w:rsidRPr="009A6021" w:rsidRDefault="001A0FD3" w:rsidP="002176E5">
            <w:pPr>
              <w:jc w:val="center"/>
              <w:rPr>
                <w:rFonts w:cstheme="minorHAnsi"/>
                <w:b/>
                <w:sz w:val="18"/>
                <w:szCs w:val="18"/>
              </w:rPr>
            </w:pPr>
            <w:r w:rsidRPr="009A6021">
              <w:rPr>
                <w:rFonts w:cstheme="minorHAnsi"/>
                <w:b/>
                <w:sz w:val="18"/>
                <w:szCs w:val="18"/>
              </w:rPr>
              <w:t xml:space="preserve"># </w:t>
            </w:r>
            <w:proofErr w:type="gramStart"/>
            <w:r w:rsidRPr="009A6021">
              <w:rPr>
                <w:rFonts w:cstheme="minorHAnsi"/>
                <w:b/>
                <w:sz w:val="18"/>
                <w:szCs w:val="18"/>
              </w:rPr>
              <w:t>of</w:t>
            </w:r>
            <w:proofErr w:type="gramEnd"/>
            <w:r w:rsidRPr="009A6021">
              <w:rPr>
                <w:rFonts w:cstheme="minorHAnsi"/>
                <w:b/>
                <w:sz w:val="18"/>
                <w:szCs w:val="18"/>
              </w:rPr>
              <w:t xml:space="preserve"> inspections in POC module cycle</w:t>
            </w:r>
          </w:p>
        </w:tc>
        <w:tc>
          <w:tcPr>
            <w:tcW w:w="1701" w:type="dxa"/>
          </w:tcPr>
          <w:p w14:paraId="47BB1F99" w14:textId="77777777" w:rsidR="001A0FD3" w:rsidRPr="009A6021" w:rsidRDefault="001A0FD3" w:rsidP="002176E5">
            <w:pPr>
              <w:jc w:val="center"/>
              <w:rPr>
                <w:rFonts w:cstheme="minorHAnsi"/>
                <w:b/>
                <w:sz w:val="18"/>
                <w:szCs w:val="18"/>
              </w:rPr>
            </w:pPr>
            <w:r w:rsidRPr="009A6021">
              <w:rPr>
                <w:rFonts w:cstheme="minorHAnsi"/>
                <w:b/>
                <w:sz w:val="18"/>
                <w:szCs w:val="18"/>
              </w:rPr>
              <w:t>Depth</w:t>
            </w:r>
          </w:p>
          <w:p w14:paraId="70B8089F" w14:textId="77777777" w:rsidR="001A0FD3" w:rsidRPr="009A6021" w:rsidRDefault="001A0FD3" w:rsidP="002176E5">
            <w:pPr>
              <w:jc w:val="center"/>
              <w:rPr>
                <w:rFonts w:cstheme="minorHAnsi"/>
                <w:b/>
                <w:sz w:val="18"/>
                <w:szCs w:val="18"/>
              </w:rPr>
            </w:pPr>
            <w:r w:rsidRPr="009A6021">
              <w:rPr>
                <w:rFonts w:cstheme="minorHAnsi"/>
                <w:b/>
                <w:sz w:val="18"/>
                <w:szCs w:val="18"/>
              </w:rPr>
              <w:t>(# of POC modules)</w:t>
            </w:r>
          </w:p>
        </w:tc>
        <w:tc>
          <w:tcPr>
            <w:tcW w:w="1559" w:type="dxa"/>
            <w:vMerge/>
          </w:tcPr>
          <w:p w14:paraId="5F2FA602" w14:textId="77777777" w:rsidR="001A0FD3" w:rsidRPr="009A6021" w:rsidRDefault="001A0FD3" w:rsidP="002176E5">
            <w:pPr>
              <w:jc w:val="center"/>
              <w:rPr>
                <w:rFonts w:cstheme="minorHAnsi"/>
                <w:b/>
                <w:sz w:val="18"/>
                <w:szCs w:val="18"/>
              </w:rPr>
            </w:pPr>
          </w:p>
        </w:tc>
      </w:tr>
      <w:tr w:rsidR="009A6021" w:rsidRPr="00B035BC" w14:paraId="0753B9ED" w14:textId="77777777" w:rsidTr="009A6021">
        <w:trPr>
          <w:jc w:val="center"/>
        </w:trPr>
        <w:tc>
          <w:tcPr>
            <w:tcW w:w="1696" w:type="dxa"/>
            <w:shd w:val="clear" w:color="auto" w:fill="0070C0"/>
          </w:tcPr>
          <w:p w14:paraId="29CC0A96" w14:textId="77777777" w:rsidR="001A0FD3" w:rsidRPr="009A6021" w:rsidRDefault="001A0FD3" w:rsidP="002176E5">
            <w:pPr>
              <w:jc w:val="right"/>
              <w:rPr>
                <w:rFonts w:cstheme="minorHAnsi"/>
                <w:color w:val="FFFFFF" w:themeColor="background1"/>
                <w:sz w:val="18"/>
                <w:szCs w:val="18"/>
              </w:rPr>
            </w:pPr>
            <w:r w:rsidRPr="009A6021">
              <w:rPr>
                <w:rFonts w:cstheme="minorHAnsi"/>
                <w:color w:val="FFFFFF" w:themeColor="background1"/>
                <w:sz w:val="18"/>
                <w:szCs w:val="18"/>
              </w:rPr>
              <w:t>NI Very Low (VL)</w:t>
            </w:r>
          </w:p>
        </w:tc>
        <w:tc>
          <w:tcPr>
            <w:tcW w:w="1560" w:type="dxa"/>
            <w:shd w:val="clear" w:color="auto" w:fill="0070C0"/>
          </w:tcPr>
          <w:p w14:paraId="13BEE7CC"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1-2</w:t>
            </w:r>
          </w:p>
        </w:tc>
        <w:tc>
          <w:tcPr>
            <w:tcW w:w="1701" w:type="dxa"/>
            <w:shd w:val="clear" w:color="auto" w:fill="0070C0"/>
          </w:tcPr>
          <w:p w14:paraId="1DCF45A4"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2-3</w:t>
            </w:r>
          </w:p>
        </w:tc>
        <w:tc>
          <w:tcPr>
            <w:tcW w:w="1559" w:type="dxa"/>
            <w:shd w:val="clear" w:color="auto" w:fill="0070C0"/>
          </w:tcPr>
          <w:p w14:paraId="33AF77D3"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1</w:t>
            </w:r>
          </w:p>
        </w:tc>
        <w:tc>
          <w:tcPr>
            <w:tcW w:w="1701" w:type="dxa"/>
            <w:shd w:val="clear" w:color="auto" w:fill="0070C0"/>
          </w:tcPr>
          <w:p w14:paraId="6D94ABEC"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8</w:t>
            </w:r>
          </w:p>
        </w:tc>
        <w:tc>
          <w:tcPr>
            <w:tcW w:w="1559" w:type="dxa"/>
            <w:shd w:val="clear" w:color="auto" w:fill="0070C0"/>
          </w:tcPr>
          <w:p w14:paraId="7B946781"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8-12</w:t>
            </w:r>
          </w:p>
        </w:tc>
      </w:tr>
      <w:tr w:rsidR="009A6021" w14:paraId="7DA38A42" w14:textId="77777777" w:rsidTr="009A6021">
        <w:trPr>
          <w:jc w:val="center"/>
        </w:trPr>
        <w:tc>
          <w:tcPr>
            <w:tcW w:w="1696" w:type="dxa"/>
            <w:shd w:val="clear" w:color="auto" w:fill="8EAADB"/>
          </w:tcPr>
          <w:p w14:paraId="32106887" w14:textId="77777777" w:rsidR="001A0FD3" w:rsidRPr="009A6021" w:rsidRDefault="001A0FD3" w:rsidP="002176E5">
            <w:pPr>
              <w:jc w:val="right"/>
              <w:rPr>
                <w:rFonts w:cstheme="minorHAnsi"/>
                <w:sz w:val="18"/>
                <w:szCs w:val="18"/>
              </w:rPr>
            </w:pPr>
            <w:r w:rsidRPr="009A6021">
              <w:rPr>
                <w:rFonts w:cstheme="minorHAnsi"/>
                <w:sz w:val="18"/>
                <w:szCs w:val="18"/>
              </w:rPr>
              <w:t>NI Low (L)</w:t>
            </w:r>
          </w:p>
        </w:tc>
        <w:tc>
          <w:tcPr>
            <w:tcW w:w="1560" w:type="dxa"/>
            <w:shd w:val="clear" w:color="auto" w:fill="8EAADB"/>
          </w:tcPr>
          <w:p w14:paraId="3A86DC0F" w14:textId="77777777" w:rsidR="001A0FD3" w:rsidRPr="009A6021" w:rsidRDefault="001A0FD3" w:rsidP="002176E5">
            <w:pPr>
              <w:jc w:val="center"/>
              <w:rPr>
                <w:rFonts w:cstheme="minorHAnsi"/>
                <w:sz w:val="18"/>
                <w:szCs w:val="18"/>
              </w:rPr>
            </w:pPr>
            <w:r w:rsidRPr="009A6021">
              <w:rPr>
                <w:rFonts w:cstheme="minorHAnsi"/>
                <w:sz w:val="18"/>
                <w:szCs w:val="18"/>
              </w:rPr>
              <w:t>3-4</w:t>
            </w:r>
          </w:p>
        </w:tc>
        <w:tc>
          <w:tcPr>
            <w:tcW w:w="1701" w:type="dxa"/>
            <w:shd w:val="clear" w:color="auto" w:fill="8EAADB"/>
          </w:tcPr>
          <w:p w14:paraId="62B4FD32" w14:textId="77777777" w:rsidR="001A0FD3" w:rsidRPr="009A6021" w:rsidRDefault="001A0FD3" w:rsidP="002176E5">
            <w:pPr>
              <w:jc w:val="center"/>
              <w:rPr>
                <w:rFonts w:cstheme="minorHAnsi"/>
                <w:sz w:val="18"/>
                <w:szCs w:val="18"/>
              </w:rPr>
            </w:pPr>
            <w:r w:rsidRPr="009A6021">
              <w:rPr>
                <w:rFonts w:cstheme="minorHAnsi"/>
                <w:sz w:val="18"/>
                <w:szCs w:val="18"/>
              </w:rPr>
              <w:t>2</w:t>
            </w:r>
          </w:p>
        </w:tc>
        <w:tc>
          <w:tcPr>
            <w:tcW w:w="1559" w:type="dxa"/>
            <w:shd w:val="clear" w:color="auto" w:fill="8EAADB"/>
          </w:tcPr>
          <w:p w14:paraId="54624785" w14:textId="77777777" w:rsidR="001A0FD3" w:rsidRPr="009A6021" w:rsidRDefault="001A0FD3" w:rsidP="002176E5">
            <w:pPr>
              <w:jc w:val="center"/>
              <w:rPr>
                <w:rFonts w:cstheme="minorHAnsi"/>
                <w:sz w:val="18"/>
                <w:szCs w:val="18"/>
              </w:rPr>
            </w:pPr>
            <w:r w:rsidRPr="009A6021">
              <w:rPr>
                <w:rFonts w:cstheme="minorHAnsi"/>
                <w:sz w:val="18"/>
                <w:szCs w:val="18"/>
              </w:rPr>
              <w:t>1</w:t>
            </w:r>
          </w:p>
        </w:tc>
        <w:tc>
          <w:tcPr>
            <w:tcW w:w="1701" w:type="dxa"/>
            <w:shd w:val="clear" w:color="auto" w:fill="8EAADB"/>
          </w:tcPr>
          <w:p w14:paraId="595EA9C8" w14:textId="77777777" w:rsidR="001A0FD3" w:rsidRPr="009A6021" w:rsidRDefault="001A0FD3" w:rsidP="002176E5">
            <w:pPr>
              <w:jc w:val="center"/>
              <w:rPr>
                <w:rFonts w:cstheme="minorHAnsi"/>
                <w:sz w:val="18"/>
                <w:szCs w:val="18"/>
              </w:rPr>
            </w:pPr>
            <w:r w:rsidRPr="009A6021">
              <w:rPr>
                <w:rFonts w:cstheme="minorHAnsi"/>
                <w:sz w:val="18"/>
                <w:szCs w:val="18"/>
              </w:rPr>
              <w:t>8</w:t>
            </w:r>
          </w:p>
        </w:tc>
        <w:tc>
          <w:tcPr>
            <w:tcW w:w="1559" w:type="dxa"/>
            <w:shd w:val="clear" w:color="auto" w:fill="8EAADB"/>
          </w:tcPr>
          <w:p w14:paraId="1FA45026" w14:textId="77777777" w:rsidR="001A0FD3" w:rsidRPr="009A6021" w:rsidRDefault="001A0FD3" w:rsidP="002176E5">
            <w:pPr>
              <w:jc w:val="center"/>
              <w:rPr>
                <w:rFonts w:cstheme="minorHAnsi"/>
                <w:sz w:val="18"/>
                <w:szCs w:val="18"/>
              </w:rPr>
            </w:pPr>
            <w:r w:rsidRPr="009A6021">
              <w:rPr>
                <w:rFonts w:cstheme="minorHAnsi"/>
                <w:sz w:val="18"/>
                <w:szCs w:val="18"/>
              </w:rPr>
              <w:t>8</w:t>
            </w:r>
          </w:p>
        </w:tc>
      </w:tr>
      <w:tr w:rsidR="009A6021" w14:paraId="6F7BACAB" w14:textId="77777777" w:rsidTr="000E2214">
        <w:trPr>
          <w:jc w:val="center"/>
        </w:trPr>
        <w:tc>
          <w:tcPr>
            <w:tcW w:w="1696" w:type="dxa"/>
            <w:shd w:val="clear" w:color="auto" w:fill="DBDBDB"/>
          </w:tcPr>
          <w:p w14:paraId="05FBF89F" w14:textId="77777777" w:rsidR="001A0FD3" w:rsidRPr="009A6021" w:rsidRDefault="001A0FD3" w:rsidP="002176E5">
            <w:pPr>
              <w:jc w:val="right"/>
              <w:rPr>
                <w:rFonts w:cstheme="minorHAnsi"/>
                <w:sz w:val="18"/>
                <w:szCs w:val="18"/>
              </w:rPr>
            </w:pPr>
            <w:r w:rsidRPr="009A6021">
              <w:rPr>
                <w:rFonts w:cstheme="minorHAnsi"/>
                <w:sz w:val="18"/>
                <w:szCs w:val="18"/>
              </w:rPr>
              <w:t>NI Med-Low (ML)</w:t>
            </w:r>
          </w:p>
        </w:tc>
        <w:tc>
          <w:tcPr>
            <w:tcW w:w="1560" w:type="dxa"/>
            <w:shd w:val="clear" w:color="auto" w:fill="DBDBDB"/>
          </w:tcPr>
          <w:p w14:paraId="2E7D9BF1" w14:textId="77777777" w:rsidR="001A0FD3" w:rsidRPr="009A6021" w:rsidRDefault="001A0FD3" w:rsidP="002176E5">
            <w:pPr>
              <w:jc w:val="center"/>
              <w:rPr>
                <w:rFonts w:cstheme="minorHAnsi"/>
                <w:sz w:val="18"/>
                <w:szCs w:val="18"/>
              </w:rPr>
            </w:pPr>
            <w:r w:rsidRPr="009A6021">
              <w:rPr>
                <w:rFonts w:cstheme="minorHAnsi"/>
                <w:sz w:val="18"/>
                <w:szCs w:val="18"/>
              </w:rPr>
              <w:t>5-8</w:t>
            </w:r>
          </w:p>
        </w:tc>
        <w:tc>
          <w:tcPr>
            <w:tcW w:w="1701" w:type="dxa"/>
            <w:shd w:val="clear" w:color="auto" w:fill="DBDBDB"/>
          </w:tcPr>
          <w:p w14:paraId="23D43E86" w14:textId="77777777" w:rsidR="001A0FD3" w:rsidRPr="009A6021" w:rsidRDefault="001A0FD3" w:rsidP="002176E5">
            <w:pPr>
              <w:jc w:val="center"/>
              <w:rPr>
                <w:rFonts w:cstheme="minorHAnsi"/>
                <w:sz w:val="18"/>
                <w:szCs w:val="18"/>
              </w:rPr>
            </w:pPr>
            <w:r w:rsidRPr="009A6021">
              <w:rPr>
                <w:rFonts w:cstheme="minorHAnsi"/>
                <w:sz w:val="18"/>
                <w:szCs w:val="18"/>
              </w:rPr>
              <w:t>2.5</w:t>
            </w:r>
          </w:p>
        </w:tc>
        <w:tc>
          <w:tcPr>
            <w:tcW w:w="1559" w:type="dxa"/>
            <w:shd w:val="clear" w:color="auto" w:fill="DBDBDB"/>
          </w:tcPr>
          <w:p w14:paraId="206F6995" w14:textId="77777777" w:rsidR="001A0FD3" w:rsidRPr="009A6021" w:rsidRDefault="001A0FD3" w:rsidP="002176E5">
            <w:pPr>
              <w:jc w:val="center"/>
              <w:rPr>
                <w:rFonts w:cstheme="minorHAnsi"/>
                <w:sz w:val="18"/>
                <w:szCs w:val="18"/>
              </w:rPr>
            </w:pPr>
            <w:r w:rsidRPr="009A6021">
              <w:rPr>
                <w:rFonts w:cstheme="minorHAnsi"/>
                <w:sz w:val="18"/>
                <w:szCs w:val="18"/>
              </w:rPr>
              <w:t xml:space="preserve">2 </w:t>
            </w:r>
          </w:p>
        </w:tc>
        <w:tc>
          <w:tcPr>
            <w:tcW w:w="1701" w:type="dxa"/>
            <w:shd w:val="clear" w:color="auto" w:fill="DBDBDB"/>
          </w:tcPr>
          <w:p w14:paraId="6D3236DE" w14:textId="77777777" w:rsidR="001A0FD3" w:rsidRPr="009A6021" w:rsidRDefault="001A0FD3" w:rsidP="002176E5">
            <w:pPr>
              <w:jc w:val="center"/>
              <w:rPr>
                <w:rFonts w:cstheme="minorHAnsi"/>
                <w:sz w:val="18"/>
                <w:szCs w:val="18"/>
              </w:rPr>
            </w:pPr>
            <w:r w:rsidRPr="009A6021">
              <w:rPr>
                <w:rFonts w:cstheme="minorHAnsi"/>
                <w:sz w:val="18"/>
                <w:szCs w:val="18"/>
              </w:rPr>
              <w:t>4-8</w:t>
            </w:r>
          </w:p>
        </w:tc>
        <w:tc>
          <w:tcPr>
            <w:tcW w:w="1559" w:type="dxa"/>
            <w:shd w:val="clear" w:color="auto" w:fill="DBDBDB"/>
          </w:tcPr>
          <w:p w14:paraId="3A6FD643" w14:textId="77777777" w:rsidR="001A0FD3" w:rsidRPr="009A6021" w:rsidRDefault="001A0FD3" w:rsidP="002176E5">
            <w:pPr>
              <w:jc w:val="center"/>
              <w:rPr>
                <w:rFonts w:cstheme="minorHAnsi"/>
                <w:sz w:val="18"/>
                <w:szCs w:val="18"/>
              </w:rPr>
            </w:pPr>
            <w:r w:rsidRPr="009A6021">
              <w:rPr>
                <w:rFonts w:cstheme="minorHAnsi"/>
                <w:sz w:val="18"/>
                <w:szCs w:val="18"/>
              </w:rPr>
              <w:t>5</w:t>
            </w:r>
          </w:p>
        </w:tc>
      </w:tr>
      <w:tr w:rsidR="009A6021" w14:paraId="3F209B99" w14:textId="77777777" w:rsidTr="009A6021">
        <w:trPr>
          <w:jc w:val="center"/>
        </w:trPr>
        <w:tc>
          <w:tcPr>
            <w:tcW w:w="1696" w:type="dxa"/>
            <w:shd w:val="clear" w:color="auto" w:fill="FFFF00"/>
          </w:tcPr>
          <w:p w14:paraId="769BFE46" w14:textId="77777777" w:rsidR="001A0FD3" w:rsidRPr="009A6021" w:rsidRDefault="001A0FD3" w:rsidP="002176E5">
            <w:pPr>
              <w:jc w:val="right"/>
              <w:rPr>
                <w:rFonts w:cstheme="minorHAnsi"/>
                <w:sz w:val="18"/>
                <w:szCs w:val="18"/>
              </w:rPr>
            </w:pPr>
            <w:r w:rsidRPr="009A6021">
              <w:rPr>
                <w:rFonts w:cstheme="minorHAnsi"/>
                <w:sz w:val="18"/>
                <w:szCs w:val="18"/>
              </w:rPr>
              <w:t>NI Med (M)</w:t>
            </w:r>
          </w:p>
        </w:tc>
        <w:tc>
          <w:tcPr>
            <w:tcW w:w="1560" w:type="dxa"/>
            <w:shd w:val="clear" w:color="auto" w:fill="FFFF00"/>
          </w:tcPr>
          <w:p w14:paraId="5976C1D5" w14:textId="77777777" w:rsidR="001A0FD3" w:rsidRPr="009A6021" w:rsidRDefault="001A0FD3" w:rsidP="002176E5">
            <w:pPr>
              <w:jc w:val="center"/>
              <w:rPr>
                <w:rFonts w:cstheme="minorHAnsi"/>
                <w:sz w:val="18"/>
                <w:szCs w:val="18"/>
              </w:rPr>
            </w:pPr>
            <w:r w:rsidRPr="009A6021">
              <w:rPr>
                <w:rFonts w:cstheme="minorHAnsi"/>
                <w:sz w:val="18"/>
                <w:szCs w:val="18"/>
              </w:rPr>
              <w:t>9-11</w:t>
            </w:r>
          </w:p>
        </w:tc>
        <w:tc>
          <w:tcPr>
            <w:tcW w:w="1701" w:type="dxa"/>
            <w:shd w:val="clear" w:color="auto" w:fill="FFFF00"/>
          </w:tcPr>
          <w:p w14:paraId="3BF6F2B4" w14:textId="77777777" w:rsidR="001A0FD3" w:rsidRPr="009A6021" w:rsidRDefault="001A0FD3" w:rsidP="002176E5">
            <w:pPr>
              <w:jc w:val="center"/>
              <w:rPr>
                <w:rFonts w:cstheme="minorHAnsi"/>
                <w:sz w:val="18"/>
                <w:szCs w:val="18"/>
              </w:rPr>
            </w:pPr>
            <w:r w:rsidRPr="009A6021">
              <w:rPr>
                <w:rFonts w:cstheme="minorHAnsi"/>
                <w:sz w:val="18"/>
                <w:szCs w:val="18"/>
              </w:rPr>
              <w:t>2</w:t>
            </w:r>
          </w:p>
        </w:tc>
        <w:tc>
          <w:tcPr>
            <w:tcW w:w="1559" w:type="dxa"/>
            <w:shd w:val="clear" w:color="auto" w:fill="FFFF00"/>
          </w:tcPr>
          <w:p w14:paraId="0BC9B391" w14:textId="77777777" w:rsidR="001A0FD3" w:rsidRPr="009A6021" w:rsidRDefault="001A0FD3" w:rsidP="002176E5">
            <w:pPr>
              <w:jc w:val="center"/>
              <w:rPr>
                <w:rFonts w:cstheme="minorHAnsi"/>
                <w:sz w:val="18"/>
                <w:szCs w:val="18"/>
              </w:rPr>
            </w:pPr>
            <w:r w:rsidRPr="009A6021">
              <w:rPr>
                <w:rFonts w:cstheme="minorHAnsi"/>
                <w:sz w:val="18"/>
                <w:szCs w:val="18"/>
              </w:rPr>
              <w:t>2</w:t>
            </w:r>
          </w:p>
        </w:tc>
        <w:tc>
          <w:tcPr>
            <w:tcW w:w="1701" w:type="dxa"/>
            <w:shd w:val="clear" w:color="auto" w:fill="FFFF00"/>
          </w:tcPr>
          <w:p w14:paraId="53FA82CA" w14:textId="77777777" w:rsidR="001A0FD3" w:rsidRPr="009A6021" w:rsidRDefault="001A0FD3" w:rsidP="002176E5">
            <w:pPr>
              <w:jc w:val="center"/>
              <w:rPr>
                <w:rFonts w:cstheme="minorHAnsi"/>
                <w:sz w:val="18"/>
                <w:szCs w:val="18"/>
              </w:rPr>
            </w:pPr>
            <w:r w:rsidRPr="009A6021">
              <w:rPr>
                <w:rFonts w:cstheme="minorHAnsi"/>
                <w:sz w:val="18"/>
                <w:szCs w:val="18"/>
              </w:rPr>
              <w:t>4</w:t>
            </w:r>
          </w:p>
        </w:tc>
        <w:tc>
          <w:tcPr>
            <w:tcW w:w="1559" w:type="dxa"/>
            <w:shd w:val="clear" w:color="auto" w:fill="FFFF00"/>
          </w:tcPr>
          <w:p w14:paraId="4C78534D" w14:textId="77777777" w:rsidR="001A0FD3" w:rsidRPr="009A6021" w:rsidRDefault="001A0FD3" w:rsidP="002176E5">
            <w:pPr>
              <w:jc w:val="center"/>
              <w:rPr>
                <w:rFonts w:cstheme="minorHAnsi"/>
                <w:sz w:val="18"/>
                <w:szCs w:val="18"/>
              </w:rPr>
            </w:pPr>
            <w:r w:rsidRPr="009A6021">
              <w:rPr>
                <w:rFonts w:cstheme="minorHAnsi"/>
                <w:sz w:val="18"/>
                <w:szCs w:val="18"/>
              </w:rPr>
              <w:t>4</w:t>
            </w:r>
          </w:p>
        </w:tc>
      </w:tr>
      <w:tr w:rsidR="009A6021" w14:paraId="78290F3E" w14:textId="77777777" w:rsidTr="009A6021">
        <w:trPr>
          <w:jc w:val="center"/>
        </w:trPr>
        <w:tc>
          <w:tcPr>
            <w:tcW w:w="1696" w:type="dxa"/>
            <w:shd w:val="clear" w:color="auto" w:fill="EEB72E"/>
          </w:tcPr>
          <w:p w14:paraId="60FE0243" w14:textId="77777777" w:rsidR="001A0FD3" w:rsidRPr="009A6021" w:rsidRDefault="001A0FD3" w:rsidP="002176E5">
            <w:pPr>
              <w:jc w:val="right"/>
              <w:rPr>
                <w:rFonts w:cstheme="minorHAnsi"/>
                <w:sz w:val="18"/>
                <w:szCs w:val="18"/>
              </w:rPr>
            </w:pPr>
            <w:r w:rsidRPr="009A6021">
              <w:rPr>
                <w:rFonts w:cstheme="minorHAnsi"/>
                <w:sz w:val="18"/>
                <w:szCs w:val="18"/>
              </w:rPr>
              <w:t>NI Med-High (MH)</w:t>
            </w:r>
          </w:p>
        </w:tc>
        <w:tc>
          <w:tcPr>
            <w:tcW w:w="1560" w:type="dxa"/>
            <w:shd w:val="clear" w:color="auto" w:fill="EEB72E"/>
          </w:tcPr>
          <w:p w14:paraId="0BA9C1B3" w14:textId="77777777" w:rsidR="001A0FD3" w:rsidRPr="009A6021" w:rsidRDefault="001A0FD3" w:rsidP="002176E5">
            <w:pPr>
              <w:jc w:val="center"/>
              <w:rPr>
                <w:rFonts w:cstheme="minorHAnsi"/>
                <w:sz w:val="18"/>
                <w:szCs w:val="18"/>
              </w:rPr>
            </w:pPr>
            <w:r w:rsidRPr="009A6021">
              <w:rPr>
                <w:rFonts w:cstheme="minorHAnsi"/>
                <w:sz w:val="18"/>
                <w:szCs w:val="18"/>
              </w:rPr>
              <w:t>12-13</w:t>
            </w:r>
          </w:p>
        </w:tc>
        <w:tc>
          <w:tcPr>
            <w:tcW w:w="1701" w:type="dxa"/>
            <w:shd w:val="clear" w:color="auto" w:fill="EEB72E"/>
          </w:tcPr>
          <w:p w14:paraId="0A789F16" w14:textId="77777777" w:rsidR="001A0FD3" w:rsidRPr="009A6021" w:rsidRDefault="001A0FD3" w:rsidP="002176E5">
            <w:pPr>
              <w:jc w:val="center"/>
              <w:rPr>
                <w:rFonts w:cstheme="minorHAnsi"/>
                <w:sz w:val="18"/>
                <w:szCs w:val="18"/>
              </w:rPr>
            </w:pPr>
            <w:r w:rsidRPr="009A6021">
              <w:rPr>
                <w:rFonts w:cstheme="minorHAnsi"/>
                <w:sz w:val="18"/>
                <w:szCs w:val="18"/>
              </w:rPr>
              <w:t>2.5</w:t>
            </w:r>
          </w:p>
        </w:tc>
        <w:tc>
          <w:tcPr>
            <w:tcW w:w="1559" w:type="dxa"/>
            <w:shd w:val="clear" w:color="auto" w:fill="EEB72E"/>
          </w:tcPr>
          <w:p w14:paraId="507BC52A" w14:textId="77777777" w:rsidR="001A0FD3" w:rsidRPr="009A6021" w:rsidRDefault="001A0FD3" w:rsidP="002176E5">
            <w:pPr>
              <w:jc w:val="center"/>
              <w:rPr>
                <w:rFonts w:cstheme="minorHAnsi"/>
                <w:sz w:val="18"/>
                <w:szCs w:val="18"/>
              </w:rPr>
            </w:pPr>
            <w:r w:rsidRPr="009A6021">
              <w:rPr>
                <w:rFonts w:cstheme="minorHAnsi"/>
                <w:sz w:val="18"/>
                <w:szCs w:val="18"/>
              </w:rPr>
              <w:t>4</w:t>
            </w:r>
          </w:p>
        </w:tc>
        <w:tc>
          <w:tcPr>
            <w:tcW w:w="1701" w:type="dxa"/>
            <w:shd w:val="clear" w:color="auto" w:fill="EEB72E"/>
          </w:tcPr>
          <w:p w14:paraId="3747C29C" w14:textId="77777777" w:rsidR="001A0FD3" w:rsidRPr="009A6021" w:rsidRDefault="001A0FD3" w:rsidP="002176E5">
            <w:pPr>
              <w:jc w:val="center"/>
              <w:rPr>
                <w:rFonts w:cstheme="minorHAnsi"/>
                <w:sz w:val="18"/>
                <w:szCs w:val="18"/>
              </w:rPr>
            </w:pPr>
            <w:r w:rsidRPr="009A6021">
              <w:rPr>
                <w:rFonts w:cstheme="minorHAnsi"/>
                <w:sz w:val="18"/>
                <w:szCs w:val="18"/>
              </w:rPr>
              <w:t>2</w:t>
            </w:r>
          </w:p>
        </w:tc>
        <w:tc>
          <w:tcPr>
            <w:tcW w:w="1559" w:type="dxa"/>
            <w:shd w:val="clear" w:color="auto" w:fill="EEB72E"/>
          </w:tcPr>
          <w:p w14:paraId="5701B928" w14:textId="3806784D" w:rsidR="001A0FD3" w:rsidRPr="009A6021" w:rsidRDefault="001A0FD3" w:rsidP="002176E5">
            <w:pPr>
              <w:jc w:val="center"/>
              <w:rPr>
                <w:rFonts w:cstheme="minorHAnsi"/>
                <w:sz w:val="18"/>
                <w:szCs w:val="18"/>
              </w:rPr>
            </w:pPr>
            <w:r w:rsidRPr="009A6021">
              <w:rPr>
                <w:rFonts w:cstheme="minorHAnsi"/>
                <w:sz w:val="18"/>
                <w:szCs w:val="18"/>
              </w:rPr>
              <w:t>2-3 (</w:t>
            </w:r>
            <w:proofErr w:type="gramStart"/>
            <w:r w:rsidR="00282EDA">
              <w:rPr>
                <w:rFonts w:cstheme="minorHAnsi"/>
                <w:sz w:val="18"/>
                <w:szCs w:val="18"/>
              </w:rPr>
              <w:t>e.g.</w:t>
            </w:r>
            <w:proofErr w:type="gramEnd"/>
            <w:r w:rsidR="00282EDA">
              <w:rPr>
                <w:rFonts w:cstheme="minorHAnsi"/>
                <w:sz w:val="18"/>
                <w:szCs w:val="18"/>
              </w:rPr>
              <w:t xml:space="preserve"> </w:t>
            </w:r>
            <w:r w:rsidRPr="009A6021">
              <w:rPr>
                <w:rFonts w:cstheme="minorHAnsi"/>
                <w:sz w:val="18"/>
                <w:szCs w:val="18"/>
              </w:rPr>
              <w:t>3, 3, 2, 2)</w:t>
            </w:r>
          </w:p>
        </w:tc>
      </w:tr>
      <w:tr w:rsidR="009A6021" w14:paraId="63DCBD2E" w14:textId="77777777" w:rsidTr="009A6021">
        <w:trPr>
          <w:jc w:val="center"/>
        </w:trPr>
        <w:tc>
          <w:tcPr>
            <w:tcW w:w="1696" w:type="dxa"/>
            <w:shd w:val="clear" w:color="auto" w:fill="EA32B1"/>
          </w:tcPr>
          <w:p w14:paraId="5A3AA3F3" w14:textId="77777777" w:rsidR="001A0FD3" w:rsidRPr="009A6021" w:rsidRDefault="001A0FD3" w:rsidP="002176E5">
            <w:pPr>
              <w:jc w:val="right"/>
              <w:rPr>
                <w:rFonts w:cstheme="minorHAnsi"/>
                <w:sz w:val="18"/>
                <w:szCs w:val="18"/>
              </w:rPr>
            </w:pPr>
            <w:r w:rsidRPr="009A6021">
              <w:rPr>
                <w:rFonts w:cstheme="minorHAnsi"/>
                <w:sz w:val="18"/>
                <w:szCs w:val="18"/>
              </w:rPr>
              <w:t>NI High (H)</w:t>
            </w:r>
          </w:p>
        </w:tc>
        <w:tc>
          <w:tcPr>
            <w:tcW w:w="1560" w:type="dxa"/>
            <w:shd w:val="clear" w:color="auto" w:fill="EA32B1"/>
          </w:tcPr>
          <w:p w14:paraId="16B086CF" w14:textId="77777777" w:rsidR="001A0FD3" w:rsidRPr="009A6021" w:rsidRDefault="001A0FD3" w:rsidP="002176E5">
            <w:pPr>
              <w:jc w:val="center"/>
              <w:rPr>
                <w:rFonts w:cstheme="minorHAnsi"/>
                <w:sz w:val="18"/>
                <w:szCs w:val="18"/>
              </w:rPr>
            </w:pPr>
            <w:r w:rsidRPr="009A6021">
              <w:rPr>
                <w:rFonts w:cstheme="minorHAnsi"/>
                <w:sz w:val="18"/>
                <w:szCs w:val="18"/>
              </w:rPr>
              <w:t>14-17</w:t>
            </w:r>
          </w:p>
        </w:tc>
        <w:tc>
          <w:tcPr>
            <w:tcW w:w="1701" w:type="dxa"/>
            <w:shd w:val="clear" w:color="auto" w:fill="EA32B1"/>
          </w:tcPr>
          <w:p w14:paraId="0D306B66" w14:textId="77777777" w:rsidR="001A0FD3" w:rsidRPr="009A6021" w:rsidRDefault="001A0FD3" w:rsidP="002176E5">
            <w:pPr>
              <w:jc w:val="center"/>
              <w:rPr>
                <w:rFonts w:cstheme="minorHAnsi"/>
                <w:sz w:val="18"/>
                <w:szCs w:val="18"/>
              </w:rPr>
            </w:pPr>
            <w:r w:rsidRPr="009A6021">
              <w:rPr>
                <w:rFonts w:cstheme="minorHAnsi"/>
                <w:sz w:val="18"/>
                <w:szCs w:val="18"/>
              </w:rPr>
              <w:t>2</w:t>
            </w:r>
          </w:p>
        </w:tc>
        <w:tc>
          <w:tcPr>
            <w:tcW w:w="1559" w:type="dxa"/>
            <w:shd w:val="clear" w:color="auto" w:fill="EA32B1"/>
          </w:tcPr>
          <w:p w14:paraId="1594E460" w14:textId="77777777" w:rsidR="001A0FD3" w:rsidRPr="009A6021" w:rsidRDefault="001A0FD3" w:rsidP="002176E5">
            <w:pPr>
              <w:jc w:val="center"/>
              <w:rPr>
                <w:rFonts w:cstheme="minorHAnsi"/>
                <w:sz w:val="18"/>
                <w:szCs w:val="18"/>
              </w:rPr>
            </w:pPr>
            <w:r w:rsidRPr="009A6021">
              <w:rPr>
                <w:rFonts w:cstheme="minorHAnsi"/>
                <w:sz w:val="18"/>
                <w:szCs w:val="18"/>
              </w:rPr>
              <w:t>4</w:t>
            </w:r>
          </w:p>
        </w:tc>
        <w:tc>
          <w:tcPr>
            <w:tcW w:w="1701" w:type="dxa"/>
            <w:shd w:val="clear" w:color="auto" w:fill="EA32B1"/>
          </w:tcPr>
          <w:p w14:paraId="0C09F2D2" w14:textId="77777777" w:rsidR="001A0FD3" w:rsidRPr="009A6021" w:rsidRDefault="001A0FD3" w:rsidP="002176E5">
            <w:pPr>
              <w:jc w:val="center"/>
              <w:rPr>
                <w:rFonts w:cstheme="minorHAnsi"/>
                <w:sz w:val="18"/>
                <w:szCs w:val="18"/>
              </w:rPr>
            </w:pPr>
            <w:r w:rsidRPr="009A6021">
              <w:rPr>
                <w:rFonts w:cstheme="minorHAnsi"/>
                <w:sz w:val="18"/>
                <w:szCs w:val="18"/>
              </w:rPr>
              <w:t>2</w:t>
            </w:r>
          </w:p>
        </w:tc>
        <w:tc>
          <w:tcPr>
            <w:tcW w:w="1559" w:type="dxa"/>
            <w:shd w:val="clear" w:color="auto" w:fill="EA32B1"/>
          </w:tcPr>
          <w:p w14:paraId="74B521C0" w14:textId="77777777" w:rsidR="001A0FD3" w:rsidRPr="009A6021" w:rsidRDefault="001A0FD3" w:rsidP="002176E5">
            <w:pPr>
              <w:jc w:val="center"/>
              <w:rPr>
                <w:rFonts w:cstheme="minorHAnsi"/>
                <w:sz w:val="18"/>
                <w:szCs w:val="18"/>
              </w:rPr>
            </w:pPr>
            <w:r w:rsidRPr="009A6021">
              <w:rPr>
                <w:rFonts w:cstheme="minorHAnsi"/>
                <w:sz w:val="18"/>
                <w:szCs w:val="18"/>
              </w:rPr>
              <w:t>2 (every second quarter)</w:t>
            </w:r>
          </w:p>
        </w:tc>
      </w:tr>
      <w:tr w:rsidR="009A6021" w:rsidRPr="00B035BC" w14:paraId="1BA7F4A7" w14:textId="77777777" w:rsidTr="009A6021">
        <w:trPr>
          <w:jc w:val="center"/>
        </w:trPr>
        <w:tc>
          <w:tcPr>
            <w:tcW w:w="1696" w:type="dxa"/>
            <w:shd w:val="clear" w:color="auto" w:fill="FF0000"/>
          </w:tcPr>
          <w:p w14:paraId="2652866C" w14:textId="77777777" w:rsidR="001A0FD3" w:rsidRPr="009A6021" w:rsidRDefault="001A0FD3" w:rsidP="002176E5">
            <w:pPr>
              <w:jc w:val="right"/>
              <w:rPr>
                <w:rFonts w:cstheme="minorHAnsi"/>
                <w:color w:val="FFFFFF" w:themeColor="background1"/>
                <w:sz w:val="18"/>
                <w:szCs w:val="18"/>
              </w:rPr>
            </w:pPr>
            <w:r w:rsidRPr="009A6021">
              <w:rPr>
                <w:rFonts w:cstheme="minorHAnsi"/>
                <w:color w:val="FFFFFF" w:themeColor="background1"/>
                <w:sz w:val="18"/>
                <w:szCs w:val="18"/>
              </w:rPr>
              <w:t>NI Very High (VH)</w:t>
            </w:r>
          </w:p>
        </w:tc>
        <w:tc>
          <w:tcPr>
            <w:tcW w:w="1560" w:type="dxa"/>
            <w:shd w:val="clear" w:color="auto" w:fill="FF0000"/>
          </w:tcPr>
          <w:p w14:paraId="46FBA89D"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18-25</w:t>
            </w:r>
          </w:p>
        </w:tc>
        <w:tc>
          <w:tcPr>
            <w:tcW w:w="1701" w:type="dxa"/>
            <w:shd w:val="clear" w:color="auto" w:fill="FF0000"/>
          </w:tcPr>
          <w:p w14:paraId="3F805E89"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2</w:t>
            </w:r>
          </w:p>
        </w:tc>
        <w:tc>
          <w:tcPr>
            <w:tcW w:w="1559" w:type="dxa"/>
            <w:shd w:val="clear" w:color="auto" w:fill="FF0000"/>
          </w:tcPr>
          <w:p w14:paraId="3AB77CE5"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8</w:t>
            </w:r>
          </w:p>
        </w:tc>
        <w:tc>
          <w:tcPr>
            <w:tcW w:w="1701" w:type="dxa"/>
            <w:shd w:val="clear" w:color="auto" w:fill="FF0000"/>
          </w:tcPr>
          <w:p w14:paraId="2C3F2FD7"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1</w:t>
            </w:r>
          </w:p>
        </w:tc>
        <w:tc>
          <w:tcPr>
            <w:tcW w:w="1559" w:type="dxa"/>
            <w:shd w:val="clear" w:color="auto" w:fill="FF0000"/>
          </w:tcPr>
          <w:p w14:paraId="0F1B0BFF" w14:textId="77777777" w:rsidR="001A0FD3" w:rsidRPr="009A6021" w:rsidRDefault="001A0FD3" w:rsidP="002176E5">
            <w:pPr>
              <w:jc w:val="center"/>
              <w:rPr>
                <w:rFonts w:cstheme="minorHAnsi"/>
                <w:color w:val="FFFFFF" w:themeColor="background1"/>
                <w:sz w:val="18"/>
                <w:szCs w:val="18"/>
              </w:rPr>
            </w:pPr>
            <w:r w:rsidRPr="009A6021">
              <w:rPr>
                <w:rFonts w:cstheme="minorHAnsi"/>
                <w:color w:val="FFFFFF" w:themeColor="background1"/>
                <w:sz w:val="18"/>
                <w:szCs w:val="18"/>
              </w:rPr>
              <w:t>1 (every quarter)</w:t>
            </w:r>
          </w:p>
        </w:tc>
      </w:tr>
    </w:tbl>
    <w:p w14:paraId="0962B065" w14:textId="652798A8" w:rsidR="001A0FD3" w:rsidRPr="003E549A" w:rsidRDefault="001A0FD3" w:rsidP="00CF5F04">
      <w:pPr>
        <w:ind w:left="-142"/>
      </w:pPr>
      <w:r>
        <w:lastRenderedPageBreak/>
        <w:t xml:space="preserve">In case of </w:t>
      </w:r>
      <w:r w:rsidR="00B57349">
        <w:t>RP</w:t>
      </w:r>
      <w:r>
        <w:t xml:space="preserve"> amendment, the start of the next POC cycle is to be selected in such </w:t>
      </w:r>
      <w:r w:rsidR="00562FBB">
        <w:t xml:space="preserve">a </w:t>
      </w:r>
      <w:r>
        <w:t xml:space="preserve">way that POC modules are rotated periodically. Alternatively, the RO may alter the sequence of the POC modules for the next </w:t>
      </w:r>
      <w:proofErr w:type="gramStart"/>
      <w:r>
        <w:t>period</w:t>
      </w:r>
      <w:proofErr w:type="gramEnd"/>
      <w:r>
        <w:t xml:space="preserve"> so it better fits the result of the control assessment and </w:t>
      </w:r>
      <w:r w:rsidR="00B57349">
        <w:t xml:space="preserve">the </w:t>
      </w:r>
      <w:r>
        <w:t>aspects</w:t>
      </w:r>
      <w:r w:rsidR="00562FBB">
        <w:t xml:space="preserve"> of</w:t>
      </w:r>
      <w:r>
        <w:t xml:space="preserve"> determining the level of control. For example, POC BM2 may be selected for the next inspection if a NI facility had a non-compliance in </w:t>
      </w:r>
      <w:proofErr w:type="gramStart"/>
      <w:r w:rsidR="008561CF">
        <w:t>e.g.</w:t>
      </w:r>
      <w:proofErr w:type="gramEnd"/>
      <w:r w:rsidR="008561CF">
        <w:t xml:space="preserve"> </w:t>
      </w:r>
      <w:r>
        <w:t xml:space="preserve">the change control system within </w:t>
      </w:r>
      <w:r w:rsidR="00CF5F04">
        <w:t xml:space="preserve">the </w:t>
      </w:r>
      <w:r>
        <w:t xml:space="preserve">last 12 months. </w:t>
      </w:r>
      <w:r w:rsidR="008561CF">
        <w:t xml:space="preserve">This </w:t>
      </w:r>
      <w:r>
        <w:t xml:space="preserve">adjustment in the POC module sequence can be made irrespective </w:t>
      </w:r>
      <w:r w:rsidR="00CF5F04">
        <w:t xml:space="preserve">of </w:t>
      </w:r>
      <w:r>
        <w:t>when the facility was last inspected on BM2. However, the POC sequence alteration may not be the best option if that non-compliance occurred before the previous reassessment (presuming 12 month</w:t>
      </w:r>
      <w:r w:rsidR="00CF5F04">
        <w:t>s</w:t>
      </w:r>
      <w:r>
        <w:t xml:space="preserve"> ago) and </w:t>
      </w:r>
      <w:r w:rsidR="00562FBB">
        <w:t xml:space="preserve">the </w:t>
      </w:r>
      <w:r>
        <w:t xml:space="preserve">POC was altered at that time. </w:t>
      </w:r>
    </w:p>
    <w:p w14:paraId="2A15D933" w14:textId="44CF8584" w:rsidR="001A0FD3" w:rsidRPr="003E549A" w:rsidRDefault="001A0FD3" w:rsidP="00CF5F04">
      <w:pPr>
        <w:ind w:left="-142"/>
      </w:pPr>
      <w:r>
        <w:t xml:space="preserve">If the next inspection is already overdue </w:t>
      </w:r>
      <w:r w:rsidR="00CF5F04">
        <w:t>due</w:t>
      </w:r>
      <w:r>
        <w:t xml:space="preserve"> to a dramatic increase in </w:t>
      </w:r>
      <w:proofErr w:type="gramStart"/>
      <w:r w:rsidR="00B57349">
        <w:t>RP</w:t>
      </w:r>
      <w:proofErr w:type="gramEnd"/>
      <w:r>
        <w:t xml:space="preserve"> the next inspection should be carried out as soon as possible. This may happen for example if </w:t>
      </w:r>
      <w:r w:rsidR="00CF5F04">
        <w:t xml:space="preserve">the </w:t>
      </w:r>
      <w:r w:rsidR="00B57349">
        <w:t>RP</w:t>
      </w:r>
      <w:r>
        <w:t xml:space="preserve"> of a NI currently assessed as a ‘low’ and last inspection was conducted 9 months ago increases </w:t>
      </w:r>
      <w:proofErr w:type="gramStart"/>
      <w:r>
        <w:t>to</w:t>
      </w:r>
      <w:proofErr w:type="gramEnd"/>
      <w:r>
        <w:t xml:space="preserve"> ‘high’. When the priority is updated the inspection frequency is already overdue as the last inspection was </w:t>
      </w:r>
      <w:r w:rsidR="008561CF">
        <w:t xml:space="preserve">completed </w:t>
      </w:r>
      <w:r>
        <w:t xml:space="preserve">9 months ago and </w:t>
      </w:r>
      <w:r w:rsidR="00562FBB">
        <w:t xml:space="preserve">the </w:t>
      </w:r>
      <w:r>
        <w:t xml:space="preserve">new frequency requires inspection every </w:t>
      </w:r>
      <w:r w:rsidRPr="00204F2B">
        <w:t>second</w:t>
      </w:r>
      <w:r>
        <w:t xml:space="preserve"> quarter. In that case the RO should consider conducting a </w:t>
      </w:r>
      <w:r w:rsidR="009E4507">
        <w:t>reactive</w:t>
      </w:r>
      <w:r w:rsidR="00394C0D">
        <w:t xml:space="preserve"> </w:t>
      </w:r>
      <w:r>
        <w:t xml:space="preserve">inspection instead of a scheduled one as that kind of inspection can better focus on problematic areas. Consequently, the next scheduled inspection should be organised for the quarter following the </w:t>
      </w:r>
      <w:r w:rsidR="009E4507">
        <w:t>reactive</w:t>
      </w:r>
      <w:r w:rsidR="00394C0D">
        <w:t xml:space="preserve"> </w:t>
      </w:r>
      <w:r>
        <w:t>inspection. Alternatively, a scheduled inspection is conducted as soon as possible (within the current quarter) with a suitable POC module selection.</w:t>
      </w:r>
    </w:p>
    <w:p w14:paraId="233A5072" w14:textId="2B403109" w:rsidR="001A0FD3" w:rsidRDefault="001A0FD3" w:rsidP="00CF5F04">
      <w:pPr>
        <w:ind w:left="-142"/>
      </w:pPr>
      <w:r>
        <w:t xml:space="preserve">It may be more practical for some facilities to conduct multiple inspections </w:t>
      </w:r>
      <w:r w:rsidR="00CF5F04">
        <w:t>with</w:t>
      </w:r>
      <w:r>
        <w:t xml:space="preserve"> fewer modules than the inspection schedule proposes, </w:t>
      </w:r>
      <w:proofErr w:type="gramStart"/>
      <w:r>
        <w:t>e.g.</w:t>
      </w:r>
      <w:proofErr w:type="gramEnd"/>
      <w:r>
        <w:t xml:space="preserve"> F0260 that comprises many buildings and processes. </w:t>
      </w:r>
      <w:r w:rsidR="00B57349">
        <w:t xml:space="preserve">The </w:t>
      </w:r>
      <w:r>
        <w:t xml:space="preserve">RO’s discretion should be applied provided the inspection cycle is maintained. </w:t>
      </w:r>
    </w:p>
    <w:p w14:paraId="1E50E72C" w14:textId="009EAA7B" w:rsidR="00812D30" w:rsidRDefault="00C46BAE" w:rsidP="00CF5F04">
      <w:pPr>
        <w:ind w:left="-142"/>
      </w:pPr>
      <w:r>
        <w:t xml:space="preserve">The inspection schedule </w:t>
      </w:r>
      <w:r w:rsidR="00B57349">
        <w:t>for</w:t>
      </w:r>
      <w:r>
        <w:t xml:space="preserve"> all facility licence holders may be adjusted to balance the numbers of inspections per individual</w:t>
      </w:r>
      <w:r w:rsidR="00DB5591">
        <w:t xml:space="preserve">, </w:t>
      </w:r>
      <w:r>
        <w:t>the number of inspections over each quarter</w:t>
      </w:r>
      <w:r w:rsidR="00DB5591">
        <w:t xml:space="preserve"> and facility geographical location. </w:t>
      </w:r>
      <w:r>
        <w:t xml:space="preserve"> Therefore, the final </w:t>
      </w:r>
      <w:r w:rsidR="00ED1985">
        <w:t xml:space="preserve">facility inspection </w:t>
      </w:r>
      <w:r>
        <w:t xml:space="preserve">schedule </w:t>
      </w:r>
      <w:r w:rsidR="00DB5591">
        <w:t xml:space="preserve">may </w:t>
      </w:r>
      <w:r w:rsidR="00ED1985">
        <w:t xml:space="preserve">be </w:t>
      </w:r>
      <w:r w:rsidR="00DB5591">
        <w:t xml:space="preserve">relatively </w:t>
      </w:r>
      <w:r w:rsidR="00ED1985">
        <w:t xml:space="preserve">adjusted </w:t>
      </w:r>
      <w:r w:rsidR="00DB5591">
        <w:t xml:space="preserve">from the specific licence inspection frequencies established by the prioritisation process within a range of </w:t>
      </w:r>
      <w:r w:rsidR="00DB5591">
        <w:rPr>
          <w:rFonts w:cstheme="minorHAnsi"/>
        </w:rPr>
        <w:t>±</w:t>
      </w:r>
      <w:r w:rsidR="00DB5591">
        <w:t>1 quarter.</w:t>
      </w:r>
    </w:p>
    <w:p w14:paraId="7A1BB501" w14:textId="4E51C5D6" w:rsidR="00FE0D1F" w:rsidRPr="00FE0D1F" w:rsidRDefault="00FE0D1F" w:rsidP="00122B75">
      <w:pPr>
        <w:pStyle w:val="Heading3"/>
        <w:numPr>
          <w:ilvl w:val="0"/>
          <w:numId w:val="56"/>
        </w:numPr>
        <w:spacing w:before="240"/>
        <w:rPr>
          <w:rStyle w:val="Normalbold"/>
          <w:sz w:val="24"/>
          <w:szCs w:val="24"/>
        </w:rPr>
      </w:pPr>
      <w:r w:rsidRPr="00FE0D1F">
        <w:rPr>
          <w:rStyle w:val="Normalbold"/>
          <w:sz w:val="24"/>
          <w:szCs w:val="24"/>
        </w:rPr>
        <w:t>Review of regulatory priority</w:t>
      </w:r>
      <w:r>
        <w:rPr>
          <w:rStyle w:val="Normalbold"/>
          <w:sz w:val="24"/>
          <w:szCs w:val="24"/>
        </w:rPr>
        <w:t xml:space="preserve"> of facilities</w:t>
      </w:r>
    </w:p>
    <w:p w14:paraId="13FBD609" w14:textId="5C481489" w:rsidR="00FE0D1F" w:rsidRPr="00617A95" w:rsidRDefault="00FE0D1F" w:rsidP="00FE0D1F">
      <w:pPr>
        <w:ind w:left="-142"/>
        <w:rPr>
          <w:rStyle w:val="Normalbold"/>
        </w:rPr>
      </w:pPr>
      <w:r w:rsidRPr="00BF75BF">
        <w:rPr>
          <w:rStyle w:val="Normalbold"/>
        </w:rPr>
        <w:t xml:space="preserve">The RP of facilities is reviewed at least annually; RP </w:t>
      </w:r>
      <w:r>
        <w:rPr>
          <w:rStyle w:val="Normalbold"/>
        </w:rPr>
        <w:t>is</w:t>
      </w:r>
      <w:r w:rsidRPr="00BF75BF">
        <w:rPr>
          <w:rStyle w:val="Normalbold"/>
        </w:rPr>
        <w:t xml:space="preserve"> </w:t>
      </w:r>
      <w:r w:rsidRPr="00DC55D6">
        <w:rPr>
          <w:rStyle w:val="Normalbold"/>
        </w:rPr>
        <w:t xml:space="preserve">usually </w:t>
      </w:r>
      <w:r w:rsidRPr="006E059A">
        <w:rPr>
          <w:rStyle w:val="Normalbold"/>
        </w:rPr>
        <w:t>reviewed after an inspection, following changes to a facility, or after an accident or incident.</w:t>
      </w:r>
      <w:r w:rsidRPr="00BF75BF">
        <w:rPr>
          <w:rStyle w:val="Normalbold"/>
        </w:rPr>
        <w:t xml:space="preserve"> </w:t>
      </w:r>
      <w:r w:rsidRPr="006E059A">
        <w:rPr>
          <w:rStyle w:val="Normalbold"/>
        </w:rPr>
        <w:t xml:space="preserve">The flow chart in </w:t>
      </w:r>
      <w:r>
        <w:rPr>
          <w:rStyle w:val="Normalbold"/>
        </w:rPr>
        <w:t>Appendix 1</w:t>
      </w:r>
      <w:r w:rsidRPr="006E059A">
        <w:rPr>
          <w:rStyle w:val="Normalbold"/>
        </w:rPr>
        <w:t xml:space="preserve"> shows the review process.</w:t>
      </w:r>
      <w:r w:rsidRPr="00617A95">
        <w:rPr>
          <w:rStyle w:val="Normalbold"/>
        </w:rPr>
        <w:t xml:space="preserve"> </w:t>
      </w:r>
      <w:r>
        <w:rPr>
          <w:rStyle w:val="Normalbold"/>
        </w:rPr>
        <w:t xml:space="preserve"> </w:t>
      </w:r>
    </w:p>
    <w:p w14:paraId="4EC042A7" w14:textId="517DBF1F" w:rsidR="00CD088C" w:rsidRDefault="00CD088C" w:rsidP="00CD088C">
      <w:pPr>
        <w:pStyle w:val="Heading2"/>
        <w:spacing w:before="360"/>
      </w:pPr>
      <w:r>
        <w:t xml:space="preserve"> Regulatory priority of sources</w:t>
      </w:r>
      <w:r w:rsidR="00A04D70">
        <w:t xml:space="preserve"> </w:t>
      </w:r>
    </w:p>
    <w:p w14:paraId="681CAC75" w14:textId="77777777" w:rsidR="00A04D70" w:rsidRDefault="00A04D70" w:rsidP="00A04D70">
      <w:pPr>
        <w:ind w:left="-142"/>
        <w:rPr>
          <w:rStyle w:val="Normalbold"/>
        </w:rPr>
      </w:pPr>
      <w:r w:rsidRPr="00617A95">
        <w:rPr>
          <w:rStyle w:val="Normalbold"/>
        </w:rPr>
        <w:t xml:space="preserve">Table </w:t>
      </w:r>
      <w:r>
        <w:rPr>
          <w:rStyle w:val="Normalbold"/>
        </w:rPr>
        <w:t>5</w:t>
      </w:r>
      <w:r w:rsidRPr="00617A95">
        <w:rPr>
          <w:rStyle w:val="Normalbold"/>
        </w:rPr>
        <w:t xml:space="preserve"> provides the RP and inspection frequency for source</w:t>
      </w:r>
      <w:r>
        <w:rPr>
          <w:rStyle w:val="Normalbold"/>
        </w:rPr>
        <w:t>s</w:t>
      </w:r>
      <w:r w:rsidRPr="00617A95">
        <w:rPr>
          <w:rStyle w:val="Normalbold"/>
        </w:rPr>
        <w:t>. Inspection effort is based on regulatory priority, complexity of licence holder activities, and on site/geographical considerations and constraints.</w:t>
      </w:r>
      <w:r>
        <w:rPr>
          <w:rStyle w:val="Normalbold"/>
        </w:rPr>
        <w:t xml:space="preserve"> Table 6 shows the number of inspectors based on these factors.</w:t>
      </w:r>
    </w:p>
    <w:p w14:paraId="2CDC7D1E" w14:textId="6841EE72" w:rsidR="00A04D70" w:rsidRPr="00617A95" w:rsidRDefault="00A04D70" w:rsidP="00A04D70">
      <w:pPr>
        <w:ind w:left="-142"/>
        <w:rPr>
          <w:rStyle w:val="Normalbold"/>
        </w:rPr>
      </w:pPr>
      <w:r w:rsidRPr="00617A95">
        <w:rPr>
          <w:rStyle w:val="Normalbold"/>
        </w:rPr>
        <w:t xml:space="preserve">Where appropriate, an inspector may conduct a source inspection alone </w:t>
      </w:r>
      <w:proofErr w:type="gramStart"/>
      <w:r w:rsidRPr="00617A95">
        <w:rPr>
          <w:rStyle w:val="Normalbold"/>
        </w:rPr>
        <w:t>taking into account</w:t>
      </w:r>
      <w:proofErr w:type="gramEnd"/>
      <w:r w:rsidRPr="00617A95">
        <w:rPr>
          <w:rStyle w:val="Normalbold"/>
        </w:rPr>
        <w:t xml:space="preserve"> the location and complexity of the </w:t>
      </w:r>
      <w:r>
        <w:rPr>
          <w:rStyle w:val="Normalbold"/>
        </w:rPr>
        <w:t xml:space="preserve">dealing. </w:t>
      </w:r>
      <w:r w:rsidRPr="00617A95">
        <w:rPr>
          <w:rStyle w:val="Normalbold"/>
        </w:rPr>
        <w:t>To ensure efficient use of resources, source inspections may be conducted within a time window and be considered to hav</w:t>
      </w:r>
      <w:r w:rsidR="00562FBB">
        <w:rPr>
          <w:rStyle w:val="Normalbold"/>
        </w:rPr>
        <w:t>e</w:t>
      </w:r>
      <w:r w:rsidRPr="00617A95">
        <w:rPr>
          <w:rStyle w:val="Normalbold"/>
        </w:rPr>
        <w:t xml:space="preserve"> met the inspection schedule. Inspection of RP1 or RP2 </w:t>
      </w:r>
      <w:r>
        <w:rPr>
          <w:rStyle w:val="Normalbold"/>
        </w:rPr>
        <w:t xml:space="preserve">sources </w:t>
      </w:r>
      <w:r w:rsidRPr="00617A95">
        <w:rPr>
          <w:rStyle w:val="Normalbold"/>
        </w:rPr>
        <w:t xml:space="preserve">may vary around the scheduled date by ± one quarter year. Inspections of RP3 </w:t>
      </w:r>
      <w:r>
        <w:rPr>
          <w:rStyle w:val="Normalbold"/>
        </w:rPr>
        <w:t>-</w:t>
      </w:r>
      <w:r w:rsidRPr="00617A95">
        <w:rPr>
          <w:rStyle w:val="Normalbold"/>
        </w:rPr>
        <w:t xml:space="preserve"> RP6 </w:t>
      </w:r>
      <w:r>
        <w:rPr>
          <w:rStyle w:val="Normalbold"/>
        </w:rPr>
        <w:t xml:space="preserve">sources </w:t>
      </w:r>
      <w:r w:rsidRPr="00617A95">
        <w:rPr>
          <w:rStyle w:val="Normalbold"/>
        </w:rPr>
        <w:t>may vary around the scheduled date by ± two quarters. Inspections may be scheduled before the time window if warranted.</w:t>
      </w:r>
    </w:p>
    <w:p w14:paraId="17BB7862" w14:textId="1E3AFA32" w:rsidR="00A04D70" w:rsidRDefault="00A04D70" w:rsidP="00A04D70">
      <w:pPr>
        <w:ind w:left="-142"/>
        <w:rPr>
          <w:rStyle w:val="Normalbold"/>
        </w:rPr>
      </w:pPr>
      <w:r w:rsidRPr="00617A95">
        <w:rPr>
          <w:rStyle w:val="Normalbold"/>
        </w:rPr>
        <w:t>Where a licence holder has a significantly large number of low hazard sources</w:t>
      </w:r>
      <w:r w:rsidR="009368E6">
        <w:rPr>
          <w:rStyle w:val="Normalbold"/>
        </w:rPr>
        <w:t>,</w:t>
      </w:r>
      <w:r w:rsidRPr="00617A95">
        <w:rPr>
          <w:rStyle w:val="Normalbold"/>
        </w:rPr>
        <w:t xml:space="preserve"> a subset or sample of sources may be inspected. In using this method, the inspector should consider the licence holder’s level of safety management o</w:t>
      </w:r>
      <w:r w:rsidR="00B57349">
        <w:rPr>
          <w:rStyle w:val="Normalbold"/>
        </w:rPr>
        <w:t xml:space="preserve">f its </w:t>
      </w:r>
      <w:r w:rsidRPr="00617A95">
        <w:rPr>
          <w:rStyle w:val="Normalbold"/>
        </w:rPr>
        <w:t>sources.</w:t>
      </w:r>
    </w:p>
    <w:p w14:paraId="02FFCC36" w14:textId="77777777" w:rsidR="00B57349" w:rsidRDefault="00B57349">
      <w:pPr>
        <w:spacing w:before="200" w:after="200"/>
        <w:rPr>
          <w:rStyle w:val="Emphasis"/>
          <w:color w:val="4E1A74"/>
          <w:sz w:val="18"/>
          <w:szCs w:val="18"/>
        </w:rPr>
      </w:pPr>
      <w:r>
        <w:rPr>
          <w:rStyle w:val="Emphasis"/>
          <w:color w:val="4E1A74"/>
          <w:sz w:val="18"/>
          <w:szCs w:val="18"/>
        </w:rPr>
        <w:br w:type="page"/>
      </w:r>
    </w:p>
    <w:p w14:paraId="33AE2B09" w14:textId="03FFAF96" w:rsidR="00CD088C" w:rsidRPr="00034F55" w:rsidRDefault="00CD088C" w:rsidP="00B57349">
      <w:pPr>
        <w:spacing w:before="240"/>
        <w:jc w:val="center"/>
        <w:rPr>
          <w:rStyle w:val="Emphasis"/>
          <w:color w:val="4E1A74"/>
          <w:sz w:val="18"/>
          <w:szCs w:val="18"/>
        </w:rPr>
      </w:pPr>
      <w:r w:rsidRPr="00034F55">
        <w:rPr>
          <w:rStyle w:val="Emphasis"/>
          <w:color w:val="4E1A74"/>
          <w:sz w:val="18"/>
          <w:szCs w:val="18"/>
        </w:rPr>
        <w:lastRenderedPageBreak/>
        <w:t xml:space="preserve">Table </w:t>
      </w:r>
      <w:r>
        <w:rPr>
          <w:rStyle w:val="Emphasis"/>
          <w:color w:val="4E1A74"/>
          <w:sz w:val="18"/>
          <w:szCs w:val="18"/>
        </w:rPr>
        <w:t>5</w:t>
      </w:r>
      <w:r w:rsidRPr="00034F55">
        <w:rPr>
          <w:rStyle w:val="Emphasis"/>
          <w:color w:val="4E1A74"/>
          <w:sz w:val="18"/>
          <w:szCs w:val="18"/>
        </w:rPr>
        <w:t>: Regulatory Priority &amp; Inspection Frequency for sources</w:t>
      </w:r>
    </w:p>
    <w:tbl>
      <w:tblPr>
        <w:tblStyle w:val="ListTable4-Accent2"/>
        <w:tblW w:w="8358" w:type="dxa"/>
        <w:jc w:val="center"/>
        <w:tblLook w:val="04A0" w:firstRow="1" w:lastRow="0" w:firstColumn="1" w:lastColumn="0" w:noHBand="0" w:noVBand="1"/>
      </w:tblPr>
      <w:tblGrid>
        <w:gridCol w:w="850"/>
        <w:gridCol w:w="4390"/>
        <w:gridCol w:w="1134"/>
        <w:gridCol w:w="1984"/>
      </w:tblGrid>
      <w:tr w:rsidR="00CD088C" w:rsidRPr="006774D6" w14:paraId="4E86068B" w14:textId="77777777" w:rsidTr="00044F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14:paraId="3BB5C333" w14:textId="77777777" w:rsidR="00CD088C" w:rsidRPr="006960A5" w:rsidRDefault="00CD088C" w:rsidP="00044FE3">
            <w:pPr>
              <w:jc w:val="center"/>
              <w:rPr>
                <w:b w:val="0"/>
                <w:sz w:val="20"/>
                <w:szCs w:val="20"/>
                <w:vertAlign w:val="superscript"/>
              </w:rPr>
            </w:pPr>
            <w:r w:rsidRPr="006960A5">
              <w:rPr>
                <w:b w:val="0"/>
                <w:sz w:val="20"/>
                <w:szCs w:val="20"/>
              </w:rPr>
              <w:t xml:space="preserve">Hazard </w:t>
            </w:r>
            <w:proofErr w:type="spellStart"/>
            <w:r w:rsidRPr="006960A5">
              <w:rPr>
                <w:b w:val="0"/>
                <w:sz w:val="20"/>
                <w:szCs w:val="20"/>
              </w:rPr>
              <w:t>Level</w:t>
            </w:r>
            <w:r w:rsidRPr="006960A5">
              <w:rPr>
                <w:b w:val="0"/>
                <w:sz w:val="20"/>
                <w:szCs w:val="20"/>
                <w:vertAlign w:val="superscript"/>
              </w:rPr>
              <w:t>a</w:t>
            </w:r>
            <w:proofErr w:type="spellEnd"/>
          </w:p>
        </w:tc>
        <w:tc>
          <w:tcPr>
            <w:tcW w:w="4390" w:type="dxa"/>
          </w:tcPr>
          <w:p w14:paraId="470E4794" w14:textId="77777777" w:rsidR="00CD088C" w:rsidRPr="006960A5" w:rsidRDefault="00CD088C" w:rsidP="00044FE3">
            <w:pPr>
              <w:spacing w:before="3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960A5">
              <w:rPr>
                <w:b w:val="0"/>
                <w:sz w:val="20"/>
                <w:szCs w:val="20"/>
              </w:rPr>
              <w:t>Items from Section 4 of Regulations</w:t>
            </w:r>
          </w:p>
        </w:tc>
        <w:tc>
          <w:tcPr>
            <w:tcW w:w="1134" w:type="dxa"/>
          </w:tcPr>
          <w:p w14:paraId="09DCE09F" w14:textId="77777777" w:rsidR="00CD088C" w:rsidRPr="006960A5" w:rsidRDefault="00CD088C" w:rsidP="00044FE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960A5">
              <w:rPr>
                <w:b w:val="0"/>
                <w:sz w:val="20"/>
                <w:szCs w:val="20"/>
              </w:rPr>
              <w:t>Regulatory Priority (RP)</w:t>
            </w:r>
          </w:p>
        </w:tc>
        <w:tc>
          <w:tcPr>
            <w:tcW w:w="1984" w:type="dxa"/>
          </w:tcPr>
          <w:p w14:paraId="79A1DDCB" w14:textId="77777777" w:rsidR="00CD088C" w:rsidRPr="006960A5" w:rsidRDefault="00CD088C" w:rsidP="00044FE3">
            <w:pPr>
              <w:spacing w:after="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960A5">
              <w:rPr>
                <w:b w:val="0"/>
                <w:sz w:val="20"/>
                <w:szCs w:val="20"/>
              </w:rPr>
              <w:t xml:space="preserve">Minimum Inspection Frequency </w:t>
            </w:r>
          </w:p>
          <w:p w14:paraId="51C6B120" w14:textId="77777777" w:rsidR="00CD088C" w:rsidRPr="006960A5" w:rsidRDefault="00CD088C" w:rsidP="00044FE3">
            <w:pPr>
              <w:spacing w:before="0" w:after="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960A5">
              <w:rPr>
                <w:b w:val="0"/>
                <w:sz w:val="20"/>
                <w:szCs w:val="20"/>
              </w:rPr>
              <w:t>(years)</w:t>
            </w:r>
          </w:p>
        </w:tc>
      </w:tr>
      <w:tr w:rsidR="00CD088C" w:rsidRPr="006774D6" w14:paraId="3C5CDC19" w14:textId="77777777" w:rsidTr="00044F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Merge w:val="restart"/>
          </w:tcPr>
          <w:p w14:paraId="06B5EE3F" w14:textId="77777777" w:rsidR="00CD088C" w:rsidRPr="001E099A" w:rsidRDefault="00CD088C" w:rsidP="00044FE3">
            <w:pPr>
              <w:jc w:val="center"/>
              <w:rPr>
                <w:b w:val="0"/>
                <w:sz w:val="18"/>
                <w:szCs w:val="18"/>
              </w:rPr>
            </w:pPr>
            <w:r w:rsidRPr="001E099A">
              <w:rPr>
                <w:b w:val="0"/>
                <w:sz w:val="18"/>
                <w:szCs w:val="18"/>
              </w:rPr>
              <w:t>3</w:t>
            </w:r>
          </w:p>
        </w:tc>
        <w:tc>
          <w:tcPr>
            <w:tcW w:w="4390" w:type="dxa"/>
          </w:tcPr>
          <w:p w14:paraId="0C81A202" w14:textId="77777777" w:rsidR="00CD088C" w:rsidRPr="0051066F" w:rsidRDefault="00CD088C" w:rsidP="00044FE3">
            <w:pP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G2-9, G3-1, G3-2, G3-7</w:t>
            </w:r>
          </w:p>
        </w:tc>
        <w:tc>
          <w:tcPr>
            <w:tcW w:w="1134" w:type="dxa"/>
          </w:tcPr>
          <w:p w14:paraId="6430E644" w14:textId="77777777" w:rsidR="00CD088C" w:rsidRPr="0051066F" w:rsidRDefault="00CD088C" w:rsidP="00044FE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1</w:t>
            </w:r>
          </w:p>
        </w:tc>
        <w:tc>
          <w:tcPr>
            <w:tcW w:w="1984" w:type="dxa"/>
          </w:tcPr>
          <w:p w14:paraId="42FE99BE" w14:textId="77777777" w:rsidR="00CD088C" w:rsidRPr="0051066F" w:rsidRDefault="00CD088C" w:rsidP="00044FE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1</w:t>
            </w:r>
          </w:p>
        </w:tc>
      </w:tr>
      <w:tr w:rsidR="00CD088C" w:rsidRPr="006774D6" w14:paraId="4826C029" w14:textId="77777777" w:rsidTr="00044FE3">
        <w:trPr>
          <w:jc w:val="center"/>
        </w:trPr>
        <w:tc>
          <w:tcPr>
            <w:cnfStyle w:val="001000000000" w:firstRow="0" w:lastRow="0" w:firstColumn="1" w:lastColumn="0" w:oddVBand="0" w:evenVBand="0" w:oddHBand="0" w:evenHBand="0" w:firstRowFirstColumn="0" w:firstRowLastColumn="0" w:lastRowFirstColumn="0" w:lastRowLastColumn="0"/>
            <w:tcW w:w="850" w:type="dxa"/>
            <w:vMerge/>
          </w:tcPr>
          <w:p w14:paraId="51748F43" w14:textId="77777777" w:rsidR="00CD088C" w:rsidRPr="001E099A" w:rsidRDefault="00CD088C" w:rsidP="00044FE3">
            <w:pPr>
              <w:jc w:val="center"/>
              <w:rPr>
                <w:b w:val="0"/>
                <w:sz w:val="18"/>
                <w:szCs w:val="18"/>
              </w:rPr>
            </w:pPr>
          </w:p>
        </w:tc>
        <w:tc>
          <w:tcPr>
            <w:tcW w:w="4390" w:type="dxa"/>
          </w:tcPr>
          <w:p w14:paraId="7FA8D18E" w14:textId="77777777" w:rsidR="00CD088C" w:rsidRPr="0051066F" w:rsidRDefault="00CD088C" w:rsidP="00044FE3">
            <w:pP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 xml:space="preserve">G3-3, G3-4, G3-5, G3-6, G3-8 </w:t>
            </w:r>
          </w:p>
        </w:tc>
        <w:tc>
          <w:tcPr>
            <w:tcW w:w="1134" w:type="dxa"/>
          </w:tcPr>
          <w:p w14:paraId="0A7C3B16" w14:textId="77777777" w:rsidR="00CD088C" w:rsidRPr="0051066F" w:rsidRDefault="00CD088C" w:rsidP="00044FE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2</w:t>
            </w:r>
          </w:p>
        </w:tc>
        <w:tc>
          <w:tcPr>
            <w:tcW w:w="1984" w:type="dxa"/>
          </w:tcPr>
          <w:p w14:paraId="5AF37044" w14:textId="77777777" w:rsidR="00CD088C" w:rsidRPr="0051066F" w:rsidRDefault="00CD088C" w:rsidP="00044FE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2</w:t>
            </w:r>
          </w:p>
        </w:tc>
      </w:tr>
      <w:tr w:rsidR="00CD088C" w:rsidRPr="006774D6" w14:paraId="65A455AB" w14:textId="77777777" w:rsidTr="00044F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Merge w:val="restart"/>
          </w:tcPr>
          <w:p w14:paraId="11A6CE79" w14:textId="77777777" w:rsidR="00CD088C" w:rsidRPr="001E099A" w:rsidRDefault="00CD088C" w:rsidP="00044FE3">
            <w:pPr>
              <w:jc w:val="center"/>
              <w:rPr>
                <w:b w:val="0"/>
                <w:sz w:val="18"/>
                <w:szCs w:val="18"/>
              </w:rPr>
            </w:pPr>
            <w:r w:rsidRPr="001E099A">
              <w:rPr>
                <w:b w:val="0"/>
                <w:sz w:val="18"/>
                <w:szCs w:val="18"/>
              </w:rPr>
              <w:t>2</w:t>
            </w:r>
          </w:p>
        </w:tc>
        <w:tc>
          <w:tcPr>
            <w:tcW w:w="4390" w:type="dxa"/>
          </w:tcPr>
          <w:p w14:paraId="474BA8CF" w14:textId="77777777" w:rsidR="00CD088C" w:rsidRPr="0051066F" w:rsidRDefault="00CD088C" w:rsidP="00044FE3">
            <w:pP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G1-4, G2-3, G2-4, G2-5, G2-6, G2-7</w:t>
            </w:r>
          </w:p>
        </w:tc>
        <w:tc>
          <w:tcPr>
            <w:tcW w:w="1134" w:type="dxa"/>
          </w:tcPr>
          <w:p w14:paraId="3C97F786" w14:textId="77777777" w:rsidR="00CD088C" w:rsidRPr="0051066F" w:rsidRDefault="00CD088C" w:rsidP="00044FE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3</w:t>
            </w:r>
          </w:p>
        </w:tc>
        <w:tc>
          <w:tcPr>
            <w:tcW w:w="1984" w:type="dxa"/>
          </w:tcPr>
          <w:p w14:paraId="2CFF9FDB" w14:textId="77777777" w:rsidR="00CD088C" w:rsidRPr="0051066F" w:rsidRDefault="00CD088C" w:rsidP="00044FE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3</w:t>
            </w:r>
          </w:p>
        </w:tc>
      </w:tr>
      <w:tr w:rsidR="00CD088C" w:rsidRPr="006774D6" w14:paraId="301F4D71" w14:textId="77777777" w:rsidTr="00044FE3">
        <w:trPr>
          <w:jc w:val="center"/>
        </w:trPr>
        <w:tc>
          <w:tcPr>
            <w:cnfStyle w:val="001000000000" w:firstRow="0" w:lastRow="0" w:firstColumn="1" w:lastColumn="0" w:oddVBand="0" w:evenVBand="0" w:oddHBand="0" w:evenHBand="0" w:firstRowFirstColumn="0" w:firstRowLastColumn="0" w:lastRowFirstColumn="0" w:lastRowLastColumn="0"/>
            <w:tcW w:w="850" w:type="dxa"/>
            <w:vMerge/>
          </w:tcPr>
          <w:p w14:paraId="6C777B67" w14:textId="77777777" w:rsidR="00CD088C" w:rsidRPr="001E099A" w:rsidRDefault="00CD088C" w:rsidP="00044FE3">
            <w:pPr>
              <w:jc w:val="center"/>
              <w:rPr>
                <w:b w:val="0"/>
                <w:sz w:val="18"/>
                <w:szCs w:val="18"/>
              </w:rPr>
            </w:pPr>
          </w:p>
        </w:tc>
        <w:tc>
          <w:tcPr>
            <w:tcW w:w="4390" w:type="dxa"/>
          </w:tcPr>
          <w:p w14:paraId="3EC6090B" w14:textId="77777777" w:rsidR="00CD088C" w:rsidRPr="0051066F" w:rsidRDefault="00CD088C" w:rsidP="00044FE3">
            <w:pP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 xml:space="preserve">G1-9, G1-15, G1-23(Class 4 </w:t>
            </w:r>
            <w:r w:rsidRPr="0051066F">
              <w:rPr>
                <w:rFonts w:cstheme="minorHAnsi"/>
                <w:sz w:val="18"/>
                <w:szCs w:val="18"/>
              </w:rPr>
              <w:t>≥</w:t>
            </w:r>
            <w:r w:rsidRPr="0051066F">
              <w:rPr>
                <w:sz w:val="18"/>
                <w:szCs w:val="18"/>
              </w:rPr>
              <w:t>50W</w:t>
            </w:r>
            <w:proofErr w:type="gramStart"/>
            <w:r w:rsidRPr="0051066F">
              <w:rPr>
                <w:sz w:val="18"/>
                <w:szCs w:val="18"/>
              </w:rPr>
              <w:t>),G</w:t>
            </w:r>
            <w:proofErr w:type="gramEnd"/>
            <w:r w:rsidRPr="0051066F">
              <w:rPr>
                <w:sz w:val="18"/>
                <w:szCs w:val="18"/>
              </w:rPr>
              <w:t>2-1, G2-2</w:t>
            </w:r>
          </w:p>
          <w:p w14:paraId="4E55B0C1" w14:textId="77777777" w:rsidR="00CD088C" w:rsidRPr="0051066F" w:rsidRDefault="00CD088C" w:rsidP="00044FE3">
            <w:pP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G2-9(IED</w:t>
            </w:r>
            <w:proofErr w:type="gramStart"/>
            <w:r w:rsidRPr="0051066F">
              <w:rPr>
                <w:sz w:val="18"/>
                <w:szCs w:val="18"/>
              </w:rPr>
              <w:t>),G</w:t>
            </w:r>
            <w:proofErr w:type="gramEnd"/>
            <w:r w:rsidRPr="0051066F">
              <w:rPr>
                <w:sz w:val="18"/>
                <w:szCs w:val="18"/>
              </w:rPr>
              <w:t>2-10, G2-11, G2-12, G2-13, G2-14</w:t>
            </w:r>
          </w:p>
        </w:tc>
        <w:tc>
          <w:tcPr>
            <w:tcW w:w="1134" w:type="dxa"/>
          </w:tcPr>
          <w:p w14:paraId="486ABA13" w14:textId="77777777" w:rsidR="00CD088C" w:rsidRPr="0051066F" w:rsidRDefault="00CD088C" w:rsidP="00044FE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4</w:t>
            </w:r>
          </w:p>
        </w:tc>
        <w:tc>
          <w:tcPr>
            <w:tcW w:w="1984" w:type="dxa"/>
          </w:tcPr>
          <w:p w14:paraId="41713C33" w14:textId="77777777" w:rsidR="00CD088C" w:rsidRPr="0051066F" w:rsidRDefault="00CD088C" w:rsidP="00044FE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4</w:t>
            </w:r>
          </w:p>
        </w:tc>
      </w:tr>
      <w:tr w:rsidR="00CD088C" w:rsidRPr="006774D6" w14:paraId="67358D31" w14:textId="77777777" w:rsidTr="00044F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Merge w:val="restart"/>
          </w:tcPr>
          <w:p w14:paraId="3BEAA485" w14:textId="77777777" w:rsidR="00CD088C" w:rsidRPr="001E099A" w:rsidRDefault="00CD088C" w:rsidP="00044FE3">
            <w:pPr>
              <w:jc w:val="center"/>
              <w:rPr>
                <w:b w:val="0"/>
                <w:sz w:val="18"/>
                <w:szCs w:val="18"/>
              </w:rPr>
            </w:pPr>
            <w:r w:rsidRPr="001E099A">
              <w:rPr>
                <w:b w:val="0"/>
                <w:sz w:val="18"/>
                <w:szCs w:val="18"/>
              </w:rPr>
              <w:t>1</w:t>
            </w:r>
          </w:p>
        </w:tc>
        <w:tc>
          <w:tcPr>
            <w:tcW w:w="4390" w:type="dxa"/>
          </w:tcPr>
          <w:p w14:paraId="33B64C32" w14:textId="77777777" w:rsidR="00CD088C" w:rsidRPr="0051066F" w:rsidRDefault="00CD088C" w:rsidP="00044FE3">
            <w:pPr>
              <w:cnfStyle w:val="000000100000" w:firstRow="0" w:lastRow="0" w:firstColumn="0" w:lastColumn="0" w:oddVBand="0" w:evenVBand="0" w:oddHBand="1" w:evenHBand="0" w:firstRowFirstColumn="0" w:firstRowLastColumn="0" w:lastRowFirstColumn="0" w:lastRowLastColumn="0"/>
              <w:rPr>
                <w:sz w:val="18"/>
                <w:szCs w:val="18"/>
              </w:rPr>
            </w:pPr>
            <w:r w:rsidRPr="0051066F">
              <w:rPr>
                <w:sz w:val="18"/>
                <w:szCs w:val="18"/>
              </w:rPr>
              <w:t>G1-3, G1-6, G1-7, G1-8, G1-10, G1-12, G1-23(Class 4 &lt;50W &amp; Class 3B), G1-24(OFCS), G1-25, G2-8, G2-15</w:t>
            </w:r>
          </w:p>
        </w:tc>
        <w:tc>
          <w:tcPr>
            <w:tcW w:w="1134" w:type="dxa"/>
          </w:tcPr>
          <w:p w14:paraId="7395F7BF" w14:textId="77777777" w:rsidR="00CD088C" w:rsidRPr="0051066F" w:rsidRDefault="00CD088C" w:rsidP="00044FE3">
            <w:pPr>
              <w:jc w:val="center"/>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51066F">
              <w:rPr>
                <w:sz w:val="18"/>
                <w:szCs w:val="18"/>
              </w:rPr>
              <w:t>5</w:t>
            </w:r>
            <w:r w:rsidRPr="0051066F">
              <w:rPr>
                <w:sz w:val="18"/>
                <w:szCs w:val="18"/>
                <w:vertAlign w:val="superscript"/>
              </w:rPr>
              <w:t>b</w:t>
            </w:r>
          </w:p>
        </w:tc>
        <w:tc>
          <w:tcPr>
            <w:tcW w:w="1984" w:type="dxa"/>
          </w:tcPr>
          <w:p w14:paraId="5B4E5591" w14:textId="77777777" w:rsidR="00CD088C" w:rsidRPr="0051066F" w:rsidRDefault="00CD088C" w:rsidP="00044FE3">
            <w:pPr>
              <w:jc w:val="center"/>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51066F">
              <w:rPr>
                <w:sz w:val="18"/>
                <w:szCs w:val="18"/>
              </w:rPr>
              <w:t>5</w:t>
            </w:r>
          </w:p>
        </w:tc>
      </w:tr>
      <w:tr w:rsidR="00CD088C" w:rsidRPr="006774D6" w14:paraId="5AB7F2F1" w14:textId="77777777" w:rsidTr="00044FE3">
        <w:trPr>
          <w:jc w:val="center"/>
        </w:trPr>
        <w:tc>
          <w:tcPr>
            <w:cnfStyle w:val="001000000000" w:firstRow="0" w:lastRow="0" w:firstColumn="1" w:lastColumn="0" w:oddVBand="0" w:evenVBand="0" w:oddHBand="0" w:evenHBand="0" w:firstRowFirstColumn="0" w:firstRowLastColumn="0" w:lastRowFirstColumn="0" w:lastRowLastColumn="0"/>
            <w:tcW w:w="850" w:type="dxa"/>
            <w:vMerge/>
          </w:tcPr>
          <w:p w14:paraId="0C7671C3" w14:textId="77777777" w:rsidR="00CD088C" w:rsidRPr="00C66338" w:rsidRDefault="00CD088C" w:rsidP="00044FE3"/>
        </w:tc>
        <w:tc>
          <w:tcPr>
            <w:tcW w:w="4390" w:type="dxa"/>
          </w:tcPr>
          <w:p w14:paraId="36F6FAF7" w14:textId="77777777" w:rsidR="00CD088C" w:rsidRPr="0051066F" w:rsidRDefault="00CD088C" w:rsidP="00044FE3">
            <w:pP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 xml:space="preserve">G1-1, G1-2, G1-5, G1-11, G1-13, G1-14, G1-16, G1-17, </w:t>
            </w:r>
          </w:p>
          <w:p w14:paraId="3C06A741" w14:textId="77777777" w:rsidR="00CD088C" w:rsidRPr="0051066F" w:rsidRDefault="00CD088C" w:rsidP="00044FE3">
            <w:pPr>
              <w:cnfStyle w:val="000000000000" w:firstRow="0" w:lastRow="0" w:firstColumn="0" w:lastColumn="0" w:oddVBand="0" w:evenVBand="0" w:oddHBand="0" w:evenHBand="0" w:firstRowFirstColumn="0" w:firstRowLastColumn="0" w:lastRowFirstColumn="0" w:lastRowLastColumn="0"/>
              <w:rPr>
                <w:sz w:val="18"/>
                <w:szCs w:val="18"/>
              </w:rPr>
            </w:pPr>
            <w:r w:rsidRPr="0051066F">
              <w:rPr>
                <w:sz w:val="18"/>
                <w:szCs w:val="18"/>
              </w:rPr>
              <w:t>G-1-18, G1-19, G1-20, G1-21, G1-22(all UV), G1-26</w:t>
            </w:r>
          </w:p>
        </w:tc>
        <w:tc>
          <w:tcPr>
            <w:tcW w:w="1134" w:type="dxa"/>
          </w:tcPr>
          <w:p w14:paraId="664B3410" w14:textId="77777777" w:rsidR="00CD088C" w:rsidRPr="0051066F" w:rsidRDefault="00CD088C" w:rsidP="00044FE3">
            <w:pPr>
              <w:jc w:val="center"/>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51066F">
              <w:rPr>
                <w:sz w:val="18"/>
                <w:szCs w:val="18"/>
              </w:rPr>
              <w:t>6</w:t>
            </w:r>
            <w:r w:rsidRPr="0051066F">
              <w:rPr>
                <w:sz w:val="18"/>
                <w:szCs w:val="18"/>
                <w:vertAlign w:val="superscript"/>
              </w:rPr>
              <w:t>b</w:t>
            </w:r>
          </w:p>
        </w:tc>
        <w:tc>
          <w:tcPr>
            <w:tcW w:w="1984" w:type="dxa"/>
          </w:tcPr>
          <w:p w14:paraId="6E1946A4" w14:textId="77777777" w:rsidR="00CD088C" w:rsidRPr="0051066F" w:rsidRDefault="00CD088C" w:rsidP="00044FE3">
            <w:pPr>
              <w:jc w:val="center"/>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51066F">
              <w:rPr>
                <w:sz w:val="18"/>
                <w:szCs w:val="18"/>
              </w:rPr>
              <w:t>6</w:t>
            </w:r>
          </w:p>
        </w:tc>
      </w:tr>
    </w:tbl>
    <w:p w14:paraId="5DF00102" w14:textId="77777777" w:rsidR="00CD088C" w:rsidRPr="0051066F" w:rsidRDefault="00CD088C" w:rsidP="00CD088C">
      <w:pPr>
        <w:pStyle w:val="ListParagraph"/>
        <w:numPr>
          <w:ilvl w:val="0"/>
          <w:numId w:val="5"/>
        </w:numPr>
        <w:ind w:left="1134" w:hanging="283"/>
        <w:rPr>
          <w:rFonts w:eastAsiaTheme="minorHAnsi"/>
          <w:sz w:val="16"/>
          <w:szCs w:val="16"/>
        </w:rPr>
      </w:pPr>
      <w:r w:rsidRPr="0051066F">
        <w:rPr>
          <w:rFonts w:eastAsiaTheme="minorHAnsi"/>
          <w:sz w:val="16"/>
          <w:szCs w:val="16"/>
        </w:rPr>
        <w:t xml:space="preserve">Based largely on hazard grouping in section 4 of the Regulations </w:t>
      </w:r>
    </w:p>
    <w:p w14:paraId="5B63946C" w14:textId="77777777" w:rsidR="00CD088C" w:rsidRPr="0051066F" w:rsidRDefault="00CD088C" w:rsidP="00CD088C">
      <w:pPr>
        <w:pStyle w:val="ListParagraph"/>
        <w:numPr>
          <w:ilvl w:val="0"/>
          <w:numId w:val="5"/>
        </w:numPr>
        <w:ind w:left="1134" w:hanging="283"/>
        <w:rPr>
          <w:rFonts w:eastAsiaTheme="minorHAnsi"/>
          <w:sz w:val="16"/>
          <w:szCs w:val="16"/>
        </w:rPr>
      </w:pPr>
      <w:r w:rsidRPr="0051066F">
        <w:rPr>
          <w:rFonts w:eastAsiaTheme="minorHAnsi"/>
          <w:sz w:val="16"/>
          <w:szCs w:val="16"/>
        </w:rPr>
        <w:t>A simplified approach is suitable (</w:t>
      </w:r>
      <w:proofErr w:type="gramStart"/>
      <w:r w:rsidRPr="0051066F">
        <w:rPr>
          <w:rFonts w:eastAsiaTheme="minorHAnsi"/>
          <w:sz w:val="16"/>
          <w:szCs w:val="16"/>
        </w:rPr>
        <w:t>e.g.</w:t>
      </w:r>
      <w:proofErr w:type="gramEnd"/>
      <w:r w:rsidRPr="0051066F">
        <w:rPr>
          <w:rFonts w:eastAsiaTheme="minorHAnsi"/>
          <w:sz w:val="16"/>
          <w:szCs w:val="16"/>
        </w:rPr>
        <w:t xml:space="preserve"> e-inspection, limited scope inspection, review of licence holder quarterly or biannual reports)</w:t>
      </w:r>
    </w:p>
    <w:p w14:paraId="69042C3C" w14:textId="77777777" w:rsidR="00B57349" w:rsidRDefault="00B57349" w:rsidP="00B57349">
      <w:pPr>
        <w:spacing w:before="360"/>
        <w:ind w:left="-142"/>
        <w:rPr>
          <w:rStyle w:val="Normalbold"/>
        </w:rPr>
      </w:pPr>
      <w:r w:rsidRPr="00617A95">
        <w:rPr>
          <w:rStyle w:val="Normalbold"/>
        </w:rPr>
        <w:t xml:space="preserve">Where an inspection of RP5 or RP6 sources is scheduled, a simplified approach such as an e-inspection or a limited scope inspection may be used. </w:t>
      </w:r>
      <w:r>
        <w:rPr>
          <w:rStyle w:val="Normalbold"/>
        </w:rPr>
        <w:t xml:space="preserve"> </w:t>
      </w:r>
      <w:r w:rsidRPr="00617A95">
        <w:rPr>
          <w:rStyle w:val="Normalbold"/>
        </w:rPr>
        <w:t xml:space="preserve">As a substitute for scheduled inspections of RP5 or RP6 sources the frequency of licence holder compliance reporting may be increased from annual to six monthly. </w:t>
      </w:r>
    </w:p>
    <w:p w14:paraId="6021F760" w14:textId="44657A62" w:rsidR="00B57349" w:rsidRPr="00617A95" w:rsidRDefault="00B57349" w:rsidP="00B57349">
      <w:pPr>
        <w:ind w:left="-142"/>
        <w:rPr>
          <w:rStyle w:val="Normalbold"/>
        </w:rPr>
      </w:pPr>
      <w:r w:rsidRPr="00617A95">
        <w:rPr>
          <w:rStyle w:val="Normalbold"/>
        </w:rPr>
        <w:t>Sources at remote locations may be inspected by e-inspection. Situations may arise where an e-inspection is also appropriate for sources other than RP5</w:t>
      </w:r>
      <w:r>
        <w:rPr>
          <w:rStyle w:val="Normalbold"/>
        </w:rPr>
        <w:t xml:space="preserve"> or </w:t>
      </w:r>
      <w:r w:rsidRPr="00617A95">
        <w:rPr>
          <w:rStyle w:val="Normalbold"/>
        </w:rPr>
        <w:t xml:space="preserve">RP6. If so, approval should be sought from the Director, Source </w:t>
      </w:r>
      <w:r w:rsidR="003C1E77">
        <w:rPr>
          <w:rStyle w:val="Normalbold"/>
        </w:rPr>
        <w:t>Safety and Security</w:t>
      </w:r>
      <w:r w:rsidRPr="00617A95">
        <w:rPr>
          <w:rStyle w:val="Normalbold"/>
        </w:rPr>
        <w:t xml:space="preserve">. </w:t>
      </w:r>
    </w:p>
    <w:p w14:paraId="121C0834" w14:textId="77777777" w:rsidR="00B57349" w:rsidRPr="00617A95" w:rsidRDefault="00B57349" w:rsidP="00B57349">
      <w:pPr>
        <w:ind w:left="-142"/>
        <w:rPr>
          <w:rStyle w:val="Normalbold"/>
        </w:rPr>
      </w:pPr>
      <w:r w:rsidRPr="00617A95">
        <w:rPr>
          <w:rStyle w:val="Normalbold"/>
        </w:rPr>
        <w:t xml:space="preserve">ARPANSA conducts information-sharing and educational activities to supplement this graded approach to regulatory oversight. Should compliance reports reveal any concerns, the regulatory officer reviewing the report is responsible for taking appropriate action which may include conducting an e-inspection or a physical inspection to verify compliance. </w:t>
      </w:r>
    </w:p>
    <w:p w14:paraId="58735CB3" w14:textId="294C6D91" w:rsidR="00B57349" w:rsidRDefault="00B57349" w:rsidP="00B57349">
      <w:pPr>
        <w:ind w:left="-142"/>
        <w:rPr>
          <w:rStyle w:val="Emphasis"/>
          <w:b/>
          <w:color w:val="4E1A74"/>
          <w:sz w:val="18"/>
          <w:szCs w:val="18"/>
        </w:rPr>
      </w:pPr>
      <w:r w:rsidRPr="00617A95">
        <w:rPr>
          <w:rStyle w:val="Normalbold"/>
        </w:rPr>
        <w:t>The performance of the licence holder will determine whether in</w:t>
      </w:r>
      <w:r>
        <w:rPr>
          <w:rStyle w:val="Normalbold"/>
        </w:rPr>
        <w:t xml:space="preserve">spection </w:t>
      </w:r>
      <w:r w:rsidRPr="00617A95">
        <w:rPr>
          <w:rStyle w:val="Normalbold"/>
        </w:rPr>
        <w:t xml:space="preserve">frequency </w:t>
      </w:r>
      <w:r>
        <w:rPr>
          <w:rStyle w:val="Normalbold"/>
        </w:rPr>
        <w:t xml:space="preserve">should be increased </w:t>
      </w:r>
      <w:r w:rsidRPr="00617A95">
        <w:rPr>
          <w:rStyle w:val="Normalbold"/>
        </w:rPr>
        <w:t xml:space="preserve">for </w:t>
      </w:r>
      <w:r>
        <w:rPr>
          <w:rStyle w:val="Normalbold"/>
        </w:rPr>
        <w:t>poor</w:t>
      </w:r>
      <w:r w:rsidRPr="00617A95">
        <w:rPr>
          <w:rStyle w:val="Normalbold"/>
        </w:rPr>
        <w:t xml:space="preserve"> performance or whether a simplified inspection approach such a limited scope inspection has been earned for </w:t>
      </w:r>
      <w:r>
        <w:rPr>
          <w:rStyle w:val="Normalbold"/>
        </w:rPr>
        <w:t xml:space="preserve">consistently </w:t>
      </w:r>
      <w:r w:rsidRPr="00617A95">
        <w:rPr>
          <w:rStyle w:val="Normalbold"/>
        </w:rPr>
        <w:t>high performance</w:t>
      </w:r>
      <w:r>
        <w:rPr>
          <w:rStyle w:val="Normalbold"/>
        </w:rPr>
        <w:t xml:space="preserve"> - see Table 6</w:t>
      </w:r>
      <w:r w:rsidRPr="00617A95">
        <w:rPr>
          <w:rStyle w:val="Normalbold"/>
        </w:rPr>
        <w:t xml:space="preserve">. </w:t>
      </w:r>
    </w:p>
    <w:p w14:paraId="1CDE76CF" w14:textId="77777777" w:rsidR="00B57349" w:rsidRDefault="00B57349">
      <w:pPr>
        <w:spacing w:before="200" w:after="200"/>
        <w:rPr>
          <w:rStyle w:val="Emphasis"/>
          <w:color w:val="7030A0"/>
          <w:sz w:val="18"/>
          <w:szCs w:val="18"/>
        </w:rPr>
      </w:pPr>
      <w:r>
        <w:rPr>
          <w:rStyle w:val="Emphasis"/>
          <w:color w:val="7030A0"/>
          <w:sz w:val="18"/>
          <w:szCs w:val="18"/>
        </w:rPr>
        <w:br w:type="page"/>
      </w:r>
    </w:p>
    <w:p w14:paraId="792AF81E" w14:textId="607252C7" w:rsidR="00CD088C" w:rsidRPr="00034F55" w:rsidRDefault="00CD088C" w:rsidP="00C45F2D">
      <w:pPr>
        <w:jc w:val="center"/>
        <w:rPr>
          <w:rFonts w:eastAsiaTheme="minorHAnsi"/>
          <w:sz w:val="16"/>
          <w:szCs w:val="16"/>
        </w:rPr>
      </w:pPr>
      <w:r w:rsidRPr="00034F55">
        <w:rPr>
          <w:rStyle w:val="Emphasis"/>
          <w:color w:val="7030A0"/>
          <w:sz w:val="18"/>
          <w:szCs w:val="18"/>
        </w:rPr>
        <w:lastRenderedPageBreak/>
        <w:t xml:space="preserve">Table </w:t>
      </w:r>
      <w:r>
        <w:rPr>
          <w:rStyle w:val="Emphasis"/>
          <w:color w:val="7030A0"/>
          <w:sz w:val="18"/>
          <w:szCs w:val="18"/>
        </w:rPr>
        <w:t>6</w:t>
      </w:r>
      <w:r w:rsidRPr="00034F55">
        <w:rPr>
          <w:rStyle w:val="Emphasis"/>
          <w:color w:val="7030A0"/>
          <w:sz w:val="18"/>
          <w:szCs w:val="18"/>
        </w:rPr>
        <w:t xml:space="preserve">: </w:t>
      </w:r>
      <w:r w:rsidR="00C45F2D">
        <w:rPr>
          <w:rStyle w:val="Emphasis"/>
          <w:color w:val="7030A0"/>
          <w:sz w:val="18"/>
          <w:szCs w:val="18"/>
        </w:rPr>
        <w:t xml:space="preserve">REGULATORY PRIORITY &amp; </w:t>
      </w:r>
      <w:r w:rsidRPr="00034F55">
        <w:rPr>
          <w:rStyle w:val="Emphasis"/>
          <w:color w:val="7030A0"/>
          <w:sz w:val="18"/>
          <w:szCs w:val="18"/>
        </w:rPr>
        <w:t>inspector numbers</w:t>
      </w:r>
      <w:r w:rsidR="00A04D70">
        <w:rPr>
          <w:rStyle w:val="Emphasis"/>
          <w:color w:val="7030A0"/>
          <w:sz w:val="18"/>
          <w:szCs w:val="18"/>
        </w:rPr>
        <w:t xml:space="preserve"> </w:t>
      </w:r>
    </w:p>
    <w:tbl>
      <w:tblPr>
        <w:tblStyle w:val="ARPANSA"/>
        <w:tblW w:w="0" w:type="auto"/>
        <w:jc w:val="center"/>
        <w:tblLook w:val="04A0" w:firstRow="1" w:lastRow="0" w:firstColumn="1" w:lastColumn="0" w:noHBand="0" w:noVBand="1"/>
      </w:tblPr>
      <w:tblGrid>
        <w:gridCol w:w="4719"/>
        <w:gridCol w:w="1842"/>
        <w:gridCol w:w="1843"/>
      </w:tblGrid>
      <w:tr w:rsidR="00CD088C" w:rsidRPr="00E60AAF" w14:paraId="75490996" w14:textId="77777777" w:rsidTr="00044FE3">
        <w:trPr>
          <w:cnfStyle w:val="100000000000" w:firstRow="1" w:lastRow="0" w:firstColumn="0" w:lastColumn="0" w:oddVBand="0" w:evenVBand="0" w:oddHBand="0" w:evenHBand="0" w:firstRowFirstColumn="0" w:firstRowLastColumn="0" w:lastRowFirstColumn="0" w:lastRowLastColumn="0"/>
          <w:trHeight w:val="395"/>
          <w:jc w:val="center"/>
        </w:trPr>
        <w:tc>
          <w:tcPr>
            <w:tcW w:w="4719" w:type="dxa"/>
            <w:hideMark/>
          </w:tcPr>
          <w:p w14:paraId="007D930F" w14:textId="77777777" w:rsidR="00CD088C" w:rsidRPr="001647FB" w:rsidRDefault="00CD088C" w:rsidP="00044FE3">
            <w:pPr>
              <w:jc w:val="center"/>
            </w:pPr>
            <w:r w:rsidRPr="001647FB">
              <w:t>Regulatory Priority Based on Inherent Hazard of Source/Apparatus</w:t>
            </w:r>
          </w:p>
        </w:tc>
        <w:tc>
          <w:tcPr>
            <w:tcW w:w="1842" w:type="dxa"/>
            <w:hideMark/>
          </w:tcPr>
          <w:p w14:paraId="6C7F592C" w14:textId="77777777" w:rsidR="00CD088C" w:rsidRPr="001647FB" w:rsidRDefault="00CD088C" w:rsidP="00044FE3">
            <w:pPr>
              <w:jc w:val="center"/>
            </w:pPr>
            <w:r w:rsidRPr="001647FB">
              <w:t>Number of Inspectors</w:t>
            </w:r>
          </w:p>
        </w:tc>
        <w:tc>
          <w:tcPr>
            <w:tcW w:w="1843" w:type="dxa"/>
            <w:hideMark/>
          </w:tcPr>
          <w:p w14:paraId="6C8CEC10" w14:textId="0414DBD2" w:rsidR="00CD088C" w:rsidRPr="001647FB" w:rsidRDefault="00CD088C" w:rsidP="00044FE3">
            <w:pPr>
              <w:jc w:val="center"/>
            </w:pPr>
            <w:r w:rsidRPr="001647FB">
              <w:t xml:space="preserve"> Inspection </w:t>
            </w:r>
            <w:r w:rsidR="00B40E5B">
              <w:t xml:space="preserve">Period </w:t>
            </w:r>
            <w:r w:rsidRPr="001647FB">
              <w:t>(years)</w:t>
            </w:r>
          </w:p>
        </w:tc>
      </w:tr>
      <w:tr w:rsidR="00CD088C" w:rsidRPr="00E60AAF" w14:paraId="70F927C3" w14:textId="77777777" w:rsidTr="00044FE3">
        <w:trPr>
          <w:trHeight w:val="284"/>
          <w:jc w:val="center"/>
        </w:trPr>
        <w:tc>
          <w:tcPr>
            <w:tcW w:w="4719" w:type="dxa"/>
            <w:shd w:val="clear" w:color="auto" w:fill="EE7437" w:themeFill="accent6"/>
            <w:vAlign w:val="center"/>
            <w:hideMark/>
          </w:tcPr>
          <w:p w14:paraId="0E01AF5D" w14:textId="77777777" w:rsidR="00CD088C" w:rsidRPr="00E60AAF" w:rsidRDefault="00CD088C" w:rsidP="00044FE3">
            <w:pPr>
              <w:jc w:val="center"/>
            </w:pPr>
            <w:r w:rsidRPr="00E60AAF">
              <w:t>1</w:t>
            </w:r>
          </w:p>
        </w:tc>
        <w:tc>
          <w:tcPr>
            <w:tcW w:w="1842" w:type="dxa"/>
            <w:hideMark/>
          </w:tcPr>
          <w:p w14:paraId="71B13D9A" w14:textId="77777777" w:rsidR="00CD088C" w:rsidRPr="00E60AAF" w:rsidRDefault="00CD088C" w:rsidP="00044FE3">
            <w:pPr>
              <w:jc w:val="center"/>
            </w:pPr>
            <w:r w:rsidRPr="00E60AAF">
              <w:t>2 or more</w:t>
            </w:r>
          </w:p>
        </w:tc>
        <w:tc>
          <w:tcPr>
            <w:tcW w:w="1843" w:type="dxa"/>
            <w:hideMark/>
          </w:tcPr>
          <w:p w14:paraId="37952D57" w14:textId="77777777" w:rsidR="00CD088C" w:rsidRPr="00E60AAF" w:rsidRDefault="00CD088C" w:rsidP="00044FE3">
            <w:pPr>
              <w:jc w:val="center"/>
            </w:pPr>
            <w:r w:rsidRPr="00E60AAF">
              <w:t>1</w:t>
            </w:r>
          </w:p>
        </w:tc>
      </w:tr>
      <w:tr w:rsidR="00CD088C" w:rsidRPr="00E60AAF" w14:paraId="518527DB" w14:textId="77777777" w:rsidTr="00044FE3">
        <w:trPr>
          <w:trHeight w:val="284"/>
          <w:jc w:val="center"/>
        </w:trPr>
        <w:tc>
          <w:tcPr>
            <w:tcW w:w="4719" w:type="dxa"/>
            <w:shd w:val="clear" w:color="auto" w:fill="F4AB86" w:themeFill="accent6" w:themeFillTint="99"/>
            <w:vAlign w:val="center"/>
            <w:hideMark/>
          </w:tcPr>
          <w:p w14:paraId="217756C8" w14:textId="77777777" w:rsidR="00CD088C" w:rsidRPr="00E60AAF" w:rsidRDefault="00CD088C" w:rsidP="00044FE3">
            <w:pPr>
              <w:jc w:val="center"/>
            </w:pPr>
            <w:r w:rsidRPr="00E60AAF">
              <w:t>2</w:t>
            </w:r>
          </w:p>
        </w:tc>
        <w:tc>
          <w:tcPr>
            <w:tcW w:w="1842" w:type="dxa"/>
            <w:hideMark/>
          </w:tcPr>
          <w:p w14:paraId="7A4902B5" w14:textId="77777777" w:rsidR="00CD088C" w:rsidRPr="00E60AAF" w:rsidRDefault="00CD088C" w:rsidP="00044FE3">
            <w:pPr>
              <w:jc w:val="center"/>
            </w:pPr>
            <w:r w:rsidRPr="00E60AAF">
              <w:t>1</w:t>
            </w:r>
            <w:r>
              <w:t xml:space="preserve"> or </w:t>
            </w:r>
            <w:r w:rsidRPr="00E60AAF">
              <w:t>2</w:t>
            </w:r>
          </w:p>
        </w:tc>
        <w:tc>
          <w:tcPr>
            <w:tcW w:w="1843" w:type="dxa"/>
            <w:hideMark/>
          </w:tcPr>
          <w:p w14:paraId="5DF9C19A" w14:textId="77777777" w:rsidR="00CD088C" w:rsidRPr="00E60AAF" w:rsidRDefault="00CD088C" w:rsidP="00044FE3">
            <w:pPr>
              <w:jc w:val="center"/>
            </w:pPr>
            <w:r w:rsidRPr="00E60AAF">
              <w:t>2</w:t>
            </w:r>
          </w:p>
        </w:tc>
      </w:tr>
      <w:tr w:rsidR="00CD088C" w:rsidRPr="00E60AAF" w14:paraId="56B246D6" w14:textId="77777777" w:rsidTr="00044FE3">
        <w:trPr>
          <w:trHeight w:val="284"/>
          <w:jc w:val="center"/>
        </w:trPr>
        <w:tc>
          <w:tcPr>
            <w:tcW w:w="4719" w:type="dxa"/>
            <w:shd w:val="clear" w:color="auto" w:fill="FDC822" w:themeFill="accent4"/>
            <w:vAlign w:val="center"/>
            <w:hideMark/>
          </w:tcPr>
          <w:p w14:paraId="7C56E082" w14:textId="77777777" w:rsidR="00CD088C" w:rsidRPr="00E60AAF" w:rsidRDefault="00CD088C" w:rsidP="00044FE3">
            <w:pPr>
              <w:jc w:val="center"/>
            </w:pPr>
            <w:r w:rsidRPr="00E60AAF">
              <w:t>3</w:t>
            </w:r>
          </w:p>
        </w:tc>
        <w:tc>
          <w:tcPr>
            <w:tcW w:w="1842" w:type="dxa"/>
            <w:hideMark/>
          </w:tcPr>
          <w:p w14:paraId="2BEFE745" w14:textId="77777777" w:rsidR="00CD088C" w:rsidRPr="00E60AAF" w:rsidRDefault="00CD088C" w:rsidP="00044FE3">
            <w:pPr>
              <w:jc w:val="center"/>
            </w:pPr>
            <w:r w:rsidRPr="00E60AAF">
              <w:t>1</w:t>
            </w:r>
          </w:p>
        </w:tc>
        <w:tc>
          <w:tcPr>
            <w:tcW w:w="1843" w:type="dxa"/>
            <w:hideMark/>
          </w:tcPr>
          <w:p w14:paraId="2D880847" w14:textId="77777777" w:rsidR="00CD088C" w:rsidRPr="00E60AAF" w:rsidRDefault="00CD088C" w:rsidP="00044FE3">
            <w:pPr>
              <w:jc w:val="center"/>
            </w:pPr>
            <w:r w:rsidRPr="00E60AAF">
              <w:t>3</w:t>
            </w:r>
          </w:p>
        </w:tc>
      </w:tr>
      <w:tr w:rsidR="00CD088C" w:rsidRPr="00E60AAF" w14:paraId="3FE3B14C" w14:textId="77777777" w:rsidTr="00044FE3">
        <w:trPr>
          <w:trHeight w:val="284"/>
          <w:jc w:val="center"/>
        </w:trPr>
        <w:tc>
          <w:tcPr>
            <w:tcW w:w="4719" w:type="dxa"/>
            <w:shd w:val="clear" w:color="auto" w:fill="FEE8A6" w:themeFill="accent4" w:themeFillTint="66"/>
            <w:vAlign w:val="center"/>
            <w:hideMark/>
          </w:tcPr>
          <w:p w14:paraId="10545EAE" w14:textId="77777777" w:rsidR="00CD088C" w:rsidRPr="00E60AAF" w:rsidRDefault="00CD088C" w:rsidP="00044FE3">
            <w:pPr>
              <w:jc w:val="center"/>
            </w:pPr>
            <w:r w:rsidRPr="00E60AAF">
              <w:t>4</w:t>
            </w:r>
          </w:p>
        </w:tc>
        <w:tc>
          <w:tcPr>
            <w:tcW w:w="1842" w:type="dxa"/>
            <w:hideMark/>
          </w:tcPr>
          <w:p w14:paraId="0FC0F203" w14:textId="77777777" w:rsidR="00CD088C" w:rsidRPr="00E60AAF" w:rsidRDefault="00CD088C" w:rsidP="00044FE3">
            <w:pPr>
              <w:jc w:val="center"/>
            </w:pPr>
            <w:r w:rsidRPr="00E60AAF">
              <w:t>1</w:t>
            </w:r>
          </w:p>
        </w:tc>
        <w:tc>
          <w:tcPr>
            <w:tcW w:w="1843" w:type="dxa"/>
            <w:hideMark/>
          </w:tcPr>
          <w:p w14:paraId="7811046D" w14:textId="77777777" w:rsidR="00CD088C" w:rsidRPr="00E60AAF" w:rsidRDefault="00CD088C" w:rsidP="00044FE3">
            <w:pPr>
              <w:jc w:val="center"/>
            </w:pPr>
            <w:r w:rsidRPr="00E60AAF">
              <w:t>4</w:t>
            </w:r>
          </w:p>
        </w:tc>
      </w:tr>
      <w:tr w:rsidR="00CD088C" w:rsidRPr="00E60AAF" w14:paraId="502A7066" w14:textId="77777777" w:rsidTr="00044FE3">
        <w:trPr>
          <w:trHeight w:val="284"/>
          <w:jc w:val="center"/>
        </w:trPr>
        <w:tc>
          <w:tcPr>
            <w:tcW w:w="4719" w:type="dxa"/>
            <w:shd w:val="clear" w:color="auto" w:fill="6BD56B" w:themeFill="accent1" w:themeFillTint="99"/>
            <w:vAlign w:val="center"/>
            <w:hideMark/>
          </w:tcPr>
          <w:p w14:paraId="1D159970" w14:textId="77777777" w:rsidR="00CD088C" w:rsidRPr="00E60AAF" w:rsidRDefault="00CD088C" w:rsidP="00044FE3">
            <w:pPr>
              <w:jc w:val="center"/>
              <w:rPr>
                <w:vertAlign w:val="superscript"/>
              </w:rPr>
            </w:pPr>
            <w:r w:rsidRPr="00E60AAF">
              <w:t>5</w:t>
            </w:r>
            <w:r w:rsidRPr="00E60AAF">
              <w:rPr>
                <w:vertAlign w:val="superscript"/>
              </w:rPr>
              <w:t>a</w:t>
            </w:r>
          </w:p>
        </w:tc>
        <w:tc>
          <w:tcPr>
            <w:tcW w:w="1842" w:type="dxa"/>
            <w:hideMark/>
          </w:tcPr>
          <w:p w14:paraId="60AC1595" w14:textId="77777777" w:rsidR="00CD088C" w:rsidRPr="00E60AAF" w:rsidRDefault="00CD088C" w:rsidP="00044FE3">
            <w:pPr>
              <w:jc w:val="center"/>
              <w:rPr>
                <w:vertAlign w:val="superscript"/>
              </w:rPr>
            </w:pPr>
            <w:r w:rsidRPr="00E60AAF">
              <w:t>1</w:t>
            </w:r>
          </w:p>
        </w:tc>
        <w:tc>
          <w:tcPr>
            <w:tcW w:w="1843" w:type="dxa"/>
            <w:hideMark/>
          </w:tcPr>
          <w:p w14:paraId="44C4E24D" w14:textId="77777777" w:rsidR="00CD088C" w:rsidRPr="00E60AAF" w:rsidRDefault="00CD088C" w:rsidP="00044FE3">
            <w:pPr>
              <w:jc w:val="center"/>
            </w:pPr>
            <w:r w:rsidRPr="00E60AAF">
              <w:t>5</w:t>
            </w:r>
          </w:p>
        </w:tc>
      </w:tr>
      <w:tr w:rsidR="00CD088C" w:rsidRPr="00E60AAF" w14:paraId="2B2D1E89" w14:textId="77777777" w:rsidTr="00044FE3">
        <w:trPr>
          <w:trHeight w:val="284"/>
          <w:jc w:val="center"/>
        </w:trPr>
        <w:tc>
          <w:tcPr>
            <w:tcW w:w="4719" w:type="dxa"/>
            <w:shd w:val="clear" w:color="auto" w:fill="00B0F0"/>
            <w:vAlign w:val="center"/>
          </w:tcPr>
          <w:p w14:paraId="0726DD63" w14:textId="77777777" w:rsidR="00CD088C" w:rsidRPr="00E60AAF" w:rsidRDefault="00CD088C" w:rsidP="00044FE3">
            <w:pPr>
              <w:jc w:val="center"/>
              <w:rPr>
                <w:vertAlign w:val="superscript"/>
              </w:rPr>
            </w:pPr>
            <w:r w:rsidRPr="00E60AAF">
              <w:t>6</w:t>
            </w:r>
            <w:r w:rsidRPr="00E60AAF">
              <w:rPr>
                <w:vertAlign w:val="superscript"/>
              </w:rPr>
              <w:t>a</w:t>
            </w:r>
          </w:p>
        </w:tc>
        <w:tc>
          <w:tcPr>
            <w:tcW w:w="1842" w:type="dxa"/>
          </w:tcPr>
          <w:p w14:paraId="7907DAC1" w14:textId="77777777" w:rsidR="00CD088C" w:rsidRPr="00E60AAF" w:rsidRDefault="00CD088C" w:rsidP="00044FE3">
            <w:pPr>
              <w:jc w:val="center"/>
              <w:rPr>
                <w:vertAlign w:val="superscript"/>
              </w:rPr>
            </w:pPr>
            <w:r w:rsidRPr="00E60AAF">
              <w:t>1</w:t>
            </w:r>
          </w:p>
        </w:tc>
        <w:tc>
          <w:tcPr>
            <w:tcW w:w="1843" w:type="dxa"/>
          </w:tcPr>
          <w:p w14:paraId="3D601C5E" w14:textId="77777777" w:rsidR="00CD088C" w:rsidRPr="00E60AAF" w:rsidRDefault="00CD088C" w:rsidP="00044FE3">
            <w:pPr>
              <w:jc w:val="center"/>
              <w:rPr>
                <w:vertAlign w:val="superscript"/>
              </w:rPr>
            </w:pPr>
            <w:r w:rsidRPr="00E60AAF">
              <w:t>6</w:t>
            </w:r>
          </w:p>
        </w:tc>
      </w:tr>
      <w:tr w:rsidR="00CD088C" w:rsidRPr="00E60AAF" w14:paraId="1DEA6DAB" w14:textId="77777777" w:rsidTr="00044FE3">
        <w:trPr>
          <w:trHeight w:val="284"/>
          <w:jc w:val="center"/>
        </w:trPr>
        <w:tc>
          <w:tcPr>
            <w:tcW w:w="4719" w:type="dxa"/>
            <w:shd w:val="clear" w:color="auto" w:fill="F2F2F2" w:themeFill="background1" w:themeFillShade="F2"/>
          </w:tcPr>
          <w:p w14:paraId="7CF9462E" w14:textId="77777777" w:rsidR="00CD088C" w:rsidRPr="00E60AAF" w:rsidRDefault="00CD088C" w:rsidP="00044FE3">
            <w:pPr>
              <w:jc w:val="center"/>
            </w:pPr>
            <w:r w:rsidRPr="00E60AAF">
              <w:t>Complex Sites</w:t>
            </w:r>
          </w:p>
        </w:tc>
        <w:tc>
          <w:tcPr>
            <w:tcW w:w="1842" w:type="dxa"/>
          </w:tcPr>
          <w:p w14:paraId="02065FCE" w14:textId="77777777" w:rsidR="00CD088C" w:rsidRPr="00E60AAF" w:rsidRDefault="00CD088C" w:rsidP="00044FE3">
            <w:pPr>
              <w:jc w:val="center"/>
            </w:pPr>
            <w:r w:rsidRPr="00E60AAF">
              <w:t>2 or more</w:t>
            </w:r>
          </w:p>
        </w:tc>
        <w:tc>
          <w:tcPr>
            <w:tcW w:w="1843" w:type="dxa"/>
          </w:tcPr>
          <w:p w14:paraId="49961683" w14:textId="77777777" w:rsidR="00CD088C" w:rsidRPr="00E60AAF" w:rsidRDefault="00CD088C" w:rsidP="00044FE3">
            <w:pPr>
              <w:jc w:val="center"/>
            </w:pPr>
            <w:r w:rsidRPr="00E60AAF">
              <w:t>3</w:t>
            </w:r>
          </w:p>
        </w:tc>
      </w:tr>
      <w:tr w:rsidR="00CD088C" w:rsidRPr="00E60AAF" w14:paraId="7C3CCCD1" w14:textId="77777777" w:rsidTr="00044FE3">
        <w:trPr>
          <w:trHeight w:val="284"/>
          <w:jc w:val="center"/>
        </w:trPr>
        <w:tc>
          <w:tcPr>
            <w:tcW w:w="4719" w:type="dxa"/>
            <w:shd w:val="clear" w:color="auto" w:fill="F2F2F2" w:themeFill="background1" w:themeFillShade="F2"/>
            <w:hideMark/>
          </w:tcPr>
          <w:p w14:paraId="457E0DF1" w14:textId="77777777" w:rsidR="00CD088C" w:rsidRPr="00E60AAF" w:rsidRDefault="00CD088C" w:rsidP="00044FE3">
            <w:pPr>
              <w:jc w:val="center"/>
            </w:pPr>
            <w:r w:rsidRPr="00E60AAF">
              <w:t>Augmented Inspections</w:t>
            </w:r>
          </w:p>
        </w:tc>
        <w:tc>
          <w:tcPr>
            <w:tcW w:w="1842" w:type="dxa"/>
            <w:hideMark/>
          </w:tcPr>
          <w:p w14:paraId="0FE9A1B5" w14:textId="77777777" w:rsidR="00CD088C" w:rsidRPr="00E60AAF" w:rsidRDefault="00CD088C" w:rsidP="00044FE3">
            <w:pPr>
              <w:jc w:val="center"/>
            </w:pPr>
            <w:r w:rsidRPr="00E60AAF">
              <w:t>As required</w:t>
            </w:r>
          </w:p>
        </w:tc>
        <w:tc>
          <w:tcPr>
            <w:tcW w:w="1843" w:type="dxa"/>
            <w:hideMark/>
          </w:tcPr>
          <w:p w14:paraId="10ED575A" w14:textId="77777777" w:rsidR="00CD088C" w:rsidRPr="00E60AAF" w:rsidRDefault="00CD088C" w:rsidP="00044FE3">
            <w:pPr>
              <w:jc w:val="center"/>
              <w:rPr>
                <w:vertAlign w:val="superscript"/>
              </w:rPr>
            </w:pPr>
            <w:r w:rsidRPr="00E60AAF">
              <w:t>0</w:t>
            </w:r>
            <w:r w:rsidRPr="00E60AAF">
              <w:rPr>
                <w:vertAlign w:val="superscript"/>
              </w:rPr>
              <w:t>b</w:t>
            </w:r>
          </w:p>
        </w:tc>
      </w:tr>
    </w:tbl>
    <w:p w14:paraId="438A65D0" w14:textId="77777777" w:rsidR="00CD088C" w:rsidRPr="0051066F" w:rsidRDefault="00CD088C" w:rsidP="00CD088C">
      <w:pPr>
        <w:pStyle w:val="ListParagraph"/>
        <w:numPr>
          <w:ilvl w:val="0"/>
          <w:numId w:val="6"/>
        </w:numPr>
        <w:ind w:hanging="294"/>
        <w:rPr>
          <w:rFonts w:eastAsia="Calibri"/>
          <w:sz w:val="16"/>
          <w:szCs w:val="16"/>
        </w:rPr>
      </w:pPr>
      <w:r w:rsidRPr="0051066F">
        <w:rPr>
          <w:rFonts w:eastAsia="Calibri"/>
          <w:sz w:val="16"/>
          <w:szCs w:val="16"/>
        </w:rPr>
        <w:t>A simplified inspection approach may be used (</w:t>
      </w:r>
      <w:proofErr w:type="gramStart"/>
      <w:r w:rsidRPr="0051066F">
        <w:rPr>
          <w:rFonts w:eastAsia="Calibri"/>
          <w:sz w:val="16"/>
          <w:szCs w:val="16"/>
        </w:rPr>
        <w:t>e.g.</w:t>
      </w:r>
      <w:proofErr w:type="gramEnd"/>
      <w:r w:rsidRPr="0051066F">
        <w:rPr>
          <w:rFonts w:eastAsia="Calibri"/>
          <w:sz w:val="16"/>
          <w:szCs w:val="16"/>
        </w:rPr>
        <w:t xml:space="preserve"> e-inspection, limited scope inspection)</w:t>
      </w:r>
    </w:p>
    <w:p w14:paraId="2F70A804" w14:textId="7B6584E9" w:rsidR="00CD088C" w:rsidRPr="0051066F" w:rsidRDefault="00CD088C" w:rsidP="00CD088C">
      <w:pPr>
        <w:pStyle w:val="ListParagraph"/>
        <w:numPr>
          <w:ilvl w:val="0"/>
          <w:numId w:val="6"/>
        </w:numPr>
        <w:ind w:hanging="294"/>
        <w:rPr>
          <w:rFonts w:eastAsia="Calibri"/>
          <w:sz w:val="16"/>
          <w:szCs w:val="16"/>
        </w:rPr>
      </w:pPr>
      <w:r w:rsidRPr="0051066F">
        <w:rPr>
          <w:rFonts w:eastAsia="Calibri"/>
          <w:sz w:val="16"/>
          <w:szCs w:val="16"/>
        </w:rPr>
        <w:t xml:space="preserve">Triggered by but not limited to poor inspection results, notifications, incidents, </w:t>
      </w:r>
      <w:proofErr w:type="gramStart"/>
      <w:r w:rsidRPr="0051066F">
        <w:rPr>
          <w:rFonts w:eastAsia="Calibri"/>
          <w:sz w:val="16"/>
          <w:szCs w:val="16"/>
        </w:rPr>
        <w:t>accidents</w:t>
      </w:r>
      <w:proofErr w:type="gramEnd"/>
      <w:r w:rsidRPr="0051066F">
        <w:rPr>
          <w:rFonts w:eastAsia="Calibri"/>
          <w:sz w:val="16"/>
          <w:szCs w:val="16"/>
        </w:rPr>
        <w:t xml:space="preserve"> or </w:t>
      </w:r>
      <w:r w:rsidR="00D55278">
        <w:rPr>
          <w:rFonts w:eastAsia="Calibri"/>
          <w:sz w:val="16"/>
          <w:szCs w:val="16"/>
        </w:rPr>
        <w:t xml:space="preserve">other </w:t>
      </w:r>
      <w:r w:rsidRPr="0051066F">
        <w:rPr>
          <w:rFonts w:eastAsia="Calibri"/>
          <w:sz w:val="16"/>
          <w:szCs w:val="16"/>
        </w:rPr>
        <w:t>significant compliance issues</w:t>
      </w:r>
    </w:p>
    <w:p w14:paraId="40229C9C" w14:textId="77777777" w:rsidR="00F07E66" w:rsidRDefault="00F07E66" w:rsidP="00503103">
      <w:pPr>
        <w:ind w:left="-142"/>
        <w:rPr>
          <w:rStyle w:val="Normalbold"/>
        </w:rPr>
      </w:pPr>
    </w:p>
    <w:p w14:paraId="7FC86062" w14:textId="6C155A6A" w:rsidR="00DC0734" w:rsidRPr="00617A95" w:rsidRDefault="00DC0734" w:rsidP="00503103">
      <w:pPr>
        <w:ind w:left="-142"/>
        <w:rPr>
          <w:rStyle w:val="Normalbold"/>
        </w:rPr>
      </w:pPr>
      <w:r w:rsidRPr="00617A95">
        <w:rPr>
          <w:rStyle w:val="Normalbold"/>
        </w:rPr>
        <w:t xml:space="preserve">ARPANSA maintains a </w:t>
      </w:r>
      <w:r w:rsidR="00F07E66">
        <w:rPr>
          <w:rStyle w:val="Normalbold"/>
        </w:rPr>
        <w:t>6-</w:t>
      </w:r>
      <w:r w:rsidRPr="00617A95">
        <w:rPr>
          <w:rStyle w:val="Normalbold"/>
        </w:rPr>
        <w:t>yearly inspection schedule for sources</w:t>
      </w:r>
      <w:r w:rsidR="00521057">
        <w:rPr>
          <w:rStyle w:val="Normalbold"/>
        </w:rPr>
        <w:t xml:space="preserve"> that is </w:t>
      </w:r>
      <w:r w:rsidR="00325FAA" w:rsidRPr="00617A95">
        <w:rPr>
          <w:rStyle w:val="Normalbold"/>
        </w:rPr>
        <w:t xml:space="preserve">reviewed annually. </w:t>
      </w:r>
      <w:r w:rsidRPr="00617A95">
        <w:rPr>
          <w:rStyle w:val="Normalbold"/>
        </w:rPr>
        <w:t xml:space="preserve">Licence holders </w:t>
      </w:r>
      <w:r w:rsidR="00521057">
        <w:rPr>
          <w:rStyle w:val="Normalbold"/>
        </w:rPr>
        <w:t xml:space="preserve">are given </w:t>
      </w:r>
      <w:r w:rsidRPr="00617A95">
        <w:rPr>
          <w:rStyle w:val="Normalbold"/>
        </w:rPr>
        <w:t xml:space="preserve">access to </w:t>
      </w:r>
      <w:r w:rsidR="00961A41" w:rsidRPr="00617A95">
        <w:rPr>
          <w:rStyle w:val="Normalbold"/>
        </w:rPr>
        <w:t xml:space="preserve">their inspection </w:t>
      </w:r>
      <w:r w:rsidR="00325FAA" w:rsidRPr="00617A95">
        <w:rPr>
          <w:rStyle w:val="Normalbold"/>
        </w:rPr>
        <w:t>schedule.</w:t>
      </w:r>
      <w:r w:rsidR="00306F1E">
        <w:rPr>
          <w:rStyle w:val="Normalbold"/>
        </w:rPr>
        <w:t xml:space="preserve"> </w:t>
      </w:r>
    </w:p>
    <w:p w14:paraId="1829DF03" w14:textId="2E1D5F15" w:rsidR="00107068" w:rsidRPr="00F95979" w:rsidRDefault="006356B6" w:rsidP="00122B75">
      <w:pPr>
        <w:pStyle w:val="Heading2"/>
        <w:numPr>
          <w:ilvl w:val="0"/>
          <w:numId w:val="46"/>
        </w:numPr>
        <w:spacing w:before="240"/>
        <w:rPr>
          <w:rStyle w:val="Normalbold"/>
          <w:i/>
          <w:sz w:val="24"/>
          <w:szCs w:val="24"/>
        </w:rPr>
      </w:pPr>
      <w:bookmarkStart w:id="14" w:name="_Toc492399349"/>
      <w:bookmarkStart w:id="15" w:name="_Toc492399343"/>
      <w:bookmarkStart w:id="16" w:name="_Toc483572274"/>
      <w:bookmarkStart w:id="17" w:name="_Toc483572275"/>
      <w:bookmarkStart w:id="18" w:name="_Toc492399350"/>
      <w:bookmarkEnd w:id="10"/>
      <w:r w:rsidRPr="00F95979">
        <w:rPr>
          <w:rStyle w:val="Normalbold"/>
          <w:i/>
          <w:sz w:val="24"/>
          <w:szCs w:val="24"/>
        </w:rPr>
        <w:t xml:space="preserve">Inspection of </w:t>
      </w:r>
      <w:r w:rsidR="00F07E66">
        <w:rPr>
          <w:rStyle w:val="Normalbold"/>
          <w:i/>
          <w:sz w:val="24"/>
          <w:szCs w:val="24"/>
        </w:rPr>
        <w:t xml:space="preserve">sources across </w:t>
      </w:r>
      <w:r w:rsidRPr="00F95979">
        <w:rPr>
          <w:rStyle w:val="Normalbold"/>
          <w:i/>
          <w:sz w:val="24"/>
          <w:szCs w:val="24"/>
        </w:rPr>
        <w:t>c</w:t>
      </w:r>
      <w:r w:rsidR="00107068" w:rsidRPr="00F95979">
        <w:rPr>
          <w:rStyle w:val="Normalbold"/>
          <w:i/>
          <w:sz w:val="24"/>
          <w:szCs w:val="24"/>
        </w:rPr>
        <w:t xml:space="preserve">omplex </w:t>
      </w:r>
      <w:r w:rsidR="008278B0" w:rsidRPr="00F95979">
        <w:rPr>
          <w:rStyle w:val="Normalbold"/>
          <w:i/>
          <w:sz w:val="24"/>
          <w:szCs w:val="24"/>
        </w:rPr>
        <w:t>s</w:t>
      </w:r>
      <w:r w:rsidR="00107068" w:rsidRPr="00F95979">
        <w:rPr>
          <w:rStyle w:val="Normalbold"/>
          <w:i/>
          <w:sz w:val="24"/>
          <w:szCs w:val="24"/>
        </w:rPr>
        <w:t xml:space="preserve">ites </w:t>
      </w:r>
      <w:bookmarkEnd w:id="14"/>
    </w:p>
    <w:p w14:paraId="195D357B" w14:textId="6A6D63E1" w:rsidR="00107068" w:rsidRPr="00617A95" w:rsidRDefault="00107068" w:rsidP="00A04D70">
      <w:pPr>
        <w:ind w:left="-142"/>
        <w:rPr>
          <w:rStyle w:val="Normalbold"/>
        </w:rPr>
      </w:pPr>
      <w:r w:rsidRPr="00617A95">
        <w:rPr>
          <w:rStyle w:val="Normalbold"/>
        </w:rPr>
        <w:t xml:space="preserve">With the approval of the </w:t>
      </w:r>
      <w:r w:rsidR="00106C4D" w:rsidRPr="00617A95">
        <w:rPr>
          <w:rStyle w:val="Normalbold"/>
        </w:rPr>
        <w:t xml:space="preserve">Director, </w:t>
      </w:r>
      <w:r w:rsidRPr="00617A95">
        <w:rPr>
          <w:rStyle w:val="Normalbold"/>
        </w:rPr>
        <w:t xml:space="preserve">Source </w:t>
      </w:r>
      <w:r w:rsidR="00C96D48" w:rsidRPr="00617A95">
        <w:rPr>
          <w:rStyle w:val="Normalbold"/>
        </w:rPr>
        <w:t>Safety and Security</w:t>
      </w:r>
      <w:r w:rsidRPr="00617A95">
        <w:rPr>
          <w:rStyle w:val="Normalbold"/>
        </w:rPr>
        <w:t xml:space="preserve"> a CSIRO site or geographical location with multiple CSIRO Business Units may be regarded as a ‘</w:t>
      </w:r>
      <w:r w:rsidR="008278B0">
        <w:rPr>
          <w:rStyle w:val="Normalbold"/>
        </w:rPr>
        <w:t>c</w:t>
      </w:r>
      <w:r w:rsidRPr="00617A95">
        <w:rPr>
          <w:rStyle w:val="Normalbold"/>
        </w:rPr>
        <w:t xml:space="preserve">omplex </w:t>
      </w:r>
      <w:r w:rsidR="008278B0">
        <w:rPr>
          <w:rStyle w:val="Normalbold"/>
        </w:rPr>
        <w:t>s</w:t>
      </w:r>
      <w:r w:rsidRPr="00617A95">
        <w:rPr>
          <w:rStyle w:val="Normalbold"/>
        </w:rPr>
        <w:t>ite’ and inspected by a team of two or more inspectors. A similar approach may be taken to inspections of Defence</w:t>
      </w:r>
      <w:r w:rsidR="00B57349">
        <w:rPr>
          <w:rStyle w:val="Normalbold"/>
        </w:rPr>
        <w:t>,</w:t>
      </w:r>
      <w:r w:rsidRPr="00617A95">
        <w:rPr>
          <w:rStyle w:val="Normalbold"/>
        </w:rPr>
        <w:t xml:space="preserve"> Australian Federal Police sites or regions</w:t>
      </w:r>
      <w:r w:rsidR="00B57349">
        <w:rPr>
          <w:rStyle w:val="Normalbold"/>
        </w:rPr>
        <w:t xml:space="preserve"> or other licence holders as appropriate</w:t>
      </w:r>
      <w:r w:rsidRPr="00617A95">
        <w:rPr>
          <w:rStyle w:val="Normalbold"/>
        </w:rPr>
        <w:t>.</w:t>
      </w:r>
    </w:p>
    <w:p w14:paraId="23B6143B" w14:textId="4B05A766" w:rsidR="00107068" w:rsidRDefault="00107068" w:rsidP="00C45F2D">
      <w:pPr>
        <w:pStyle w:val="Heading2"/>
        <w:tabs>
          <w:tab w:val="clear" w:pos="851"/>
          <w:tab w:val="left" w:pos="1276"/>
        </w:tabs>
        <w:spacing w:before="480"/>
        <w:ind w:left="1276" w:hanging="567"/>
      </w:pPr>
      <w:r>
        <w:t xml:space="preserve">Types of Inspection </w:t>
      </w:r>
      <w:bookmarkEnd w:id="15"/>
    </w:p>
    <w:p w14:paraId="1B32E803" w14:textId="51344917" w:rsidR="00107068" w:rsidRPr="00F95979" w:rsidRDefault="00107068" w:rsidP="00122B75">
      <w:pPr>
        <w:pStyle w:val="Heading2"/>
        <w:numPr>
          <w:ilvl w:val="0"/>
          <w:numId w:val="46"/>
        </w:numPr>
        <w:rPr>
          <w:rStyle w:val="Normalbold"/>
          <w:i/>
          <w:sz w:val="24"/>
          <w:szCs w:val="24"/>
        </w:rPr>
      </w:pPr>
      <w:bookmarkStart w:id="19" w:name="_Toc492399344"/>
      <w:r w:rsidRPr="00F95979">
        <w:rPr>
          <w:rStyle w:val="Normalbold"/>
          <w:i/>
          <w:sz w:val="24"/>
          <w:szCs w:val="24"/>
        </w:rPr>
        <w:t xml:space="preserve">Scheduled, </w:t>
      </w:r>
      <w:r w:rsidR="009E4507">
        <w:rPr>
          <w:rStyle w:val="Normalbold"/>
          <w:i/>
          <w:sz w:val="24"/>
          <w:szCs w:val="24"/>
        </w:rPr>
        <w:t>reactive</w:t>
      </w:r>
      <w:r w:rsidR="00394C0D">
        <w:rPr>
          <w:rStyle w:val="Normalbold"/>
          <w:i/>
          <w:sz w:val="24"/>
          <w:szCs w:val="24"/>
        </w:rPr>
        <w:t xml:space="preserve"> </w:t>
      </w:r>
      <w:r w:rsidRPr="00F95979">
        <w:rPr>
          <w:rStyle w:val="Normalbold"/>
          <w:i/>
          <w:sz w:val="24"/>
          <w:szCs w:val="24"/>
        </w:rPr>
        <w:t>and unannounced inspections</w:t>
      </w:r>
      <w:bookmarkEnd w:id="19"/>
    </w:p>
    <w:p w14:paraId="0AFB86FF" w14:textId="2F41AF14" w:rsidR="00107068" w:rsidRPr="00617A95" w:rsidRDefault="00107068" w:rsidP="00A04D70">
      <w:pPr>
        <w:ind w:left="-142"/>
        <w:rPr>
          <w:rStyle w:val="Normalbold"/>
        </w:rPr>
      </w:pPr>
      <w:r w:rsidRPr="00617A95">
        <w:rPr>
          <w:rStyle w:val="Normalbold"/>
        </w:rPr>
        <w:t xml:space="preserve">Inspections are </w:t>
      </w:r>
      <w:r w:rsidR="00961A41" w:rsidRPr="00617A95">
        <w:rPr>
          <w:rStyle w:val="Normalbold"/>
        </w:rPr>
        <w:t xml:space="preserve">usually </w:t>
      </w:r>
      <w:r w:rsidRPr="00617A95">
        <w:rPr>
          <w:rStyle w:val="Normalbold"/>
        </w:rPr>
        <w:t xml:space="preserve">scheduled according to the frequency described in </w:t>
      </w:r>
      <w:r w:rsidR="00C96D48" w:rsidRPr="00617A95">
        <w:rPr>
          <w:rStyle w:val="Normalbold"/>
        </w:rPr>
        <w:t xml:space="preserve">section </w:t>
      </w:r>
      <w:r w:rsidRPr="00617A95">
        <w:rPr>
          <w:rStyle w:val="Normalbold"/>
        </w:rPr>
        <w:t>1.7</w:t>
      </w:r>
      <w:r w:rsidR="0039655F">
        <w:rPr>
          <w:rStyle w:val="Normalbold"/>
        </w:rPr>
        <w:t>.</w:t>
      </w:r>
      <w:r w:rsidRPr="00617A95">
        <w:rPr>
          <w:rStyle w:val="Normalbold"/>
        </w:rPr>
        <w:t xml:space="preserve"> </w:t>
      </w:r>
      <w:r w:rsidR="0039655F">
        <w:rPr>
          <w:rStyle w:val="Normalbold"/>
        </w:rPr>
        <w:t>R</w:t>
      </w:r>
      <w:r w:rsidR="009E4507">
        <w:rPr>
          <w:rStyle w:val="Normalbold"/>
        </w:rPr>
        <w:t>eactive</w:t>
      </w:r>
      <w:r w:rsidRPr="00617A95">
        <w:rPr>
          <w:rStyle w:val="Normalbold"/>
        </w:rPr>
        <w:t xml:space="preserve"> inspections </w:t>
      </w:r>
      <w:r w:rsidR="00394C0D">
        <w:rPr>
          <w:rStyle w:val="Normalbold"/>
        </w:rPr>
        <w:t xml:space="preserve">may also be conducted. These </w:t>
      </w:r>
      <w:r w:rsidR="009E4507">
        <w:rPr>
          <w:rStyle w:val="Normalbold"/>
        </w:rPr>
        <w:t>reactive</w:t>
      </w:r>
      <w:r w:rsidR="00B57349">
        <w:rPr>
          <w:rStyle w:val="Normalbold"/>
        </w:rPr>
        <w:t xml:space="preserve"> (or unscheduled)</w:t>
      </w:r>
      <w:r w:rsidR="00394C0D">
        <w:rPr>
          <w:rStyle w:val="Normalbold"/>
        </w:rPr>
        <w:t xml:space="preserve"> </w:t>
      </w:r>
      <w:r w:rsidRPr="00617A95">
        <w:rPr>
          <w:rStyle w:val="Normalbold"/>
        </w:rPr>
        <w:t xml:space="preserve">inspections are likely to occur in response to specific circumstances such as an incident, accident, </w:t>
      </w:r>
      <w:proofErr w:type="gramStart"/>
      <w:r w:rsidRPr="00617A95">
        <w:rPr>
          <w:rStyle w:val="Normalbold"/>
        </w:rPr>
        <w:t>non-compliance</w:t>
      </w:r>
      <w:proofErr w:type="gramEnd"/>
      <w:r w:rsidRPr="00617A95">
        <w:rPr>
          <w:rStyle w:val="Normalbold"/>
        </w:rPr>
        <w:t xml:space="preserve"> or area for improvement. In such cases, targeted inspections of a defined scope will be planned and communicated to the licence holder.</w:t>
      </w:r>
    </w:p>
    <w:p w14:paraId="6E76982F" w14:textId="3B0420A5" w:rsidR="00107068" w:rsidRPr="00617A95" w:rsidRDefault="00107068" w:rsidP="00A04D70">
      <w:pPr>
        <w:ind w:left="-142"/>
        <w:rPr>
          <w:rStyle w:val="Normalbold"/>
          <w:rFonts w:ascii="Calibri" w:hAnsi="Calibri" w:cstheme="majorBidi"/>
          <w:b/>
          <w:bCs/>
          <w:i/>
          <w:snapToGrid w:val="0"/>
          <w:color w:val="4E1A74"/>
        </w:rPr>
      </w:pPr>
      <w:r w:rsidRPr="00617A95">
        <w:rPr>
          <w:rStyle w:val="Normalbold"/>
        </w:rPr>
        <w:t xml:space="preserve">In </w:t>
      </w:r>
      <w:r w:rsidR="00F00FF2" w:rsidRPr="00617A95">
        <w:rPr>
          <w:rStyle w:val="Normalbold"/>
        </w:rPr>
        <w:t xml:space="preserve">certain </w:t>
      </w:r>
      <w:r w:rsidRPr="00617A95">
        <w:rPr>
          <w:rStyle w:val="Normalbold"/>
        </w:rPr>
        <w:t>circumstances it may be necessary to conduct an unannounced inspection. Such inspections are in response to a specific situation or event</w:t>
      </w:r>
      <w:r w:rsidR="007F60E6" w:rsidRPr="00617A95">
        <w:rPr>
          <w:rStyle w:val="Normalbold"/>
        </w:rPr>
        <w:t xml:space="preserve">. </w:t>
      </w:r>
      <w:r w:rsidRPr="00617A95">
        <w:rPr>
          <w:rStyle w:val="Normalbold"/>
        </w:rPr>
        <w:t xml:space="preserve">The licence holder will be notified of the inspection prior to entry. </w:t>
      </w:r>
    </w:p>
    <w:p w14:paraId="56B94214" w14:textId="4164C415" w:rsidR="00107068" w:rsidRPr="00F95979" w:rsidRDefault="00236862" w:rsidP="00122B75">
      <w:pPr>
        <w:pStyle w:val="Heading2"/>
        <w:numPr>
          <w:ilvl w:val="0"/>
          <w:numId w:val="46"/>
        </w:numPr>
        <w:rPr>
          <w:rStyle w:val="Normalbold"/>
          <w:i/>
          <w:sz w:val="24"/>
          <w:szCs w:val="24"/>
        </w:rPr>
      </w:pPr>
      <w:bookmarkStart w:id="20" w:name="_Toc492399345"/>
      <w:r w:rsidRPr="00F95979">
        <w:rPr>
          <w:rStyle w:val="Normalbold"/>
          <w:i/>
          <w:sz w:val="24"/>
          <w:szCs w:val="24"/>
        </w:rPr>
        <w:t>e-</w:t>
      </w:r>
      <w:r w:rsidR="001E099A" w:rsidRPr="00F95979">
        <w:rPr>
          <w:rStyle w:val="Normalbold"/>
          <w:i/>
          <w:sz w:val="24"/>
          <w:szCs w:val="24"/>
        </w:rPr>
        <w:t>I</w:t>
      </w:r>
      <w:r w:rsidRPr="00F95979">
        <w:rPr>
          <w:rStyle w:val="Normalbold"/>
          <w:i/>
          <w:sz w:val="24"/>
          <w:szCs w:val="24"/>
        </w:rPr>
        <w:t>nspection</w:t>
      </w:r>
      <w:r w:rsidR="00107068" w:rsidRPr="00F95979">
        <w:rPr>
          <w:rStyle w:val="Normalbold"/>
          <w:i/>
          <w:sz w:val="24"/>
          <w:szCs w:val="24"/>
        </w:rPr>
        <w:t>s</w:t>
      </w:r>
      <w:bookmarkEnd w:id="20"/>
    </w:p>
    <w:p w14:paraId="766F7846" w14:textId="73CCB1AD" w:rsidR="000A24FE" w:rsidRDefault="00107068" w:rsidP="00A04D70">
      <w:pPr>
        <w:ind w:left="-142"/>
        <w:rPr>
          <w:rStyle w:val="Normalbold"/>
        </w:rPr>
      </w:pPr>
      <w:r w:rsidRPr="00617A95">
        <w:rPr>
          <w:rStyle w:val="Normalbold"/>
        </w:rPr>
        <w:t xml:space="preserve">Licence holders with low hazard sources or with sources located in remote locations may be asked to provide evidence of effective control in the form of documentation and photographs for desktop review as an alternative to an inspector visiting the site. This inspection method is especially useful for sources located in remote areas or overseas, for example an X-ray baggage scanner located at an overseas </w:t>
      </w:r>
      <w:r w:rsidRPr="00617A95">
        <w:rPr>
          <w:rStyle w:val="Normalbold"/>
        </w:rPr>
        <w:lastRenderedPageBreak/>
        <w:t>embassy</w:t>
      </w:r>
      <w:r w:rsidR="000A24FE">
        <w:rPr>
          <w:rStyle w:val="Normalbold"/>
        </w:rPr>
        <w:t xml:space="preserve">. </w:t>
      </w:r>
      <w:r w:rsidR="00046899">
        <w:rPr>
          <w:rStyle w:val="Normalbold"/>
        </w:rPr>
        <w:t xml:space="preserve">This inspection </w:t>
      </w:r>
      <w:r w:rsidR="00682D74">
        <w:rPr>
          <w:rStyle w:val="Normalbold"/>
        </w:rPr>
        <w:t>method may also be use</w:t>
      </w:r>
      <w:r w:rsidR="0087694C">
        <w:rPr>
          <w:rStyle w:val="Normalbold"/>
        </w:rPr>
        <w:t>d</w:t>
      </w:r>
      <w:r w:rsidR="00682D74">
        <w:rPr>
          <w:rStyle w:val="Normalbold"/>
        </w:rPr>
        <w:t xml:space="preserve"> under </w:t>
      </w:r>
      <w:hyperlink w:anchor="_Special_circumstances" w:history="1">
        <w:r w:rsidR="00682D74" w:rsidRPr="00682D74">
          <w:rPr>
            <w:rStyle w:val="Hyperlink"/>
            <w:rFonts w:eastAsia="Calibri"/>
          </w:rPr>
          <w:t>special circumstances</w:t>
        </w:r>
      </w:hyperlink>
      <w:r w:rsidR="00682D74">
        <w:rPr>
          <w:rStyle w:val="Normalbold"/>
        </w:rPr>
        <w:t xml:space="preserve"> when core regulatory functions are </w:t>
      </w:r>
      <w:proofErr w:type="gramStart"/>
      <w:r w:rsidR="00682D74">
        <w:rPr>
          <w:rStyle w:val="Normalbold"/>
        </w:rPr>
        <w:t>disrupted</w:t>
      </w:r>
      <w:proofErr w:type="gramEnd"/>
      <w:r w:rsidR="00682D74">
        <w:rPr>
          <w:rStyle w:val="Normalbold"/>
        </w:rPr>
        <w:t xml:space="preserve"> </w:t>
      </w:r>
      <w:r w:rsidR="0087694C">
        <w:rPr>
          <w:rStyle w:val="Normalbold"/>
        </w:rPr>
        <w:t>and inspectors cannot attend licence holder premises</w:t>
      </w:r>
      <w:r w:rsidR="00682D74">
        <w:rPr>
          <w:rStyle w:val="Normalbold"/>
        </w:rPr>
        <w:t xml:space="preserve">. </w:t>
      </w:r>
    </w:p>
    <w:bookmarkEnd w:id="16"/>
    <w:bookmarkEnd w:id="17"/>
    <w:bookmarkEnd w:id="18"/>
    <w:p w14:paraId="7429242F" w14:textId="6E0E1AA8" w:rsidR="0064184D" w:rsidRDefault="006B311A" w:rsidP="00C45F2D">
      <w:pPr>
        <w:pStyle w:val="Heading2"/>
        <w:tabs>
          <w:tab w:val="clear" w:pos="851"/>
          <w:tab w:val="left" w:pos="1276"/>
        </w:tabs>
        <w:spacing w:before="360"/>
        <w:ind w:left="1276" w:hanging="567"/>
      </w:pPr>
      <w:r>
        <w:t>Performance objectives and criteria</w:t>
      </w:r>
    </w:p>
    <w:p w14:paraId="3B2D344D" w14:textId="5A4F6ED2" w:rsidR="006B311A" w:rsidRDefault="006B311A" w:rsidP="00122B75">
      <w:pPr>
        <w:pStyle w:val="Heading3"/>
        <w:numPr>
          <w:ilvl w:val="0"/>
          <w:numId w:val="56"/>
        </w:numPr>
        <w:ind w:left="142" w:hanging="284"/>
        <w:rPr>
          <w:rStyle w:val="Normalbold"/>
        </w:rPr>
      </w:pPr>
      <w:r>
        <w:rPr>
          <w:rStyle w:val="Normalbold"/>
        </w:rPr>
        <w:t>Facility inspections</w:t>
      </w:r>
    </w:p>
    <w:p w14:paraId="136E78B5" w14:textId="6AD744E4" w:rsidR="007D5DA0" w:rsidRPr="00617A95" w:rsidRDefault="006B311A" w:rsidP="00A04D70">
      <w:pPr>
        <w:ind w:left="-142"/>
        <w:rPr>
          <w:rStyle w:val="Normalbold"/>
        </w:rPr>
      </w:pPr>
      <w:r>
        <w:rPr>
          <w:rStyle w:val="Normalbold"/>
        </w:rPr>
        <w:t xml:space="preserve">Facility </w:t>
      </w:r>
      <w:r w:rsidR="0064184D" w:rsidRPr="00617A95">
        <w:rPr>
          <w:rStyle w:val="Normalbold"/>
        </w:rPr>
        <w:t>inspection</w:t>
      </w:r>
      <w:r>
        <w:rPr>
          <w:rStyle w:val="Normalbold"/>
        </w:rPr>
        <w:t>s</w:t>
      </w:r>
      <w:r w:rsidR="0064184D" w:rsidRPr="00617A95">
        <w:rPr>
          <w:rStyle w:val="Normalbold"/>
        </w:rPr>
        <w:t xml:space="preserve"> will focus on one or more of the eight functional areas</w:t>
      </w:r>
      <w:r w:rsidR="007D5DA0" w:rsidRPr="00617A95">
        <w:rPr>
          <w:rStyle w:val="Normalbold"/>
        </w:rPr>
        <w:t xml:space="preserve"> </w:t>
      </w:r>
      <w:r w:rsidR="0055243C">
        <w:rPr>
          <w:rStyle w:val="Normalbold"/>
        </w:rPr>
        <w:t xml:space="preserve">or objectives </w:t>
      </w:r>
      <w:r w:rsidR="007D5DA0" w:rsidRPr="00617A95">
        <w:rPr>
          <w:rStyle w:val="Normalbold"/>
        </w:rPr>
        <w:t xml:space="preserve">in </w:t>
      </w:r>
      <w:r w:rsidR="0055243C">
        <w:rPr>
          <w:rStyle w:val="Normalbold"/>
        </w:rPr>
        <w:t>Table 7</w:t>
      </w:r>
      <w:r w:rsidR="00870DC1">
        <w:rPr>
          <w:rStyle w:val="Normalbold"/>
        </w:rPr>
        <w:t xml:space="preserve">, which </w:t>
      </w:r>
      <w:r w:rsidR="00BB254A" w:rsidRPr="00BB254A">
        <w:rPr>
          <w:rFonts w:eastAsia="Calibri"/>
        </w:rPr>
        <w:t xml:space="preserve">reflect the </w:t>
      </w:r>
      <w:hyperlink r:id="rId21" w:history="1">
        <w:r w:rsidR="00BB254A" w:rsidRPr="00BB254A">
          <w:rPr>
            <w:rStyle w:val="Hyperlink"/>
            <w:rFonts w:eastAsia="Calibri"/>
            <w:i/>
          </w:rPr>
          <w:t>Regulatory Guide: Plans &amp; arrangements for managing safety</w:t>
        </w:r>
      </w:hyperlink>
      <w:r w:rsidR="00BB254A" w:rsidRPr="00BB254A">
        <w:rPr>
          <w:rFonts w:eastAsia="Calibri"/>
        </w:rPr>
        <w:t>.</w:t>
      </w:r>
    </w:p>
    <w:p w14:paraId="55014A60" w14:textId="0FA8F8FB" w:rsidR="006B311A" w:rsidRDefault="006B311A" w:rsidP="00122B75">
      <w:pPr>
        <w:pStyle w:val="Heading3"/>
        <w:numPr>
          <w:ilvl w:val="0"/>
          <w:numId w:val="56"/>
        </w:numPr>
        <w:spacing w:before="360"/>
        <w:ind w:left="142" w:hanging="284"/>
        <w:rPr>
          <w:rStyle w:val="Normalbold"/>
        </w:rPr>
      </w:pPr>
      <w:bookmarkStart w:id="21" w:name="_Toc483572278"/>
      <w:bookmarkStart w:id="22" w:name="_Toc492399352"/>
      <w:r>
        <w:rPr>
          <w:rStyle w:val="Normalbold"/>
        </w:rPr>
        <w:t>Source inspections</w:t>
      </w:r>
    </w:p>
    <w:p w14:paraId="7DA4F51C" w14:textId="337AF07C" w:rsidR="006B311A" w:rsidRDefault="006B311A" w:rsidP="005A12FE">
      <w:pPr>
        <w:ind w:hanging="142"/>
        <w:rPr>
          <w:lang w:eastAsia="en-AU"/>
        </w:rPr>
      </w:pPr>
      <w:r>
        <w:rPr>
          <w:lang w:eastAsia="en-AU"/>
        </w:rPr>
        <w:t xml:space="preserve">Source inspections </w:t>
      </w:r>
      <w:r w:rsidR="00A72BE6">
        <w:rPr>
          <w:lang w:eastAsia="en-AU"/>
        </w:rPr>
        <w:t>should</w:t>
      </w:r>
      <w:r w:rsidR="00A05CE5">
        <w:rPr>
          <w:lang w:eastAsia="en-AU"/>
        </w:rPr>
        <w:t xml:space="preserve"> address </w:t>
      </w:r>
      <w:proofErr w:type="gramStart"/>
      <w:r w:rsidR="00870DC1">
        <w:rPr>
          <w:lang w:eastAsia="en-AU"/>
        </w:rPr>
        <w:t>all of</w:t>
      </w:r>
      <w:proofErr w:type="gramEnd"/>
      <w:r w:rsidR="00870DC1">
        <w:rPr>
          <w:lang w:eastAsia="en-AU"/>
        </w:rPr>
        <w:t xml:space="preserve"> the performance objectives</w:t>
      </w:r>
      <w:r w:rsidR="00165524">
        <w:rPr>
          <w:lang w:eastAsia="en-AU"/>
        </w:rPr>
        <w:t>.</w:t>
      </w:r>
      <w:r w:rsidR="00622AD3">
        <w:rPr>
          <w:lang w:eastAsia="en-AU"/>
        </w:rPr>
        <w:t xml:space="preserve"> </w:t>
      </w:r>
    </w:p>
    <w:p w14:paraId="1EBE5EE7" w14:textId="4BC50D45" w:rsidR="006B311A" w:rsidRPr="00034F55" w:rsidRDefault="006B311A" w:rsidP="006B311A">
      <w:pPr>
        <w:spacing w:before="360"/>
        <w:jc w:val="center"/>
        <w:rPr>
          <w:rFonts w:eastAsia="Times New Roman"/>
          <w:color w:val="4E1A74" w:themeColor="accent2"/>
          <w:sz w:val="18"/>
          <w:szCs w:val="18"/>
        </w:rPr>
      </w:pPr>
      <w:r w:rsidRPr="00034F55">
        <w:rPr>
          <w:rFonts w:eastAsia="Times New Roman"/>
          <w:color w:val="4E1A74" w:themeColor="accent2"/>
          <w:sz w:val="18"/>
          <w:szCs w:val="18"/>
        </w:rPr>
        <w:t xml:space="preserve">TABLE </w:t>
      </w:r>
      <w:r w:rsidR="000B59C1">
        <w:rPr>
          <w:rFonts w:eastAsia="Times New Roman"/>
          <w:color w:val="4E1A74" w:themeColor="accent2"/>
          <w:sz w:val="18"/>
          <w:szCs w:val="18"/>
        </w:rPr>
        <w:t>7</w:t>
      </w:r>
      <w:r w:rsidRPr="00034F55">
        <w:rPr>
          <w:rFonts w:eastAsia="Times New Roman"/>
          <w:color w:val="4E1A74" w:themeColor="accent2"/>
          <w:sz w:val="18"/>
          <w:szCs w:val="18"/>
        </w:rPr>
        <w:t xml:space="preserve">: </w:t>
      </w:r>
      <w:r w:rsidR="00D220A4">
        <w:rPr>
          <w:rFonts w:eastAsia="Times New Roman"/>
          <w:color w:val="4E1A74" w:themeColor="accent2"/>
          <w:sz w:val="18"/>
          <w:szCs w:val="18"/>
        </w:rPr>
        <w:t xml:space="preserve">PERFORMANCE </w:t>
      </w:r>
      <w:r w:rsidR="00622AD3">
        <w:rPr>
          <w:rFonts w:eastAsia="Times New Roman"/>
          <w:color w:val="4E1A74" w:themeColor="accent2"/>
          <w:sz w:val="18"/>
          <w:szCs w:val="18"/>
        </w:rPr>
        <w:t xml:space="preserve">OBJECTIVES </w:t>
      </w:r>
      <w:r w:rsidR="00D220A4">
        <w:rPr>
          <w:rFonts w:eastAsia="Times New Roman"/>
          <w:color w:val="4E1A74" w:themeColor="accent2"/>
          <w:sz w:val="18"/>
          <w:szCs w:val="18"/>
        </w:rPr>
        <w:t>FOR INSPECTIONS</w:t>
      </w:r>
    </w:p>
    <w:tbl>
      <w:tblPr>
        <w:tblStyle w:val="MediumGrid2-Accent2"/>
        <w:tblW w:w="0" w:type="auto"/>
        <w:jc w:val="center"/>
        <w:tblLook w:val="0620" w:firstRow="1" w:lastRow="0" w:firstColumn="0" w:lastColumn="0" w:noHBand="1" w:noVBand="1"/>
      </w:tblPr>
      <w:tblGrid>
        <w:gridCol w:w="567"/>
        <w:gridCol w:w="3959"/>
      </w:tblGrid>
      <w:tr w:rsidR="00622AD3" w:rsidRPr="008217C5" w14:paraId="7F5B9254" w14:textId="77777777" w:rsidTr="00044FE3">
        <w:trPr>
          <w:cnfStyle w:val="100000000000" w:firstRow="1" w:lastRow="0" w:firstColumn="0" w:lastColumn="0" w:oddVBand="0" w:evenVBand="0" w:oddHBand="0" w:evenHBand="0" w:firstRowFirstColumn="0" w:firstRowLastColumn="0" w:lastRowFirstColumn="0" w:lastRowLastColumn="0"/>
          <w:trHeight w:val="397"/>
          <w:jc w:val="center"/>
        </w:trPr>
        <w:tc>
          <w:tcPr>
            <w:tcW w:w="567" w:type="dxa"/>
          </w:tcPr>
          <w:p w14:paraId="084B76CC" w14:textId="77777777" w:rsidR="00622AD3" w:rsidRPr="0051066F" w:rsidRDefault="00622AD3" w:rsidP="00044FE3">
            <w:pPr>
              <w:jc w:val="center"/>
              <w:rPr>
                <w:rFonts w:asciiTheme="minorHAnsi" w:hAnsiTheme="minorHAnsi" w:cstheme="minorHAnsi"/>
                <w:b w:val="0"/>
                <w:sz w:val="18"/>
                <w:szCs w:val="18"/>
              </w:rPr>
            </w:pPr>
            <w:r w:rsidRPr="0051066F">
              <w:rPr>
                <w:rFonts w:asciiTheme="minorHAnsi" w:hAnsiTheme="minorHAnsi" w:cstheme="minorHAnsi"/>
                <w:b w:val="0"/>
                <w:sz w:val="18"/>
                <w:szCs w:val="18"/>
              </w:rPr>
              <w:t>1</w:t>
            </w:r>
          </w:p>
        </w:tc>
        <w:tc>
          <w:tcPr>
            <w:tcW w:w="3959" w:type="dxa"/>
          </w:tcPr>
          <w:p w14:paraId="52193066" w14:textId="73F3C20A" w:rsidR="00622AD3" w:rsidRPr="0051066F" w:rsidRDefault="00622AD3" w:rsidP="00044FE3">
            <w:pPr>
              <w:rPr>
                <w:rFonts w:asciiTheme="minorHAnsi" w:hAnsiTheme="minorHAnsi" w:cstheme="minorHAnsi"/>
                <w:b w:val="0"/>
                <w:sz w:val="18"/>
                <w:szCs w:val="18"/>
              </w:rPr>
            </w:pPr>
            <w:r>
              <w:rPr>
                <w:rFonts w:asciiTheme="minorHAnsi" w:hAnsiTheme="minorHAnsi" w:cstheme="minorHAnsi"/>
                <w:b w:val="0"/>
                <w:sz w:val="18"/>
                <w:szCs w:val="18"/>
              </w:rPr>
              <w:t>Effective Control</w:t>
            </w:r>
          </w:p>
        </w:tc>
      </w:tr>
      <w:tr w:rsidR="00622AD3" w:rsidRPr="008217C5" w14:paraId="7844C035" w14:textId="77777777" w:rsidTr="00044FE3">
        <w:trPr>
          <w:trHeight w:val="397"/>
          <w:jc w:val="center"/>
        </w:trPr>
        <w:tc>
          <w:tcPr>
            <w:tcW w:w="567" w:type="dxa"/>
            <w:tcBorders>
              <w:right w:val="single" w:sz="6" w:space="0" w:color="4E1A74" w:themeColor="accent2"/>
            </w:tcBorders>
            <w:shd w:val="clear" w:color="auto" w:fill="AC69DD" w:themeFill="accent2" w:themeFillTint="7F"/>
          </w:tcPr>
          <w:p w14:paraId="77099FBE"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2</w:t>
            </w:r>
          </w:p>
        </w:tc>
        <w:tc>
          <w:tcPr>
            <w:tcW w:w="3959" w:type="dxa"/>
            <w:tcBorders>
              <w:left w:val="single" w:sz="6" w:space="0" w:color="4E1A74" w:themeColor="accent2"/>
            </w:tcBorders>
            <w:shd w:val="clear" w:color="auto" w:fill="AC69DD" w:themeFill="accent2" w:themeFillTint="7F"/>
          </w:tcPr>
          <w:p w14:paraId="47422659" w14:textId="58AAFD95" w:rsidR="00622AD3" w:rsidRPr="0051066F" w:rsidRDefault="00622AD3" w:rsidP="00044FE3">
            <w:pPr>
              <w:rPr>
                <w:rFonts w:asciiTheme="minorHAnsi" w:hAnsiTheme="minorHAnsi" w:cstheme="minorHAnsi"/>
                <w:sz w:val="18"/>
                <w:szCs w:val="18"/>
              </w:rPr>
            </w:pPr>
            <w:r>
              <w:rPr>
                <w:rFonts w:asciiTheme="minorHAnsi" w:hAnsiTheme="minorHAnsi" w:cstheme="minorHAnsi"/>
                <w:sz w:val="18"/>
                <w:szCs w:val="18"/>
              </w:rPr>
              <w:t>Safety Management</w:t>
            </w:r>
          </w:p>
        </w:tc>
      </w:tr>
      <w:tr w:rsidR="00622AD3" w:rsidRPr="008217C5" w14:paraId="475D9525" w14:textId="77777777" w:rsidTr="00044FE3">
        <w:trPr>
          <w:trHeight w:val="397"/>
          <w:jc w:val="center"/>
        </w:trPr>
        <w:tc>
          <w:tcPr>
            <w:tcW w:w="567" w:type="dxa"/>
          </w:tcPr>
          <w:p w14:paraId="008EA76C"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3</w:t>
            </w:r>
          </w:p>
        </w:tc>
        <w:tc>
          <w:tcPr>
            <w:tcW w:w="3959" w:type="dxa"/>
          </w:tcPr>
          <w:p w14:paraId="7BB97894" w14:textId="705EC980" w:rsidR="00622AD3" w:rsidRPr="0051066F" w:rsidRDefault="00622AD3" w:rsidP="00044FE3">
            <w:pPr>
              <w:rPr>
                <w:rFonts w:asciiTheme="minorHAnsi" w:hAnsiTheme="minorHAnsi" w:cstheme="minorHAnsi"/>
                <w:sz w:val="18"/>
                <w:szCs w:val="18"/>
              </w:rPr>
            </w:pPr>
            <w:r>
              <w:rPr>
                <w:rFonts w:asciiTheme="minorHAnsi" w:hAnsiTheme="minorHAnsi" w:cstheme="minorHAnsi"/>
                <w:sz w:val="18"/>
                <w:szCs w:val="18"/>
              </w:rPr>
              <w:t>Radiation Protection</w:t>
            </w:r>
          </w:p>
        </w:tc>
      </w:tr>
      <w:tr w:rsidR="00622AD3" w:rsidRPr="008217C5" w14:paraId="138C823C" w14:textId="77777777" w:rsidTr="00044FE3">
        <w:trPr>
          <w:trHeight w:val="397"/>
          <w:jc w:val="center"/>
        </w:trPr>
        <w:tc>
          <w:tcPr>
            <w:tcW w:w="567" w:type="dxa"/>
            <w:tcBorders>
              <w:right w:val="single" w:sz="6" w:space="0" w:color="4E1A74" w:themeColor="accent2"/>
            </w:tcBorders>
            <w:shd w:val="clear" w:color="auto" w:fill="AC69DD" w:themeFill="accent2" w:themeFillTint="7F"/>
          </w:tcPr>
          <w:p w14:paraId="6C2F830E"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4</w:t>
            </w:r>
          </w:p>
        </w:tc>
        <w:tc>
          <w:tcPr>
            <w:tcW w:w="3959" w:type="dxa"/>
            <w:tcBorders>
              <w:left w:val="single" w:sz="6" w:space="0" w:color="4E1A74" w:themeColor="accent2"/>
            </w:tcBorders>
            <w:shd w:val="clear" w:color="auto" w:fill="AC69DD" w:themeFill="accent2" w:themeFillTint="7F"/>
          </w:tcPr>
          <w:p w14:paraId="75C3AF63" w14:textId="099327CC" w:rsidR="00622AD3" w:rsidRPr="0051066F" w:rsidRDefault="00622AD3" w:rsidP="00622AD3">
            <w:pPr>
              <w:rPr>
                <w:rFonts w:asciiTheme="minorHAnsi" w:hAnsiTheme="minorHAnsi" w:cstheme="minorHAnsi"/>
                <w:sz w:val="18"/>
                <w:szCs w:val="18"/>
              </w:rPr>
            </w:pPr>
            <w:r>
              <w:rPr>
                <w:rFonts w:asciiTheme="minorHAnsi" w:hAnsiTheme="minorHAnsi" w:cstheme="minorHAnsi"/>
                <w:sz w:val="18"/>
                <w:szCs w:val="18"/>
              </w:rPr>
              <w:t xml:space="preserve">Radioactive Waste </w:t>
            </w:r>
          </w:p>
        </w:tc>
      </w:tr>
      <w:tr w:rsidR="00622AD3" w:rsidRPr="008217C5" w14:paraId="46F7C819" w14:textId="77777777" w:rsidTr="00044FE3">
        <w:trPr>
          <w:trHeight w:val="397"/>
          <w:jc w:val="center"/>
        </w:trPr>
        <w:tc>
          <w:tcPr>
            <w:tcW w:w="567" w:type="dxa"/>
          </w:tcPr>
          <w:p w14:paraId="106D0474"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5</w:t>
            </w:r>
          </w:p>
        </w:tc>
        <w:tc>
          <w:tcPr>
            <w:tcW w:w="3959" w:type="dxa"/>
          </w:tcPr>
          <w:p w14:paraId="415082A6" w14:textId="1784E238" w:rsidR="00622AD3" w:rsidRPr="0051066F" w:rsidRDefault="00622AD3" w:rsidP="00622AD3">
            <w:pPr>
              <w:rPr>
                <w:rFonts w:asciiTheme="minorHAnsi" w:hAnsiTheme="minorHAnsi" w:cstheme="minorHAnsi"/>
                <w:sz w:val="18"/>
                <w:szCs w:val="18"/>
              </w:rPr>
            </w:pPr>
            <w:r>
              <w:rPr>
                <w:rFonts w:asciiTheme="minorHAnsi" w:hAnsiTheme="minorHAnsi" w:cstheme="minorHAnsi"/>
                <w:sz w:val="18"/>
                <w:szCs w:val="18"/>
              </w:rPr>
              <w:t>Ultimate Disposal or Transfer</w:t>
            </w:r>
          </w:p>
        </w:tc>
      </w:tr>
      <w:tr w:rsidR="00622AD3" w:rsidRPr="008217C5" w14:paraId="2D0D0A50" w14:textId="77777777" w:rsidTr="00044FE3">
        <w:trPr>
          <w:trHeight w:val="397"/>
          <w:jc w:val="center"/>
        </w:trPr>
        <w:tc>
          <w:tcPr>
            <w:tcW w:w="567" w:type="dxa"/>
            <w:tcBorders>
              <w:right w:val="single" w:sz="6" w:space="0" w:color="4E1A74" w:themeColor="accent2"/>
            </w:tcBorders>
            <w:shd w:val="clear" w:color="auto" w:fill="AC69DD" w:themeFill="accent2" w:themeFillTint="7F"/>
          </w:tcPr>
          <w:p w14:paraId="2AC438D5"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6</w:t>
            </w:r>
          </w:p>
        </w:tc>
        <w:tc>
          <w:tcPr>
            <w:tcW w:w="3959" w:type="dxa"/>
            <w:tcBorders>
              <w:left w:val="single" w:sz="6" w:space="0" w:color="4E1A74" w:themeColor="accent2"/>
            </w:tcBorders>
            <w:shd w:val="clear" w:color="auto" w:fill="AC69DD" w:themeFill="accent2" w:themeFillTint="7F"/>
          </w:tcPr>
          <w:p w14:paraId="44C4FD60" w14:textId="4FE6C1B7" w:rsidR="00622AD3" w:rsidRPr="0051066F" w:rsidRDefault="00622AD3" w:rsidP="00044FE3">
            <w:pPr>
              <w:rPr>
                <w:rFonts w:asciiTheme="minorHAnsi" w:hAnsiTheme="minorHAnsi" w:cstheme="minorHAnsi"/>
                <w:sz w:val="18"/>
                <w:szCs w:val="18"/>
              </w:rPr>
            </w:pPr>
            <w:r>
              <w:rPr>
                <w:rFonts w:asciiTheme="minorHAnsi" w:hAnsiTheme="minorHAnsi" w:cstheme="minorHAnsi"/>
                <w:sz w:val="18"/>
                <w:szCs w:val="18"/>
              </w:rPr>
              <w:t>Security</w:t>
            </w:r>
          </w:p>
        </w:tc>
      </w:tr>
      <w:tr w:rsidR="00622AD3" w:rsidRPr="008217C5" w14:paraId="03756113" w14:textId="77777777" w:rsidTr="00044FE3">
        <w:trPr>
          <w:trHeight w:val="397"/>
          <w:jc w:val="center"/>
        </w:trPr>
        <w:tc>
          <w:tcPr>
            <w:tcW w:w="567" w:type="dxa"/>
          </w:tcPr>
          <w:p w14:paraId="68516784"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7</w:t>
            </w:r>
          </w:p>
        </w:tc>
        <w:tc>
          <w:tcPr>
            <w:tcW w:w="3959" w:type="dxa"/>
          </w:tcPr>
          <w:p w14:paraId="15FD2599" w14:textId="51F65FD4" w:rsidR="00622AD3" w:rsidRPr="0051066F" w:rsidRDefault="00622AD3" w:rsidP="00044FE3">
            <w:pPr>
              <w:rPr>
                <w:rFonts w:asciiTheme="minorHAnsi" w:hAnsiTheme="minorHAnsi" w:cstheme="minorHAnsi"/>
                <w:sz w:val="18"/>
                <w:szCs w:val="18"/>
              </w:rPr>
            </w:pPr>
            <w:r>
              <w:rPr>
                <w:rFonts w:asciiTheme="minorHAnsi" w:hAnsiTheme="minorHAnsi" w:cstheme="minorHAnsi"/>
                <w:sz w:val="18"/>
                <w:szCs w:val="18"/>
              </w:rPr>
              <w:t>Emergency Plans</w:t>
            </w:r>
          </w:p>
        </w:tc>
      </w:tr>
      <w:tr w:rsidR="00622AD3" w:rsidRPr="008217C5" w14:paraId="7939AB44" w14:textId="77777777" w:rsidTr="00044FE3">
        <w:trPr>
          <w:trHeight w:val="397"/>
          <w:jc w:val="center"/>
        </w:trPr>
        <w:tc>
          <w:tcPr>
            <w:tcW w:w="567" w:type="dxa"/>
            <w:tcBorders>
              <w:right w:val="single" w:sz="6" w:space="0" w:color="4E1A74" w:themeColor="accent2"/>
            </w:tcBorders>
            <w:shd w:val="clear" w:color="auto" w:fill="AC69DD" w:themeFill="accent2" w:themeFillTint="7F"/>
          </w:tcPr>
          <w:p w14:paraId="4919C6AE" w14:textId="77777777" w:rsidR="00622AD3" w:rsidRPr="0051066F" w:rsidRDefault="00622AD3" w:rsidP="00044FE3">
            <w:pPr>
              <w:jc w:val="center"/>
              <w:rPr>
                <w:rFonts w:asciiTheme="minorHAnsi" w:hAnsiTheme="minorHAnsi" w:cstheme="minorHAnsi"/>
                <w:sz w:val="18"/>
                <w:szCs w:val="18"/>
              </w:rPr>
            </w:pPr>
            <w:r w:rsidRPr="0051066F">
              <w:rPr>
                <w:rFonts w:asciiTheme="minorHAnsi" w:hAnsiTheme="minorHAnsi" w:cstheme="minorHAnsi"/>
                <w:sz w:val="18"/>
                <w:szCs w:val="18"/>
              </w:rPr>
              <w:t>8</w:t>
            </w:r>
          </w:p>
        </w:tc>
        <w:tc>
          <w:tcPr>
            <w:tcW w:w="3959" w:type="dxa"/>
            <w:tcBorders>
              <w:left w:val="single" w:sz="6" w:space="0" w:color="4E1A74" w:themeColor="accent2"/>
            </w:tcBorders>
            <w:shd w:val="clear" w:color="auto" w:fill="AC69DD" w:themeFill="accent2" w:themeFillTint="7F"/>
          </w:tcPr>
          <w:p w14:paraId="7CE7E490" w14:textId="5B86E035" w:rsidR="00622AD3" w:rsidRPr="0051066F" w:rsidRDefault="00622AD3" w:rsidP="00622AD3">
            <w:pPr>
              <w:rPr>
                <w:rFonts w:asciiTheme="minorHAnsi" w:hAnsiTheme="minorHAnsi" w:cstheme="minorHAnsi"/>
                <w:sz w:val="18"/>
                <w:szCs w:val="18"/>
              </w:rPr>
            </w:pPr>
            <w:r>
              <w:rPr>
                <w:rFonts w:asciiTheme="minorHAnsi" w:hAnsiTheme="minorHAnsi" w:cstheme="minorHAnsi"/>
                <w:sz w:val="18"/>
                <w:szCs w:val="18"/>
              </w:rPr>
              <w:t>Protection of the Environment</w:t>
            </w:r>
          </w:p>
        </w:tc>
      </w:tr>
    </w:tbl>
    <w:p w14:paraId="7DA963F8" w14:textId="3591EC5D" w:rsidR="00E01A04" w:rsidRDefault="003649B2" w:rsidP="006B311A">
      <w:pPr>
        <w:pStyle w:val="Heading2"/>
      </w:pPr>
      <w:r>
        <w:t>I</w:t>
      </w:r>
      <w:r w:rsidR="00E01A04">
        <w:t>nspection</w:t>
      </w:r>
      <w:bookmarkEnd w:id="21"/>
      <w:bookmarkEnd w:id="22"/>
      <w:r>
        <w:t xml:space="preserve"> process</w:t>
      </w:r>
      <w:r w:rsidR="00E01A04">
        <w:t xml:space="preserve"> </w:t>
      </w:r>
    </w:p>
    <w:p w14:paraId="666D1C59" w14:textId="61FBC44F" w:rsidR="00001DCE" w:rsidRPr="00C25811" w:rsidRDefault="00B57349" w:rsidP="0051066F">
      <w:pPr>
        <w:rPr>
          <w:rStyle w:val="Normalbold"/>
        </w:rPr>
      </w:pPr>
      <w:r>
        <w:rPr>
          <w:rStyle w:val="Normalbold"/>
        </w:rPr>
        <w:t>I</w:t>
      </w:r>
      <w:r w:rsidR="00001DCE" w:rsidRPr="00C25811">
        <w:rPr>
          <w:rStyle w:val="Normalbold"/>
        </w:rPr>
        <w:t>nspections</w:t>
      </w:r>
      <w:r>
        <w:rPr>
          <w:rStyle w:val="Normalbold"/>
        </w:rPr>
        <w:t xml:space="preserve"> </w:t>
      </w:r>
      <w:r w:rsidR="00001DCE" w:rsidRPr="00C25811">
        <w:rPr>
          <w:rStyle w:val="Normalbold"/>
        </w:rPr>
        <w:t xml:space="preserve">are </w:t>
      </w:r>
      <w:r w:rsidR="003C7878" w:rsidRPr="00C25811">
        <w:rPr>
          <w:rStyle w:val="Normalbold"/>
        </w:rPr>
        <w:t>conducted</w:t>
      </w:r>
      <w:r w:rsidR="001951D7" w:rsidRPr="00C25811">
        <w:rPr>
          <w:rStyle w:val="Normalbold"/>
        </w:rPr>
        <w:t xml:space="preserve"> </w:t>
      </w:r>
      <w:r w:rsidR="00001DCE" w:rsidRPr="00C25811">
        <w:rPr>
          <w:rStyle w:val="Normalbold"/>
        </w:rPr>
        <w:t xml:space="preserve">in accordance with the procedure described in </w:t>
      </w:r>
      <w:r w:rsidR="00CC0A97" w:rsidRPr="00EB716C">
        <w:rPr>
          <w:rStyle w:val="Normalbold"/>
        </w:rPr>
        <w:t>s</w:t>
      </w:r>
      <w:r w:rsidR="00E91AA9" w:rsidRPr="00EB716C">
        <w:rPr>
          <w:rStyle w:val="Normalbold"/>
        </w:rPr>
        <w:t xml:space="preserve">ection </w:t>
      </w:r>
      <w:r w:rsidR="00691B1E" w:rsidRPr="00EB716C">
        <w:rPr>
          <w:rStyle w:val="Normalbold"/>
        </w:rPr>
        <w:t>2</w:t>
      </w:r>
      <w:r w:rsidR="00E91AA9" w:rsidRPr="00C25811">
        <w:rPr>
          <w:rStyle w:val="Normalbold"/>
        </w:rPr>
        <w:t xml:space="preserve"> of this </w:t>
      </w:r>
      <w:r w:rsidR="00CC0A97" w:rsidRPr="00C25811">
        <w:rPr>
          <w:rStyle w:val="Normalbold"/>
        </w:rPr>
        <w:t>m</w:t>
      </w:r>
      <w:r w:rsidR="00E91AA9" w:rsidRPr="00C25811">
        <w:rPr>
          <w:rStyle w:val="Normalbold"/>
        </w:rPr>
        <w:t xml:space="preserve">anual using one or more of the following methods: </w:t>
      </w:r>
      <w:r w:rsidR="00001DCE" w:rsidRPr="00C25811">
        <w:rPr>
          <w:rStyle w:val="Normalbold"/>
        </w:rPr>
        <w:t xml:space="preserve"> </w:t>
      </w:r>
    </w:p>
    <w:p w14:paraId="02E57AE5" w14:textId="360A8B75" w:rsidR="00F22850" w:rsidRPr="00C25811" w:rsidRDefault="00E01A04" w:rsidP="003E65EA">
      <w:pPr>
        <w:pStyle w:val="ListParagraph"/>
        <w:numPr>
          <w:ilvl w:val="1"/>
          <w:numId w:val="7"/>
        </w:numPr>
        <w:ind w:left="993" w:hanging="426"/>
        <w:rPr>
          <w:rStyle w:val="Normalbold"/>
          <w:rFonts w:ascii="Calibri" w:hAnsi="Calibri" w:cstheme="majorBidi"/>
          <w:b/>
          <w:bCs/>
          <w:snapToGrid w:val="0"/>
          <w:color w:val="4E1A74"/>
        </w:rPr>
      </w:pPr>
      <w:r w:rsidRPr="00C25811">
        <w:rPr>
          <w:rStyle w:val="Normalbold"/>
        </w:rPr>
        <w:t>monitoring and direct observation such as of work</w:t>
      </w:r>
      <w:r w:rsidR="00E91AA9" w:rsidRPr="00C25811">
        <w:rPr>
          <w:rStyle w:val="Normalbold"/>
        </w:rPr>
        <w:t xml:space="preserve"> </w:t>
      </w:r>
      <w:r w:rsidRPr="00C25811">
        <w:rPr>
          <w:rStyle w:val="Normalbold"/>
        </w:rPr>
        <w:t>practices</w:t>
      </w:r>
      <w:r w:rsidR="00E91AA9" w:rsidRPr="00C25811">
        <w:rPr>
          <w:rStyle w:val="Normalbold"/>
        </w:rPr>
        <w:t xml:space="preserve">, </w:t>
      </w:r>
      <w:r w:rsidR="0046601B" w:rsidRPr="00C25811">
        <w:rPr>
          <w:rStyle w:val="Normalbold"/>
        </w:rPr>
        <w:t xml:space="preserve">performance of personnel, managerial attitudes, </w:t>
      </w:r>
      <w:proofErr w:type="gramStart"/>
      <w:r w:rsidR="00E91AA9" w:rsidRPr="00C25811">
        <w:rPr>
          <w:rStyle w:val="Normalbold"/>
        </w:rPr>
        <w:t>sources</w:t>
      </w:r>
      <w:proofErr w:type="gramEnd"/>
      <w:r w:rsidRPr="00C25811">
        <w:rPr>
          <w:rStyle w:val="Normalbold"/>
        </w:rPr>
        <w:t xml:space="preserve"> and equipment</w:t>
      </w:r>
      <w:r w:rsidR="00407DF6">
        <w:rPr>
          <w:rStyle w:val="Normalbold"/>
        </w:rPr>
        <w:t xml:space="preserve"> and may include photographs</w:t>
      </w:r>
      <w:r w:rsidRPr="00C25811">
        <w:rPr>
          <w:rStyle w:val="Normalbold"/>
        </w:rPr>
        <w:t xml:space="preserve"> </w:t>
      </w:r>
      <w:r w:rsidR="00407DF6">
        <w:rPr>
          <w:rStyle w:val="Normalbold"/>
        </w:rPr>
        <w:t xml:space="preserve"> </w:t>
      </w:r>
    </w:p>
    <w:p w14:paraId="2E8FFE99" w14:textId="1968BE62" w:rsidR="00331AAE" w:rsidRPr="00C25811" w:rsidRDefault="00E01A04" w:rsidP="003E65EA">
      <w:pPr>
        <w:pStyle w:val="ListParagraph"/>
        <w:numPr>
          <w:ilvl w:val="1"/>
          <w:numId w:val="7"/>
        </w:numPr>
        <w:ind w:left="993" w:hanging="426"/>
        <w:rPr>
          <w:rStyle w:val="Normalbold"/>
        </w:rPr>
      </w:pPr>
      <w:r w:rsidRPr="00C25811">
        <w:rPr>
          <w:rStyle w:val="Normalbold"/>
        </w:rPr>
        <w:t>discussions with personnel</w:t>
      </w:r>
      <w:r w:rsidR="00E91AA9" w:rsidRPr="00C25811">
        <w:rPr>
          <w:rStyle w:val="Normalbold"/>
        </w:rPr>
        <w:t xml:space="preserve"> </w:t>
      </w:r>
    </w:p>
    <w:p w14:paraId="2235A835" w14:textId="77777777" w:rsidR="00E01A04" w:rsidRPr="00C25811" w:rsidRDefault="00E01A04" w:rsidP="003E65EA">
      <w:pPr>
        <w:pStyle w:val="ListParagraph"/>
        <w:numPr>
          <w:ilvl w:val="1"/>
          <w:numId w:val="7"/>
        </w:numPr>
        <w:ind w:left="993" w:hanging="426"/>
        <w:rPr>
          <w:rStyle w:val="Normalbold"/>
        </w:rPr>
      </w:pPr>
      <w:r w:rsidRPr="00C25811">
        <w:rPr>
          <w:rStyle w:val="Normalbold"/>
        </w:rPr>
        <w:t xml:space="preserve">examinations of procedures, </w:t>
      </w:r>
      <w:proofErr w:type="gramStart"/>
      <w:r w:rsidRPr="00C25811">
        <w:rPr>
          <w:rStyle w:val="Normalbold"/>
        </w:rPr>
        <w:t>records</w:t>
      </w:r>
      <w:proofErr w:type="gramEnd"/>
      <w:r w:rsidRPr="00C25811">
        <w:rPr>
          <w:rStyle w:val="Normalbold"/>
        </w:rPr>
        <w:t xml:space="preserve"> and documentation </w:t>
      </w:r>
      <w:r w:rsidR="006B1A53" w:rsidRPr="00C25811">
        <w:rPr>
          <w:rStyle w:val="Normalbold"/>
        </w:rPr>
        <w:t xml:space="preserve">such as </w:t>
      </w:r>
      <w:r w:rsidR="00331AAE" w:rsidRPr="00C25811">
        <w:rPr>
          <w:rStyle w:val="Normalbold"/>
        </w:rPr>
        <w:t>procedures and schedules for maintenance and testing;</w:t>
      </w:r>
      <w:r w:rsidR="006B1A53" w:rsidRPr="00C25811">
        <w:rPr>
          <w:rStyle w:val="Normalbold"/>
        </w:rPr>
        <w:t xml:space="preserve"> </w:t>
      </w:r>
      <w:r w:rsidR="0064184D" w:rsidRPr="00C25811">
        <w:rPr>
          <w:rStyle w:val="Normalbold"/>
        </w:rPr>
        <w:t>survey</w:t>
      </w:r>
      <w:r w:rsidR="006B1A53" w:rsidRPr="00C25811">
        <w:rPr>
          <w:rStyle w:val="Normalbold"/>
        </w:rPr>
        <w:t xml:space="preserve"> </w:t>
      </w:r>
      <w:r w:rsidR="00331AAE" w:rsidRPr="00C25811">
        <w:rPr>
          <w:rStyle w:val="Normalbold"/>
        </w:rPr>
        <w:t xml:space="preserve">results and data; operational and maintenance records; records of deficiencies and incidents; modification records; training records; dose records </w:t>
      </w:r>
    </w:p>
    <w:p w14:paraId="55B8B61E" w14:textId="2C689DB2" w:rsidR="00E01A04" w:rsidRDefault="00E01A04" w:rsidP="003E65EA">
      <w:pPr>
        <w:pStyle w:val="ListParagraph"/>
        <w:numPr>
          <w:ilvl w:val="1"/>
          <w:numId w:val="7"/>
        </w:numPr>
        <w:ind w:left="993" w:hanging="426"/>
        <w:rPr>
          <w:rStyle w:val="Normalbold"/>
        </w:rPr>
      </w:pPr>
      <w:r w:rsidRPr="00C25811">
        <w:rPr>
          <w:rStyle w:val="Normalbold"/>
        </w:rPr>
        <w:t xml:space="preserve">confirmatory tests </w:t>
      </w:r>
      <w:r w:rsidR="0046601B" w:rsidRPr="00C25811">
        <w:rPr>
          <w:rStyle w:val="Normalbold"/>
        </w:rPr>
        <w:t xml:space="preserve">or </w:t>
      </w:r>
      <w:r w:rsidRPr="00C25811">
        <w:rPr>
          <w:rStyle w:val="Normalbold"/>
        </w:rPr>
        <w:t xml:space="preserve">measurements </w:t>
      </w:r>
      <w:r w:rsidR="006B1A53" w:rsidRPr="00C25811">
        <w:rPr>
          <w:rStyle w:val="Normalbold"/>
        </w:rPr>
        <w:t>such as dose rate measurements</w:t>
      </w:r>
      <w:r w:rsidR="007E3891" w:rsidRPr="00C25811">
        <w:rPr>
          <w:rStyle w:val="Normalbold"/>
        </w:rPr>
        <w:t xml:space="preserve"> (see </w:t>
      </w:r>
      <w:r w:rsidR="007F3B2E">
        <w:rPr>
          <w:rStyle w:val="Normalbold"/>
        </w:rPr>
        <w:t xml:space="preserve">Appendix </w:t>
      </w:r>
      <w:r w:rsidR="00885AB2">
        <w:rPr>
          <w:rStyle w:val="Normalbold"/>
        </w:rPr>
        <w:t>3</w:t>
      </w:r>
      <w:r w:rsidR="003703B6" w:rsidRPr="00C25811">
        <w:rPr>
          <w:rStyle w:val="Normalbold"/>
        </w:rPr>
        <w:t xml:space="preserve"> </w:t>
      </w:r>
      <w:r w:rsidR="00CC0A97" w:rsidRPr="00C25811">
        <w:rPr>
          <w:rStyle w:val="Normalbold"/>
        </w:rPr>
        <w:t>–</w:t>
      </w:r>
      <w:r w:rsidR="007E3891" w:rsidRPr="00C25811">
        <w:rPr>
          <w:rStyle w:val="Normalbold"/>
        </w:rPr>
        <w:t xml:space="preserve"> </w:t>
      </w:r>
      <w:hyperlink w:anchor="_Appendix_4:_Radiation" w:history="1">
        <w:r w:rsidR="00CC0A97" w:rsidRPr="00CC641F">
          <w:rPr>
            <w:rStyle w:val="Hyperlink"/>
            <w:rFonts w:eastAsia="Calibri"/>
            <w:i/>
          </w:rPr>
          <w:t>Radiation monitoring e</w:t>
        </w:r>
        <w:r w:rsidR="007E3891" w:rsidRPr="00CC641F">
          <w:rPr>
            <w:rStyle w:val="Hyperlink"/>
            <w:rFonts w:eastAsia="Calibri"/>
            <w:i/>
          </w:rPr>
          <w:t>quipment</w:t>
        </w:r>
      </w:hyperlink>
      <w:r w:rsidR="007E3891" w:rsidRPr="00C25811">
        <w:rPr>
          <w:rStyle w:val="Normalbold"/>
        </w:rPr>
        <w:t>)</w:t>
      </w:r>
    </w:p>
    <w:p w14:paraId="44767188" w14:textId="3D7E73B3" w:rsidR="00B57349" w:rsidRPr="00C25811" w:rsidRDefault="00B57349" w:rsidP="00B57349">
      <w:pPr>
        <w:rPr>
          <w:rStyle w:val="Normalbold"/>
        </w:rPr>
      </w:pPr>
      <w:r>
        <w:rPr>
          <w:rStyle w:val="Normalbold"/>
        </w:rPr>
        <w:t xml:space="preserve">The inspection procedure is modified appropriately for e-inspections. </w:t>
      </w:r>
    </w:p>
    <w:p w14:paraId="2A2F89EC" w14:textId="619AF3CB" w:rsidR="00656531" w:rsidRDefault="00447E6E" w:rsidP="0051066F">
      <w:pPr>
        <w:rPr>
          <w:rStyle w:val="Normalbold"/>
        </w:rPr>
      </w:pPr>
      <w:r w:rsidRPr="00C25811">
        <w:rPr>
          <w:rStyle w:val="Normalbold"/>
        </w:rPr>
        <w:t xml:space="preserve">Inspectors </w:t>
      </w:r>
      <w:r w:rsidR="000C1F74" w:rsidRPr="00C25811">
        <w:rPr>
          <w:rStyle w:val="Normalbold"/>
        </w:rPr>
        <w:t xml:space="preserve">do </w:t>
      </w:r>
      <w:r w:rsidR="006B1A53" w:rsidRPr="00C25811">
        <w:rPr>
          <w:rStyle w:val="Normalbold"/>
        </w:rPr>
        <w:t>not</w:t>
      </w:r>
      <w:r w:rsidR="000C1F74" w:rsidRPr="00C25811">
        <w:rPr>
          <w:rStyle w:val="Normalbold"/>
        </w:rPr>
        <w:t xml:space="preserve"> normally</w:t>
      </w:r>
      <w:r w:rsidR="006B1A53" w:rsidRPr="00C25811">
        <w:rPr>
          <w:rStyle w:val="Normalbold"/>
        </w:rPr>
        <w:t xml:space="preserve"> conduct confirmatory tests or measurements </w:t>
      </w:r>
      <w:r w:rsidR="006C52B1" w:rsidRPr="00C25811">
        <w:rPr>
          <w:rStyle w:val="Normalbold"/>
        </w:rPr>
        <w:t xml:space="preserve">that make it necessary to </w:t>
      </w:r>
      <w:r w:rsidR="006B1A53" w:rsidRPr="00C25811">
        <w:rPr>
          <w:rStyle w:val="Normalbold"/>
        </w:rPr>
        <w:t>assum</w:t>
      </w:r>
      <w:r w:rsidR="006C52B1" w:rsidRPr="00C25811">
        <w:rPr>
          <w:rStyle w:val="Normalbold"/>
        </w:rPr>
        <w:t>e</w:t>
      </w:r>
      <w:r w:rsidR="006B1A53" w:rsidRPr="00C25811">
        <w:rPr>
          <w:rStyle w:val="Normalbold"/>
        </w:rPr>
        <w:t xml:space="preserve"> operational control of </w:t>
      </w:r>
      <w:r w:rsidRPr="00C25811">
        <w:rPr>
          <w:rStyle w:val="Normalbold"/>
        </w:rPr>
        <w:t xml:space="preserve">a source or </w:t>
      </w:r>
      <w:r w:rsidR="006B1A53" w:rsidRPr="00C25811">
        <w:rPr>
          <w:rStyle w:val="Normalbold"/>
        </w:rPr>
        <w:t>facility or any of its systems.</w:t>
      </w:r>
      <w:r w:rsidR="005701CA" w:rsidRPr="00C25811">
        <w:rPr>
          <w:rStyle w:val="Normalbold"/>
        </w:rPr>
        <w:t xml:space="preserve"> Where necessary</w:t>
      </w:r>
      <w:r w:rsidR="000C1F74" w:rsidRPr="00C25811">
        <w:rPr>
          <w:rStyle w:val="Normalbold"/>
        </w:rPr>
        <w:t>,</w:t>
      </w:r>
      <w:r w:rsidR="003C7878" w:rsidRPr="00C25811">
        <w:rPr>
          <w:rStyle w:val="Normalbold"/>
        </w:rPr>
        <w:t xml:space="preserve"> </w:t>
      </w:r>
      <w:r w:rsidR="005701CA" w:rsidRPr="00C25811">
        <w:rPr>
          <w:rStyle w:val="Normalbold"/>
        </w:rPr>
        <w:t>inspectors should seek the cooperation of the licence holder</w:t>
      </w:r>
      <w:r w:rsidR="006C52B1" w:rsidRPr="00C25811">
        <w:rPr>
          <w:rStyle w:val="Normalbold"/>
        </w:rPr>
        <w:t>;</w:t>
      </w:r>
      <w:r w:rsidR="005701CA" w:rsidRPr="00C25811">
        <w:rPr>
          <w:rStyle w:val="Normalbold"/>
        </w:rPr>
        <w:t xml:space="preserve"> for example</w:t>
      </w:r>
      <w:r w:rsidR="006C52B1" w:rsidRPr="00C25811">
        <w:rPr>
          <w:rStyle w:val="Normalbold"/>
        </w:rPr>
        <w:t>,</w:t>
      </w:r>
      <w:r w:rsidR="005701CA" w:rsidRPr="00C25811">
        <w:rPr>
          <w:rStyle w:val="Normalbold"/>
        </w:rPr>
        <w:t xml:space="preserve"> if </w:t>
      </w:r>
      <w:r w:rsidR="005F7A13" w:rsidRPr="00C25811">
        <w:rPr>
          <w:rStyle w:val="Normalbold"/>
        </w:rPr>
        <w:t xml:space="preserve">an inspector wants to take </w:t>
      </w:r>
      <w:r w:rsidR="009352B7" w:rsidRPr="00C25811">
        <w:rPr>
          <w:rStyle w:val="Normalbold"/>
        </w:rPr>
        <w:t xml:space="preserve">measurements </w:t>
      </w:r>
      <w:r w:rsidR="005F7A13" w:rsidRPr="00C25811">
        <w:rPr>
          <w:rStyle w:val="Normalbold"/>
        </w:rPr>
        <w:t xml:space="preserve">while </w:t>
      </w:r>
      <w:r w:rsidR="00E24849" w:rsidRPr="00C25811">
        <w:rPr>
          <w:rStyle w:val="Normalbold"/>
        </w:rPr>
        <w:t xml:space="preserve">a </w:t>
      </w:r>
      <w:r w:rsidR="00AE3790" w:rsidRPr="00C25811">
        <w:rPr>
          <w:rStyle w:val="Normalbold"/>
        </w:rPr>
        <w:t xml:space="preserve">facility or </w:t>
      </w:r>
      <w:r w:rsidR="00E24849" w:rsidRPr="00C25811">
        <w:rPr>
          <w:rStyle w:val="Normalbold"/>
        </w:rPr>
        <w:t>source is in use</w:t>
      </w:r>
      <w:r w:rsidR="005F7A13" w:rsidRPr="00C25811">
        <w:rPr>
          <w:rStyle w:val="Normalbold"/>
        </w:rPr>
        <w:t xml:space="preserve"> </w:t>
      </w:r>
      <w:r w:rsidR="005701CA" w:rsidRPr="00C25811">
        <w:rPr>
          <w:rStyle w:val="Normalbold"/>
        </w:rPr>
        <w:t xml:space="preserve">the </w:t>
      </w:r>
      <w:r w:rsidR="00863039">
        <w:rPr>
          <w:rStyle w:val="Normalbold"/>
        </w:rPr>
        <w:t>operator</w:t>
      </w:r>
      <w:r w:rsidR="005701CA" w:rsidRPr="00C25811">
        <w:rPr>
          <w:rStyle w:val="Normalbold"/>
        </w:rPr>
        <w:t xml:space="preserve"> should be asked to</w:t>
      </w:r>
      <w:r w:rsidR="009352B7" w:rsidRPr="00C25811">
        <w:rPr>
          <w:rStyle w:val="Normalbold"/>
        </w:rPr>
        <w:t xml:space="preserve"> </w:t>
      </w:r>
      <w:r w:rsidR="000C1F74" w:rsidRPr="00C25811">
        <w:rPr>
          <w:rStyle w:val="Normalbold"/>
        </w:rPr>
        <w:t>assist</w:t>
      </w:r>
      <w:r w:rsidR="005F7A13" w:rsidRPr="00C25811">
        <w:rPr>
          <w:rStyle w:val="Normalbold"/>
        </w:rPr>
        <w:t xml:space="preserve">. </w:t>
      </w:r>
      <w:r w:rsidR="00EC4F6B">
        <w:rPr>
          <w:rStyle w:val="Normalbold"/>
        </w:rPr>
        <w:t xml:space="preserve"> At no time should test</w:t>
      </w:r>
      <w:r w:rsidR="0002426C">
        <w:rPr>
          <w:rStyle w:val="Normalbold"/>
        </w:rPr>
        <w:t>s</w:t>
      </w:r>
      <w:r w:rsidR="00EC4F6B">
        <w:rPr>
          <w:rStyle w:val="Normalbold"/>
        </w:rPr>
        <w:t xml:space="preserve"> conducted by inspectors place the facility or source in an unsafe condition or contribute to risks of any kind.</w:t>
      </w:r>
    </w:p>
    <w:p w14:paraId="4B6C060F" w14:textId="16DD041F" w:rsidR="00EC4F6B" w:rsidRDefault="00EC4F6B" w:rsidP="0051066F">
      <w:pPr>
        <w:rPr>
          <w:rStyle w:val="Normalbold"/>
        </w:rPr>
      </w:pPr>
      <w:r>
        <w:rPr>
          <w:rStyle w:val="Normalbold"/>
        </w:rPr>
        <w:lastRenderedPageBreak/>
        <w:t xml:space="preserve">In addition to verifying compliance with regulatory requirements, inspectors should be aware of issues </w:t>
      </w:r>
      <w:r w:rsidR="00D55278">
        <w:rPr>
          <w:rStyle w:val="Normalbold"/>
        </w:rPr>
        <w:t xml:space="preserve">including human and organisational factors </w:t>
      </w:r>
      <w:r>
        <w:rPr>
          <w:rStyle w:val="Normalbold"/>
        </w:rPr>
        <w:t xml:space="preserve">that </w:t>
      </w:r>
      <w:r w:rsidR="00D55278">
        <w:rPr>
          <w:rStyle w:val="Normalbold"/>
        </w:rPr>
        <w:t xml:space="preserve">are indicators </w:t>
      </w:r>
      <w:r>
        <w:rPr>
          <w:rStyle w:val="Normalbold"/>
        </w:rPr>
        <w:t>of safety performance.  Common performance indicators to be aware of are:</w:t>
      </w:r>
    </w:p>
    <w:p w14:paraId="55BBDC6C" w14:textId="5EC3C6ED" w:rsidR="00EC4F6B" w:rsidRDefault="00EC4F6B" w:rsidP="00122B75">
      <w:pPr>
        <w:pStyle w:val="ListParagraph"/>
        <w:numPr>
          <w:ilvl w:val="0"/>
          <w:numId w:val="51"/>
        </w:numPr>
        <w:ind w:left="993" w:hanging="426"/>
        <w:rPr>
          <w:rStyle w:val="Normalbold"/>
        </w:rPr>
      </w:pPr>
      <w:r>
        <w:rPr>
          <w:rStyle w:val="Normalbold"/>
        </w:rPr>
        <w:t>housekeeping</w:t>
      </w:r>
    </w:p>
    <w:p w14:paraId="2520FBC7" w14:textId="0616937E" w:rsidR="00EC4F6B" w:rsidRDefault="00EC4F6B" w:rsidP="00122B75">
      <w:pPr>
        <w:pStyle w:val="ListParagraph"/>
        <w:numPr>
          <w:ilvl w:val="0"/>
          <w:numId w:val="51"/>
        </w:numPr>
        <w:ind w:left="993" w:hanging="426"/>
        <w:rPr>
          <w:rStyle w:val="Normalbold"/>
        </w:rPr>
      </w:pPr>
      <w:r>
        <w:rPr>
          <w:rStyle w:val="Normalbold"/>
        </w:rPr>
        <w:t>financial stability</w:t>
      </w:r>
    </w:p>
    <w:p w14:paraId="0DC60756" w14:textId="5A10B754" w:rsidR="00EC4F6B" w:rsidRDefault="00EC4F6B" w:rsidP="00122B75">
      <w:pPr>
        <w:pStyle w:val="ListParagraph"/>
        <w:numPr>
          <w:ilvl w:val="0"/>
          <w:numId w:val="51"/>
        </w:numPr>
        <w:ind w:left="993" w:hanging="426"/>
        <w:rPr>
          <w:rStyle w:val="Normalbold"/>
        </w:rPr>
      </w:pPr>
      <w:r>
        <w:rPr>
          <w:rStyle w:val="Normalbold"/>
        </w:rPr>
        <w:t>staffing including staff turnover</w:t>
      </w:r>
    </w:p>
    <w:p w14:paraId="7F1C4C29" w14:textId="0D603CCE" w:rsidR="00EC4F6B" w:rsidRDefault="00EC4F6B" w:rsidP="00122B75">
      <w:pPr>
        <w:pStyle w:val="ListParagraph"/>
        <w:numPr>
          <w:ilvl w:val="0"/>
          <w:numId w:val="51"/>
        </w:numPr>
        <w:ind w:left="993" w:hanging="426"/>
        <w:rPr>
          <w:rStyle w:val="Normalbold"/>
        </w:rPr>
      </w:pPr>
      <w:r>
        <w:rPr>
          <w:rStyle w:val="Normalbold"/>
        </w:rPr>
        <w:t>record keeping and retrieval systems</w:t>
      </w:r>
    </w:p>
    <w:p w14:paraId="038F83F4" w14:textId="575CFFF4" w:rsidR="00EC4F6B" w:rsidRDefault="00EC4F6B" w:rsidP="00122B75">
      <w:pPr>
        <w:pStyle w:val="ListParagraph"/>
        <w:numPr>
          <w:ilvl w:val="0"/>
          <w:numId w:val="51"/>
        </w:numPr>
        <w:ind w:left="993" w:hanging="426"/>
        <w:rPr>
          <w:rStyle w:val="Normalbold"/>
        </w:rPr>
      </w:pPr>
      <w:r>
        <w:rPr>
          <w:rStyle w:val="Normalbold"/>
        </w:rPr>
        <w:t>investigation levels set by the LH and procedure to be followed if these levels are exceeded</w:t>
      </w:r>
    </w:p>
    <w:p w14:paraId="14387B22" w14:textId="5ECEB253" w:rsidR="00EC4F6B" w:rsidRDefault="00EC4F6B" w:rsidP="00122B75">
      <w:pPr>
        <w:pStyle w:val="ListParagraph"/>
        <w:numPr>
          <w:ilvl w:val="0"/>
          <w:numId w:val="51"/>
        </w:numPr>
        <w:ind w:left="993" w:hanging="426"/>
        <w:rPr>
          <w:rStyle w:val="Normalbold"/>
        </w:rPr>
      </w:pPr>
      <w:r>
        <w:rPr>
          <w:rStyle w:val="Normalbold"/>
        </w:rPr>
        <w:t xml:space="preserve">training and </w:t>
      </w:r>
      <w:r w:rsidR="002D682D">
        <w:rPr>
          <w:rStyle w:val="Normalbold"/>
        </w:rPr>
        <w:t>effectiveness of training retention</w:t>
      </w:r>
    </w:p>
    <w:p w14:paraId="7FE09B9E" w14:textId="44572F2A" w:rsidR="00EC4F6B" w:rsidRDefault="00EC4F6B" w:rsidP="00122B75">
      <w:pPr>
        <w:pStyle w:val="ListParagraph"/>
        <w:numPr>
          <w:ilvl w:val="0"/>
          <w:numId w:val="51"/>
        </w:numPr>
        <w:ind w:left="993" w:hanging="426"/>
        <w:rPr>
          <w:rStyle w:val="Normalbold"/>
        </w:rPr>
      </w:pPr>
      <w:r>
        <w:rPr>
          <w:rStyle w:val="Normalbold"/>
        </w:rPr>
        <w:t>occupational exposures for the type of facility or source</w:t>
      </w:r>
    </w:p>
    <w:p w14:paraId="536504E1" w14:textId="6ECD0FF8" w:rsidR="00EC4F6B" w:rsidRDefault="00EC4F6B" w:rsidP="00122B75">
      <w:pPr>
        <w:pStyle w:val="ListParagraph"/>
        <w:numPr>
          <w:ilvl w:val="0"/>
          <w:numId w:val="51"/>
        </w:numPr>
        <w:ind w:left="993" w:hanging="426"/>
        <w:rPr>
          <w:rStyle w:val="Normalbold"/>
        </w:rPr>
      </w:pPr>
      <w:r>
        <w:rPr>
          <w:rStyle w:val="Normalbold"/>
        </w:rPr>
        <w:t xml:space="preserve">recurring failures of structures, </w:t>
      </w:r>
      <w:proofErr w:type="gramStart"/>
      <w:r>
        <w:rPr>
          <w:rStyle w:val="Normalbold"/>
        </w:rPr>
        <w:t>systems</w:t>
      </w:r>
      <w:proofErr w:type="gramEnd"/>
      <w:r>
        <w:rPr>
          <w:rStyle w:val="Normalbold"/>
        </w:rPr>
        <w:t xml:space="preserve"> and components important to safety</w:t>
      </w:r>
    </w:p>
    <w:p w14:paraId="0D44B305" w14:textId="73D29D18" w:rsidR="00EC4F6B" w:rsidRDefault="00EC4F6B" w:rsidP="00122B75">
      <w:pPr>
        <w:pStyle w:val="ListParagraph"/>
        <w:numPr>
          <w:ilvl w:val="0"/>
          <w:numId w:val="51"/>
        </w:numPr>
        <w:ind w:left="993" w:hanging="426"/>
        <w:rPr>
          <w:rStyle w:val="Normalbold"/>
        </w:rPr>
      </w:pPr>
      <w:r>
        <w:rPr>
          <w:rStyle w:val="Normalbold"/>
        </w:rPr>
        <w:t xml:space="preserve">unavailability of structures, </w:t>
      </w:r>
      <w:proofErr w:type="gramStart"/>
      <w:r>
        <w:rPr>
          <w:rStyle w:val="Normalbold"/>
        </w:rPr>
        <w:t>systems</w:t>
      </w:r>
      <w:proofErr w:type="gramEnd"/>
      <w:r>
        <w:rPr>
          <w:rStyle w:val="Normalbold"/>
        </w:rPr>
        <w:t xml:space="preserve"> and components</w:t>
      </w:r>
    </w:p>
    <w:p w14:paraId="78DA27F0" w14:textId="3A9BF929" w:rsidR="003649B2" w:rsidRDefault="00EC4F6B" w:rsidP="00122B75">
      <w:pPr>
        <w:pStyle w:val="ListParagraph"/>
        <w:numPr>
          <w:ilvl w:val="0"/>
          <w:numId w:val="51"/>
        </w:numPr>
        <w:ind w:left="993" w:hanging="426"/>
        <w:rPr>
          <w:rStyle w:val="Normalbold"/>
        </w:rPr>
      </w:pPr>
      <w:r>
        <w:rPr>
          <w:rStyle w:val="Normalbold"/>
        </w:rPr>
        <w:t>response to areas for improvement</w:t>
      </w:r>
      <w:r w:rsidR="002D682D">
        <w:rPr>
          <w:rStyle w:val="Normalbold"/>
        </w:rPr>
        <w:t xml:space="preserve">, </w:t>
      </w:r>
      <w:r w:rsidR="003649B2">
        <w:rPr>
          <w:rStyle w:val="Normalbold"/>
        </w:rPr>
        <w:t xml:space="preserve">recurrent </w:t>
      </w:r>
      <w:proofErr w:type="gramStart"/>
      <w:r w:rsidR="003649B2">
        <w:rPr>
          <w:rStyle w:val="Normalbold"/>
        </w:rPr>
        <w:t>themes</w:t>
      </w:r>
      <w:proofErr w:type="gramEnd"/>
      <w:r w:rsidR="002D682D">
        <w:rPr>
          <w:rStyle w:val="Normalbold"/>
        </w:rPr>
        <w:t xml:space="preserve"> and incidents</w:t>
      </w:r>
    </w:p>
    <w:p w14:paraId="73F2EC52" w14:textId="59D3F691" w:rsidR="00EC4F6B" w:rsidRDefault="003649B2" w:rsidP="00122B75">
      <w:pPr>
        <w:pStyle w:val="ListParagraph"/>
        <w:numPr>
          <w:ilvl w:val="0"/>
          <w:numId w:val="51"/>
        </w:numPr>
        <w:ind w:left="993" w:hanging="426"/>
        <w:rPr>
          <w:rStyle w:val="Normalbold"/>
        </w:rPr>
      </w:pPr>
      <w:r>
        <w:rPr>
          <w:rStyle w:val="Normalbold"/>
        </w:rPr>
        <w:t>f</w:t>
      </w:r>
      <w:r w:rsidR="00EC4F6B">
        <w:rPr>
          <w:rStyle w:val="Normalbold"/>
        </w:rPr>
        <w:t>requency of breaches or enforcement action</w:t>
      </w:r>
    </w:p>
    <w:p w14:paraId="33A6F2BE" w14:textId="6B1E38A5" w:rsidR="002D682D" w:rsidRDefault="002D682D" w:rsidP="00122B75">
      <w:pPr>
        <w:pStyle w:val="ListParagraph"/>
        <w:numPr>
          <w:ilvl w:val="0"/>
          <w:numId w:val="51"/>
        </w:numPr>
        <w:ind w:left="993" w:hanging="426"/>
        <w:rPr>
          <w:rStyle w:val="Normalbold"/>
        </w:rPr>
      </w:pPr>
      <w:r>
        <w:rPr>
          <w:rStyle w:val="Normalbold"/>
        </w:rPr>
        <w:t>demonstrated ability to learn from past incidents and/or near misses</w:t>
      </w:r>
    </w:p>
    <w:p w14:paraId="016FF6CD" w14:textId="4B5986C2" w:rsidR="002D682D" w:rsidRPr="00C25811" w:rsidRDefault="002D682D" w:rsidP="00122B75">
      <w:pPr>
        <w:pStyle w:val="ListParagraph"/>
        <w:numPr>
          <w:ilvl w:val="0"/>
          <w:numId w:val="51"/>
        </w:numPr>
        <w:ind w:left="993" w:hanging="426"/>
        <w:rPr>
          <w:rStyle w:val="Normalbold"/>
        </w:rPr>
      </w:pPr>
      <w:r>
        <w:rPr>
          <w:rStyle w:val="Normalbold"/>
        </w:rPr>
        <w:t xml:space="preserve">preventative actions undertaken </w:t>
      </w:r>
      <w:proofErr w:type="spellStart"/>
      <w:r>
        <w:rPr>
          <w:rStyle w:val="Normalbold"/>
        </w:rPr>
        <w:t>eg.</w:t>
      </w:r>
      <w:proofErr w:type="spellEnd"/>
      <w:r>
        <w:rPr>
          <w:rStyle w:val="Normalbold"/>
        </w:rPr>
        <w:t xml:space="preserve"> drills</w:t>
      </w:r>
    </w:p>
    <w:p w14:paraId="098BC0D3" w14:textId="04091473" w:rsidR="00003B0F" w:rsidRPr="009D790F" w:rsidRDefault="00003B0F" w:rsidP="004C0AAC">
      <w:pPr>
        <w:pStyle w:val="Heading2"/>
        <w:tabs>
          <w:tab w:val="clear" w:pos="851"/>
          <w:tab w:val="left" w:pos="1276"/>
        </w:tabs>
        <w:spacing w:before="240"/>
        <w:ind w:left="1276" w:hanging="567"/>
      </w:pPr>
      <w:bookmarkStart w:id="23" w:name="_Toc483572280"/>
      <w:bookmarkStart w:id="24" w:name="_Toc492399357"/>
      <w:r w:rsidRPr="009D790F">
        <w:t>Site Visits</w:t>
      </w:r>
      <w:bookmarkEnd w:id="23"/>
      <w:bookmarkEnd w:id="24"/>
    </w:p>
    <w:p w14:paraId="6A1D77EF" w14:textId="4BE5B05A" w:rsidR="00472E1F" w:rsidRPr="00C25811" w:rsidRDefault="00472E1F" w:rsidP="0051066F">
      <w:pPr>
        <w:rPr>
          <w:rStyle w:val="Normalbold"/>
        </w:rPr>
      </w:pPr>
      <w:r w:rsidRPr="00C25811">
        <w:rPr>
          <w:rStyle w:val="Normalbold"/>
        </w:rPr>
        <w:t>Site visits supplement the inspection program but are not inspections</w:t>
      </w:r>
      <w:r w:rsidR="007F60E6" w:rsidRPr="00C25811">
        <w:rPr>
          <w:rStyle w:val="Normalbold"/>
        </w:rPr>
        <w:t xml:space="preserve">. </w:t>
      </w:r>
      <w:r w:rsidRPr="00C25811">
        <w:rPr>
          <w:rStyle w:val="Normalbold"/>
        </w:rPr>
        <w:t xml:space="preserve">Generally, site visits are used by inspectors to familiarise themselves with processes, </w:t>
      </w:r>
      <w:proofErr w:type="gramStart"/>
      <w:r w:rsidRPr="00C25811">
        <w:rPr>
          <w:rStyle w:val="Normalbold"/>
        </w:rPr>
        <w:t>procedures</w:t>
      </w:r>
      <w:proofErr w:type="gramEnd"/>
      <w:r w:rsidRPr="00C25811">
        <w:rPr>
          <w:rStyle w:val="Normalbold"/>
        </w:rPr>
        <w:t xml:space="preserve"> or personnel. </w:t>
      </w:r>
      <w:r w:rsidR="0009557D">
        <w:rPr>
          <w:lang w:val="en-GB"/>
        </w:rPr>
        <w:t xml:space="preserve">They provide an opportunity for inspectors to extend their understanding of the managerial, </w:t>
      </w:r>
      <w:proofErr w:type="gramStart"/>
      <w:r w:rsidR="0009557D">
        <w:rPr>
          <w:lang w:val="en-GB"/>
        </w:rPr>
        <w:t>engineering</w:t>
      </w:r>
      <w:proofErr w:type="gramEnd"/>
      <w:r w:rsidR="0009557D">
        <w:rPr>
          <w:lang w:val="en-GB"/>
        </w:rPr>
        <w:t xml:space="preserve"> and operational aspects of the facility or activity. </w:t>
      </w:r>
      <w:r w:rsidRPr="00C25811">
        <w:rPr>
          <w:rStyle w:val="Normalbold"/>
        </w:rPr>
        <w:t xml:space="preserve">The information gathered is </w:t>
      </w:r>
      <w:r w:rsidR="000C1F74" w:rsidRPr="00C25811">
        <w:rPr>
          <w:rStyle w:val="Normalbold"/>
        </w:rPr>
        <w:t xml:space="preserve">usually </w:t>
      </w:r>
      <w:r w:rsidRPr="00C25811">
        <w:rPr>
          <w:rStyle w:val="Normalbold"/>
        </w:rPr>
        <w:t xml:space="preserve">used to inform a decision-making process such as licence assessment, </w:t>
      </w:r>
      <w:r w:rsidR="00C25811">
        <w:rPr>
          <w:rStyle w:val="Normalbold"/>
        </w:rPr>
        <w:t>section 63 or section 65</w:t>
      </w:r>
      <w:r w:rsidRPr="00C25811">
        <w:rPr>
          <w:rStyle w:val="Normalbold"/>
        </w:rPr>
        <w:t xml:space="preserve"> request, or some other approval required under a licence condition. Site visits may also be used to share information with a licence holder or </w:t>
      </w:r>
      <w:r w:rsidR="0087694C">
        <w:rPr>
          <w:rStyle w:val="Normalbold"/>
        </w:rPr>
        <w:t xml:space="preserve">advise </w:t>
      </w:r>
      <w:r w:rsidRPr="00C25811">
        <w:rPr>
          <w:rStyle w:val="Normalbold"/>
        </w:rPr>
        <w:t>them on regulatory matters relevant to the activities they undertake.</w:t>
      </w:r>
    </w:p>
    <w:p w14:paraId="1D1809CA" w14:textId="2BB17025" w:rsidR="0022559C" w:rsidRPr="00C25811" w:rsidRDefault="00AD24CD">
      <w:pPr>
        <w:rPr>
          <w:rStyle w:val="Normalbold"/>
          <w:rFonts w:ascii="Calibri" w:hAnsi="Calibri" w:cstheme="majorBidi"/>
          <w:b/>
          <w:bCs/>
          <w:snapToGrid w:val="0"/>
          <w:color w:val="4E1A74"/>
        </w:rPr>
      </w:pPr>
      <w:r w:rsidRPr="00C25811">
        <w:rPr>
          <w:rStyle w:val="Normalbold"/>
        </w:rPr>
        <w:t>O</w:t>
      </w:r>
      <w:r w:rsidR="006C52B1" w:rsidRPr="00C25811">
        <w:rPr>
          <w:rStyle w:val="Normalbold"/>
        </w:rPr>
        <w:t>bservations and i</w:t>
      </w:r>
      <w:r w:rsidR="0008382B" w:rsidRPr="00C25811">
        <w:rPr>
          <w:rStyle w:val="Normalbold"/>
        </w:rPr>
        <w:t xml:space="preserve">nformation </w:t>
      </w:r>
      <w:r w:rsidRPr="00C25811">
        <w:rPr>
          <w:rStyle w:val="Normalbold"/>
        </w:rPr>
        <w:t>are recorded in</w:t>
      </w:r>
      <w:r w:rsidR="00E24849" w:rsidRPr="00C25811">
        <w:rPr>
          <w:rStyle w:val="Normalbold"/>
        </w:rPr>
        <w:t xml:space="preserve"> </w:t>
      </w:r>
      <w:r w:rsidRPr="00C25811">
        <w:rPr>
          <w:rStyle w:val="Normalbold"/>
        </w:rPr>
        <w:t xml:space="preserve">a </w:t>
      </w:r>
      <w:hyperlink r:id="rId22" w:history="1">
        <w:r w:rsidR="0008382B" w:rsidRPr="000F0662">
          <w:rPr>
            <w:rStyle w:val="Normalbold"/>
            <w:color w:val="4E1A74" w:themeColor="accent2"/>
            <w:u w:val="single"/>
          </w:rPr>
          <w:t>Site Visit Report</w:t>
        </w:r>
      </w:hyperlink>
      <w:r w:rsidR="0008382B" w:rsidRPr="00C25811">
        <w:rPr>
          <w:rStyle w:val="Normalbold"/>
        </w:rPr>
        <w:t>. This report is not provided to the licence holder or published</w:t>
      </w:r>
      <w:r w:rsidR="006F7B87" w:rsidRPr="00C25811">
        <w:rPr>
          <w:rStyle w:val="Normalbold"/>
        </w:rPr>
        <w:t xml:space="preserve"> however observations are </w:t>
      </w:r>
      <w:r w:rsidR="000C1F74" w:rsidRPr="00C25811">
        <w:rPr>
          <w:rStyle w:val="Normalbold"/>
        </w:rPr>
        <w:t xml:space="preserve">expected to be </w:t>
      </w:r>
      <w:r w:rsidR="006F7B87" w:rsidRPr="00C25811">
        <w:rPr>
          <w:rStyle w:val="Normalbold"/>
        </w:rPr>
        <w:t xml:space="preserve">discussed with </w:t>
      </w:r>
      <w:r w:rsidR="0009557D">
        <w:rPr>
          <w:rStyle w:val="Normalbold"/>
        </w:rPr>
        <w:t xml:space="preserve">licence holder </w:t>
      </w:r>
      <w:r w:rsidR="006F7B87" w:rsidRPr="00C25811">
        <w:rPr>
          <w:rStyle w:val="Normalbold"/>
        </w:rPr>
        <w:t>management/personnel during the visit</w:t>
      </w:r>
      <w:r w:rsidR="007F60E6" w:rsidRPr="00C25811">
        <w:rPr>
          <w:rStyle w:val="Normalbold"/>
        </w:rPr>
        <w:t xml:space="preserve">. </w:t>
      </w:r>
    </w:p>
    <w:p w14:paraId="073ED7FC" w14:textId="77777777" w:rsidR="005931AF" w:rsidRDefault="007037BD">
      <w:pPr>
        <w:rPr>
          <w:rStyle w:val="Normalbold"/>
        </w:rPr>
      </w:pPr>
      <w:r w:rsidRPr="00C25811">
        <w:rPr>
          <w:rStyle w:val="Normalbold"/>
        </w:rPr>
        <w:t xml:space="preserve">If non-compliance is identified during a site visit an unannounced inspection may be initiated. In this situation, the </w:t>
      </w:r>
      <w:r w:rsidR="0008382B" w:rsidRPr="00C25811">
        <w:rPr>
          <w:rStyle w:val="Normalbold"/>
        </w:rPr>
        <w:t>inspector</w:t>
      </w:r>
      <w:r w:rsidRPr="00C25811">
        <w:rPr>
          <w:rStyle w:val="Normalbold"/>
        </w:rPr>
        <w:t xml:space="preserve"> should announce that they are now collecting evidence on behalf of the CEO of ARPANSA to assess compliance with the Act and </w:t>
      </w:r>
      <w:r w:rsidR="007E6E75" w:rsidRPr="00C25811">
        <w:rPr>
          <w:rStyle w:val="Normalbold"/>
        </w:rPr>
        <w:t>R</w:t>
      </w:r>
      <w:r w:rsidRPr="00C25811">
        <w:rPr>
          <w:rStyle w:val="Normalbold"/>
        </w:rPr>
        <w:t>egulations</w:t>
      </w:r>
      <w:r w:rsidR="007F60E6" w:rsidRPr="00C25811">
        <w:rPr>
          <w:rStyle w:val="Normalbold"/>
        </w:rPr>
        <w:t xml:space="preserve">. </w:t>
      </w:r>
      <w:r w:rsidRPr="00C25811">
        <w:rPr>
          <w:rStyle w:val="Normalbold"/>
        </w:rPr>
        <w:t xml:space="preserve">The inspection should proceed in accordance with </w:t>
      </w:r>
      <w:r w:rsidR="00BC0F85" w:rsidRPr="00C25811">
        <w:rPr>
          <w:rStyle w:val="Normalbold"/>
        </w:rPr>
        <w:t>the procedure in s</w:t>
      </w:r>
      <w:r w:rsidR="0008382B" w:rsidRPr="00C25811">
        <w:rPr>
          <w:rStyle w:val="Normalbold"/>
        </w:rPr>
        <w:t xml:space="preserve">ection </w:t>
      </w:r>
      <w:r w:rsidRPr="00C25811">
        <w:rPr>
          <w:rStyle w:val="Normalbold"/>
        </w:rPr>
        <w:t>2 of th</w:t>
      </w:r>
      <w:r w:rsidR="0008382B" w:rsidRPr="00C25811">
        <w:rPr>
          <w:rStyle w:val="Normalbold"/>
        </w:rPr>
        <w:t xml:space="preserve">is </w:t>
      </w:r>
      <w:r w:rsidR="00767CC0" w:rsidRPr="00C25811">
        <w:rPr>
          <w:rStyle w:val="Normalbold"/>
        </w:rPr>
        <w:t>m</w:t>
      </w:r>
      <w:r w:rsidR="0008382B" w:rsidRPr="00C25811">
        <w:rPr>
          <w:rStyle w:val="Normalbold"/>
        </w:rPr>
        <w:t xml:space="preserve">anual </w:t>
      </w:r>
      <w:r w:rsidRPr="00C25811">
        <w:rPr>
          <w:rStyle w:val="Normalbold"/>
        </w:rPr>
        <w:t>as appropriate.</w:t>
      </w:r>
      <w:r w:rsidR="0060558B" w:rsidRPr="00C25811">
        <w:rPr>
          <w:rStyle w:val="Normalbold"/>
        </w:rPr>
        <w:t xml:space="preserve"> </w:t>
      </w:r>
      <w:r w:rsidR="005931AF">
        <w:rPr>
          <w:rStyle w:val="Normalbold"/>
        </w:rPr>
        <w:t xml:space="preserve"> </w:t>
      </w:r>
    </w:p>
    <w:p w14:paraId="2F9342F0" w14:textId="5F7AB3A4" w:rsidR="0060558B" w:rsidRPr="00C25811" w:rsidRDefault="005931AF" w:rsidP="00CE4D64">
      <w:pPr>
        <w:ind w:left="426"/>
        <w:rPr>
          <w:rStyle w:val="Normalbold"/>
        </w:rPr>
      </w:pPr>
      <w:r>
        <w:rPr>
          <w:rStyle w:val="Normalbold"/>
          <w:sz w:val="20"/>
          <w:szCs w:val="20"/>
        </w:rPr>
        <w:t xml:space="preserve">NOTE: </w:t>
      </w:r>
      <w:r w:rsidRPr="005931AF">
        <w:rPr>
          <w:rStyle w:val="Normalbold"/>
          <w:sz w:val="20"/>
          <w:szCs w:val="20"/>
        </w:rPr>
        <w:t>This approach should only be taken after conferring with the section director o</w:t>
      </w:r>
      <w:r w:rsidR="007A14C0">
        <w:rPr>
          <w:rStyle w:val="Normalbold"/>
          <w:sz w:val="20"/>
          <w:szCs w:val="20"/>
        </w:rPr>
        <w:t>r</w:t>
      </w:r>
      <w:r w:rsidRPr="005931AF">
        <w:rPr>
          <w:rStyle w:val="Normalbold"/>
          <w:sz w:val="20"/>
          <w:szCs w:val="20"/>
        </w:rPr>
        <w:t xml:space="preserve"> Chief Regulatory Officer</w:t>
      </w:r>
      <w:r w:rsidR="003E19D0">
        <w:rPr>
          <w:rStyle w:val="Normalbold"/>
          <w:sz w:val="20"/>
          <w:szCs w:val="20"/>
        </w:rPr>
        <w:t xml:space="preserve"> (CRO)</w:t>
      </w:r>
      <w:r>
        <w:rPr>
          <w:rStyle w:val="Normalbold"/>
          <w:sz w:val="20"/>
          <w:szCs w:val="20"/>
        </w:rPr>
        <w:t xml:space="preserve">.  If </w:t>
      </w:r>
      <w:r w:rsidR="00CE4D64">
        <w:rPr>
          <w:rStyle w:val="Normalbold"/>
          <w:sz w:val="20"/>
          <w:szCs w:val="20"/>
        </w:rPr>
        <w:t>an</w:t>
      </w:r>
      <w:r>
        <w:rPr>
          <w:rStyle w:val="Normalbold"/>
          <w:sz w:val="20"/>
          <w:szCs w:val="20"/>
        </w:rPr>
        <w:t xml:space="preserve"> </w:t>
      </w:r>
      <w:r w:rsidR="00CE4D64">
        <w:rPr>
          <w:rStyle w:val="Normalbold"/>
          <w:sz w:val="20"/>
          <w:szCs w:val="20"/>
        </w:rPr>
        <w:t xml:space="preserve">identified </w:t>
      </w:r>
      <w:r>
        <w:rPr>
          <w:rStyle w:val="Normalbold"/>
          <w:sz w:val="20"/>
          <w:szCs w:val="20"/>
        </w:rPr>
        <w:t xml:space="preserve">non-compliance </w:t>
      </w:r>
      <w:r w:rsidR="00CE4D64">
        <w:rPr>
          <w:rStyle w:val="Normalbold"/>
          <w:sz w:val="20"/>
          <w:szCs w:val="20"/>
        </w:rPr>
        <w:t xml:space="preserve">is </w:t>
      </w:r>
      <w:r>
        <w:rPr>
          <w:rStyle w:val="Normalbold"/>
          <w:sz w:val="20"/>
          <w:szCs w:val="20"/>
        </w:rPr>
        <w:t xml:space="preserve">significant to </w:t>
      </w:r>
      <w:proofErr w:type="gramStart"/>
      <w:r>
        <w:rPr>
          <w:rStyle w:val="Normalbold"/>
          <w:sz w:val="20"/>
          <w:szCs w:val="20"/>
        </w:rPr>
        <w:t>safety</w:t>
      </w:r>
      <w:proofErr w:type="gramEnd"/>
      <w:r>
        <w:rPr>
          <w:rStyle w:val="Normalbold"/>
          <w:sz w:val="20"/>
          <w:szCs w:val="20"/>
        </w:rPr>
        <w:t xml:space="preserve"> then more immediate action </w:t>
      </w:r>
      <w:r w:rsidR="00CE4D64">
        <w:rPr>
          <w:rStyle w:val="Normalbold"/>
          <w:sz w:val="20"/>
          <w:szCs w:val="20"/>
        </w:rPr>
        <w:t xml:space="preserve">should be considered </w:t>
      </w:r>
      <w:r>
        <w:rPr>
          <w:rStyle w:val="Normalbold"/>
          <w:sz w:val="20"/>
          <w:szCs w:val="20"/>
        </w:rPr>
        <w:t xml:space="preserve">such as </w:t>
      </w:r>
      <w:r w:rsidR="00CE4D64">
        <w:rPr>
          <w:rStyle w:val="Normalbold"/>
          <w:sz w:val="20"/>
          <w:szCs w:val="20"/>
        </w:rPr>
        <w:t xml:space="preserve">an improvement notice. </w:t>
      </w:r>
    </w:p>
    <w:p w14:paraId="412717BA" w14:textId="3BBBBC5D" w:rsidR="003649B2" w:rsidRDefault="0060558B">
      <w:pPr>
        <w:spacing w:before="200" w:after="200"/>
        <w:rPr>
          <w:rStyle w:val="Normalbold"/>
        </w:rPr>
      </w:pPr>
      <w:r w:rsidRPr="00C25811">
        <w:rPr>
          <w:rStyle w:val="Normalbold"/>
        </w:rPr>
        <w:t>The inspector must record site visits in LAD as they would for an inspection.</w:t>
      </w:r>
    </w:p>
    <w:p w14:paraId="6830B05A" w14:textId="77777777" w:rsidR="003649B2" w:rsidRPr="003649B2" w:rsidRDefault="003649B2" w:rsidP="003649B2">
      <w:pPr>
        <w:pStyle w:val="Heading2"/>
      </w:pPr>
      <w:r w:rsidRPr="003649B2">
        <w:t>Review of the inspection program</w:t>
      </w:r>
    </w:p>
    <w:p w14:paraId="2EEA6BB3" w14:textId="428ABF69" w:rsidR="003649B2" w:rsidRPr="003649B2" w:rsidRDefault="003649B2" w:rsidP="003649B2">
      <w:r w:rsidRPr="003649B2">
        <w:t>The inspection program is regularly reviewed to ensure that it is risk informed and flexible to meet the needs of licence holders while assuring compliance with the Act and maintaining high levels of nuclear and radiation safety and security. To achieve this</w:t>
      </w:r>
      <w:r w:rsidRPr="003649B2">
        <w:rPr>
          <w:color w:val="1F497D"/>
        </w:rPr>
        <w:t xml:space="preserve"> </w:t>
      </w:r>
      <w:proofErr w:type="gramStart"/>
      <w:r w:rsidRPr="003649B2">
        <w:rPr>
          <w:color w:val="1F497D"/>
        </w:rPr>
        <w:t>a</w:t>
      </w:r>
      <w:r w:rsidRPr="003649B2">
        <w:t xml:space="preserve"> number of</w:t>
      </w:r>
      <w:proofErr w:type="gramEnd"/>
      <w:r w:rsidRPr="003649B2">
        <w:t xml:space="preserve"> review processes are implemented which include:</w:t>
      </w:r>
    </w:p>
    <w:p w14:paraId="77C93805" w14:textId="3993D273" w:rsidR="002F50C6" w:rsidRDefault="002F50C6" w:rsidP="00122B75">
      <w:pPr>
        <w:numPr>
          <w:ilvl w:val="0"/>
          <w:numId w:val="17"/>
        </w:numPr>
        <w:contextualSpacing/>
      </w:pPr>
      <w:r>
        <w:t xml:space="preserve">Post-inspection review after complex inspections to assess the process and identify any lessons learned. </w:t>
      </w:r>
    </w:p>
    <w:p w14:paraId="0F8DB1D9" w14:textId="21ADEE91" w:rsidR="00C03937" w:rsidRDefault="00C03937" w:rsidP="00122B75">
      <w:pPr>
        <w:numPr>
          <w:ilvl w:val="0"/>
          <w:numId w:val="17"/>
        </w:numPr>
        <w:contextualSpacing/>
      </w:pPr>
      <w:r>
        <w:lastRenderedPageBreak/>
        <w:t>Review of resourcing to ensure the inspection program continues to meet its objectives and is consist</w:t>
      </w:r>
      <w:r w:rsidR="00D05446">
        <w:t>ent</w:t>
      </w:r>
      <w:r>
        <w:t xml:space="preserve"> with the branch plan.</w:t>
      </w:r>
    </w:p>
    <w:p w14:paraId="7232874B" w14:textId="379F6727" w:rsidR="003649B2" w:rsidRPr="003649B2" w:rsidRDefault="003649B2" w:rsidP="00122B75">
      <w:pPr>
        <w:numPr>
          <w:ilvl w:val="0"/>
          <w:numId w:val="17"/>
        </w:numPr>
        <w:contextualSpacing/>
      </w:pPr>
      <w:r w:rsidRPr="003649B2">
        <w:t xml:space="preserve">Review of the inspection schedule following any significant inspection findings to determine whether a </w:t>
      </w:r>
      <w:r w:rsidR="009E4507">
        <w:t>reactive</w:t>
      </w:r>
      <w:r w:rsidRPr="003649B2">
        <w:t xml:space="preserve"> inspection is required. This is undertaken by the lead inspector.</w:t>
      </w:r>
    </w:p>
    <w:p w14:paraId="177D3D36" w14:textId="6222791E" w:rsidR="003649B2" w:rsidRPr="003649B2" w:rsidRDefault="003649B2" w:rsidP="00122B75">
      <w:pPr>
        <w:numPr>
          <w:ilvl w:val="0"/>
          <w:numId w:val="17"/>
        </w:numPr>
        <w:contextualSpacing/>
      </w:pPr>
      <w:r w:rsidRPr="003649B2">
        <w:t xml:space="preserve">Survey sent to the licence holder after each inspection. The survey results are analysed on a </w:t>
      </w:r>
      <w:r w:rsidR="007307F4">
        <w:t>6-</w:t>
      </w:r>
      <w:r w:rsidRPr="003649B2">
        <w:t xml:space="preserve"> monthly basis to identify any improvements to the inspection program or process. </w:t>
      </w:r>
      <w:r w:rsidR="002D682D">
        <w:t>Licence holders can also provide feedback anonymously through the ARPANSA website at any time.</w:t>
      </w:r>
    </w:p>
    <w:p w14:paraId="3AA208EC" w14:textId="175064EC" w:rsidR="003649B2" w:rsidRPr="003649B2" w:rsidRDefault="003649B2" w:rsidP="00122B75">
      <w:pPr>
        <w:numPr>
          <w:ilvl w:val="0"/>
          <w:numId w:val="17"/>
        </w:numPr>
        <w:contextualSpacing/>
      </w:pPr>
      <w:r w:rsidRPr="003649B2">
        <w:t xml:space="preserve">Quarterly review of inspection </w:t>
      </w:r>
      <w:r w:rsidR="00BD4DC6">
        <w:t>outcomes</w:t>
      </w:r>
      <w:r w:rsidRPr="003649B2">
        <w:t xml:space="preserve"> circulated to all inspectors</w:t>
      </w:r>
      <w:r w:rsidR="00BD4DC6">
        <w:t xml:space="preserve"> and published on the website</w:t>
      </w:r>
      <w:r w:rsidRPr="003649B2">
        <w:t>.</w:t>
      </w:r>
    </w:p>
    <w:p w14:paraId="753D2A6F" w14:textId="77777777" w:rsidR="003649B2" w:rsidRPr="003649B2" w:rsidRDefault="003649B2" w:rsidP="00122B75">
      <w:pPr>
        <w:numPr>
          <w:ilvl w:val="0"/>
          <w:numId w:val="17"/>
        </w:numPr>
        <w:contextualSpacing/>
      </w:pPr>
      <w:r w:rsidRPr="003649B2">
        <w:t>Annual review of inspection findings, emerging trends, significant issues, compl</w:t>
      </w:r>
      <w:r w:rsidRPr="003649B2">
        <w:rPr>
          <w:color w:val="1F497D"/>
        </w:rPr>
        <w:t>i</w:t>
      </w:r>
      <w:r w:rsidRPr="003649B2">
        <w:t xml:space="preserve">ments, </w:t>
      </w:r>
      <w:proofErr w:type="gramStart"/>
      <w:r w:rsidRPr="003649B2">
        <w:t>complaints</w:t>
      </w:r>
      <w:proofErr w:type="gramEnd"/>
      <w:r w:rsidRPr="003649B2">
        <w:t xml:space="preserve"> and quality audit findings.</w:t>
      </w:r>
    </w:p>
    <w:p w14:paraId="4691E952" w14:textId="0CB28006" w:rsidR="003649B2" w:rsidRPr="003649B2" w:rsidRDefault="00F24BB2" w:rsidP="00122B75">
      <w:pPr>
        <w:numPr>
          <w:ilvl w:val="0"/>
          <w:numId w:val="17"/>
        </w:numPr>
        <w:contextualSpacing/>
      </w:pPr>
      <w:r>
        <w:t>Any</w:t>
      </w:r>
      <w:r w:rsidR="003649B2" w:rsidRPr="003649B2">
        <w:t xml:space="preserve"> self-assessment of ARPANSA’s regulatory performance in accordance with the Government Regulator Performance Framework.</w:t>
      </w:r>
      <w:r w:rsidR="002D682D">
        <w:t xml:space="preserve"> Reports are available via the website.</w:t>
      </w:r>
    </w:p>
    <w:p w14:paraId="66B0D883" w14:textId="77777777" w:rsidR="003649B2" w:rsidRPr="003649B2" w:rsidRDefault="003649B2" w:rsidP="00122B75">
      <w:pPr>
        <w:numPr>
          <w:ilvl w:val="0"/>
          <w:numId w:val="17"/>
        </w:numPr>
        <w:contextualSpacing/>
      </w:pPr>
      <w:r w:rsidRPr="003649B2">
        <w:t>Periodic review of lead inspector assignment (</w:t>
      </w:r>
      <w:r w:rsidRPr="003649B2">
        <w:rPr>
          <w:i/>
        </w:rPr>
        <w:t>see paragraph 1.4</w:t>
      </w:r>
      <w:r w:rsidRPr="003649B2">
        <w:t>)</w:t>
      </w:r>
    </w:p>
    <w:p w14:paraId="296EFEBF" w14:textId="77777777" w:rsidR="003649B2" w:rsidRPr="003649B2" w:rsidRDefault="003649B2" w:rsidP="00122B75">
      <w:pPr>
        <w:numPr>
          <w:ilvl w:val="0"/>
          <w:numId w:val="17"/>
        </w:numPr>
        <w:contextualSpacing/>
      </w:pPr>
      <w:r w:rsidRPr="003649B2">
        <w:t xml:space="preserve">Review of this manual on a two-yearly cycle as required by the IMS or sooner as necessary. </w:t>
      </w:r>
    </w:p>
    <w:p w14:paraId="222FA11B" w14:textId="77777777" w:rsidR="003649B2" w:rsidRPr="003649B2" w:rsidRDefault="003649B2" w:rsidP="003C0D65">
      <w:pPr>
        <w:spacing w:before="240"/>
      </w:pPr>
      <w:r w:rsidRPr="003649B2">
        <w:t xml:space="preserve">These reviews are used to facilitate continuous improvement in the regulatory framework and practices and to inform the Regulatory Services training program. </w:t>
      </w:r>
    </w:p>
    <w:p w14:paraId="79FB1C63" w14:textId="37414D45" w:rsidR="00C45F2D" w:rsidRDefault="003649B2" w:rsidP="00891024">
      <w:pPr>
        <w:rPr>
          <w:rFonts w:ascii="Calibri" w:eastAsia="Calibri" w:hAnsi="Calibri" w:cstheme="majorBidi"/>
          <w:snapToGrid w:val="0"/>
          <w:color w:val="4E1A74"/>
          <w:lang w:eastAsia="en-AU"/>
        </w:rPr>
      </w:pPr>
      <w:r w:rsidRPr="003649B2">
        <w:t xml:space="preserve">Any non-conformance with </w:t>
      </w:r>
      <w:r w:rsidR="00BD4DC6">
        <w:t xml:space="preserve">procedures </w:t>
      </w:r>
      <w:r w:rsidRPr="003649B2">
        <w:t xml:space="preserve">or identified improvements </w:t>
      </w:r>
      <w:r w:rsidR="00BD4DC6">
        <w:t>is</w:t>
      </w:r>
      <w:r w:rsidRPr="003649B2">
        <w:t xml:space="preserve"> managed through the corrective action program established under the agency’s </w:t>
      </w:r>
      <w:r w:rsidR="002D682D">
        <w:t>Integrated Management Systems (</w:t>
      </w:r>
      <w:r w:rsidRPr="003649B2">
        <w:t>IMS</w:t>
      </w:r>
      <w:r w:rsidR="002D682D">
        <w:t>)</w:t>
      </w:r>
      <w:r w:rsidRPr="003649B2">
        <w:t>. Information on the outcomes of such reviews is published on the ARPANSA website.</w:t>
      </w:r>
      <w:bookmarkStart w:id="25" w:name="_Inspection_procedure"/>
      <w:bookmarkStart w:id="26" w:name="_Special_circumstances"/>
      <w:bookmarkStart w:id="27" w:name="_Toc483572281"/>
      <w:bookmarkStart w:id="28" w:name="_Toc492399359"/>
      <w:bookmarkEnd w:id="25"/>
      <w:bookmarkEnd w:id="26"/>
    </w:p>
    <w:p w14:paraId="1AD5BF8E" w14:textId="76B78876" w:rsidR="00A10073" w:rsidRPr="006E059A" w:rsidRDefault="00A10073" w:rsidP="005A12FE">
      <w:pPr>
        <w:pStyle w:val="Heading2"/>
        <w:spacing w:before="240"/>
      </w:pPr>
      <w:bookmarkStart w:id="29" w:name="_Special_circumstances_1"/>
      <w:bookmarkEnd w:id="29"/>
      <w:r w:rsidRPr="006E059A">
        <w:t>Special circumstances</w:t>
      </w:r>
    </w:p>
    <w:p w14:paraId="59937F0E" w14:textId="5F3E1A78" w:rsidR="00046899" w:rsidRPr="00046899" w:rsidRDefault="00046899" w:rsidP="00046899">
      <w:pPr>
        <w:rPr>
          <w:rFonts w:eastAsia="Calibri"/>
        </w:rPr>
      </w:pPr>
      <w:r w:rsidRPr="00046899">
        <w:rPr>
          <w:rFonts w:eastAsia="Calibri"/>
        </w:rPr>
        <w:t xml:space="preserve">In the case </w:t>
      </w:r>
      <w:r w:rsidR="00B57349">
        <w:rPr>
          <w:rFonts w:eastAsia="Calibri"/>
        </w:rPr>
        <w:t xml:space="preserve">of </w:t>
      </w:r>
      <w:r w:rsidRPr="00046899">
        <w:rPr>
          <w:rFonts w:eastAsia="Calibri"/>
        </w:rPr>
        <w:t xml:space="preserve">disruptions affecting society or specifically </w:t>
      </w:r>
      <w:r w:rsidR="00B57349">
        <w:rPr>
          <w:rFonts w:eastAsia="Calibri"/>
        </w:rPr>
        <w:t xml:space="preserve">affecting </w:t>
      </w:r>
      <w:r w:rsidRPr="00046899">
        <w:rPr>
          <w:rFonts w:eastAsia="Calibri"/>
        </w:rPr>
        <w:t>ARPANSA’s ability to deliver in accordance with its</w:t>
      </w:r>
      <w:r w:rsidR="00B57349">
        <w:rPr>
          <w:rFonts w:eastAsia="Calibri"/>
        </w:rPr>
        <w:t xml:space="preserve"> mission</w:t>
      </w:r>
      <w:r w:rsidRPr="00046899">
        <w:rPr>
          <w:rFonts w:eastAsia="Calibri"/>
        </w:rPr>
        <w:t xml:space="preserve">, ARPANSA’s regulatory functions may be significantly hindered or interrupted.  A variety of scenarios are possible including those experienced over the 2011-2020 decade, for example the nuclear accident in Japan following the 2011 earthquake and tsunami which significantly affected ARPANSA staff for a period of several months and the COVID-19 pandemic where lockdowns, quarantine, physical </w:t>
      </w:r>
      <w:proofErr w:type="gramStart"/>
      <w:r w:rsidRPr="00046899">
        <w:rPr>
          <w:rFonts w:eastAsia="Calibri"/>
        </w:rPr>
        <w:t>distancing</w:t>
      </w:r>
      <w:proofErr w:type="gramEnd"/>
      <w:r w:rsidRPr="00046899">
        <w:rPr>
          <w:rFonts w:eastAsia="Calibri"/>
        </w:rPr>
        <w:t xml:space="preserve"> and travel restrictions impeded agency activities.</w:t>
      </w:r>
    </w:p>
    <w:p w14:paraId="0A7E2836" w14:textId="17C1D5A0" w:rsidR="00046899" w:rsidRPr="00046899" w:rsidRDefault="00046899" w:rsidP="00046899">
      <w:pPr>
        <w:rPr>
          <w:rFonts w:eastAsia="Calibri"/>
        </w:rPr>
      </w:pPr>
      <w:r w:rsidRPr="00046899">
        <w:rPr>
          <w:rFonts w:eastAsia="Calibri"/>
        </w:rPr>
        <w:t xml:space="preserve">Under such circumstances RSB will be guided by the Business Continuity Plan and the decisions of the CEO and the Business Continuity Group and will consider alternative arrangements to maintain effective regulatory activities. </w:t>
      </w:r>
    </w:p>
    <w:p w14:paraId="24D95737" w14:textId="27E44133" w:rsidR="00046899" w:rsidRPr="00046899" w:rsidRDefault="00046899" w:rsidP="00046899">
      <w:pPr>
        <w:rPr>
          <w:rFonts w:eastAsia="Calibri"/>
        </w:rPr>
      </w:pPr>
      <w:r w:rsidRPr="00046899">
        <w:rPr>
          <w:rFonts w:eastAsia="Calibri"/>
        </w:rPr>
        <w:t xml:space="preserve">In the specific case of the pandemic, alternative arrangements </w:t>
      </w:r>
      <w:r w:rsidR="00BA1386">
        <w:rPr>
          <w:rFonts w:eastAsia="Calibri"/>
        </w:rPr>
        <w:t xml:space="preserve">may </w:t>
      </w:r>
      <w:r w:rsidRPr="00046899">
        <w:rPr>
          <w:rFonts w:eastAsia="Calibri"/>
        </w:rPr>
        <w:t xml:space="preserve">include: </w:t>
      </w:r>
    </w:p>
    <w:p w14:paraId="40F3AA47" w14:textId="77777777" w:rsidR="00046899" w:rsidRPr="00046899" w:rsidRDefault="00046899" w:rsidP="00122B75">
      <w:pPr>
        <w:numPr>
          <w:ilvl w:val="0"/>
          <w:numId w:val="45"/>
        </w:numPr>
        <w:contextualSpacing/>
        <w:rPr>
          <w:rFonts w:eastAsia="Calibri"/>
        </w:rPr>
      </w:pPr>
      <w:r w:rsidRPr="00046899">
        <w:rPr>
          <w:rFonts w:eastAsia="Calibri"/>
        </w:rPr>
        <w:t>Limiting physical visits to facilities and sources with medium-high radiological risks including reactive inspections or investigations in response to safety and security events</w:t>
      </w:r>
    </w:p>
    <w:p w14:paraId="5ED842B4" w14:textId="77777777" w:rsidR="00046899" w:rsidRPr="00046899" w:rsidRDefault="00046899" w:rsidP="00122B75">
      <w:pPr>
        <w:numPr>
          <w:ilvl w:val="0"/>
          <w:numId w:val="45"/>
        </w:numPr>
        <w:spacing w:before="240"/>
        <w:ind w:left="714" w:hanging="357"/>
        <w:rPr>
          <w:rFonts w:eastAsia="Calibri"/>
        </w:rPr>
      </w:pPr>
      <w:r w:rsidRPr="00046899">
        <w:rPr>
          <w:rFonts w:eastAsia="Calibri"/>
        </w:rPr>
        <w:t xml:space="preserve">Carrying out virtual inspections including the use of video facilities for interviews, photographs and videos taken by the licence holder and collecting information electronically for review </w:t>
      </w:r>
    </w:p>
    <w:p w14:paraId="2983D639" w14:textId="77777777" w:rsidR="00046899" w:rsidRPr="00046899" w:rsidRDefault="00046899" w:rsidP="00122B75">
      <w:pPr>
        <w:numPr>
          <w:ilvl w:val="0"/>
          <w:numId w:val="45"/>
        </w:numPr>
        <w:ind w:left="714" w:hanging="357"/>
        <w:rPr>
          <w:rFonts w:eastAsia="Calibri"/>
        </w:rPr>
      </w:pPr>
      <w:r w:rsidRPr="00046899">
        <w:rPr>
          <w:rFonts w:eastAsia="Calibri"/>
        </w:rPr>
        <w:t>Introducing additional reporting requirements such as self-assessment of compliance with regulations and licence conditions and conducting a desktop review of information submitted by licence holders</w:t>
      </w:r>
    </w:p>
    <w:p w14:paraId="41BE1296" w14:textId="77777777" w:rsidR="00046899" w:rsidRPr="00046899" w:rsidRDefault="00046899" w:rsidP="00122B75">
      <w:pPr>
        <w:numPr>
          <w:ilvl w:val="0"/>
          <w:numId w:val="45"/>
        </w:numPr>
        <w:contextualSpacing/>
        <w:rPr>
          <w:rFonts w:eastAsia="Calibri"/>
        </w:rPr>
      </w:pPr>
      <w:r w:rsidRPr="00046899">
        <w:rPr>
          <w:rFonts w:eastAsia="Calibri"/>
        </w:rPr>
        <w:t xml:space="preserve">Maintain regular communication with licence holders during any lockdown period to understand any changes in the risk profile and offer guidance where required.  </w:t>
      </w:r>
    </w:p>
    <w:p w14:paraId="33DBE214" w14:textId="7F05D5CA" w:rsidR="00046899" w:rsidRPr="00046899" w:rsidRDefault="00046899" w:rsidP="00046899">
      <w:pPr>
        <w:spacing w:before="240"/>
        <w:rPr>
          <w:rFonts w:eastAsia="Calibri"/>
        </w:rPr>
      </w:pPr>
      <w:r w:rsidRPr="00046899">
        <w:rPr>
          <w:rFonts w:eastAsia="Calibri"/>
        </w:rPr>
        <w:t xml:space="preserve">It is expected that licence holders will consider </w:t>
      </w:r>
      <w:r w:rsidR="00BA1386">
        <w:rPr>
          <w:rFonts w:eastAsia="Calibri"/>
        </w:rPr>
        <w:t xml:space="preserve">operational </w:t>
      </w:r>
      <w:r w:rsidRPr="00046899">
        <w:rPr>
          <w:rFonts w:eastAsia="Calibri"/>
        </w:rPr>
        <w:t xml:space="preserve">disruptions in their risk assessments and develop appropriate management plans.  </w:t>
      </w:r>
    </w:p>
    <w:p w14:paraId="6F20CAC3" w14:textId="77777777" w:rsidR="00046899" w:rsidRDefault="00046899" w:rsidP="00E700D0">
      <w:pPr>
        <w:spacing w:after="0"/>
      </w:pPr>
    </w:p>
    <w:tbl>
      <w:tblPr>
        <w:tblW w:w="0" w:type="auto"/>
        <w:shd w:val="clear" w:color="auto" w:fill="F0E3F9"/>
        <w:tblLook w:val="04A0" w:firstRow="1" w:lastRow="0" w:firstColumn="1" w:lastColumn="0" w:noHBand="0" w:noVBand="1"/>
      </w:tblPr>
      <w:tblGrid>
        <w:gridCol w:w="9354"/>
      </w:tblGrid>
      <w:tr w:rsidR="004C0AAC" w:rsidRPr="004C0AAC" w14:paraId="62AAFEE2" w14:textId="77777777" w:rsidTr="004C0AAC">
        <w:tc>
          <w:tcPr>
            <w:tcW w:w="9354" w:type="dxa"/>
            <w:shd w:val="clear" w:color="auto" w:fill="F0E3F9"/>
          </w:tcPr>
          <w:p w14:paraId="210A1770" w14:textId="1E6A279D" w:rsidR="004C0AAC" w:rsidRPr="00641BED" w:rsidRDefault="004C0AAC" w:rsidP="004C0AAC">
            <w:pPr>
              <w:rPr>
                <w:color w:val="4E1A74" w:themeColor="accent2"/>
                <w:sz w:val="18"/>
                <w:szCs w:val="18"/>
              </w:rPr>
            </w:pPr>
            <w:r w:rsidRPr="00641BED">
              <w:rPr>
                <w:color w:val="4E1A74" w:themeColor="accent2"/>
                <w:sz w:val="18"/>
                <w:szCs w:val="18"/>
              </w:rPr>
              <w:t xml:space="preserve">International </w:t>
            </w:r>
            <w:r w:rsidR="00127BB5">
              <w:rPr>
                <w:color w:val="4E1A74" w:themeColor="accent2"/>
                <w:sz w:val="18"/>
                <w:szCs w:val="18"/>
              </w:rPr>
              <w:t xml:space="preserve">best practice </w:t>
            </w:r>
            <w:r w:rsidRPr="00641BED">
              <w:rPr>
                <w:color w:val="4E1A74" w:themeColor="accent2"/>
                <w:sz w:val="18"/>
                <w:szCs w:val="18"/>
              </w:rPr>
              <w:t>rel</w:t>
            </w:r>
            <w:r w:rsidR="005D4BD4">
              <w:rPr>
                <w:color w:val="4E1A74" w:themeColor="accent2"/>
                <w:sz w:val="18"/>
                <w:szCs w:val="18"/>
              </w:rPr>
              <w:t xml:space="preserve">evant </w:t>
            </w:r>
            <w:r w:rsidRPr="00641BED">
              <w:rPr>
                <w:color w:val="4E1A74" w:themeColor="accent2"/>
                <w:sz w:val="18"/>
                <w:szCs w:val="18"/>
              </w:rPr>
              <w:t xml:space="preserve">to inspection:  </w:t>
            </w:r>
          </w:p>
          <w:p w14:paraId="69A7DBEA" w14:textId="18022256" w:rsidR="004C0AAC" w:rsidRPr="00E72AF3" w:rsidRDefault="00000000" w:rsidP="003E65EA">
            <w:pPr>
              <w:numPr>
                <w:ilvl w:val="0"/>
                <w:numId w:val="9"/>
              </w:numPr>
              <w:spacing w:before="0" w:after="0"/>
              <w:contextualSpacing/>
              <w:rPr>
                <w:rFonts w:eastAsia="Calibri"/>
                <w:i/>
                <w:snapToGrid w:val="0"/>
                <w:color w:val="4E1A74" w:themeColor="accent2"/>
                <w:sz w:val="18"/>
                <w:szCs w:val="18"/>
              </w:rPr>
            </w:pPr>
            <w:hyperlink r:id="rId23" w:history="1">
              <w:r w:rsidR="003C4F2E" w:rsidRPr="00E72AF3">
                <w:rPr>
                  <w:rStyle w:val="Hyperlink"/>
                  <w:i/>
                  <w:sz w:val="18"/>
                  <w:szCs w:val="18"/>
                </w:rPr>
                <w:t xml:space="preserve">IAEA </w:t>
              </w:r>
              <w:r w:rsidR="004C0AAC" w:rsidRPr="00E72AF3">
                <w:rPr>
                  <w:rStyle w:val="Hyperlink"/>
                  <w:rFonts w:eastAsia="Calibri"/>
                  <w:i/>
                  <w:snapToGrid w:val="0"/>
                  <w:sz w:val="18"/>
                  <w:szCs w:val="18"/>
                </w:rPr>
                <w:t>Organization, Management and Staffing of the Regulatory Body for Safety</w:t>
              </w:r>
              <w:r w:rsidR="003C4F2E" w:rsidRPr="00E72AF3">
                <w:rPr>
                  <w:rStyle w:val="Hyperlink"/>
                  <w:rFonts w:eastAsia="Calibri"/>
                  <w:i/>
                  <w:snapToGrid w:val="0"/>
                  <w:sz w:val="18"/>
                  <w:szCs w:val="18"/>
                </w:rPr>
                <w:t>,</w:t>
              </w:r>
              <w:r w:rsidR="004C0AAC" w:rsidRPr="00E72AF3">
                <w:rPr>
                  <w:rStyle w:val="Hyperlink"/>
                  <w:rFonts w:eastAsia="Calibri"/>
                  <w:i/>
                  <w:snapToGrid w:val="0"/>
                  <w:sz w:val="18"/>
                  <w:szCs w:val="18"/>
                </w:rPr>
                <w:t xml:space="preserve"> </w:t>
              </w:r>
              <w:r w:rsidR="003C4F2E" w:rsidRPr="00E72AF3">
                <w:rPr>
                  <w:rStyle w:val="Hyperlink"/>
                  <w:rFonts w:eastAsia="Calibri"/>
                  <w:i/>
                  <w:snapToGrid w:val="0"/>
                  <w:sz w:val="18"/>
                  <w:szCs w:val="18"/>
                </w:rPr>
                <w:t xml:space="preserve">GSG-12 </w:t>
              </w:r>
              <w:r w:rsidR="004C0AAC" w:rsidRPr="00E72AF3">
                <w:rPr>
                  <w:rStyle w:val="Hyperlink"/>
                  <w:rFonts w:eastAsia="Calibri"/>
                  <w:i/>
                  <w:snapToGrid w:val="0"/>
                  <w:sz w:val="18"/>
                  <w:szCs w:val="18"/>
                </w:rPr>
                <w:t>(2018)</w:t>
              </w:r>
            </w:hyperlink>
            <w:r w:rsidR="003C4F2E" w:rsidRPr="00E72AF3">
              <w:rPr>
                <w:rFonts w:eastAsia="Calibri"/>
                <w:i/>
                <w:snapToGrid w:val="0"/>
                <w:color w:val="4E1A74" w:themeColor="accent2"/>
                <w:sz w:val="18"/>
                <w:szCs w:val="18"/>
              </w:rPr>
              <w:t xml:space="preserve"> </w:t>
            </w:r>
          </w:p>
          <w:p w14:paraId="3721DE8B" w14:textId="0A9E3319" w:rsidR="00090355" w:rsidRPr="00E72AF3" w:rsidRDefault="00000000" w:rsidP="003E65EA">
            <w:pPr>
              <w:numPr>
                <w:ilvl w:val="0"/>
                <w:numId w:val="9"/>
              </w:numPr>
              <w:spacing w:before="0" w:after="0"/>
              <w:ind w:left="714" w:hanging="357"/>
              <w:contextualSpacing/>
              <w:rPr>
                <w:i/>
                <w:color w:val="4E1A74" w:themeColor="accent2"/>
                <w:sz w:val="18"/>
                <w:szCs w:val="18"/>
              </w:rPr>
            </w:pPr>
            <w:hyperlink r:id="rId24" w:history="1">
              <w:r w:rsidR="003C4F2E" w:rsidRPr="00E72AF3">
                <w:rPr>
                  <w:rStyle w:val="Hyperlink"/>
                  <w:i/>
                  <w:sz w:val="18"/>
                  <w:szCs w:val="18"/>
                </w:rPr>
                <w:t xml:space="preserve">IAEA </w:t>
              </w:r>
              <w:r w:rsidR="004C0AAC" w:rsidRPr="00E72AF3">
                <w:rPr>
                  <w:rStyle w:val="Hyperlink"/>
                  <w:i/>
                  <w:sz w:val="18"/>
                  <w:szCs w:val="18"/>
                </w:rPr>
                <w:t>Functions and Processes of the Regulatory Body for Safety</w:t>
              </w:r>
              <w:r w:rsidR="003C4F2E" w:rsidRPr="00E72AF3">
                <w:rPr>
                  <w:rStyle w:val="Hyperlink"/>
                  <w:i/>
                  <w:sz w:val="18"/>
                  <w:szCs w:val="18"/>
                </w:rPr>
                <w:t>,</w:t>
              </w:r>
              <w:r w:rsidR="004C0AAC" w:rsidRPr="00E72AF3">
                <w:rPr>
                  <w:rStyle w:val="Hyperlink"/>
                  <w:i/>
                  <w:sz w:val="18"/>
                  <w:szCs w:val="18"/>
                </w:rPr>
                <w:t xml:space="preserve"> </w:t>
              </w:r>
              <w:r w:rsidR="003C4F2E" w:rsidRPr="00E72AF3">
                <w:rPr>
                  <w:rStyle w:val="Hyperlink"/>
                  <w:i/>
                  <w:sz w:val="18"/>
                  <w:szCs w:val="18"/>
                </w:rPr>
                <w:t xml:space="preserve">GSG-13 </w:t>
              </w:r>
              <w:r w:rsidR="004C0AAC" w:rsidRPr="00E72AF3">
                <w:rPr>
                  <w:rStyle w:val="Hyperlink"/>
                  <w:i/>
                  <w:sz w:val="18"/>
                  <w:szCs w:val="18"/>
                </w:rPr>
                <w:t>(2018)</w:t>
              </w:r>
            </w:hyperlink>
            <w:r w:rsidR="00090355" w:rsidRPr="00E72AF3">
              <w:rPr>
                <w:i/>
                <w:color w:val="4E1A74" w:themeColor="accent2"/>
                <w:sz w:val="18"/>
                <w:szCs w:val="18"/>
              </w:rPr>
              <w:t xml:space="preserve"> </w:t>
            </w:r>
          </w:p>
          <w:p w14:paraId="4810D153" w14:textId="34597DE6" w:rsidR="00161638" w:rsidRPr="00E72AF3" w:rsidRDefault="00000000" w:rsidP="003E65EA">
            <w:pPr>
              <w:numPr>
                <w:ilvl w:val="0"/>
                <w:numId w:val="9"/>
              </w:numPr>
              <w:spacing w:before="0" w:after="0"/>
              <w:ind w:left="714" w:hanging="357"/>
              <w:contextualSpacing/>
              <w:rPr>
                <w:i/>
                <w:color w:val="4E1A74" w:themeColor="accent2"/>
                <w:sz w:val="18"/>
                <w:szCs w:val="18"/>
              </w:rPr>
            </w:pPr>
            <w:hyperlink r:id="rId25" w:history="1">
              <w:r w:rsidR="00161638" w:rsidRPr="00F022E5">
                <w:rPr>
                  <w:rStyle w:val="Hyperlink"/>
                  <w:sz w:val="18"/>
                  <w:szCs w:val="18"/>
                </w:rPr>
                <w:t>IAEA Management</w:t>
              </w:r>
              <w:r w:rsidR="00161638" w:rsidRPr="00F022E5">
                <w:rPr>
                  <w:rStyle w:val="Hyperlink"/>
                  <w:i/>
                  <w:sz w:val="18"/>
                  <w:szCs w:val="18"/>
                </w:rPr>
                <w:t xml:space="preserve"> and Leadership for Safety </w:t>
              </w:r>
              <w:r w:rsidR="00161638" w:rsidRPr="00E72AF3">
                <w:rPr>
                  <w:rStyle w:val="Hyperlink"/>
                  <w:i/>
                  <w:sz w:val="18"/>
                  <w:szCs w:val="18"/>
                </w:rPr>
                <w:t>GSR Part 2 (2016)</w:t>
              </w:r>
            </w:hyperlink>
          </w:p>
          <w:p w14:paraId="683FAE67" w14:textId="6953F473" w:rsidR="00E72AF3" w:rsidRPr="00450837" w:rsidRDefault="00000000" w:rsidP="003E65EA">
            <w:pPr>
              <w:numPr>
                <w:ilvl w:val="0"/>
                <w:numId w:val="9"/>
              </w:numPr>
              <w:spacing w:before="0" w:after="0"/>
              <w:ind w:left="714" w:hanging="357"/>
              <w:contextualSpacing/>
              <w:rPr>
                <w:i/>
                <w:color w:val="4E1A74" w:themeColor="accent2"/>
                <w:sz w:val="18"/>
                <w:szCs w:val="18"/>
              </w:rPr>
            </w:pPr>
            <w:hyperlink r:id="rId26" w:history="1">
              <w:r w:rsidR="00E72AF3" w:rsidRPr="00E72AF3">
                <w:rPr>
                  <w:rStyle w:val="Hyperlink"/>
                  <w:sz w:val="18"/>
                  <w:szCs w:val="18"/>
                </w:rPr>
                <w:t xml:space="preserve">IAEA </w:t>
              </w:r>
              <w:r w:rsidR="00E72AF3" w:rsidRPr="00E72AF3">
                <w:rPr>
                  <w:rStyle w:val="Hyperlink"/>
                  <w:i/>
                  <w:sz w:val="18"/>
                  <w:szCs w:val="18"/>
                </w:rPr>
                <w:t>Radiation Protection and Safety of Radiation Sources: International Basic Safety Standards GSR Part 3 (201</w:t>
              </w:r>
              <w:r w:rsidR="00E72AF3">
                <w:rPr>
                  <w:rStyle w:val="Hyperlink"/>
                  <w:i/>
                  <w:sz w:val="18"/>
                  <w:szCs w:val="18"/>
                </w:rPr>
                <w:t>4</w:t>
              </w:r>
              <w:r w:rsidR="00E72AF3" w:rsidRPr="00E72AF3">
                <w:rPr>
                  <w:rStyle w:val="Hyperlink"/>
                  <w:i/>
                  <w:sz w:val="18"/>
                  <w:szCs w:val="18"/>
                </w:rPr>
                <w:t>)</w:t>
              </w:r>
            </w:hyperlink>
          </w:p>
          <w:p w14:paraId="29A73663" w14:textId="31639CEC" w:rsidR="00127BB5" w:rsidRPr="00790292" w:rsidRDefault="00000000" w:rsidP="00500DB3">
            <w:pPr>
              <w:numPr>
                <w:ilvl w:val="0"/>
                <w:numId w:val="9"/>
              </w:numPr>
              <w:spacing w:before="0" w:after="0"/>
              <w:ind w:left="714" w:hanging="357"/>
              <w:contextualSpacing/>
              <w:rPr>
                <w:i/>
                <w:color w:val="4E1A74" w:themeColor="accent2"/>
                <w:sz w:val="18"/>
                <w:szCs w:val="18"/>
              </w:rPr>
            </w:pPr>
            <w:hyperlink r:id="rId27" w:history="1">
              <w:r w:rsidR="00450837" w:rsidRPr="005A12FE">
                <w:rPr>
                  <w:rStyle w:val="Hyperlink"/>
                  <w:sz w:val="18"/>
                  <w:szCs w:val="18"/>
                </w:rPr>
                <w:t>IAEA</w:t>
              </w:r>
              <w:r w:rsidR="00450837" w:rsidRPr="005A12FE">
                <w:rPr>
                  <w:rStyle w:val="Hyperlink"/>
                  <w:i/>
                  <w:sz w:val="18"/>
                  <w:szCs w:val="18"/>
                </w:rPr>
                <w:t xml:space="preserve"> Notification, Authorization, Inspection and Enforcement for the Safety and Security of Radiation Sources</w:t>
              </w:r>
              <w:r w:rsidR="00AA5C11" w:rsidRPr="00500DB3">
                <w:rPr>
                  <w:rStyle w:val="Hyperlink"/>
                  <w:i/>
                  <w:sz w:val="18"/>
                  <w:szCs w:val="18"/>
                </w:rPr>
                <w:t>, TRS</w:t>
              </w:r>
              <w:r w:rsidR="00500DB3">
                <w:rPr>
                  <w:rStyle w:val="Hyperlink"/>
                  <w:i/>
                  <w:sz w:val="18"/>
                  <w:szCs w:val="18"/>
                </w:rPr>
                <w:t xml:space="preserve"> </w:t>
              </w:r>
              <w:r w:rsidR="00500DB3" w:rsidRPr="00500DB3">
                <w:rPr>
                  <w:rStyle w:val="Hyperlink"/>
                  <w:i/>
                  <w:sz w:val="18"/>
                  <w:szCs w:val="18"/>
                </w:rPr>
                <w:t>100</w:t>
              </w:r>
              <w:r w:rsidR="00500DB3">
                <w:rPr>
                  <w:rStyle w:val="Hyperlink"/>
                  <w:i/>
                  <w:sz w:val="18"/>
                  <w:szCs w:val="18"/>
                </w:rPr>
                <w:t>2</w:t>
              </w:r>
              <w:r w:rsidR="00127BB5">
                <w:rPr>
                  <w:rStyle w:val="Hyperlink"/>
                  <w:i/>
                </w:rPr>
                <w:t xml:space="preserve">, </w:t>
              </w:r>
              <w:r w:rsidR="00127BB5" w:rsidRPr="005A12FE">
                <w:rPr>
                  <w:rStyle w:val="Hyperlink"/>
                  <w:i/>
                  <w:sz w:val="18"/>
                  <w:szCs w:val="18"/>
                </w:rPr>
                <w:t>2022</w:t>
              </w:r>
            </w:hyperlink>
          </w:p>
          <w:p w14:paraId="4E065B63" w14:textId="3359512E" w:rsidR="004C0AAC" w:rsidRPr="00500DB3" w:rsidRDefault="00000000" w:rsidP="00500DB3">
            <w:pPr>
              <w:numPr>
                <w:ilvl w:val="0"/>
                <w:numId w:val="9"/>
              </w:numPr>
              <w:spacing w:before="0" w:after="0"/>
              <w:ind w:left="714" w:hanging="357"/>
              <w:contextualSpacing/>
              <w:rPr>
                <w:color w:val="4E1A74" w:themeColor="accent2"/>
                <w:sz w:val="18"/>
                <w:szCs w:val="18"/>
              </w:rPr>
            </w:pPr>
            <w:hyperlink r:id="rId28" w:history="1">
              <w:r w:rsidR="003C4F2E" w:rsidRPr="00500DB3">
                <w:rPr>
                  <w:rStyle w:val="Hyperlink"/>
                  <w:sz w:val="18"/>
                  <w:szCs w:val="18"/>
                </w:rPr>
                <w:t xml:space="preserve">IAEA </w:t>
              </w:r>
              <w:r w:rsidR="00090355" w:rsidRPr="00500DB3">
                <w:rPr>
                  <w:rStyle w:val="Hyperlink"/>
                  <w:i/>
                  <w:sz w:val="18"/>
                  <w:szCs w:val="18"/>
                </w:rPr>
                <w:t>Inspection of Radiation Sources and Regulatory Enforcement</w:t>
              </w:r>
              <w:r w:rsidR="00090355" w:rsidRPr="00500DB3">
                <w:rPr>
                  <w:rStyle w:val="Hyperlink"/>
                  <w:sz w:val="18"/>
                  <w:szCs w:val="18"/>
                </w:rPr>
                <w:t xml:space="preserve"> </w:t>
              </w:r>
              <w:r w:rsidR="003C4F2E" w:rsidRPr="00500DB3">
                <w:rPr>
                  <w:rStyle w:val="Hyperlink"/>
                  <w:i/>
                  <w:sz w:val="18"/>
                  <w:szCs w:val="18"/>
                </w:rPr>
                <w:t xml:space="preserve">TECDOC-1526 </w:t>
              </w:r>
              <w:r w:rsidR="00090355" w:rsidRPr="00500DB3">
                <w:rPr>
                  <w:rStyle w:val="Hyperlink"/>
                  <w:i/>
                  <w:sz w:val="18"/>
                  <w:szCs w:val="18"/>
                </w:rPr>
                <w:t>(2007)</w:t>
              </w:r>
            </w:hyperlink>
            <w:r w:rsidR="00090355" w:rsidRPr="00500DB3">
              <w:rPr>
                <w:color w:val="4E1A74" w:themeColor="accent2"/>
                <w:sz w:val="18"/>
                <w:szCs w:val="18"/>
              </w:rPr>
              <w:t xml:space="preserve"> </w:t>
            </w:r>
            <w:r w:rsidR="00CF136E" w:rsidRPr="00500DB3">
              <w:rPr>
                <w:color w:val="4E1A74" w:themeColor="accent2"/>
                <w:sz w:val="18"/>
                <w:szCs w:val="18"/>
              </w:rPr>
              <w:t>[</w:t>
            </w:r>
            <w:r w:rsidR="00090355" w:rsidRPr="00500DB3">
              <w:rPr>
                <w:color w:val="4E1A74" w:themeColor="accent2"/>
                <w:sz w:val="18"/>
                <w:szCs w:val="18"/>
              </w:rPr>
              <w:t>although superseded contains useful information and sample checklists for a variety of sources and facilities</w:t>
            </w:r>
            <w:r w:rsidR="00CF136E" w:rsidRPr="00500DB3">
              <w:rPr>
                <w:color w:val="4E1A74" w:themeColor="accent2"/>
                <w:sz w:val="18"/>
                <w:szCs w:val="18"/>
              </w:rPr>
              <w:t>]</w:t>
            </w:r>
          </w:p>
          <w:p w14:paraId="30324712" w14:textId="33157FF8" w:rsidR="003C4F2E" w:rsidRPr="00641BED" w:rsidRDefault="00000000" w:rsidP="003E65EA">
            <w:pPr>
              <w:numPr>
                <w:ilvl w:val="0"/>
                <w:numId w:val="9"/>
              </w:numPr>
              <w:spacing w:before="0" w:after="0"/>
              <w:ind w:left="714" w:hanging="357"/>
              <w:contextualSpacing/>
              <w:rPr>
                <w:color w:val="4E1A74" w:themeColor="accent2"/>
                <w:sz w:val="18"/>
                <w:szCs w:val="18"/>
              </w:rPr>
            </w:pPr>
            <w:hyperlink r:id="rId29" w:history="1">
              <w:r w:rsidR="003C4F2E" w:rsidRPr="00F022E5">
                <w:rPr>
                  <w:rStyle w:val="Hyperlink"/>
                  <w:sz w:val="18"/>
                  <w:szCs w:val="18"/>
                </w:rPr>
                <w:t xml:space="preserve">Office of Nuclear Regulation </w:t>
              </w:r>
              <w:r w:rsidR="003C4F2E" w:rsidRPr="00F022E5">
                <w:rPr>
                  <w:rStyle w:val="Hyperlink"/>
                  <w:i/>
                  <w:sz w:val="18"/>
                  <w:szCs w:val="18"/>
                </w:rPr>
                <w:t>Guidance on Mechanics of Assessment</w:t>
              </w:r>
              <w:r w:rsidR="003C4F2E" w:rsidRPr="00F022E5">
                <w:rPr>
                  <w:rStyle w:val="Hyperlink"/>
                  <w:sz w:val="18"/>
                  <w:szCs w:val="18"/>
                </w:rPr>
                <w:t>, 2020</w:t>
              </w:r>
            </w:hyperlink>
          </w:p>
          <w:p w14:paraId="67AC93B2" w14:textId="3C7E22B5" w:rsidR="00581083" w:rsidRPr="004C0AAC" w:rsidRDefault="00581083" w:rsidP="00581083">
            <w:pPr>
              <w:spacing w:before="0" w:after="0"/>
              <w:contextualSpacing/>
              <w:rPr>
                <w:rFonts w:ascii="Calibri" w:eastAsia="Calibri" w:hAnsi="Calibri" w:cs="Times New Roman"/>
                <w:snapToGrid w:val="0"/>
              </w:rPr>
            </w:pPr>
          </w:p>
        </w:tc>
      </w:tr>
    </w:tbl>
    <w:p w14:paraId="60135B63" w14:textId="77777777" w:rsidR="004C0AAC" w:rsidRDefault="004C0AAC">
      <w:pPr>
        <w:sectPr w:rsidR="004C0AAC" w:rsidSect="000F39BA">
          <w:footerReference w:type="even" r:id="rId30"/>
          <w:footerReference w:type="default" r:id="rId31"/>
          <w:footerReference w:type="first" r:id="rId32"/>
          <w:pgSz w:w="11906" w:h="16838"/>
          <w:pgMar w:top="964" w:right="1134" w:bottom="964" w:left="1418" w:header="567" w:footer="454" w:gutter="0"/>
          <w:cols w:space="708"/>
          <w:titlePg/>
          <w:docGrid w:linePitch="360"/>
        </w:sectPr>
      </w:pPr>
    </w:p>
    <w:p w14:paraId="432E136F" w14:textId="10EA7D1E" w:rsidR="008104A6" w:rsidRPr="009A4B8D" w:rsidRDefault="009A4B8D" w:rsidP="00641BED">
      <w:pPr>
        <w:pStyle w:val="Heading1"/>
        <w:spacing w:before="360"/>
      </w:pPr>
      <w:r>
        <w:lastRenderedPageBreak/>
        <w:tab/>
      </w:r>
      <w:r w:rsidR="00AD384F" w:rsidRPr="009A4B8D">
        <w:t>I</w:t>
      </w:r>
      <w:r w:rsidR="00FA6233" w:rsidRPr="009A4B8D">
        <w:t>nspection proce</w:t>
      </w:r>
      <w:bookmarkEnd w:id="27"/>
      <w:bookmarkEnd w:id="28"/>
      <w:r w:rsidR="000D7046">
        <w:t>ss</w:t>
      </w:r>
    </w:p>
    <w:p w14:paraId="6BFE0114" w14:textId="631027FC" w:rsidR="006644CB" w:rsidRPr="00E054BF" w:rsidRDefault="006644CB" w:rsidP="00E054BF">
      <w:pPr>
        <w:spacing w:after="0"/>
        <w:rPr>
          <w:sz w:val="18"/>
          <w:szCs w:val="18"/>
        </w:rPr>
      </w:pPr>
      <w:bookmarkStart w:id="31" w:name="_Toc483572282"/>
      <w:r w:rsidRPr="00E054BF">
        <w:rPr>
          <w:sz w:val="18"/>
          <w:szCs w:val="18"/>
        </w:rPr>
        <w:t xml:space="preserve">NOTE: </w:t>
      </w:r>
    </w:p>
    <w:p w14:paraId="0A7C4A90" w14:textId="77777777" w:rsidR="006644CB" w:rsidRPr="00E054BF" w:rsidRDefault="006644CB" w:rsidP="00122B75">
      <w:pPr>
        <w:pStyle w:val="ListParagraph"/>
        <w:numPr>
          <w:ilvl w:val="0"/>
          <w:numId w:val="18"/>
        </w:numPr>
        <w:spacing w:before="0" w:after="0"/>
        <w:rPr>
          <w:sz w:val="18"/>
          <w:szCs w:val="18"/>
        </w:rPr>
      </w:pPr>
      <w:r w:rsidRPr="00E054BF">
        <w:rPr>
          <w:sz w:val="18"/>
          <w:szCs w:val="18"/>
        </w:rPr>
        <w:t xml:space="preserve">The lead inspector is responsible for implementing this procedure unless otherwise indicated  </w:t>
      </w:r>
    </w:p>
    <w:p w14:paraId="4227DFBB" w14:textId="3CA02FD8" w:rsidR="000D7046" w:rsidRDefault="00E84D8D" w:rsidP="00122B75">
      <w:pPr>
        <w:pStyle w:val="ListParagraph"/>
        <w:numPr>
          <w:ilvl w:val="0"/>
          <w:numId w:val="18"/>
        </w:numPr>
        <w:rPr>
          <w:sz w:val="18"/>
          <w:szCs w:val="18"/>
        </w:rPr>
      </w:pPr>
      <w:r>
        <w:rPr>
          <w:sz w:val="18"/>
          <w:szCs w:val="18"/>
        </w:rPr>
        <w:t>Some</w:t>
      </w:r>
      <w:r w:rsidR="006644CB" w:rsidRPr="00E054BF">
        <w:rPr>
          <w:sz w:val="18"/>
          <w:szCs w:val="18"/>
        </w:rPr>
        <w:t xml:space="preserve"> parts of this procedure </w:t>
      </w:r>
      <w:r>
        <w:rPr>
          <w:sz w:val="18"/>
          <w:szCs w:val="18"/>
        </w:rPr>
        <w:t xml:space="preserve">may not be applicable </w:t>
      </w:r>
      <w:r w:rsidR="006644CB" w:rsidRPr="00E054BF">
        <w:rPr>
          <w:sz w:val="18"/>
          <w:szCs w:val="18"/>
        </w:rPr>
        <w:t xml:space="preserve">to </w:t>
      </w:r>
      <w:r w:rsidR="00236862" w:rsidRPr="00E054BF">
        <w:rPr>
          <w:sz w:val="18"/>
          <w:szCs w:val="18"/>
        </w:rPr>
        <w:t>e-inspection</w:t>
      </w:r>
      <w:r w:rsidR="006644CB" w:rsidRPr="00E054BF">
        <w:rPr>
          <w:sz w:val="18"/>
          <w:szCs w:val="18"/>
        </w:rPr>
        <w:t xml:space="preserve">s </w:t>
      </w:r>
      <w:bookmarkStart w:id="32" w:name="_Toc492399360"/>
    </w:p>
    <w:p w14:paraId="42639C9C" w14:textId="77777777" w:rsidR="000D7046" w:rsidRDefault="000D7046" w:rsidP="000D7046">
      <w:pPr>
        <w:pStyle w:val="ListParagraph"/>
        <w:rPr>
          <w:sz w:val="18"/>
          <w:szCs w:val="18"/>
        </w:rPr>
      </w:pPr>
    </w:p>
    <w:p w14:paraId="59AC58D3" w14:textId="33961E1C" w:rsidR="00EF4ED7" w:rsidRPr="00ED7A54" w:rsidRDefault="00EF4ED7" w:rsidP="00122B75">
      <w:pPr>
        <w:pStyle w:val="Heading1"/>
        <w:numPr>
          <w:ilvl w:val="0"/>
          <w:numId w:val="46"/>
        </w:numPr>
        <w:tabs>
          <w:tab w:val="clear" w:pos="851"/>
        </w:tabs>
        <w:spacing w:before="240"/>
        <w:ind w:left="426" w:hanging="426"/>
        <w:rPr>
          <w:rStyle w:val="Normalbold"/>
          <w:color w:val="154C15" w:themeColor="accent1" w:themeShade="80"/>
          <w:sz w:val="36"/>
          <w:szCs w:val="36"/>
        </w:rPr>
      </w:pPr>
      <w:r w:rsidRPr="00ED7A54">
        <w:rPr>
          <w:rStyle w:val="Normalbold"/>
          <w:color w:val="154C15" w:themeColor="accent1" w:themeShade="80"/>
          <w:sz w:val="36"/>
          <w:szCs w:val="36"/>
        </w:rPr>
        <w:t>P</w:t>
      </w:r>
      <w:r w:rsidR="00AA3C2E" w:rsidRPr="00ED7A54">
        <w:rPr>
          <w:rStyle w:val="Normalbold"/>
          <w:color w:val="154C15" w:themeColor="accent1" w:themeShade="80"/>
          <w:sz w:val="36"/>
          <w:szCs w:val="36"/>
        </w:rPr>
        <w:t>lanning &amp; p</w:t>
      </w:r>
      <w:r w:rsidRPr="00ED7A54">
        <w:rPr>
          <w:rStyle w:val="Normalbold"/>
          <w:color w:val="154C15" w:themeColor="accent1" w:themeShade="80"/>
          <w:sz w:val="36"/>
          <w:szCs w:val="36"/>
        </w:rPr>
        <w:t>reparation</w:t>
      </w:r>
      <w:r w:rsidR="003125AB" w:rsidRPr="00ED7A54">
        <w:rPr>
          <w:rStyle w:val="Normalbold"/>
          <w:color w:val="154C15" w:themeColor="accent1" w:themeShade="80"/>
          <w:sz w:val="36"/>
          <w:szCs w:val="36"/>
        </w:rPr>
        <w:t xml:space="preserve"> </w:t>
      </w:r>
      <w:bookmarkEnd w:id="31"/>
      <w:bookmarkEnd w:id="32"/>
    </w:p>
    <w:p w14:paraId="43D8713E" w14:textId="615F0AEE" w:rsidR="008104A6" w:rsidRDefault="00493D25" w:rsidP="00122B75">
      <w:pPr>
        <w:pStyle w:val="Heading2"/>
        <w:numPr>
          <w:ilvl w:val="1"/>
          <w:numId w:val="53"/>
        </w:numPr>
        <w:tabs>
          <w:tab w:val="clear" w:pos="851"/>
        </w:tabs>
        <w:ind w:left="1276" w:hanging="567"/>
      </w:pPr>
      <w:bookmarkStart w:id="33" w:name="_Toc492399361"/>
      <w:r>
        <w:t>P</w:t>
      </w:r>
      <w:r w:rsidR="008104A6">
        <w:t>urpose</w:t>
      </w:r>
      <w:r>
        <w:t xml:space="preserve"> &amp; </w:t>
      </w:r>
      <w:r w:rsidR="00125C83">
        <w:t>s</w:t>
      </w:r>
      <w:r>
        <w:t>cope</w:t>
      </w:r>
      <w:bookmarkEnd w:id="33"/>
    </w:p>
    <w:p w14:paraId="617D2226" w14:textId="7C14AC05" w:rsidR="00E057E3" w:rsidRPr="00C25811" w:rsidRDefault="008E44D8" w:rsidP="00BC31FD">
      <w:pPr>
        <w:ind w:left="-142"/>
        <w:rPr>
          <w:rStyle w:val="Normalbold"/>
          <w:color w:val="4E1A74" w:themeColor="accent2"/>
        </w:rPr>
      </w:pPr>
      <w:r w:rsidRPr="00C25811">
        <w:rPr>
          <w:rStyle w:val="Normalbold"/>
        </w:rPr>
        <w:t>T</w:t>
      </w:r>
      <w:r w:rsidR="00E26230" w:rsidRPr="00C25811">
        <w:rPr>
          <w:rStyle w:val="Normalbold"/>
        </w:rPr>
        <w:t xml:space="preserve">he purpose </w:t>
      </w:r>
      <w:r w:rsidR="00493D25" w:rsidRPr="00C25811">
        <w:rPr>
          <w:rStyle w:val="Normalbold"/>
        </w:rPr>
        <w:t xml:space="preserve">and scope </w:t>
      </w:r>
      <w:r w:rsidR="00E26230" w:rsidRPr="00C25811">
        <w:rPr>
          <w:rStyle w:val="Normalbold"/>
        </w:rPr>
        <w:t xml:space="preserve">of </w:t>
      </w:r>
      <w:r w:rsidRPr="00C25811">
        <w:rPr>
          <w:rStyle w:val="Normalbold"/>
        </w:rPr>
        <w:t xml:space="preserve">every </w:t>
      </w:r>
      <w:r w:rsidR="00E26230" w:rsidRPr="00C25811">
        <w:rPr>
          <w:rStyle w:val="Normalbold"/>
        </w:rPr>
        <w:t>inspection</w:t>
      </w:r>
      <w:r w:rsidRPr="00C25811">
        <w:rPr>
          <w:rStyle w:val="Normalbold"/>
        </w:rPr>
        <w:t xml:space="preserve"> must be defined</w:t>
      </w:r>
      <w:r w:rsidR="00C53403" w:rsidRPr="00C25811">
        <w:rPr>
          <w:rStyle w:val="Normalbold"/>
        </w:rPr>
        <w:t xml:space="preserve">. For </w:t>
      </w:r>
      <w:r w:rsidR="009829A3" w:rsidRPr="00C25811">
        <w:rPr>
          <w:rStyle w:val="Normalbold"/>
        </w:rPr>
        <w:t xml:space="preserve">scheduled </w:t>
      </w:r>
      <w:r w:rsidR="00C53403" w:rsidRPr="00C25811">
        <w:rPr>
          <w:rStyle w:val="Normalbold"/>
        </w:rPr>
        <w:t xml:space="preserve">inspections this </w:t>
      </w:r>
      <w:r w:rsidR="000C1F74" w:rsidRPr="00C25811">
        <w:rPr>
          <w:rStyle w:val="Normalbold"/>
        </w:rPr>
        <w:t>is usually focussed on</w:t>
      </w:r>
      <w:r w:rsidR="00C53403" w:rsidRPr="00C25811">
        <w:rPr>
          <w:rStyle w:val="Normalbold"/>
        </w:rPr>
        <w:t xml:space="preserve"> one or more of the </w:t>
      </w:r>
      <w:r w:rsidR="00E057E3" w:rsidRPr="00C25811">
        <w:rPr>
          <w:rStyle w:val="Normalbold"/>
        </w:rPr>
        <w:t xml:space="preserve">eight inspection </w:t>
      </w:r>
      <w:r w:rsidR="00CF2CC9">
        <w:rPr>
          <w:rStyle w:val="Normalbold"/>
        </w:rPr>
        <w:t xml:space="preserve">modules </w:t>
      </w:r>
      <w:r w:rsidR="003E1248">
        <w:rPr>
          <w:rStyle w:val="Normalbold"/>
        </w:rPr>
        <w:t xml:space="preserve">or objectives </w:t>
      </w:r>
      <w:r w:rsidR="00CF2CC9">
        <w:rPr>
          <w:rStyle w:val="Normalbold"/>
        </w:rPr>
        <w:t>set out in the POC</w:t>
      </w:r>
      <w:r w:rsidR="003E1248">
        <w:rPr>
          <w:rStyle w:val="Normalbold"/>
        </w:rPr>
        <w:t>; these</w:t>
      </w:r>
      <w:r w:rsidR="008F0003" w:rsidRPr="00C25811">
        <w:rPr>
          <w:rStyle w:val="Normalbold"/>
        </w:rPr>
        <w:t xml:space="preserve"> </w:t>
      </w:r>
      <w:r w:rsidR="003A67D8" w:rsidRPr="00C25811">
        <w:rPr>
          <w:rStyle w:val="Normalbold"/>
        </w:rPr>
        <w:t>are</w:t>
      </w:r>
      <w:r w:rsidR="008F0003" w:rsidRPr="00C25811">
        <w:rPr>
          <w:rStyle w:val="Normalbold"/>
        </w:rPr>
        <w:t xml:space="preserve"> used to aid inspection planning and conduct</w:t>
      </w:r>
      <w:r w:rsidR="007F60E6" w:rsidRPr="00C25811">
        <w:rPr>
          <w:rStyle w:val="Normalbold"/>
        </w:rPr>
        <w:t xml:space="preserve">. </w:t>
      </w:r>
    </w:p>
    <w:p w14:paraId="189408B6" w14:textId="356DB35B" w:rsidR="00C53403" w:rsidRPr="00C25811" w:rsidRDefault="009E4507" w:rsidP="00BC31FD">
      <w:pPr>
        <w:ind w:left="-142"/>
        <w:rPr>
          <w:rStyle w:val="Normalbold"/>
          <w:rFonts w:ascii="Calibri" w:hAnsi="Calibri" w:cstheme="majorBidi"/>
          <w:b/>
          <w:bCs/>
          <w:snapToGrid w:val="0"/>
          <w:color w:val="4E1A74"/>
        </w:rPr>
      </w:pPr>
      <w:r>
        <w:rPr>
          <w:rStyle w:val="Normalbold"/>
        </w:rPr>
        <w:t>Reactive</w:t>
      </w:r>
      <w:r w:rsidR="006474EF" w:rsidRPr="00C25811">
        <w:rPr>
          <w:rStyle w:val="Normalbold"/>
        </w:rPr>
        <w:t xml:space="preserve"> inspections will generally </w:t>
      </w:r>
      <w:r w:rsidR="00E26230" w:rsidRPr="00C25811">
        <w:rPr>
          <w:rStyle w:val="Normalbold"/>
        </w:rPr>
        <w:t xml:space="preserve">focus on a particular area where there is evidence </w:t>
      </w:r>
      <w:r w:rsidR="006474EF" w:rsidRPr="00C25811">
        <w:rPr>
          <w:rStyle w:val="Normalbold"/>
        </w:rPr>
        <w:t xml:space="preserve">of </w:t>
      </w:r>
      <w:r w:rsidR="00E26230" w:rsidRPr="00C25811">
        <w:rPr>
          <w:rStyle w:val="Normalbold"/>
        </w:rPr>
        <w:t>possible non</w:t>
      </w:r>
      <w:r w:rsidR="00FD1A8D" w:rsidRPr="00C25811">
        <w:rPr>
          <w:rStyle w:val="Normalbold"/>
        </w:rPr>
        <w:noBreakHyphen/>
      </w:r>
      <w:r w:rsidR="00E26230" w:rsidRPr="00C25811">
        <w:rPr>
          <w:rStyle w:val="Normalbold"/>
        </w:rPr>
        <w:t xml:space="preserve">compliance or </w:t>
      </w:r>
      <w:r w:rsidR="00310278">
        <w:rPr>
          <w:rStyle w:val="Normalbold"/>
        </w:rPr>
        <w:t xml:space="preserve">need </w:t>
      </w:r>
      <w:r w:rsidR="004973EA" w:rsidRPr="00C25811">
        <w:rPr>
          <w:rStyle w:val="Normalbold"/>
        </w:rPr>
        <w:t>for improvement</w:t>
      </w:r>
      <w:r w:rsidR="007F60E6" w:rsidRPr="00C25811">
        <w:rPr>
          <w:rStyle w:val="Normalbold"/>
        </w:rPr>
        <w:t xml:space="preserve">. </w:t>
      </w:r>
    </w:p>
    <w:p w14:paraId="021F0018" w14:textId="6A0E4274" w:rsidR="00BF0C2B" w:rsidRDefault="00993EB0" w:rsidP="00122B75">
      <w:pPr>
        <w:pStyle w:val="Heading2"/>
        <w:numPr>
          <w:ilvl w:val="1"/>
          <w:numId w:val="53"/>
        </w:numPr>
        <w:spacing w:before="240"/>
        <w:ind w:left="1276" w:hanging="567"/>
      </w:pPr>
      <w:bookmarkStart w:id="34" w:name="_Toc492399362"/>
      <w:r>
        <w:t>I</w:t>
      </w:r>
      <w:r w:rsidR="009331BA">
        <w:t>nspection file</w:t>
      </w:r>
      <w:r w:rsidR="004F49BA">
        <w:t xml:space="preserve"> (</w:t>
      </w:r>
      <w:r>
        <w:t>optional</w:t>
      </w:r>
      <w:r w:rsidR="004F49BA">
        <w:t>)</w:t>
      </w:r>
      <w:bookmarkEnd w:id="34"/>
    </w:p>
    <w:p w14:paraId="7A534140" w14:textId="550370AB" w:rsidR="004F49BA" w:rsidRPr="00C25811" w:rsidRDefault="009E3F56" w:rsidP="00BC31FD">
      <w:pPr>
        <w:ind w:left="-142"/>
        <w:rPr>
          <w:rStyle w:val="Normalbold"/>
        </w:rPr>
      </w:pPr>
      <w:r w:rsidRPr="00C25811">
        <w:rPr>
          <w:rStyle w:val="Normalbold"/>
        </w:rPr>
        <w:t>T</w:t>
      </w:r>
      <w:r w:rsidR="00BF0C2B" w:rsidRPr="00C25811">
        <w:rPr>
          <w:rStyle w:val="Normalbold"/>
        </w:rPr>
        <w:t xml:space="preserve">he lead inspector </w:t>
      </w:r>
      <w:r w:rsidR="00512BC8" w:rsidRPr="00C25811">
        <w:rPr>
          <w:rStyle w:val="Normalbold"/>
        </w:rPr>
        <w:t>may</w:t>
      </w:r>
      <w:r w:rsidR="009331BA" w:rsidRPr="00C25811">
        <w:rPr>
          <w:rStyle w:val="Normalbold"/>
        </w:rPr>
        <w:t xml:space="preserve"> </w:t>
      </w:r>
      <w:r w:rsidR="00512BC8" w:rsidRPr="00C25811">
        <w:rPr>
          <w:rStyle w:val="Normalbold"/>
        </w:rPr>
        <w:t>ask the Licence Admin Officer</w:t>
      </w:r>
      <w:r w:rsidR="00264822" w:rsidRPr="00C25811">
        <w:rPr>
          <w:rStyle w:val="Normalbold"/>
        </w:rPr>
        <w:t xml:space="preserve"> (LAO)</w:t>
      </w:r>
      <w:r w:rsidR="00512BC8" w:rsidRPr="00C25811">
        <w:rPr>
          <w:rStyle w:val="Normalbold"/>
        </w:rPr>
        <w:t xml:space="preserve"> or </w:t>
      </w:r>
      <w:hyperlink r:id="rId33" w:history="1">
        <w:r w:rsidR="00512BC8" w:rsidRPr="00310278">
          <w:rPr>
            <w:rStyle w:val="Normalbold"/>
            <w:color w:val="4E1A74" w:themeColor="accent2"/>
            <w:u w:val="single"/>
          </w:rPr>
          <w:t>$ARPANSARecords@arpansa.gov.au</w:t>
        </w:r>
      </w:hyperlink>
      <w:r w:rsidR="00512BC8" w:rsidRPr="00C25811">
        <w:rPr>
          <w:rStyle w:val="Normalbold"/>
        </w:rPr>
        <w:t xml:space="preserve"> to create </w:t>
      </w:r>
      <w:r w:rsidR="00BF0C2B" w:rsidRPr="00C25811">
        <w:rPr>
          <w:rStyle w:val="Normalbold"/>
        </w:rPr>
        <w:t>a</w:t>
      </w:r>
      <w:r w:rsidR="00512BC8" w:rsidRPr="00C25811">
        <w:rPr>
          <w:rStyle w:val="Normalbold"/>
        </w:rPr>
        <w:t>n</w:t>
      </w:r>
      <w:r w:rsidR="002D3343" w:rsidRPr="00C25811">
        <w:rPr>
          <w:rStyle w:val="Normalbold"/>
        </w:rPr>
        <w:t xml:space="preserve"> inspection file in the licence holder’s </w:t>
      </w:r>
      <w:r w:rsidR="00BA56C2">
        <w:rPr>
          <w:rStyle w:val="Normalbold"/>
        </w:rPr>
        <w:t>CM</w:t>
      </w:r>
      <w:r w:rsidR="00A96BE4" w:rsidRPr="00C25811">
        <w:rPr>
          <w:rStyle w:val="Normalbold"/>
        </w:rPr>
        <w:t xml:space="preserve"> </w:t>
      </w:r>
      <w:r w:rsidR="002D3343" w:rsidRPr="00C25811">
        <w:rPr>
          <w:rStyle w:val="Normalbold"/>
        </w:rPr>
        <w:t>container</w:t>
      </w:r>
      <w:r w:rsidR="00512BC8" w:rsidRPr="00C25811">
        <w:rPr>
          <w:rStyle w:val="Normalbold"/>
        </w:rPr>
        <w:t xml:space="preserve"> where a</w:t>
      </w:r>
      <w:r w:rsidR="009331BA" w:rsidRPr="00C25811">
        <w:rPr>
          <w:rStyle w:val="Normalbold"/>
        </w:rPr>
        <w:t xml:space="preserve">ll records relating to the inspection </w:t>
      </w:r>
      <w:r w:rsidR="000C1F74" w:rsidRPr="00C25811">
        <w:rPr>
          <w:rStyle w:val="Normalbold"/>
        </w:rPr>
        <w:t xml:space="preserve">should </w:t>
      </w:r>
      <w:r w:rsidR="009331BA" w:rsidRPr="00C25811">
        <w:rPr>
          <w:rStyle w:val="Normalbold"/>
        </w:rPr>
        <w:t xml:space="preserve">be </w:t>
      </w:r>
      <w:r w:rsidR="000C1F74" w:rsidRPr="00C25811">
        <w:rPr>
          <w:rStyle w:val="Normalbold"/>
        </w:rPr>
        <w:t xml:space="preserve">maintained </w:t>
      </w:r>
      <w:r w:rsidR="009331BA" w:rsidRPr="00C25811">
        <w:rPr>
          <w:rStyle w:val="Normalbold"/>
        </w:rPr>
        <w:t xml:space="preserve">(see Record Keeping in </w:t>
      </w:r>
      <w:r w:rsidR="00FD12C0" w:rsidRPr="00C25811">
        <w:rPr>
          <w:rStyle w:val="Normalbold"/>
        </w:rPr>
        <w:t>paragraph</w:t>
      </w:r>
      <w:r w:rsidR="009331BA" w:rsidRPr="00C25811">
        <w:rPr>
          <w:rStyle w:val="Normalbold"/>
        </w:rPr>
        <w:t xml:space="preserve"> 2.</w:t>
      </w:r>
      <w:r w:rsidR="00FD12C0" w:rsidRPr="00C25811">
        <w:rPr>
          <w:rStyle w:val="Normalbold"/>
        </w:rPr>
        <w:t>14</w:t>
      </w:r>
      <w:r w:rsidR="009331BA" w:rsidRPr="00C25811">
        <w:rPr>
          <w:rStyle w:val="Normalbold"/>
        </w:rPr>
        <w:t>)</w:t>
      </w:r>
      <w:r w:rsidR="007F60E6" w:rsidRPr="00C25811">
        <w:rPr>
          <w:rStyle w:val="Normalbold"/>
        </w:rPr>
        <w:t xml:space="preserve">. </w:t>
      </w:r>
      <w:r w:rsidR="00750787">
        <w:rPr>
          <w:rStyle w:val="Normalbold"/>
        </w:rPr>
        <w:t xml:space="preserve">Where there is not a dedicated inspection file </w:t>
      </w:r>
      <w:r w:rsidR="004F49BA" w:rsidRPr="00C25811">
        <w:rPr>
          <w:rStyle w:val="Normalbold"/>
        </w:rPr>
        <w:t xml:space="preserve">records </w:t>
      </w:r>
      <w:r w:rsidR="00750787">
        <w:rPr>
          <w:rStyle w:val="Normalbold"/>
        </w:rPr>
        <w:t xml:space="preserve">should </w:t>
      </w:r>
      <w:r w:rsidR="00023173" w:rsidRPr="00C25811">
        <w:rPr>
          <w:rStyle w:val="Normalbold"/>
        </w:rPr>
        <w:t xml:space="preserve">be </w:t>
      </w:r>
      <w:r w:rsidR="004F49BA" w:rsidRPr="00C25811">
        <w:rPr>
          <w:rStyle w:val="Normalbold"/>
        </w:rPr>
        <w:t xml:space="preserve">saved </w:t>
      </w:r>
      <w:r w:rsidR="00512BC8" w:rsidRPr="00C25811">
        <w:rPr>
          <w:rStyle w:val="Normalbold"/>
        </w:rPr>
        <w:t>i</w:t>
      </w:r>
      <w:r w:rsidR="004F49BA" w:rsidRPr="00C25811">
        <w:rPr>
          <w:rStyle w:val="Normalbold"/>
        </w:rPr>
        <w:t>n the licence file</w:t>
      </w:r>
      <w:r w:rsidR="00750787">
        <w:rPr>
          <w:rStyle w:val="Normalbold"/>
        </w:rPr>
        <w:t xml:space="preserve"> in CM</w:t>
      </w:r>
      <w:r w:rsidR="004F49BA" w:rsidRPr="00C25811">
        <w:rPr>
          <w:rStyle w:val="Normalbold"/>
        </w:rPr>
        <w:t>.</w:t>
      </w:r>
    </w:p>
    <w:p w14:paraId="66FB3EB8" w14:textId="522EF920" w:rsidR="008104A6" w:rsidRPr="00E97905" w:rsidRDefault="00E26230" w:rsidP="00122B75">
      <w:pPr>
        <w:pStyle w:val="Heading2"/>
        <w:numPr>
          <w:ilvl w:val="1"/>
          <w:numId w:val="53"/>
        </w:numPr>
        <w:spacing w:before="240"/>
        <w:ind w:left="1276" w:hanging="567"/>
      </w:pPr>
      <w:bookmarkStart w:id="35" w:name="_Toc492399363"/>
      <w:r w:rsidRPr="00E97905">
        <w:t xml:space="preserve">Inspection </w:t>
      </w:r>
      <w:r w:rsidR="00125C83">
        <w:t>t</w:t>
      </w:r>
      <w:r w:rsidR="008104A6" w:rsidRPr="00E97905">
        <w:t>eam</w:t>
      </w:r>
      <w:bookmarkEnd w:id="35"/>
    </w:p>
    <w:p w14:paraId="4FA1FD2C" w14:textId="335F3623" w:rsidR="00E26230" w:rsidRPr="00C25811" w:rsidRDefault="00E26230" w:rsidP="00BC31FD">
      <w:pPr>
        <w:ind w:left="-142"/>
        <w:rPr>
          <w:rStyle w:val="Normalbold"/>
        </w:rPr>
      </w:pPr>
      <w:r w:rsidRPr="00C25811">
        <w:rPr>
          <w:rStyle w:val="Normalbold"/>
        </w:rPr>
        <w:t xml:space="preserve">Members </w:t>
      </w:r>
      <w:r w:rsidR="00552985" w:rsidRPr="00C25811">
        <w:rPr>
          <w:rStyle w:val="Normalbold"/>
        </w:rPr>
        <w:t xml:space="preserve">of the </w:t>
      </w:r>
      <w:r w:rsidR="00A93287" w:rsidRPr="00C25811">
        <w:rPr>
          <w:rStyle w:val="Normalbold"/>
        </w:rPr>
        <w:t xml:space="preserve">inspection </w:t>
      </w:r>
      <w:r w:rsidR="00552985" w:rsidRPr="00C25811">
        <w:rPr>
          <w:rStyle w:val="Normalbold"/>
        </w:rPr>
        <w:t xml:space="preserve">team </w:t>
      </w:r>
      <w:r w:rsidRPr="00C25811">
        <w:rPr>
          <w:rStyle w:val="Normalbold"/>
        </w:rPr>
        <w:t xml:space="preserve">are selected based on the purpose and scope of the inspection and on the relevant experience and expertise </w:t>
      </w:r>
      <w:r w:rsidR="00634A83" w:rsidRPr="00C25811">
        <w:rPr>
          <w:rStyle w:val="Normalbold"/>
        </w:rPr>
        <w:t>required</w:t>
      </w:r>
      <w:r w:rsidR="007F60E6" w:rsidRPr="00C25811">
        <w:rPr>
          <w:rStyle w:val="Normalbold"/>
        </w:rPr>
        <w:t xml:space="preserve">. </w:t>
      </w:r>
      <w:r w:rsidR="00B50A2B" w:rsidRPr="00C25811">
        <w:rPr>
          <w:rStyle w:val="Normalbold"/>
        </w:rPr>
        <w:t>E</w:t>
      </w:r>
      <w:r w:rsidRPr="00C25811">
        <w:rPr>
          <w:rStyle w:val="Normalbold"/>
        </w:rPr>
        <w:t>xpert advice or technical assistance from other branches</w:t>
      </w:r>
      <w:r w:rsidR="00F922FC" w:rsidRPr="00C25811">
        <w:rPr>
          <w:rStyle w:val="Normalbold"/>
        </w:rPr>
        <w:t xml:space="preserve">, </w:t>
      </w:r>
      <w:r w:rsidRPr="00C25811">
        <w:rPr>
          <w:rStyle w:val="Normalbold"/>
        </w:rPr>
        <w:t>jurisdictions</w:t>
      </w:r>
      <w:r w:rsidR="00B50A2B" w:rsidRPr="00C25811">
        <w:rPr>
          <w:rStyle w:val="Normalbold"/>
        </w:rPr>
        <w:t xml:space="preserve"> </w:t>
      </w:r>
      <w:r w:rsidR="00F922FC" w:rsidRPr="00C25811">
        <w:rPr>
          <w:rStyle w:val="Normalbold"/>
        </w:rPr>
        <w:t xml:space="preserve">or consultants </w:t>
      </w:r>
      <w:r w:rsidR="00B50A2B" w:rsidRPr="00C25811">
        <w:rPr>
          <w:rStyle w:val="Normalbold"/>
        </w:rPr>
        <w:t>may be sought where appropriate</w:t>
      </w:r>
      <w:r w:rsidR="007F60E6" w:rsidRPr="00C25811">
        <w:rPr>
          <w:rStyle w:val="Normalbold"/>
        </w:rPr>
        <w:t xml:space="preserve">. </w:t>
      </w:r>
      <w:r w:rsidR="00B50A2B" w:rsidRPr="00C25811">
        <w:rPr>
          <w:rStyle w:val="Normalbold"/>
        </w:rPr>
        <w:t xml:space="preserve">The lead inspector should determine </w:t>
      </w:r>
      <w:r w:rsidRPr="00C25811">
        <w:rPr>
          <w:rStyle w:val="Normalbold"/>
        </w:rPr>
        <w:t>whether officers from another agency (</w:t>
      </w:r>
      <w:proofErr w:type="gramStart"/>
      <w:r w:rsidRPr="00C25811">
        <w:rPr>
          <w:rStyle w:val="Normalbold"/>
        </w:rPr>
        <w:t>e.g.</w:t>
      </w:r>
      <w:proofErr w:type="gramEnd"/>
      <w:r w:rsidRPr="00C25811">
        <w:rPr>
          <w:rStyle w:val="Normalbold"/>
        </w:rPr>
        <w:t xml:space="preserve"> Comcare</w:t>
      </w:r>
      <w:r w:rsidR="003F6107" w:rsidRPr="00C25811">
        <w:rPr>
          <w:rStyle w:val="Normalbold"/>
        </w:rPr>
        <w:t xml:space="preserve"> or</w:t>
      </w:r>
      <w:r w:rsidRPr="00C25811">
        <w:rPr>
          <w:rStyle w:val="Normalbold"/>
        </w:rPr>
        <w:t xml:space="preserve"> ASNO) </w:t>
      </w:r>
      <w:r w:rsidR="0032795D" w:rsidRPr="00C25811">
        <w:rPr>
          <w:rStyle w:val="Normalbold"/>
        </w:rPr>
        <w:t xml:space="preserve">should </w:t>
      </w:r>
      <w:r w:rsidRPr="00C25811">
        <w:rPr>
          <w:rStyle w:val="Normalbold"/>
        </w:rPr>
        <w:t>be involved</w:t>
      </w:r>
      <w:r w:rsidR="007F60E6" w:rsidRPr="00C25811">
        <w:rPr>
          <w:rStyle w:val="Normalbold"/>
        </w:rPr>
        <w:t xml:space="preserve">. </w:t>
      </w:r>
      <w:r w:rsidR="00B50A2B" w:rsidRPr="00C25811">
        <w:rPr>
          <w:rStyle w:val="Normalbold"/>
        </w:rPr>
        <w:t>S</w:t>
      </w:r>
      <w:r w:rsidR="00B4569D" w:rsidRPr="00C25811">
        <w:rPr>
          <w:rStyle w:val="Normalbold"/>
        </w:rPr>
        <w:t>ecurity clearance</w:t>
      </w:r>
      <w:r w:rsidR="00562F51" w:rsidRPr="00C25811">
        <w:rPr>
          <w:rStyle w:val="Normalbold"/>
        </w:rPr>
        <w:t>s</w:t>
      </w:r>
      <w:r w:rsidR="00B50A2B" w:rsidRPr="00C25811">
        <w:rPr>
          <w:rStyle w:val="Normalbold"/>
        </w:rPr>
        <w:t xml:space="preserve"> should be considered</w:t>
      </w:r>
      <w:r w:rsidR="00B4569D" w:rsidRPr="00C25811">
        <w:rPr>
          <w:rStyle w:val="Normalbold"/>
        </w:rPr>
        <w:t xml:space="preserve"> as necessary</w:t>
      </w:r>
      <w:r w:rsidR="00CE1745" w:rsidRPr="00C25811">
        <w:rPr>
          <w:rStyle w:val="Normalbold"/>
        </w:rPr>
        <w:t xml:space="preserve"> depending on the licence holder’s access requirements</w:t>
      </w:r>
      <w:r w:rsidR="00B4569D" w:rsidRPr="00C25811">
        <w:rPr>
          <w:rStyle w:val="Normalbold"/>
        </w:rPr>
        <w:t>.</w:t>
      </w:r>
      <w:r w:rsidR="00F0236E" w:rsidRPr="00C25811">
        <w:rPr>
          <w:rStyle w:val="Normalbold"/>
        </w:rPr>
        <w:t xml:space="preserve"> The lead inspector should ensure that team member</w:t>
      </w:r>
      <w:r w:rsidR="00FD12C0" w:rsidRPr="00C25811">
        <w:rPr>
          <w:rStyle w:val="Normalbold"/>
        </w:rPr>
        <w:t>s</w:t>
      </w:r>
      <w:r w:rsidR="00F0236E" w:rsidRPr="00C25811">
        <w:rPr>
          <w:rStyle w:val="Normalbold"/>
        </w:rPr>
        <w:t xml:space="preserve"> ha</w:t>
      </w:r>
      <w:r w:rsidR="00FD12C0" w:rsidRPr="00C25811">
        <w:rPr>
          <w:rStyle w:val="Normalbold"/>
        </w:rPr>
        <w:t>ve</w:t>
      </w:r>
      <w:r w:rsidR="00F0236E" w:rsidRPr="00C25811">
        <w:rPr>
          <w:rStyle w:val="Normalbold"/>
        </w:rPr>
        <w:t xml:space="preserve"> completed conflict of interest and confidentiality agreement </w:t>
      </w:r>
      <w:r w:rsidR="003A67D8" w:rsidRPr="00C25811">
        <w:rPr>
          <w:rStyle w:val="Normalbold"/>
        </w:rPr>
        <w:t>declarations</w:t>
      </w:r>
      <w:r w:rsidR="00FD12C0" w:rsidRPr="00C25811">
        <w:rPr>
          <w:rStyle w:val="Normalbold"/>
        </w:rPr>
        <w:t xml:space="preserve"> where appropriate</w:t>
      </w:r>
      <w:r w:rsidR="00F0236E" w:rsidRPr="00C25811">
        <w:rPr>
          <w:rStyle w:val="Normalbold"/>
        </w:rPr>
        <w:t>.</w:t>
      </w:r>
    </w:p>
    <w:p w14:paraId="7AB54C6D" w14:textId="3F42B0C6" w:rsidR="00FA4780" w:rsidRDefault="00E26230" w:rsidP="00BC31FD">
      <w:pPr>
        <w:ind w:left="-142"/>
        <w:rPr>
          <w:rStyle w:val="Normalbold"/>
        </w:rPr>
      </w:pPr>
      <w:r w:rsidRPr="00C25811">
        <w:rPr>
          <w:rStyle w:val="Normalbold"/>
        </w:rPr>
        <w:t>Where the inspection in</w:t>
      </w:r>
      <w:r w:rsidR="00F9782C" w:rsidRPr="00C25811">
        <w:rPr>
          <w:rStyle w:val="Normalbold"/>
        </w:rPr>
        <w:t>volves</w:t>
      </w:r>
      <w:r w:rsidRPr="00C25811">
        <w:rPr>
          <w:rStyle w:val="Normalbold"/>
        </w:rPr>
        <w:t xml:space="preserve"> </w:t>
      </w:r>
      <w:r w:rsidR="000C1F74" w:rsidRPr="00C25811">
        <w:rPr>
          <w:rStyle w:val="Normalbold"/>
        </w:rPr>
        <w:t>facilities</w:t>
      </w:r>
      <w:r w:rsidR="00310278">
        <w:rPr>
          <w:rStyle w:val="Normalbold"/>
        </w:rPr>
        <w:t xml:space="preserve"> or</w:t>
      </w:r>
      <w:r w:rsidR="000C1F74" w:rsidRPr="00C25811">
        <w:rPr>
          <w:rStyle w:val="Normalbold"/>
        </w:rPr>
        <w:t xml:space="preserve"> </w:t>
      </w:r>
      <w:r w:rsidRPr="00C25811">
        <w:rPr>
          <w:rStyle w:val="Normalbold"/>
        </w:rPr>
        <w:t xml:space="preserve">sources used for medical purposes </w:t>
      </w:r>
      <w:r w:rsidR="007C4E02" w:rsidRPr="00C25811">
        <w:rPr>
          <w:rStyle w:val="Normalbold"/>
        </w:rPr>
        <w:t xml:space="preserve">the lead inspector should </w:t>
      </w:r>
      <w:r w:rsidRPr="00C25811">
        <w:rPr>
          <w:rStyle w:val="Normalbold"/>
        </w:rPr>
        <w:t>liais</w:t>
      </w:r>
      <w:r w:rsidR="000C36F1" w:rsidRPr="00C25811">
        <w:rPr>
          <w:rStyle w:val="Normalbold"/>
        </w:rPr>
        <w:t>e</w:t>
      </w:r>
      <w:r w:rsidRPr="00C25811">
        <w:rPr>
          <w:rStyle w:val="Normalbold"/>
        </w:rPr>
        <w:t xml:space="preserve"> with Medical Radiation Services Branch to involve officers from that branch in the inspection or to </w:t>
      </w:r>
      <w:r w:rsidR="00634A83" w:rsidRPr="00C25811">
        <w:rPr>
          <w:rStyle w:val="Normalbold"/>
        </w:rPr>
        <w:t>seek</w:t>
      </w:r>
      <w:r w:rsidRPr="00C25811">
        <w:rPr>
          <w:rStyle w:val="Normalbold"/>
        </w:rPr>
        <w:t xml:space="preserve"> advice</w:t>
      </w:r>
      <w:r w:rsidR="00684B3B" w:rsidRPr="00C25811">
        <w:rPr>
          <w:rStyle w:val="Normalbold"/>
        </w:rPr>
        <w:t xml:space="preserve"> in planning</w:t>
      </w:r>
      <w:r w:rsidRPr="00C25811">
        <w:rPr>
          <w:rStyle w:val="Normalbold"/>
        </w:rPr>
        <w:t>.</w:t>
      </w:r>
      <w:r w:rsidR="000C1F74" w:rsidRPr="00C25811">
        <w:rPr>
          <w:rStyle w:val="Normalbold"/>
        </w:rPr>
        <w:t xml:space="preserve"> </w:t>
      </w:r>
    </w:p>
    <w:p w14:paraId="363A33F8" w14:textId="1C6BC4E7" w:rsidR="00E26230" w:rsidRPr="00C25811" w:rsidRDefault="00310278" w:rsidP="00BC31FD">
      <w:pPr>
        <w:ind w:left="-142"/>
        <w:rPr>
          <w:rStyle w:val="Normalbold"/>
          <w:rFonts w:ascii="Calibri" w:hAnsi="Calibri" w:cstheme="majorBidi"/>
          <w:b/>
          <w:bCs/>
          <w:snapToGrid w:val="0"/>
          <w:color w:val="4E1A74"/>
        </w:rPr>
      </w:pPr>
      <w:r>
        <w:rPr>
          <w:rStyle w:val="Normalbold"/>
        </w:rPr>
        <w:t>I</w:t>
      </w:r>
      <w:r w:rsidR="000C1F74" w:rsidRPr="00C25811">
        <w:rPr>
          <w:rStyle w:val="Normalbold"/>
        </w:rPr>
        <w:t>f additional emergency preparedness and response expertise is required advice should be sought from staff within the Radiation Health Services Branch – Monitoring and Emergency Response section.</w:t>
      </w:r>
    </w:p>
    <w:p w14:paraId="71E88D67" w14:textId="310843FD" w:rsidR="00F9782C" w:rsidRPr="00C25811" w:rsidRDefault="00772CE5" w:rsidP="00BC31FD">
      <w:pPr>
        <w:ind w:left="-142"/>
        <w:rPr>
          <w:rStyle w:val="Normalbold"/>
        </w:rPr>
      </w:pPr>
      <w:r w:rsidRPr="00C25811">
        <w:rPr>
          <w:rStyle w:val="Normalbold"/>
        </w:rPr>
        <w:t xml:space="preserve">Where ARPANSA is the licence holder, </w:t>
      </w:r>
      <w:r w:rsidR="00E26230" w:rsidRPr="00C25811">
        <w:rPr>
          <w:rStyle w:val="Normalbold"/>
        </w:rPr>
        <w:t>a</w:t>
      </w:r>
      <w:r w:rsidR="00512BC8" w:rsidRPr="00C25811">
        <w:rPr>
          <w:rStyle w:val="Normalbold"/>
        </w:rPr>
        <w:t xml:space="preserve">n </w:t>
      </w:r>
      <w:r w:rsidR="00E26230" w:rsidRPr="00C25811">
        <w:rPr>
          <w:rStyle w:val="Normalbold"/>
        </w:rPr>
        <w:t xml:space="preserve">officer from a </w:t>
      </w:r>
      <w:r w:rsidR="00300195" w:rsidRPr="00C25811">
        <w:rPr>
          <w:rStyle w:val="Normalbold"/>
        </w:rPr>
        <w:t>s</w:t>
      </w:r>
      <w:r w:rsidRPr="00C25811">
        <w:rPr>
          <w:rStyle w:val="Normalbold"/>
        </w:rPr>
        <w:t xml:space="preserve">tate </w:t>
      </w:r>
      <w:r w:rsidR="00E26230" w:rsidRPr="00C25811">
        <w:rPr>
          <w:rStyle w:val="Normalbold"/>
        </w:rPr>
        <w:t xml:space="preserve">or </w:t>
      </w:r>
      <w:r w:rsidR="00300195" w:rsidRPr="00C25811">
        <w:rPr>
          <w:rStyle w:val="Normalbold"/>
        </w:rPr>
        <w:t>t</w:t>
      </w:r>
      <w:r w:rsidRPr="00C25811">
        <w:rPr>
          <w:rStyle w:val="Normalbold"/>
        </w:rPr>
        <w:t xml:space="preserve">erritory </w:t>
      </w:r>
      <w:r w:rsidR="00E26230" w:rsidRPr="00C25811">
        <w:rPr>
          <w:rStyle w:val="Normalbold"/>
        </w:rPr>
        <w:t>regulator</w:t>
      </w:r>
      <w:r w:rsidR="00F377AE" w:rsidRPr="00C25811">
        <w:rPr>
          <w:rStyle w:val="Normalbold"/>
        </w:rPr>
        <w:t>y authority</w:t>
      </w:r>
      <w:r w:rsidR="00E26230" w:rsidRPr="00C25811">
        <w:rPr>
          <w:rStyle w:val="Normalbold"/>
        </w:rPr>
        <w:t xml:space="preserve"> </w:t>
      </w:r>
      <w:r w:rsidR="00562F51" w:rsidRPr="00C25811">
        <w:rPr>
          <w:rStyle w:val="Normalbold"/>
        </w:rPr>
        <w:t xml:space="preserve">must </w:t>
      </w:r>
      <w:r w:rsidR="00E26230" w:rsidRPr="00C25811">
        <w:rPr>
          <w:rStyle w:val="Normalbold"/>
        </w:rPr>
        <w:t xml:space="preserve">accompany ARPANSA inspectors </w:t>
      </w:r>
      <w:r w:rsidR="00772A8F" w:rsidRPr="00C25811">
        <w:rPr>
          <w:rStyle w:val="Normalbold"/>
        </w:rPr>
        <w:t>to provide independent oversight</w:t>
      </w:r>
      <w:r w:rsidR="007F60E6" w:rsidRPr="00C25811">
        <w:rPr>
          <w:rStyle w:val="Normalbold"/>
        </w:rPr>
        <w:t xml:space="preserve">. </w:t>
      </w:r>
      <w:r w:rsidR="00772A8F" w:rsidRPr="00C25811">
        <w:rPr>
          <w:rStyle w:val="Normalbold"/>
        </w:rPr>
        <w:t xml:space="preserve">This is </w:t>
      </w:r>
      <w:r w:rsidR="00E26230" w:rsidRPr="00C25811">
        <w:rPr>
          <w:rStyle w:val="Normalbold"/>
        </w:rPr>
        <w:t xml:space="preserve">to </w:t>
      </w:r>
      <w:r w:rsidR="00F377AE" w:rsidRPr="00C25811">
        <w:rPr>
          <w:rStyle w:val="Normalbold"/>
        </w:rPr>
        <w:t>fulfil the CEO’s obligation</w:t>
      </w:r>
      <w:r w:rsidR="0022128B" w:rsidRPr="00C25811">
        <w:rPr>
          <w:rStyle w:val="Normalbold"/>
        </w:rPr>
        <w:t>, and the obligation of all staff carrying out inspections on behalf of the CEO</w:t>
      </w:r>
      <w:r w:rsidR="00F377AE" w:rsidRPr="00C25811">
        <w:rPr>
          <w:rStyle w:val="Normalbold"/>
        </w:rPr>
        <w:t xml:space="preserve"> under subsection 15(2) of the Act to take all reasonable steps to avoid any conflict of interest</w:t>
      </w:r>
      <w:r w:rsidR="00823D2C" w:rsidRPr="00C25811">
        <w:rPr>
          <w:rStyle w:val="Normalbold"/>
        </w:rPr>
        <w:t xml:space="preserve"> between regulatory functions and other functions</w:t>
      </w:r>
      <w:r w:rsidR="00F377AE" w:rsidRPr="00C25811">
        <w:rPr>
          <w:rStyle w:val="Normalbold"/>
        </w:rPr>
        <w:t xml:space="preserve">. </w:t>
      </w:r>
      <w:r w:rsidR="00E26230" w:rsidRPr="00C25811">
        <w:rPr>
          <w:rStyle w:val="Normalbold"/>
        </w:rPr>
        <w:t>Th</w:t>
      </w:r>
      <w:r w:rsidR="008E43E7" w:rsidRPr="00C25811">
        <w:rPr>
          <w:rStyle w:val="Normalbold"/>
        </w:rPr>
        <w:t>e lead inspector</w:t>
      </w:r>
      <w:r w:rsidR="00E26230" w:rsidRPr="00C25811">
        <w:rPr>
          <w:rStyle w:val="Normalbold"/>
        </w:rPr>
        <w:t xml:space="preserve"> should discuss </w:t>
      </w:r>
      <w:r w:rsidR="008E43E7" w:rsidRPr="00C25811">
        <w:rPr>
          <w:rStyle w:val="Normalbold"/>
        </w:rPr>
        <w:t xml:space="preserve">this </w:t>
      </w:r>
      <w:r w:rsidR="00E26230" w:rsidRPr="00C25811">
        <w:rPr>
          <w:rStyle w:val="Normalbold"/>
        </w:rPr>
        <w:t xml:space="preserve">with the </w:t>
      </w:r>
      <w:r w:rsidR="00300195" w:rsidRPr="00C25811">
        <w:rPr>
          <w:rStyle w:val="Normalbold"/>
        </w:rPr>
        <w:t>relevant</w:t>
      </w:r>
      <w:r w:rsidR="00512BC8" w:rsidRPr="00C25811">
        <w:rPr>
          <w:rStyle w:val="Normalbold"/>
        </w:rPr>
        <w:t xml:space="preserve"> section </w:t>
      </w:r>
      <w:r w:rsidR="005D6201" w:rsidRPr="00C25811">
        <w:rPr>
          <w:rStyle w:val="Normalbold"/>
        </w:rPr>
        <w:t xml:space="preserve">director </w:t>
      </w:r>
      <w:r w:rsidR="00113DF2" w:rsidRPr="00C25811">
        <w:rPr>
          <w:rStyle w:val="Normalbold"/>
        </w:rPr>
        <w:t>who will</w:t>
      </w:r>
      <w:r w:rsidR="003D3349" w:rsidRPr="00C25811">
        <w:rPr>
          <w:rStyle w:val="Normalbold"/>
        </w:rPr>
        <w:t xml:space="preserve"> arrange for </w:t>
      </w:r>
      <w:r w:rsidR="00E26230" w:rsidRPr="00C25811">
        <w:rPr>
          <w:rStyle w:val="Normalbold"/>
        </w:rPr>
        <w:t xml:space="preserve">an appropriate regulator to </w:t>
      </w:r>
      <w:r w:rsidR="003D3349" w:rsidRPr="00C25811">
        <w:rPr>
          <w:rStyle w:val="Normalbold"/>
        </w:rPr>
        <w:t>participate in the inspection</w:t>
      </w:r>
      <w:r w:rsidR="00E26230" w:rsidRPr="00C25811">
        <w:rPr>
          <w:rStyle w:val="Normalbold"/>
        </w:rPr>
        <w:t>.</w:t>
      </w:r>
      <w:r w:rsidR="00F9782C" w:rsidRPr="00C25811">
        <w:rPr>
          <w:rStyle w:val="Normalbold"/>
        </w:rPr>
        <w:t xml:space="preserve"> </w:t>
      </w:r>
    </w:p>
    <w:p w14:paraId="2C19E2D8" w14:textId="77777777" w:rsidR="00F909D7" w:rsidRDefault="00F909D7">
      <w:pPr>
        <w:spacing w:before="200" w:after="200"/>
        <w:rPr>
          <w:rFonts w:ascii="Calibri" w:eastAsia="Calibri" w:hAnsi="Calibri" w:cstheme="majorBidi"/>
          <w:b/>
          <w:bCs/>
          <w:snapToGrid w:val="0"/>
          <w:color w:val="4E1A74"/>
          <w:sz w:val="26"/>
          <w:szCs w:val="26"/>
          <w:lang w:eastAsia="en-AU"/>
        </w:rPr>
      </w:pPr>
      <w:bookmarkStart w:id="36" w:name="_Toc492399364"/>
      <w:r>
        <w:br w:type="page"/>
      </w:r>
    </w:p>
    <w:p w14:paraId="7E60BBFD" w14:textId="247EDA23" w:rsidR="008104A6" w:rsidRDefault="009424EB" w:rsidP="00122B75">
      <w:pPr>
        <w:pStyle w:val="Heading2"/>
        <w:numPr>
          <w:ilvl w:val="1"/>
          <w:numId w:val="53"/>
        </w:numPr>
        <w:tabs>
          <w:tab w:val="clear" w:pos="851"/>
          <w:tab w:val="left" w:pos="1276"/>
        </w:tabs>
        <w:ind w:left="1276" w:hanging="567"/>
      </w:pPr>
      <w:r>
        <w:lastRenderedPageBreak/>
        <w:t xml:space="preserve">Inspection planning </w:t>
      </w:r>
      <w:bookmarkEnd w:id="36"/>
    </w:p>
    <w:p w14:paraId="4DA78B42" w14:textId="3EA69518" w:rsidR="009424EB" w:rsidRPr="00C25811" w:rsidRDefault="009424EB" w:rsidP="00BC31FD">
      <w:pPr>
        <w:ind w:left="-142"/>
        <w:rPr>
          <w:rStyle w:val="Normalbold"/>
        </w:rPr>
      </w:pPr>
      <w:r w:rsidRPr="00C25811">
        <w:rPr>
          <w:rStyle w:val="Normalbold"/>
        </w:rPr>
        <w:t xml:space="preserve">Inspectors should be thoroughly prepared. Preparation will depend on the type of inspection and its scope and complexity. Preparation may include a review of the following:  </w:t>
      </w:r>
    </w:p>
    <w:p w14:paraId="6C50EAEA" w14:textId="77777777" w:rsidR="00352952" w:rsidRPr="00C25811" w:rsidRDefault="00352952" w:rsidP="00352952">
      <w:pPr>
        <w:pStyle w:val="ListParagraph"/>
        <w:numPr>
          <w:ilvl w:val="0"/>
          <w:numId w:val="8"/>
        </w:numPr>
        <w:rPr>
          <w:rStyle w:val="Normalbold"/>
        </w:rPr>
      </w:pPr>
      <w:r>
        <w:rPr>
          <w:rStyle w:val="Normalbold"/>
        </w:rPr>
        <w:t>relevant codes &amp; standards and i</w:t>
      </w:r>
      <w:r w:rsidRPr="00C25811">
        <w:rPr>
          <w:rStyle w:val="Normalbold"/>
        </w:rPr>
        <w:t xml:space="preserve">nternational </w:t>
      </w:r>
      <w:r>
        <w:rPr>
          <w:rStyle w:val="Normalbold"/>
        </w:rPr>
        <w:t>b</w:t>
      </w:r>
      <w:r w:rsidRPr="00C25811">
        <w:rPr>
          <w:rStyle w:val="Normalbold"/>
        </w:rPr>
        <w:t xml:space="preserve">est </w:t>
      </w:r>
      <w:r>
        <w:rPr>
          <w:rStyle w:val="Normalbold"/>
        </w:rPr>
        <w:t>p</w:t>
      </w:r>
      <w:r w:rsidRPr="00C25811">
        <w:rPr>
          <w:rStyle w:val="Normalbold"/>
        </w:rPr>
        <w:t>ractice</w:t>
      </w:r>
    </w:p>
    <w:p w14:paraId="0DD2BD9D" w14:textId="77777777" w:rsidR="00352952" w:rsidRDefault="00352952" w:rsidP="00352952">
      <w:pPr>
        <w:pStyle w:val="ListParagraph"/>
        <w:numPr>
          <w:ilvl w:val="0"/>
          <w:numId w:val="8"/>
        </w:numPr>
        <w:rPr>
          <w:rStyle w:val="Normalbold"/>
        </w:rPr>
      </w:pPr>
      <w:r>
        <w:rPr>
          <w:rStyle w:val="Normalbold"/>
        </w:rPr>
        <w:t>endorsed security plan or other specific security considerations relevant to RPS11</w:t>
      </w:r>
    </w:p>
    <w:p w14:paraId="12B49935" w14:textId="5964A6A2" w:rsidR="00352952" w:rsidRDefault="009424EB" w:rsidP="00352952">
      <w:pPr>
        <w:pStyle w:val="ListParagraph"/>
        <w:numPr>
          <w:ilvl w:val="0"/>
          <w:numId w:val="8"/>
        </w:numPr>
        <w:rPr>
          <w:rStyle w:val="Normalbold"/>
        </w:rPr>
      </w:pPr>
      <w:r w:rsidRPr="00C25811">
        <w:rPr>
          <w:rStyle w:val="Normalbold"/>
        </w:rPr>
        <w:t xml:space="preserve">regulatory requirements relating to the source or facility and </w:t>
      </w:r>
      <w:r w:rsidR="00352952">
        <w:rPr>
          <w:rStyle w:val="Normalbold"/>
        </w:rPr>
        <w:t>conditions of licence</w:t>
      </w:r>
    </w:p>
    <w:p w14:paraId="047760A1" w14:textId="77777777" w:rsidR="00352952" w:rsidRDefault="009424EB" w:rsidP="00352952">
      <w:pPr>
        <w:pStyle w:val="ListParagraph"/>
        <w:numPr>
          <w:ilvl w:val="0"/>
          <w:numId w:val="8"/>
        </w:numPr>
        <w:rPr>
          <w:rStyle w:val="Normalbold"/>
        </w:rPr>
      </w:pPr>
      <w:r>
        <w:rPr>
          <w:rStyle w:val="Normalbold"/>
        </w:rPr>
        <w:t>relevant performance objectives &amp; criteria (POC)</w:t>
      </w:r>
    </w:p>
    <w:p w14:paraId="60E6492F" w14:textId="77777777" w:rsidR="00352952" w:rsidRDefault="009424EB" w:rsidP="00044FE3">
      <w:pPr>
        <w:pStyle w:val="ListParagraph"/>
        <w:numPr>
          <w:ilvl w:val="0"/>
          <w:numId w:val="8"/>
        </w:numPr>
        <w:rPr>
          <w:rStyle w:val="Normalbold"/>
        </w:rPr>
      </w:pPr>
      <w:r w:rsidRPr="00C25811">
        <w:rPr>
          <w:rStyle w:val="Normalbold"/>
        </w:rPr>
        <w:t>findings and any unresolved issues from previous inspections including areas for improvement</w:t>
      </w:r>
    </w:p>
    <w:p w14:paraId="52A127A3" w14:textId="5D09ED6D" w:rsidR="00352952" w:rsidRDefault="00352952" w:rsidP="00044FE3">
      <w:pPr>
        <w:pStyle w:val="ListParagraph"/>
        <w:numPr>
          <w:ilvl w:val="0"/>
          <w:numId w:val="8"/>
        </w:numPr>
        <w:rPr>
          <w:rStyle w:val="Normalbold"/>
        </w:rPr>
      </w:pPr>
      <w:r>
        <w:rPr>
          <w:rStyle w:val="Normalbold"/>
        </w:rPr>
        <w:t>any enforcement actions</w:t>
      </w:r>
    </w:p>
    <w:p w14:paraId="7FEC5F68" w14:textId="77777777" w:rsidR="00352952" w:rsidRDefault="009424EB" w:rsidP="00352952">
      <w:pPr>
        <w:pStyle w:val="ListParagraph"/>
        <w:numPr>
          <w:ilvl w:val="0"/>
          <w:numId w:val="8"/>
        </w:numPr>
        <w:rPr>
          <w:rStyle w:val="Normalbold"/>
        </w:rPr>
      </w:pPr>
      <w:r w:rsidRPr="00C25811">
        <w:rPr>
          <w:rStyle w:val="Normalbold"/>
        </w:rPr>
        <w:t xml:space="preserve">past correspondence </w:t>
      </w:r>
      <w:r w:rsidR="00EA2B1E">
        <w:rPr>
          <w:rStyle w:val="Normalbold"/>
        </w:rPr>
        <w:t xml:space="preserve">relating </w:t>
      </w:r>
      <w:r w:rsidRPr="00C25811">
        <w:rPr>
          <w:rStyle w:val="Normalbold"/>
        </w:rPr>
        <w:t>to the inspection area</w:t>
      </w:r>
      <w:r w:rsidRPr="009424EB">
        <w:rPr>
          <w:rStyle w:val="Normalbold"/>
        </w:rPr>
        <w:t xml:space="preserve"> </w:t>
      </w:r>
      <w:r>
        <w:rPr>
          <w:rStyle w:val="Normalbold"/>
        </w:rPr>
        <w:t>including any r</w:t>
      </w:r>
      <w:r w:rsidRPr="00C25811">
        <w:rPr>
          <w:rStyle w:val="Normalbold"/>
        </w:rPr>
        <w:t>ecent applications for change</w:t>
      </w:r>
      <w:r>
        <w:rPr>
          <w:rStyle w:val="Normalbold"/>
        </w:rPr>
        <w:t>s</w:t>
      </w:r>
    </w:p>
    <w:p w14:paraId="5A21CA7D" w14:textId="77777777" w:rsidR="00352952" w:rsidRDefault="003649B2" w:rsidP="00352952">
      <w:pPr>
        <w:pStyle w:val="ListParagraph"/>
        <w:numPr>
          <w:ilvl w:val="0"/>
          <w:numId w:val="8"/>
        </w:numPr>
        <w:rPr>
          <w:rStyle w:val="Normalbold"/>
        </w:rPr>
      </w:pPr>
      <w:r>
        <w:rPr>
          <w:rStyle w:val="Normalbold"/>
        </w:rPr>
        <w:t xml:space="preserve">recent site visits if relevant  </w:t>
      </w:r>
    </w:p>
    <w:p w14:paraId="6AC47F79" w14:textId="77777777" w:rsidR="00352952" w:rsidRDefault="009424EB" w:rsidP="00352952">
      <w:pPr>
        <w:pStyle w:val="ListParagraph"/>
        <w:numPr>
          <w:ilvl w:val="0"/>
          <w:numId w:val="8"/>
        </w:numPr>
        <w:rPr>
          <w:rStyle w:val="Normalbold"/>
        </w:rPr>
      </w:pPr>
      <w:r w:rsidRPr="00C25811">
        <w:rPr>
          <w:rStyle w:val="Normalbold"/>
        </w:rPr>
        <w:t xml:space="preserve">safety </w:t>
      </w:r>
      <w:r w:rsidR="00EA2B1E">
        <w:rPr>
          <w:rStyle w:val="Normalbold"/>
        </w:rPr>
        <w:t xml:space="preserve">assessment report, </w:t>
      </w:r>
      <w:r w:rsidRPr="00C25811">
        <w:rPr>
          <w:rStyle w:val="Normalbold"/>
        </w:rPr>
        <w:t>operational limits and conditions</w:t>
      </w:r>
      <w:r w:rsidR="003649B2">
        <w:rPr>
          <w:rStyle w:val="Normalbold"/>
        </w:rPr>
        <w:t>,</w:t>
      </w:r>
      <w:r w:rsidRPr="00C25811">
        <w:rPr>
          <w:rStyle w:val="Normalbold"/>
        </w:rPr>
        <w:t xml:space="preserve"> </w:t>
      </w:r>
      <w:r w:rsidR="00EA2B1E">
        <w:rPr>
          <w:rStyle w:val="Normalbold"/>
        </w:rPr>
        <w:t>and other safety documentation</w:t>
      </w:r>
      <w:r w:rsidR="00EA2B1E" w:rsidRPr="00EA2B1E">
        <w:rPr>
          <w:rStyle w:val="Normalbold"/>
        </w:rPr>
        <w:t xml:space="preserve"> </w:t>
      </w:r>
      <w:r w:rsidR="00EA2B1E" w:rsidRPr="00C25811">
        <w:rPr>
          <w:rStyle w:val="Normalbold"/>
        </w:rPr>
        <w:t xml:space="preserve">on </w:t>
      </w:r>
      <w:r w:rsidR="00EA2B1E">
        <w:rPr>
          <w:rStyle w:val="Normalbold"/>
        </w:rPr>
        <w:t xml:space="preserve">design and </w:t>
      </w:r>
      <w:r w:rsidR="00EA2B1E" w:rsidRPr="00C25811">
        <w:rPr>
          <w:rStyle w:val="Normalbold"/>
        </w:rPr>
        <w:t>operation of the facility</w:t>
      </w:r>
      <w:r w:rsidR="00EA2B1E">
        <w:rPr>
          <w:rStyle w:val="Normalbold"/>
        </w:rPr>
        <w:t xml:space="preserve"> or source</w:t>
      </w:r>
    </w:p>
    <w:p w14:paraId="309FBEB5" w14:textId="77777777" w:rsidR="00352952" w:rsidRDefault="00EA2B1E" w:rsidP="00352952">
      <w:pPr>
        <w:pStyle w:val="ListParagraph"/>
        <w:numPr>
          <w:ilvl w:val="0"/>
          <w:numId w:val="8"/>
        </w:numPr>
        <w:rPr>
          <w:rStyle w:val="Normalbold"/>
        </w:rPr>
      </w:pPr>
      <w:r>
        <w:rPr>
          <w:rStyle w:val="Normalbold"/>
        </w:rPr>
        <w:t>policies</w:t>
      </w:r>
      <w:r w:rsidRPr="00C25811">
        <w:rPr>
          <w:rStyle w:val="Normalbold"/>
        </w:rPr>
        <w:t>/plans/procedures/source inventory workbook</w:t>
      </w:r>
      <w:r>
        <w:rPr>
          <w:rStyle w:val="Normalbold"/>
        </w:rPr>
        <w:t xml:space="preserve"> </w:t>
      </w:r>
      <w:r w:rsidRPr="00C25811">
        <w:rPr>
          <w:rStyle w:val="Normalbold"/>
        </w:rPr>
        <w:t xml:space="preserve"> </w:t>
      </w:r>
    </w:p>
    <w:p w14:paraId="6D74D794" w14:textId="77777777" w:rsidR="00352952" w:rsidRDefault="009424EB" w:rsidP="00352952">
      <w:pPr>
        <w:pStyle w:val="ListParagraph"/>
        <w:numPr>
          <w:ilvl w:val="0"/>
          <w:numId w:val="8"/>
        </w:numPr>
        <w:rPr>
          <w:rStyle w:val="Normalbold"/>
        </w:rPr>
      </w:pPr>
      <w:r w:rsidRPr="00C25811">
        <w:rPr>
          <w:rStyle w:val="Normalbold"/>
        </w:rPr>
        <w:t>the licence holder’s management system</w:t>
      </w:r>
    </w:p>
    <w:p w14:paraId="6BF7C543" w14:textId="77777777" w:rsidR="00352952" w:rsidRDefault="00EA2B1E" w:rsidP="00352952">
      <w:pPr>
        <w:pStyle w:val="ListParagraph"/>
        <w:numPr>
          <w:ilvl w:val="0"/>
          <w:numId w:val="8"/>
        </w:numPr>
        <w:rPr>
          <w:rStyle w:val="Normalbold"/>
        </w:rPr>
      </w:pPr>
      <w:r>
        <w:rPr>
          <w:rStyle w:val="Normalbold"/>
        </w:rPr>
        <w:t xml:space="preserve">compliance reports &amp; </w:t>
      </w:r>
      <w:r w:rsidR="009424EB" w:rsidRPr="00C25811">
        <w:rPr>
          <w:rStyle w:val="Normalbold"/>
        </w:rPr>
        <w:t>performance history</w:t>
      </w:r>
    </w:p>
    <w:p w14:paraId="6E4385B9" w14:textId="77777777" w:rsidR="00352952" w:rsidRDefault="00EA2B1E" w:rsidP="00352952">
      <w:pPr>
        <w:pStyle w:val="ListParagraph"/>
        <w:numPr>
          <w:ilvl w:val="0"/>
          <w:numId w:val="8"/>
        </w:numPr>
        <w:rPr>
          <w:rStyle w:val="Normalbold"/>
        </w:rPr>
      </w:pPr>
      <w:r w:rsidRPr="00C25811">
        <w:rPr>
          <w:rStyle w:val="Normalbold"/>
        </w:rPr>
        <w:t xml:space="preserve">reports of accidents or incidents, including abnormal occurrences or near misses </w:t>
      </w:r>
    </w:p>
    <w:p w14:paraId="518A3301" w14:textId="7A42C319" w:rsidR="009424EB" w:rsidRPr="00C25811" w:rsidRDefault="009424EB" w:rsidP="00352952">
      <w:pPr>
        <w:pStyle w:val="ListParagraph"/>
        <w:numPr>
          <w:ilvl w:val="0"/>
          <w:numId w:val="8"/>
        </w:numPr>
        <w:rPr>
          <w:rStyle w:val="Normalbold"/>
        </w:rPr>
      </w:pPr>
      <w:r w:rsidRPr="00C25811">
        <w:rPr>
          <w:rStyle w:val="Normalbold"/>
        </w:rPr>
        <w:t xml:space="preserve">any other information made available to the lead inspector, including self-reported </w:t>
      </w:r>
      <w:r w:rsidR="00EA2B1E">
        <w:rPr>
          <w:rStyle w:val="Normalbold"/>
        </w:rPr>
        <w:t>information or</w:t>
      </w:r>
      <w:r w:rsidRPr="00C25811">
        <w:rPr>
          <w:rStyle w:val="Normalbold"/>
        </w:rPr>
        <w:t xml:space="preserve"> </w:t>
      </w:r>
      <w:proofErr w:type="gramStart"/>
      <w:r w:rsidR="00EA2B1E">
        <w:rPr>
          <w:rStyle w:val="Normalbold"/>
        </w:rPr>
        <w:t>third party</w:t>
      </w:r>
      <w:proofErr w:type="gramEnd"/>
      <w:r w:rsidRPr="00C25811">
        <w:rPr>
          <w:rStyle w:val="Normalbold"/>
        </w:rPr>
        <w:t xml:space="preserve"> report</w:t>
      </w:r>
      <w:r w:rsidR="00EA2B1E">
        <w:rPr>
          <w:rStyle w:val="Normalbold"/>
        </w:rPr>
        <w:t>s</w:t>
      </w:r>
    </w:p>
    <w:p w14:paraId="350F8808" w14:textId="2A87F5C8" w:rsidR="008104A6" w:rsidRDefault="008104A6" w:rsidP="00122B75">
      <w:pPr>
        <w:pStyle w:val="Heading2"/>
        <w:numPr>
          <w:ilvl w:val="1"/>
          <w:numId w:val="53"/>
        </w:numPr>
        <w:tabs>
          <w:tab w:val="clear" w:pos="851"/>
          <w:tab w:val="left" w:pos="1276"/>
        </w:tabs>
        <w:spacing w:before="240"/>
        <w:ind w:hanging="787"/>
      </w:pPr>
      <w:bookmarkStart w:id="37" w:name="_Toc492399365"/>
      <w:r w:rsidRPr="00DA4BDB">
        <w:t>Timetable</w:t>
      </w:r>
      <w:bookmarkEnd w:id="37"/>
      <w:r w:rsidR="00AD384F" w:rsidRPr="00DA4BDB">
        <w:t xml:space="preserve"> </w:t>
      </w:r>
    </w:p>
    <w:p w14:paraId="2FE277BE" w14:textId="12A695C2" w:rsidR="00EA14FC" w:rsidRPr="00C25811" w:rsidRDefault="0022128B" w:rsidP="00BC31FD">
      <w:pPr>
        <w:ind w:left="-142"/>
        <w:rPr>
          <w:rStyle w:val="Normalbold"/>
        </w:rPr>
      </w:pPr>
      <w:r w:rsidRPr="00C25811">
        <w:rPr>
          <w:rStyle w:val="Normalbold"/>
        </w:rPr>
        <w:t>A</w:t>
      </w:r>
      <w:r w:rsidR="003B3850" w:rsidRPr="00C25811">
        <w:rPr>
          <w:rStyle w:val="Normalbold"/>
        </w:rPr>
        <w:t xml:space="preserve">n inspection plan </w:t>
      </w:r>
      <w:r w:rsidRPr="00C25811">
        <w:rPr>
          <w:rStyle w:val="Normalbold"/>
        </w:rPr>
        <w:t xml:space="preserve">should be drafted which </w:t>
      </w:r>
      <w:r w:rsidR="00E4302A">
        <w:rPr>
          <w:rStyle w:val="Normalbold"/>
        </w:rPr>
        <w:t>provides</w:t>
      </w:r>
      <w:r w:rsidRPr="00C25811">
        <w:rPr>
          <w:rStyle w:val="Normalbold"/>
        </w:rPr>
        <w:t xml:space="preserve"> </w:t>
      </w:r>
      <w:r w:rsidR="003B3850" w:rsidRPr="00C25811">
        <w:rPr>
          <w:rStyle w:val="Normalbold"/>
        </w:rPr>
        <w:t xml:space="preserve">sufficient flexibility to allow for unforeseen events or </w:t>
      </w:r>
      <w:r w:rsidR="000C1F74" w:rsidRPr="00C25811">
        <w:rPr>
          <w:rStyle w:val="Normalbold"/>
        </w:rPr>
        <w:t xml:space="preserve">the </w:t>
      </w:r>
      <w:r w:rsidR="003B3850" w:rsidRPr="00C25811">
        <w:rPr>
          <w:rStyle w:val="Normalbold"/>
        </w:rPr>
        <w:t xml:space="preserve">pursuit of </w:t>
      </w:r>
      <w:r w:rsidR="000C1F74" w:rsidRPr="00C25811">
        <w:rPr>
          <w:rStyle w:val="Normalbold"/>
        </w:rPr>
        <w:t xml:space="preserve">further enquiries </w:t>
      </w:r>
      <w:r w:rsidR="003B3850" w:rsidRPr="00C25811">
        <w:rPr>
          <w:rStyle w:val="Normalbold"/>
        </w:rPr>
        <w:t>that emerge during the inspection.</w:t>
      </w:r>
    </w:p>
    <w:p w14:paraId="62284371" w14:textId="569FB6D9" w:rsidR="00240C1E" w:rsidRPr="00C25811" w:rsidRDefault="003B3850" w:rsidP="00BC31FD">
      <w:pPr>
        <w:ind w:left="-142"/>
        <w:rPr>
          <w:rStyle w:val="Normalbold"/>
          <w:rFonts w:ascii="Calibri" w:hAnsi="Calibri" w:cstheme="majorBidi"/>
          <w:b/>
          <w:bCs/>
          <w:snapToGrid w:val="0"/>
          <w:color w:val="4E1A74"/>
        </w:rPr>
      </w:pPr>
      <w:r w:rsidRPr="00C25811">
        <w:rPr>
          <w:rStyle w:val="Normalbold"/>
        </w:rPr>
        <w:t>Inspections should be performed during the licence holder’s normal working hours unless special circumstances dictate otherwise</w:t>
      </w:r>
      <w:r w:rsidR="007F60E6" w:rsidRPr="00C25811">
        <w:rPr>
          <w:rStyle w:val="Normalbold"/>
        </w:rPr>
        <w:t xml:space="preserve">. </w:t>
      </w:r>
      <w:r w:rsidRPr="00C25811">
        <w:rPr>
          <w:rStyle w:val="Normalbold"/>
        </w:rPr>
        <w:t xml:space="preserve">If performing an inspection outside working hours the consent of the licence holder or occupier of the premises </w:t>
      </w:r>
      <w:r w:rsidR="00884F28" w:rsidRPr="00C25811">
        <w:rPr>
          <w:rStyle w:val="Normalbold"/>
        </w:rPr>
        <w:t>should be obtained</w:t>
      </w:r>
      <w:r w:rsidR="007F60E6" w:rsidRPr="00C25811">
        <w:rPr>
          <w:rStyle w:val="Normalbold"/>
        </w:rPr>
        <w:t xml:space="preserve">. </w:t>
      </w:r>
      <w:r w:rsidR="00240C1E" w:rsidRPr="00C25811">
        <w:rPr>
          <w:rStyle w:val="Normalbold"/>
        </w:rPr>
        <w:t>Whe</w:t>
      </w:r>
      <w:r w:rsidR="006E5BE7" w:rsidRPr="00C25811">
        <w:rPr>
          <w:rStyle w:val="Normalbold"/>
        </w:rPr>
        <w:t>re</w:t>
      </w:r>
      <w:r w:rsidR="00240C1E" w:rsidRPr="00C25811">
        <w:rPr>
          <w:rStyle w:val="Normalbold"/>
        </w:rPr>
        <w:t xml:space="preserve"> possible </w:t>
      </w:r>
      <w:r w:rsidR="00CF5A0D" w:rsidRPr="00C25811">
        <w:rPr>
          <w:rStyle w:val="Normalbold"/>
        </w:rPr>
        <w:t xml:space="preserve">the </w:t>
      </w:r>
      <w:r w:rsidR="000F4257" w:rsidRPr="00C25811">
        <w:rPr>
          <w:rStyle w:val="Normalbold"/>
        </w:rPr>
        <w:t xml:space="preserve">timing </w:t>
      </w:r>
      <w:r w:rsidR="00CF5A0D" w:rsidRPr="00C25811">
        <w:rPr>
          <w:rStyle w:val="Normalbold"/>
        </w:rPr>
        <w:t xml:space="preserve">should </w:t>
      </w:r>
      <w:r w:rsidR="00240C1E" w:rsidRPr="00C25811">
        <w:rPr>
          <w:rStyle w:val="Normalbold"/>
        </w:rPr>
        <w:t xml:space="preserve">consider </w:t>
      </w:r>
      <w:r w:rsidR="00CF5A0D" w:rsidRPr="00C25811">
        <w:rPr>
          <w:rStyle w:val="Normalbold"/>
        </w:rPr>
        <w:t xml:space="preserve">the </w:t>
      </w:r>
      <w:r w:rsidR="00684B3B" w:rsidRPr="00C25811">
        <w:rPr>
          <w:rStyle w:val="Normalbold"/>
        </w:rPr>
        <w:t>licence holder</w:t>
      </w:r>
      <w:r w:rsidR="00CF5A0D" w:rsidRPr="00C25811">
        <w:rPr>
          <w:rStyle w:val="Normalbold"/>
        </w:rPr>
        <w:t>’s operations.</w:t>
      </w:r>
    </w:p>
    <w:p w14:paraId="3DB01E64" w14:textId="57D459FE" w:rsidR="008104A6" w:rsidRDefault="008104A6" w:rsidP="00122B75">
      <w:pPr>
        <w:pStyle w:val="Heading2"/>
        <w:numPr>
          <w:ilvl w:val="1"/>
          <w:numId w:val="53"/>
        </w:numPr>
        <w:tabs>
          <w:tab w:val="clear" w:pos="851"/>
          <w:tab w:val="left" w:pos="1276"/>
        </w:tabs>
        <w:spacing w:before="240"/>
        <w:ind w:hanging="787"/>
      </w:pPr>
      <w:bookmarkStart w:id="38" w:name="_Toc492399366"/>
      <w:r w:rsidRPr="00DA4BDB">
        <w:t>Notification</w:t>
      </w:r>
      <w:bookmarkEnd w:id="38"/>
      <w:r w:rsidR="00AD384F" w:rsidRPr="00DA4BDB">
        <w:t xml:space="preserve"> </w:t>
      </w:r>
    </w:p>
    <w:p w14:paraId="288AC217" w14:textId="5C5FC42D" w:rsidR="00B35930" w:rsidRPr="00C25811" w:rsidRDefault="000C1F74" w:rsidP="00BC31FD">
      <w:pPr>
        <w:ind w:left="-142"/>
        <w:rPr>
          <w:rStyle w:val="Normalbold"/>
        </w:rPr>
      </w:pPr>
      <w:r w:rsidRPr="00C25811">
        <w:rPr>
          <w:rStyle w:val="Normalbold"/>
        </w:rPr>
        <w:t>For scheduled</w:t>
      </w:r>
      <w:r w:rsidR="003E1248">
        <w:rPr>
          <w:rStyle w:val="Normalbold"/>
        </w:rPr>
        <w:t xml:space="preserve"> and </w:t>
      </w:r>
      <w:r w:rsidR="009E4507">
        <w:rPr>
          <w:rStyle w:val="Normalbold"/>
        </w:rPr>
        <w:t>reactive</w:t>
      </w:r>
      <w:r w:rsidRPr="00C25811">
        <w:rPr>
          <w:rStyle w:val="Normalbold"/>
        </w:rPr>
        <w:t xml:space="preserve"> inspections p</w:t>
      </w:r>
      <w:r w:rsidR="00B35930" w:rsidRPr="00C25811">
        <w:rPr>
          <w:rStyle w:val="Normalbold"/>
        </w:rPr>
        <w:t xml:space="preserve">rior notification must be </w:t>
      </w:r>
      <w:r w:rsidRPr="00C25811">
        <w:rPr>
          <w:rStyle w:val="Normalbold"/>
        </w:rPr>
        <w:t xml:space="preserve">provided </w:t>
      </w:r>
      <w:r w:rsidR="00B35930" w:rsidRPr="00C25811">
        <w:rPr>
          <w:rStyle w:val="Normalbold"/>
        </w:rPr>
        <w:t>to avoid disruption of the licence holder’s operations and to ensure that appropriate personnel are available</w:t>
      </w:r>
      <w:r w:rsidR="007F60E6" w:rsidRPr="00C25811">
        <w:rPr>
          <w:rStyle w:val="Normalbold"/>
        </w:rPr>
        <w:t xml:space="preserve">. </w:t>
      </w:r>
    </w:p>
    <w:p w14:paraId="19F09DF7" w14:textId="4E8FF3C1" w:rsidR="00B140FD" w:rsidRPr="00C25811" w:rsidRDefault="006B1CBE" w:rsidP="00BC31FD">
      <w:pPr>
        <w:ind w:left="-142"/>
        <w:rPr>
          <w:rStyle w:val="Normalbold"/>
          <w:rFonts w:ascii="Calibri" w:hAnsi="Calibri" w:cstheme="majorBidi"/>
          <w:b/>
          <w:bCs/>
          <w:snapToGrid w:val="0"/>
          <w:color w:val="4E1A74"/>
        </w:rPr>
      </w:pPr>
      <w:r w:rsidRPr="00C25811">
        <w:rPr>
          <w:rStyle w:val="Normalbold"/>
        </w:rPr>
        <w:t xml:space="preserve">The </w:t>
      </w:r>
      <w:r w:rsidR="00684B3B" w:rsidRPr="00C25811">
        <w:rPr>
          <w:rStyle w:val="Normalbold"/>
        </w:rPr>
        <w:t>l</w:t>
      </w:r>
      <w:r w:rsidRPr="00C25811">
        <w:rPr>
          <w:rStyle w:val="Normalbold"/>
        </w:rPr>
        <w:t xml:space="preserve">ead </w:t>
      </w:r>
      <w:r w:rsidR="00684B3B" w:rsidRPr="00C25811">
        <w:rPr>
          <w:rStyle w:val="Normalbold"/>
        </w:rPr>
        <w:t>i</w:t>
      </w:r>
      <w:r w:rsidRPr="00C25811">
        <w:rPr>
          <w:rStyle w:val="Normalbold"/>
        </w:rPr>
        <w:t xml:space="preserve">nspector </w:t>
      </w:r>
      <w:r w:rsidR="000C1F74" w:rsidRPr="00C25811">
        <w:rPr>
          <w:rStyle w:val="Normalbold"/>
        </w:rPr>
        <w:t xml:space="preserve">should </w:t>
      </w:r>
      <w:r w:rsidR="004B14B9" w:rsidRPr="00C25811">
        <w:rPr>
          <w:rStyle w:val="Normalbold"/>
        </w:rPr>
        <w:t xml:space="preserve">send an </w:t>
      </w:r>
      <w:r w:rsidRPr="00C25811">
        <w:rPr>
          <w:rStyle w:val="Normalbold"/>
        </w:rPr>
        <w:t>email</w:t>
      </w:r>
      <w:r w:rsidR="00F9782C" w:rsidRPr="00C25811">
        <w:rPr>
          <w:rStyle w:val="Normalbold"/>
        </w:rPr>
        <w:t xml:space="preserve"> </w:t>
      </w:r>
      <w:r w:rsidR="004B14B9" w:rsidRPr="00C25811">
        <w:rPr>
          <w:rStyle w:val="Normalbold"/>
        </w:rPr>
        <w:t>notification</w:t>
      </w:r>
      <w:r w:rsidR="009B5584" w:rsidRPr="00C25811">
        <w:rPr>
          <w:rStyle w:val="Normalbold"/>
        </w:rPr>
        <w:t xml:space="preserve"> </w:t>
      </w:r>
      <w:r w:rsidR="00AA6990" w:rsidRPr="00C25811">
        <w:rPr>
          <w:rStyle w:val="Normalbold"/>
        </w:rPr>
        <w:t>to the licence holder/nominee and licence holder contact person at least two weeks prior to the inspection</w:t>
      </w:r>
      <w:r w:rsidR="007F60E6" w:rsidRPr="00C25811">
        <w:rPr>
          <w:rStyle w:val="Normalbold"/>
        </w:rPr>
        <w:t xml:space="preserve">. </w:t>
      </w:r>
      <w:r w:rsidR="00B140FD" w:rsidRPr="00C25811">
        <w:rPr>
          <w:rStyle w:val="Normalbold"/>
        </w:rPr>
        <w:t xml:space="preserve">The notification email should be copied to the relevant </w:t>
      </w:r>
      <w:r w:rsidR="005D6201" w:rsidRPr="00C25811">
        <w:rPr>
          <w:rStyle w:val="Normalbold"/>
        </w:rPr>
        <w:t>director</w:t>
      </w:r>
      <w:r w:rsidR="00B140FD" w:rsidRPr="00C25811">
        <w:rPr>
          <w:rStyle w:val="Normalbold"/>
        </w:rPr>
        <w:t xml:space="preserve">. </w:t>
      </w:r>
    </w:p>
    <w:p w14:paraId="29D64BF2" w14:textId="29559E54" w:rsidR="00B140FD" w:rsidRPr="00C25811" w:rsidRDefault="00B140FD" w:rsidP="00BC31FD">
      <w:pPr>
        <w:ind w:left="-142"/>
        <w:rPr>
          <w:rStyle w:val="Normalbold"/>
        </w:rPr>
      </w:pPr>
      <w:r w:rsidRPr="00C25811">
        <w:rPr>
          <w:rStyle w:val="Normalbold"/>
        </w:rPr>
        <w:t>In the case of an unannounced inspection the notification email must be authorised by the C</w:t>
      </w:r>
      <w:r w:rsidR="002709D2" w:rsidRPr="00C25811">
        <w:rPr>
          <w:rStyle w:val="Normalbold"/>
        </w:rPr>
        <w:t>RO</w:t>
      </w:r>
      <w:r w:rsidRPr="00C25811">
        <w:rPr>
          <w:rStyle w:val="Normalbold"/>
        </w:rPr>
        <w:t xml:space="preserve"> or delegate and provided to the licence holder prior to entry.</w:t>
      </w:r>
    </w:p>
    <w:p w14:paraId="23E24076" w14:textId="77777777" w:rsidR="009B5584" w:rsidRPr="00C25811" w:rsidRDefault="00A55427" w:rsidP="00BC31FD">
      <w:pPr>
        <w:ind w:left="-142"/>
        <w:rPr>
          <w:rStyle w:val="Normalbold"/>
        </w:rPr>
      </w:pPr>
      <w:r w:rsidRPr="00C25811">
        <w:rPr>
          <w:rStyle w:val="Normalbold"/>
        </w:rPr>
        <w:t xml:space="preserve">The notification process </w:t>
      </w:r>
      <w:r w:rsidR="008666E1" w:rsidRPr="00C25811">
        <w:rPr>
          <w:rStyle w:val="Normalbold"/>
        </w:rPr>
        <w:t xml:space="preserve">may </w:t>
      </w:r>
      <w:r w:rsidR="009B5584" w:rsidRPr="00C25811">
        <w:rPr>
          <w:rStyle w:val="Normalbold"/>
        </w:rPr>
        <w:t xml:space="preserve">also </w:t>
      </w:r>
      <w:r w:rsidRPr="00C25811">
        <w:rPr>
          <w:rStyle w:val="Normalbold"/>
        </w:rPr>
        <w:t xml:space="preserve">include phone calls or emails to request documents before the inspection and/or </w:t>
      </w:r>
      <w:r w:rsidR="009B5584" w:rsidRPr="00C25811">
        <w:rPr>
          <w:rStyle w:val="Normalbold"/>
        </w:rPr>
        <w:t xml:space="preserve">to </w:t>
      </w:r>
      <w:r w:rsidRPr="00C25811">
        <w:rPr>
          <w:rStyle w:val="Normalbold"/>
        </w:rPr>
        <w:t xml:space="preserve">identify any documents to be produced at the inspection (such as internal audit reports, logbooks). Inspectors should identify persons or groups required for interview, any plant and equipment to be available, and any demonstration that may be required. </w:t>
      </w:r>
    </w:p>
    <w:p w14:paraId="031E178A" w14:textId="322C2884" w:rsidR="00BA233D" w:rsidRPr="00C25811" w:rsidRDefault="00BA233D" w:rsidP="00BC31FD">
      <w:pPr>
        <w:ind w:left="-142"/>
        <w:rPr>
          <w:rStyle w:val="Normalbold"/>
        </w:rPr>
      </w:pPr>
      <w:r w:rsidRPr="00C25811">
        <w:rPr>
          <w:rStyle w:val="Normalbold"/>
        </w:rPr>
        <w:t xml:space="preserve">For </w:t>
      </w:r>
      <w:r w:rsidR="00236862" w:rsidRPr="00C25811">
        <w:rPr>
          <w:rStyle w:val="Normalbold"/>
        </w:rPr>
        <w:t>e-inspection</w:t>
      </w:r>
      <w:r w:rsidRPr="00C25811">
        <w:rPr>
          <w:rStyle w:val="Normalbold"/>
        </w:rPr>
        <w:t xml:space="preserve">s the notification will include a request for specific information </w:t>
      </w:r>
      <w:r w:rsidR="00DA7F52" w:rsidRPr="00C25811">
        <w:rPr>
          <w:rStyle w:val="Normalbold"/>
        </w:rPr>
        <w:t xml:space="preserve">and declaration </w:t>
      </w:r>
      <w:r w:rsidRPr="00C25811">
        <w:rPr>
          <w:rStyle w:val="Normalbold"/>
        </w:rPr>
        <w:t>(see</w:t>
      </w:r>
      <w:r w:rsidR="00F909D7">
        <w:rPr>
          <w:rStyle w:val="Normalbold"/>
        </w:rPr>
        <w:t xml:space="preserve"> template</w:t>
      </w:r>
      <w:r w:rsidR="000C2D2B">
        <w:rPr>
          <w:rStyle w:val="Normalbold"/>
        </w:rPr>
        <w:t>s</w:t>
      </w:r>
      <w:r w:rsidR="00F909D7">
        <w:rPr>
          <w:rStyle w:val="Normalbold"/>
        </w:rPr>
        <w:t>)</w:t>
      </w:r>
      <w:r w:rsidRPr="00C25811">
        <w:rPr>
          <w:rStyle w:val="Normalbold"/>
        </w:rPr>
        <w:t>. The date for submission will typically be 14 days from the date of notification</w:t>
      </w:r>
      <w:r w:rsidR="007F60E6" w:rsidRPr="00C25811">
        <w:rPr>
          <w:rStyle w:val="Normalbold"/>
        </w:rPr>
        <w:t xml:space="preserve">. </w:t>
      </w:r>
    </w:p>
    <w:p w14:paraId="70E17D0D" w14:textId="411B0592" w:rsidR="00B140FD" w:rsidRPr="00C25811" w:rsidRDefault="00A55427" w:rsidP="00BC31FD">
      <w:pPr>
        <w:ind w:left="-142"/>
        <w:rPr>
          <w:rStyle w:val="Normalbold"/>
        </w:rPr>
      </w:pPr>
      <w:r w:rsidRPr="00C25811">
        <w:rPr>
          <w:rStyle w:val="Normalbold"/>
        </w:rPr>
        <w:lastRenderedPageBreak/>
        <w:t xml:space="preserve">A </w:t>
      </w:r>
      <w:hyperlink r:id="rId34" w:history="1">
        <w:r w:rsidRPr="00E4302A">
          <w:rPr>
            <w:rStyle w:val="Normalbold"/>
            <w:color w:val="4E1A74" w:themeColor="accent2"/>
            <w:u w:val="single"/>
          </w:rPr>
          <w:t>Workplace Hazard Identification Checklist</w:t>
        </w:r>
      </w:hyperlink>
      <w:r w:rsidRPr="00C25811">
        <w:rPr>
          <w:rStyle w:val="Normalbold"/>
        </w:rPr>
        <w:t xml:space="preserve"> should be emailed to the licence holder for completion prior to the inspection</w:t>
      </w:r>
      <w:r w:rsidR="00E0539F" w:rsidRPr="00C25811">
        <w:rPr>
          <w:rStyle w:val="Normalbold"/>
        </w:rPr>
        <w:t xml:space="preserve"> where possible</w:t>
      </w:r>
      <w:r w:rsidRPr="00C25811">
        <w:rPr>
          <w:rStyle w:val="Normalbold"/>
        </w:rPr>
        <w:t xml:space="preserve">. Alternatively, the appraisal of hazards that may be encountered during an inspection may be discussed over the </w:t>
      </w:r>
      <w:r w:rsidR="0032795D" w:rsidRPr="00C25811">
        <w:rPr>
          <w:rStyle w:val="Normalbold"/>
        </w:rPr>
        <w:t xml:space="preserve">phone </w:t>
      </w:r>
      <w:r w:rsidR="008724D4" w:rsidRPr="00C25811">
        <w:rPr>
          <w:rStyle w:val="Normalbold"/>
        </w:rPr>
        <w:t xml:space="preserve">or during the entrance meeting </w:t>
      </w:r>
      <w:r w:rsidRPr="00C25811">
        <w:rPr>
          <w:rStyle w:val="Normalbold"/>
        </w:rPr>
        <w:t>and the information recorded.</w:t>
      </w:r>
      <w:r w:rsidR="004E3E61" w:rsidRPr="00C25811">
        <w:rPr>
          <w:rStyle w:val="Normalbold"/>
        </w:rPr>
        <w:t xml:space="preserve"> </w:t>
      </w:r>
      <w:r w:rsidR="00C260D3">
        <w:rPr>
          <w:rStyle w:val="Normalbold"/>
        </w:rPr>
        <w:t xml:space="preserve">For sites frequently visited </w:t>
      </w:r>
      <w:r w:rsidR="009521F9">
        <w:rPr>
          <w:rStyle w:val="Normalbold"/>
        </w:rPr>
        <w:t xml:space="preserve">the licence holder may be asked to confirm </w:t>
      </w:r>
      <w:r w:rsidR="00C260D3">
        <w:rPr>
          <w:rStyle w:val="Normalbold"/>
        </w:rPr>
        <w:t>known risks</w:t>
      </w:r>
      <w:r w:rsidR="009521F9">
        <w:rPr>
          <w:rStyle w:val="Normalbold"/>
        </w:rPr>
        <w:t xml:space="preserve"> </w:t>
      </w:r>
      <w:r w:rsidR="007472CC">
        <w:rPr>
          <w:rStyle w:val="Normalbold"/>
        </w:rPr>
        <w:t xml:space="preserve">via e-mail </w:t>
      </w:r>
      <w:r w:rsidR="009521F9">
        <w:rPr>
          <w:rStyle w:val="Normalbold"/>
        </w:rPr>
        <w:t>instead of completing the checklist each time.</w:t>
      </w:r>
      <w:r w:rsidR="00C260D3">
        <w:rPr>
          <w:rStyle w:val="Normalbold"/>
        </w:rPr>
        <w:t xml:space="preserve"> </w:t>
      </w:r>
      <w:r w:rsidR="00870FAD" w:rsidRPr="00C25811">
        <w:rPr>
          <w:rStyle w:val="Normalbold"/>
        </w:rPr>
        <w:t xml:space="preserve">Workplace </w:t>
      </w:r>
      <w:r w:rsidR="0030160A">
        <w:rPr>
          <w:rStyle w:val="Normalbold"/>
        </w:rPr>
        <w:t>i</w:t>
      </w:r>
      <w:r w:rsidR="00870FAD" w:rsidRPr="00C25811">
        <w:rPr>
          <w:rStyle w:val="Normalbold"/>
        </w:rPr>
        <w:t xml:space="preserve">dentification </w:t>
      </w:r>
      <w:r w:rsidR="0030160A">
        <w:rPr>
          <w:rStyle w:val="Normalbold"/>
        </w:rPr>
        <w:t>c</w:t>
      </w:r>
      <w:r w:rsidR="00870FAD" w:rsidRPr="00C25811">
        <w:rPr>
          <w:rStyle w:val="Normalbold"/>
        </w:rPr>
        <w:t xml:space="preserve">hecklists </w:t>
      </w:r>
      <w:r w:rsidR="0030160A">
        <w:rPr>
          <w:rStyle w:val="Normalbold"/>
        </w:rPr>
        <w:t xml:space="preserve">or confirmation of risks </w:t>
      </w:r>
      <w:r w:rsidR="00870FAD" w:rsidRPr="00C25811">
        <w:rPr>
          <w:rStyle w:val="Normalbold"/>
        </w:rPr>
        <w:t xml:space="preserve">should be saved ‘alternatively within’ </w:t>
      </w:r>
      <w:r w:rsidR="00BA56C2">
        <w:rPr>
          <w:rStyle w:val="Normalbold"/>
        </w:rPr>
        <w:t>CM</w:t>
      </w:r>
      <w:r w:rsidR="00A96BE4" w:rsidRPr="00C25811">
        <w:rPr>
          <w:rStyle w:val="Normalbold"/>
        </w:rPr>
        <w:t xml:space="preserve"> </w:t>
      </w:r>
      <w:r w:rsidR="00870FAD" w:rsidRPr="00C25811">
        <w:rPr>
          <w:rStyle w:val="Normalbold"/>
        </w:rPr>
        <w:t>container M2014/00435 for WHS purposes</w:t>
      </w:r>
      <w:r w:rsidR="004C0CA3" w:rsidRPr="00C25811">
        <w:rPr>
          <w:rStyle w:val="Normalbold"/>
        </w:rPr>
        <w:t>.</w:t>
      </w:r>
      <w:r w:rsidR="00870FAD" w:rsidRPr="00C25811">
        <w:rPr>
          <w:rStyle w:val="Normalbold"/>
        </w:rPr>
        <w:t xml:space="preserve"> </w:t>
      </w:r>
    </w:p>
    <w:p w14:paraId="0F940F8E" w14:textId="14C95FF4" w:rsidR="00B140FD" w:rsidRPr="00C25811" w:rsidRDefault="00B140FD" w:rsidP="00BC31FD">
      <w:pPr>
        <w:ind w:left="-142"/>
        <w:rPr>
          <w:rStyle w:val="Normalbold"/>
        </w:rPr>
      </w:pPr>
      <w:r w:rsidRPr="00C25811">
        <w:rPr>
          <w:rStyle w:val="Normalbold"/>
        </w:rPr>
        <w:t>The lead inspector must update LAD with details of the inspection when the notification is sent.</w:t>
      </w:r>
    </w:p>
    <w:p w14:paraId="1FB93EDC" w14:textId="44E72B14" w:rsidR="000B2A64" w:rsidRDefault="00993EB0" w:rsidP="00122B75">
      <w:pPr>
        <w:pStyle w:val="Heading2"/>
        <w:numPr>
          <w:ilvl w:val="1"/>
          <w:numId w:val="53"/>
        </w:numPr>
        <w:tabs>
          <w:tab w:val="clear" w:pos="851"/>
          <w:tab w:val="left" w:pos="1276"/>
        </w:tabs>
        <w:spacing w:before="240"/>
        <w:ind w:hanging="787"/>
      </w:pPr>
      <w:bookmarkStart w:id="39" w:name="_Toc492399367"/>
      <w:r>
        <w:t>L</w:t>
      </w:r>
      <w:r w:rsidR="000B2A64">
        <w:t>ogistics</w:t>
      </w:r>
      <w:bookmarkEnd w:id="39"/>
    </w:p>
    <w:p w14:paraId="20AD4D7F" w14:textId="3FA10C7D" w:rsidR="009B1829" w:rsidRPr="00C25811" w:rsidRDefault="006E09CF" w:rsidP="00AD7F24">
      <w:pPr>
        <w:ind w:left="-142"/>
        <w:rPr>
          <w:rStyle w:val="Normalbold"/>
        </w:rPr>
      </w:pPr>
      <w:r w:rsidRPr="00C25811">
        <w:rPr>
          <w:rStyle w:val="Normalbold"/>
        </w:rPr>
        <w:t>R</w:t>
      </w:r>
      <w:r w:rsidR="00684B3B" w:rsidRPr="00C25811">
        <w:rPr>
          <w:rStyle w:val="Normalbold"/>
        </w:rPr>
        <w:t>elevant checklists</w:t>
      </w:r>
      <w:r w:rsidRPr="00C25811">
        <w:rPr>
          <w:rStyle w:val="Normalbold"/>
        </w:rPr>
        <w:t xml:space="preserve"> should be </w:t>
      </w:r>
      <w:proofErr w:type="gramStart"/>
      <w:r w:rsidRPr="00C25811">
        <w:rPr>
          <w:rStyle w:val="Normalbold"/>
        </w:rPr>
        <w:t>prepared</w:t>
      </w:r>
      <w:proofErr w:type="gramEnd"/>
      <w:r w:rsidRPr="00C25811">
        <w:rPr>
          <w:rStyle w:val="Normalbold"/>
        </w:rPr>
        <w:t xml:space="preserve"> and any </w:t>
      </w:r>
      <w:r w:rsidR="009B1829" w:rsidRPr="00C25811">
        <w:rPr>
          <w:rStyle w:val="Normalbold"/>
        </w:rPr>
        <w:t>equipment</w:t>
      </w:r>
      <w:r w:rsidRPr="00C25811">
        <w:rPr>
          <w:rStyle w:val="Normalbold"/>
        </w:rPr>
        <w:t xml:space="preserve"> identified</w:t>
      </w:r>
      <w:r w:rsidR="000C1F74" w:rsidRPr="00C25811">
        <w:rPr>
          <w:rStyle w:val="Normalbold"/>
        </w:rPr>
        <w:t>.</w:t>
      </w:r>
      <w:r w:rsidRPr="00C25811">
        <w:rPr>
          <w:rStyle w:val="Normalbold"/>
        </w:rPr>
        <w:t xml:space="preserve"> </w:t>
      </w:r>
      <w:r w:rsidR="000C1F74" w:rsidRPr="00C25811">
        <w:rPr>
          <w:rStyle w:val="Normalbold"/>
        </w:rPr>
        <w:t xml:space="preserve">For </w:t>
      </w:r>
      <w:r w:rsidRPr="00C25811">
        <w:rPr>
          <w:rStyle w:val="Normalbold"/>
        </w:rPr>
        <w:t>example</w:t>
      </w:r>
      <w:r w:rsidR="000C1F74" w:rsidRPr="00C25811">
        <w:rPr>
          <w:rStyle w:val="Normalbold"/>
        </w:rPr>
        <w:t>:</w:t>
      </w:r>
      <w:r w:rsidR="009B1829" w:rsidRPr="00C25811">
        <w:rPr>
          <w:rStyle w:val="Normalbold"/>
        </w:rPr>
        <w:t xml:space="preserve"> radiation </w:t>
      </w:r>
      <w:r w:rsidR="000C1F74" w:rsidRPr="00C25811">
        <w:rPr>
          <w:rStyle w:val="Normalbold"/>
        </w:rPr>
        <w:t>detection equipment</w:t>
      </w:r>
      <w:r w:rsidR="00352952">
        <w:rPr>
          <w:rStyle w:val="Normalbold"/>
        </w:rPr>
        <w:t xml:space="preserve"> (see </w:t>
      </w:r>
      <w:hyperlink w:anchor="_Appendix_4:_Report" w:history="1">
        <w:r w:rsidR="00352952" w:rsidRPr="00AD7F24">
          <w:rPr>
            <w:rStyle w:val="Hyperlink"/>
            <w:rFonts w:eastAsia="Calibri"/>
          </w:rPr>
          <w:t>Appendi</w:t>
        </w:r>
        <w:r w:rsidR="00885AB2">
          <w:rPr>
            <w:rStyle w:val="Hyperlink"/>
            <w:rFonts w:eastAsia="Calibri"/>
          </w:rPr>
          <w:t>x 3</w:t>
        </w:r>
      </w:hyperlink>
      <w:r w:rsidR="00352952" w:rsidRPr="00C25811">
        <w:rPr>
          <w:rStyle w:val="Normalbold"/>
        </w:rPr>
        <w:t>)</w:t>
      </w:r>
      <w:r w:rsidR="000C1F74" w:rsidRPr="00C25811">
        <w:rPr>
          <w:rStyle w:val="Normalbold"/>
        </w:rPr>
        <w:t>, specialised safety equipment</w:t>
      </w:r>
      <w:r w:rsidR="005E5469" w:rsidRPr="00C25811">
        <w:rPr>
          <w:rStyle w:val="Normalbold"/>
        </w:rPr>
        <w:t xml:space="preserve"> or</w:t>
      </w:r>
      <w:r w:rsidR="009B1829" w:rsidRPr="00C25811">
        <w:rPr>
          <w:rStyle w:val="Normalbold"/>
        </w:rPr>
        <w:t xml:space="preserve"> </w:t>
      </w:r>
      <w:r w:rsidR="000C1F74" w:rsidRPr="00C25811">
        <w:rPr>
          <w:rStyle w:val="Normalbold"/>
        </w:rPr>
        <w:t xml:space="preserve">other electronics such as </w:t>
      </w:r>
      <w:r w:rsidR="009B1829" w:rsidRPr="00C25811">
        <w:rPr>
          <w:rStyle w:val="Normalbold"/>
        </w:rPr>
        <w:t xml:space="preserve">recording devices. </w:t>
      </w:r>
    </w:p>
    <w:p w14:paraId="1C025EA2" w14:textId="069A6F16" w:rsidR="00EF4ED7" w:rsidRPr="00C25811" w:rsidRDefault="006E09CF" w:rsidP="00BC31FD">
      <w:pPr>
        <w:ind w:left="-142"/>
        <w:rPr>
          <w:rStyle w:val="Normalbold"/>
          <w:rFonts w:ascii="Calibri" w:hAnsi="Calibri" w:cstheme="majorBidi"/>
          <w:b/>
          <w:bCs/>
          <w:snapToGrid w:val="0"/>
          <w:color w:val="4E1A74"/>
        </w:rPr>
      </w:pPr>
      <w:r w:rsidRPr="00C25811">
        <w:rPr>
          <w:rStyle w:val="Normalbold"/>
        </w:rPr>
        <w:t>The lead inspector should determine t</w:t>
      </w:r>
      <w:r w:rsidR="009B1829" w:rsidRPr="00C25811">
        <w:rPr>
          <w:rStyle w:val="Normalbold"/>
        </w:rPr>
        <w:t>he inspection timetable and travel arrangements and co-ordinate with any team members outside of R</w:t>
      </w:r>
      <w:r w:rsidR="000C2D2B">
        <w:rPr>
          <w:rStyle w:val="Normalbold"/>
        </w:rPr>
        <w:t>SB</w:t>
      </w:r>
      <w:r w:rsidR="007F60E6" w:rsidRPr="00C25811">
        <w:rPr>
          <w:rStyle w:val="Normalbold"/>
        </w:rPr>
        <w:t xml:space="preserve">. </w:t>
      </w:r>
      <w:r w:rsidRPr="00C25811">
        <w:rPr>
          <w:rStyle w:val="Normalbold"/>
        </w:rPr>
        <w:t>A</w:t>
      </w:r>
      <w:r w:rsidR="000628A7" w:rsidRPr="00C25811">
        <w:rPr>
          <w:rStyle w:val="Normalbold"/>
        </w:rPr>
        <w:t xml:space="preserve">pprovals </w:t>
      </w:r>
      <w:r w:rsidRPr="00C25811">
        <w:rPr>
          <w:rStyle w:val="Normalbold"/>
        </w:rPr>
        <w:t xml:space="preserve">are sought </w:t>
      </w:r>
      <w:r w:rsidR="000628A7" w:rsidRPr="00C25811">
        <w:rPr>
          <w:rStyle w:val="Normalbold"/>
        </w:rPr>
        <w:t>as necessary</w:t>
      </w:r>
      <w:r w:rsidR="005B26D1">
        <w:rPr>
          <w:rStyle w:val="Normalbold"/>
        </w:rPr>
        <w:t xml:space="preserve"> (as per paragraphs 1.13 - 1.14)</w:t>
      </w:r>
      <w:r w:rsidR="00AD7F24">
        <w:rPr>
          <w:rStyle w:val="Normalbold"/>
        </w:rPr>
        <w:t xml:space="preserve">. </w:t>
      </w:r>
    </w:p>
    <w:p w14:paraId="21F52859" w14:textId="79DADF08" w:rsidR="008104A6" w:rsidRPr="00ED7A54" w:rsidRDefault="004C7DA5" w:rsidP="00122B75">
      <w:pPr>
        <w:pStyle w:val="Heading1"/>
        <w:numPr>
          <w:ilvl w:val="0"/>
          <w:numId w:val="46"/>
        </w:numPr>
        <w:tabs>
          <w:tab w:val="clear" w:pos="851"/>
          <w:tab w:val="left" w:pos="567"/>
        </w:tabs>
        <w:spacing w:before="480"/>
        <w:ind w:left="567" w:hanging="709"/>
        <w:rPr>
          <w:rStyle w:val="Normalbold"/>
          <w:color w:val="154C15" w:themeColor="accent1" w:themeShade="80"/>
          <w:sz w:val="36"/>
          <w:szCs w:val="36"/>
        </w:rPr>
      </w:pPr>
      <w:bookmarkStart w:id="40" w:name="_Toc483572283"/>
      <w:bookmarkStart w:id="41" w:name="_Toc492399368"/>
      <w:r w:rsidRPr="00ED7A54">
        <w:rPr>
          <w:rStyle w:val="Normalbold"/>
          <w:color w:val="154C15" w:themeColor="accent1" w:themeShade="80"/>
          <w:sz w:val="36"/>
          <w:szCs w:val="36"/>
        </w:rPr>
        <w:t>Co</w:t>
      </w:r>
      <w:r w:rsidR="006A5FB5" w:rsidRPr="00ED7A54">
        <w:rPr>
          <w:rStyle w:val="Normalbold"/>
          <w:color w:val="154C15" w:themeColor="accent1" w:themeShade="80"/>
          <w:sz w:val="36"/>
          <w:szCs w:val="36"/>
        </w:rPr>
        <w:t>n</w:t>
      </w:r>
      <w:r w:rsidRPr="00ED7A54">
        <w:rPr>
          <w:rStyle w:val="Normalbold"/>
          <w:color w:val="154C15" w:themeColor="accent1" w:themeShade="80"/>
          <w:sz w:val="36"/>
          <w:szCs w:val="36"/>
        </w:rPr>
        <w:t>duct</w:t>
      </w:r>
      <w:r w:rsidR="00481859" w:rsidRPr="00ED7A54">
        <w:rPr>
          <w:rStyle w:val="Normalbold"/>
          <w:color w:val="154C15" w:themeColor="accent1" w:themeShade="80"/>
          <w:sz w:val="36"/>
          <w:szCs w:val="36"/>
        </w:rPr>
        <w:t xml:space="preserve">ing the </w:t>
      </w:r>
      <w:r w:rsidR="006A5FB5" w:rsidRPr="00ED7A54">
        <w:rPr>
          <w:rStyle w:val="Normalbold"/>
          <w:color w:val="154C15" w:themeColor="accent1" w:themeShade="80"/>
          <w:sz w:val="36"/>
          <w:szCs w:val="36"/>
        </w:rPr>
        <w:t>i</w:t>
      </w:r>
      <w:r w:rsidR="00CF41BA" w:rsidRPr="00ED7A54">
        <w:rPr>
          <w:rStyle w:val="Normalbold"/>
          <w:color w:val="154C15" w:themeColor="accent1" w:themeShade="80"/>
          <w:sz w:val="36"/>
          <w:szCs w:val="36"/>
        </w:rPr>
        <w:t>nspection</w:t>
      </w:r>
      <w:bookmarkEnd w:id="40"/>
      <w:bookmarkEnd w:id="41"/>
    </w:p>
    <w:p w14:paraId="55199A59" w14:textId="66207C6D" w:rsidR="001F10A6" w:rsidRDefault="008104A6" w:rsidP="00122B75">
      <w:pPr>
        <w:pStyle w:val="Heading2"/>
        <w:numPr>
          <w:ilvl w:val="1"/>
          <w:numId w:val="53"/>
        </w:numPr>
        <w:ind w:left="1276" w:hanging="567"/>
      </w:pPr>
      <w:bookmarkStart w:id="42" w:name="_Toc492399369"/>
      <w:r w:rsidRPr="001F10A6">
        <w:t xml:space="preserve">Entrance </w:t>
      </w:r>
      <w:r w:rsidR="00125C83">
        <w:t>m</w:t>
      </w:r>
      <w:r w:rsidRPr="001F10A6">
        <w:t>eeting</w:t>
      </w:r>
      <w:bookmarkEnd w:id="42"/>
    </w:p>
    <w:p w14:paraId="52433521" w14:textId="561ACFFA" w:rsidR="001F10A6" w:rsidRPr="00C25811" w:rsidRDefault="006E09CF" w:rsidP="00BC31FD">
      <w:pPr>
        <w:ind w:left="-142"/>
        <w:rPr>
          <w:rFonts w:eastAsia="Times New Roman"/>
        </w:rPr>
      </w:pPr>
      <w:r w:rsidRPr="00C25811">
        <w:rPr>
          <w:rFonts w:eastAsia="Times New Roman"/>
        </w:rPr>
        <w:t>A</w:t>
      </w:r>
      <w:r w:rsidR="001F10A6" w:rsidRPr="00C25811">
        <w:rPr>
          <w:rFonts w:eastAsia="Times New Roman"/>
        </w:rPr>
        <w:t>n initial meeting with licence holder</w:t>
      </w:r>
      <w:r w:rsidR="00D03B62" w:rsidRPr="00C25811">
        <w:rPr>
          <w:rFonts w:eastAsia="Times New Roman"/>
        </w:rPr>
        <w:t xml:space="preserve"> </w:t>
      </w:r>
      <w:r w:rsidR="001F10A6" w:rsidRPr="00C25811">
        <w:rPr>
          <w:rFonts w:eastAsia="Times New Roman"/>
        </w:rPr>
        <w:t xml:space="preserve">representatives </w:t>
      </w:r>
      <w:r w:rsidRPr="00C25811">
        <w:rPr>
          <w:rFonts w:eastAsia="Times New Roman"/>
        </w:rPr>
        <w:t xml:space="preserve">is </w:t>
      </w:r>
      <w:r w:rsidR="000C1F74" w:rsidRPr="00C25811">
        <w:rPr>
          <w:rFonts w:eastAsia="Times New Roman"/>
        </w:rPr>
        <w:t xml:space="preserve">typically </w:t>
      </w:r>
      <w:r w:rsidRPr="00C25811">
        <w:rPr>
          <w:rFonts w:eastAsia="Times New Roman"/>
        </w:rPr>
        <w:t xml:space="preserve">held </w:t>
      </w:r>
      <w:r w:rsidR="001F10A6" w:rsidRPr="00C25811">
        <w:rPr>
          <w:rFonts w:eastAsia="Times New Roman"/>
        </w:rPr>
        <w:t xml:space="preserve">for introductions and to: </w:t>
      </w:r>
    </w:p>
    <w:p w14:paraId="775A02EF" w14:textId="382BD84D" w:rsidR="001F10A6" w:rsidRPr="00C25811" w:rsidRDefault="000C2D2B" w:rsidP="00FC0BB7">
      <w:pPr>
        <w:pStyle w:val="ListParagraph"/>
        <w:numPr>
          <w:ilvl w:val="0"/>
          <w:numId w:val="1"/>
        </w:numPr>
        <w:ind w:left="993" w:hanging="426"/>
        <w:rPr>
          <w:rFonts w:eastAsia="Times New Roman"/>
          <w:snapToGrid w:val="0"/>
        </w:rPr>
      </w:pPr>
      <w:r>
        <w:rPr>
          <w:rFonts w:eastAsia="Times New Roman"/>
          <w:snapToGrid w:val="0"/>
        </w:rPr>
        <w:t>c</w:t>
      </w:r>
      <w:r w:rsidR="001F10A6" w:rsidRPr="00C25811">
        <w:rPr>
          <w:rFonts w:eastAsia="Times New Roman"/>
          <w:snapToGrid w:val="0"/>
        </w:rPr>
        <w:t>onfirm inspection purposes, scope, and timetable. In case of a</w:t>
      </w:r>
      <w:r w:rsidR="004E6002" w:rsidRPr="00C25811">
        <w:rPr>
          <w:rFonts w:eastAsia="Times New Roman"/>
          <w:snapToGrid w:val="0"/>
        </w:rPr>
        <w:t>n unannounced</w:t>
      </w:r>
      <w:r w:rsidR="001F10A6" w:rsidRPr="00C25811">
        <w:rPr>
          <w:rFonts w:eastAsia="Times New Roman"/>
          <w:snapToGrid w:val="0"/>
        </w:rPr>
        <w:t xml:space="preserve"> inspection, the inspection </w:t>
      </w:r>
      <w:r w:rsidR="004E6002" w:rsidRPr="00C25811">
        <w:rPr>
          <w:rFonts w:eastAsia="Times New Roman"/>
          <w:snapToGrid w:val="0"/>
        </w:rPr>
        <w:t>notific</w:t>
      </w:r>
      <w:r w:rsidR="001F10A6" w:rsidRPr="00C25811">
        <w:rPr>
          <w:rFonts w:eastAsia="Times New Roman"/>
          <w:snapToGrid w:val="0"/>
        </w:rPr>
        <w:t>ation letter</w:t>
      </w:r>
      <w:r w:rsidR="004E6002" w:rsidRPr="00C25811">
        <w:rPr>
          <w:rFonts w:eastAsia="Times New Roman"/>
          <w:snapToGrid w:val="0"/>
        </w:rPr>
        <w:t xml:space="preserve"> (signed by the branch head)</w:t>
      </w:r>
      <w:r w:rsidR="001F10A6" w:rsidRPr="00C25811">
        <w:rPr>
          <w:rFonts w:eastAsia="Times New Roman"/>
          <w:snapToGrid w:val="0"/>
        </w:rPr>
        <w:t xml:space="preserve"> is shown to the licence holder</w:t>
      </w:r>
    </w:p>
    <w:p w14:paraId="1F0D487F" w14:textId="275E5B05" w:rsidR="00E1525A" w:rsidRDefault="000C2D2B" w:rsidP="00FC0BB7">
      <w:pPr>
        <w:pStyle w:val="ListParagraph"/>
        <w:numPr>
          <w:ilvl w:val="0"/>
          <w:numId w:val="1"/>
        </w:numPr>
        <w:ind w:left="993" w:hanging="426"/>
        <w:rPr>
          <w:rFonts w:eastAsia="Times New Roman"/>
          <w:snapToGrid w:val="0"/>
        </w:rPr>
      </w:pPr>
      <w:r>
        <w:rPr>
          <w:rFonts w:eastAsia="Times New Roman"/>
          <w:snapToGrid w:val="0"/>
        </w:rPr>
        <w:t>i</w:t>
      </w:r>
      <w:r w:rsidR="008E78CC" w:rsidRPr="008E78CC">
        <w:rPr>
          <w:rFonts w:eastAsia="Times New Roman"/>
          <w:snapToGrid w:val="0"/>
        </w:rPr>
        <w:t xml:space="preserve">dentify specific areas </w:t>
      </w:r>
      <w:r w:rsidR="008E78CC">
        <w:rPr>
          <w:rFonts w:eastAsia="Times New Roman"/>
          <w:snapToGrid w:val="0"/>
        </w:rPr>
        <w:t xml:space="preserve">within a </w:t>
      </w:r>
      <w:proofErr w:type="gramStart"/>
      <w:r w:rsidR="008E78CC" w:rsidRPr="008E78CC">
        <w:rPr>
          <w:rFonts w:eastAsia="Times New Roman"/>
          <w:snapToGrid w:val="0"/>
        </w:rPr>
        <w:t>facilit</w:t>
      </w:r>
      <w:r w:rsidR="008E78CC">
        <w:rPr>
          <w:rFonts w:eastAsia="Times New Roman"/>
          <w:snapToGrid w:val="0"/>
        </w:rPr>
        <w:t>y</w:t>
      </w:r>
      <w:r w:rsidR="008E78CC" w:rsidRPr="008E78CC">
        <w:rPr>
          <w:rFonts w:eastAsia="Times New Roman"/>
          <w:snapToGrid w:val="0"/>
        </w:rPr>
        <w:t>/sources</w:t>
      </w:r>
      <w:proofErr w:type="gramEnd"/>
      <w:r w:rsidR="008E78CC" w:rsidRPr="008E78CC">
        <w:rPr>
          <w:rFonts w:eastAsia="Times New Roman"/>
          <w:snapToGrid w:val="0"/>
        </w:rPr>
        <w:t xml:space="preserve"> to be seen &amp; </w:t>
      </w:r>
      <w:r w:rsidR="008E78CC">
        <w:rPr>
          <w:rFonts w:eastAsia="Times New Roman"/>
          <w:snapToGrid w:val="0"/>
        </w:rPr>
        <w:t xml:space="preserve">arrange for appropriate </w:t>
      </w:r>
      <w:r w:rsidR="008E78CC" w:rsidRPr="008E78CC">
        <w:rPr>
          <w:rFonts w:eastAsia="Times New Roman"/>
          <w:snapToGrid w:val="0"/>
        </w:rPr>
        <w:t xml:space="preserve">personnel </w:t>
      </w:r>
      <w:r w:rsidR="008E78CC">
        <w:rPr>
          <w:rFonts w:eastAsia="Times New Roman"/>
          <w:snapToGrid w:val="0"/>
        </w:rPr>
        <w:t>to be present</w:t>
      </w:r>
      <w:r w:rsidR="00B87D7E">
        <w:rPr>
          <w:rFonts w:eastAsia="Times New Roman"/>
          <w:snapToGrid w:val="0"/>
        </w:rPr>
        <w:t>. It may not be necessary for all requested personnel to be present for the duration of the entire inspection.</w:t>
      </w:r>
    </w:p>
    <w:p w14:paraId="1FC5BD51" w14:textId="32749C42" w:rsidR="00E1525A" w:rsidRDefault="000C2D2B" w:rsidP="00FC0BB7">
      <w:pPr>
        <w:pStyle w:val="ListParagraph"/>
        <w:numPr>
          <w:ilvl w:val="0"/>
          <w:numId w:val="1"/>
        </w:numPr>
        <w:ind w:left="993" w:hanging="426"/>
        <w:rPr>
          <w:rFonts w:eastAsia="Times New Roman"/>
          <w:snapToGrid w:val="0"/>
        </w:rPr>
      </w:pPr>
      <w:r>
        <w:rPr>
          <w:rFonts w:eastAsia="Times New Roman"/>
          <w:snapToGrid w:val="0"/>
        </w:rPr>
        <w:t>r</w:t>
      </w:r>
      <w:r w:rsidR="00E1525A" w:rsidRPr="008E78CC">
        <w:rPr>
          <w:rFonts w:eastAsia="Times New Roman"/>
          <w:snapToGrid w:val="0"/>
        </w:rPr>
        <w:t>eiterate inspection criteria</w:t>
      </w:r>
      <w:r w:rsidR="00B87D7E">
        <w:rPr>
          <w:rFonts w:eastAsia="Times New Roman"/>
          <w:snapToGrid w:val="0"/>
        </w:rPr>
        <w:t xml:space="preserve"> (including POC)</w:t>
      </w:r>
    </w:p>
    <w:p w14:paraId="3DD3907A" w14:textId="5270A0F2" w:rsidR="008E78CC" w:rsidRPr="00C25811" w:rsidRDefault="000C2D2B" w:rsidP="00FC0BB7">
      <w:pPr>
        <w:pStyle w:val="ListParagraph"/>
        <w:numPr>
          <w:ilvl w:val="0"/>
          <w:numId w:val="1"/>
        </w:numPr>
        <w:ind w:left="993" w:hanging="426"/>
        <w:rPr>
          <w:rFonts w:eastAsia="Times New Roman"/>
          <w:snapToGrid w:val="0"/>
        </w:rPr>
      </w:pPr>
      <w:r>
        <w:rPr>
          <w:rFonts w:eastAsia="Times New Roman"/>
          <w:snapToGrid w:val="0"/>
        </w:rPr>
        <w:t>e</w:t>
      </w:r>
      <w:r w:rsidR="008E78CC" w:rsidRPr="00C25811">
        <w:rPr>
          <w:rFonts w:eastAsia="Times New Roman"/>
          <w:snapToGrid w:val="0"/>
        </w:rPr>
        <w:t>xplain the role of inspectors</w:t>
      </w:r>
      <w:r w:rsidR="008E78CC">
        <w:rPr>
          <w:rFonts w:eastAsia="Times New Roman"/>
          <w:snapToGrid w:val="0"/>
        </w:rPr>
        <w:t xml:space="preserve"> </w:t>
      </w:r>
    </w:p>
    <w:p w14:paraId="545D80B7" w14:textId="7D324D25" w:rsidR="001F10A6" w:rsidRDefault="000C2D2B" w:rsidP="00FC0BB7">
      <w:pPr>
        <w:pStyle w:val="ListParagraph"/>
        <w:numPr>
          <w:ilvl w:val="0"/>
          <w:numId w:val="1"/>
        </w:numPr>
        <w:ind w:left="993" w:hanging="426"/>
        <w:rPr>
          <w:rFonts w:eastAsia="Times New Roman"/>
          <w:snapToGrid w:val="0"/>
        </w:rPr>
      </w:pPr>
      <w:r>
        <w:rPr>
          <w:rFonts w:eastAsia="Times New Roman"/>
          <w:snapToGrid w:val="0"/>
        </w:rPr>
        <w:t>r</w:t>
      </w:r>
      <w:r w:rsidR="001F10A6" w:rsidRPr="00C25811">
        <w:rPr>
          <w:rFonts w:eastAsia="Times New Roman"/>
          <w:snapToGrid w:val="0"/>
        </w:rPr>
        <w:t>eview relevant site safety and emergency procedures for the inspection team (review hazard notification form if necessary)</w:t>
      </w:r>
    </w:p>
    <w:p w14:paraId="63BB9962" w14:textId="672C8C2E" w:rsidR="008E78CC" w:rsidRDefault="000C2D2B" w:rsidP="00FC0BB7">
      <w:pPr>
        <w:pStyle w:val="ListParagraph"/>
        <w:numPr>
          <w:ilvl w:val="0"/>
          <w:numId w:val="1"/>
        </w:numPr>
        <w:ind w:left="993" w:hanging="426"/>
        <w:rPr>
          <w:rFonts w:eastAsia="Times New Roman"/>
          <w:snapToGrid w:val="0"/>
        </w:rPr>
      </w:pPr>
      <w:r>
        <w:rPr>
          <w:rFonts w:eastAsia="Times New Roman"/>
          <w:snapToGrid w:val="0"/>
        </w:rPr>
        <w:t>a</w:t>
      </w:r>
      <w:r w:rsidR="008E78CC">
        <w:rPr>
          <w:rFonts w:eastAsia="Times New Roman"/>
          <w:snapToGrid w:val="0"/>
        </w:rPr>
        <w:t xml:space="preserve">ddress management of inspector’s access to areas with restricted access </w:t>
      </w:r>
    </w:p>
    <w:p w14:paraId="66FC8826" w14:textId="1A14DC1F" w:rsidR="00B87D7E" w:rsidRPr="00B87D7E" w:rsidRDefault="000C2D2B">
      <w:pPr>
        <w:pStyle w:val="ListParagraph"/>
        <w:numPr>
          <w:ilvl w:val="0"/>
          <w:numId w:val="1"/>
        </w:numPr>
        <w:ind w:left="993" w:hanging="426"/>
        <w:rPr>
          <w:rFonts w:eastAsia="Times New Roman"/>
          <w:snapToGrid w:val="0"/>
        </w:rPr>
      </w:pPr>
      <w:r>
        <w:rPr>
          <w:rFonts w:eastAsia="Times New Roman"/>
          <w:snapToGrid w:val="0"/>
        </w:rPr>
        <w:t>d</w:t>
      </w:r>
      <w:r w:rsidR="008E78CC" w:rsidRPr="00C25811">
        <w:rPr>
          <w:rFonts w:eastAsia="Times New Roman"/>
          <w:snapToGrid w:val="0"/>
        </w:rPr>
        <w:t>etermine the approximate timing for the exit meeting</w:t>
      </w:r>
      <w:r w:rsidR="00B87D7E">
        <w:rPr>
          <w:rFonts w:eastAsia="Times New Roman"/>
          <w:snapToGrid w:val="0"/>
        </w:rPr>
        <w:t xml:space="preserve"> and draft report distribution</w:t>
      </w:r>
    </w:p>
    <w:p w14:paraId="3B1BA607" w14:textId="5375F8B5" w:rsidR="001F10A6" w:rsidRPr="002E72F3" w:rsidRDefault="001F10A6" w:rsidP="00BC31FD">
      <w:pPr>
        <w:ind w:left="-142"/>
        <w:rPr>
          <w:rFonts w:eastAsia="Times New Roman"/>
          <w:snapToGrid w:val="0"/>
        </w:rPr>
      </w:pPr>
      <w:r w:rsidRPr="002E72F3">
        <w:rPr>
          <w:rFonts w:eastAsia="Times New Roman"/>
          <w:snapToGrid w:val="0"/>
        </w:rPr>
        <w:t xml:space="preserve">In some </w:t>
      </w:r>
      <w:proofErr w:type="gramStart"/>
      <w:r w:rsidRPr="002E72F3">
        <w:rPr>
          <w:rFonts w:eastAsia="Times New Roman"/>
          <w:snapToGrid w:val="0"/>
        </w:rPr>
        <w:t>cases</w:t>
      </w:r>
      <w:proofErr w:type="gramEnd"/>
      <w:r w:rsidRPr="002E72F3">
        <w:rPr>
          <w:rFonts w:eastAsia="Times New Roman"/>
          <w:snapToGrid w:val="0"/>
        </w:rPr>
        <w:t xml:space="preserve"> an introduction to ARPANSA and its regulatory functions may be </w:t>
      </w:r>
      <w:r w:rsidR="005E1E93" w:rsidRPr="002E72F3">
        <w:rPr>
          <w:rFonts w:eastAsia="Times New Roman"/>
          <w:snapToGrid w:val="0"/>
        </w:rPr>
        <w:t>a</w:t>
      </w:r>
      <w:r w:rsidR="00964F58" w:rsidRPr="002E72F3">
        <w:rPr>
          <w:rFonts w:eastAsia="Times New Roman"/>
          <w:snapToGrid w:val="0"/>
        </w:rPr>
        <w:t>ppropriate</w:t>
      </w:r>
      <w:r w:rsidRPr="002E72F3">
        <w:rPr>
          <w:rFonts w:eastAsia="Times New Roman"/>
          <w:snapToGrid w:val="0"/>
        </w:rPr>
        <w:t>.</w:t>
      </w:r>
    </w:p>
    <w:p w14:paraId="2EBD234D" w14:textId="538AE661" w:rsidR="001F10A6" w:rsidRPr="00C25811" w:rsidRDefault="00964F58" w:rsidP="00BC31FD">
      <w:pPr>
        <w:ind w:left="-142"/>
        <w:rPr>
          <w:rFonts w:eastAsia="Times New Roman"/>
        </w:rPr>
      </w:pPr>
      <w:r w:rsidRPr="00C25811">
        <w:t xml:space="preserve">The inspector must record all attendees. </w:t>
      </w:r>
      <w:hyperlink w:anchor="_Appendix_3:_Record" w:history="1">
        <w:r w:rsidR="001F10A6" w:rsidRPr="00526EA0">
          <w:rPr>
            <w:rStyle w:val="Hyperlink"/>
            <w:rFonts w:eastAsia="Times New Roman"/>
          </w:rPr>
          <w:t>Record of Meeting</w:t>
        </w:r>
      </w:hyperlink>
      <w:r w:rsidR="001F10A6" w:rsidRPr="00526EA0">
        <w:rPr>
          <w:rFonts w:eastAsia="Times New Roman"/>
        </w:rPr>
        <w:t xml:space="preserve"> </w:t>
      </w:r>
      <w:r w:rsidRPr="00526EA0">
        <w:rPr>
          <w:rFonts w:eastAsia="Times New Roman"/>
        </w:rPr>
        <w:t>template</w:t>
      </w:r>
      <w:r w:rsidR="00B87D7E">
        <w:rPr>
          <w:rFonts w:eastAsia="Times New Roman"/>
        </w:rPr>
        <w:t xml:space="preserve"> </w:t>
      </w:r>
      <w:r w:rsidR="000C2D2B">
        <w:rPr>
          <w:rFonts w:eastAsia="Times New Roman"/>
        </w:rPr>
        <w:t xml:space="preserve">may be used for this purpose </w:t>
      </w:r>
      <w:r w:rsidR="00B87D7E">
        <w:rPr>
          <w:rFonts w:eastAsia="Times New Roman"/>
        </w:rPr>
        <w:t xml:space="preserve">and </w:t>
      </w:r>
      <w:r w:rsidR="000C2D2B">
        <w:rPr>
          <w:rFonts w:eastAsia="Times New Roman"/>
        </w:rPr>
        <w:t xml:space="preserve">should be </w:t>
      </w:r>
      <w:r w:rsidR="00C60D99">
        <w:rPr>
          <w:rFonts w:eastAsia="Times New Roman"/>
        </w:rPr>
        <w:t>saved</w:t>
      </w:r>
      <w:r w:rsidR="00B87D7E">
        <w:rPr>
          <w:rFonts w:eastAsia="Times New Roman"/>
        </w:rPr>
        <w:t xml:space="preserve"> in CM post-meeting</w:t>
      </w:r>
      <w:r w:rsidR="00526EA0">
        <w:rPr>
          <w:rFonts w:eastAsia="Times New Roman"/>
        </w:rPr>
        <w:t>.</w:t>
      </w:r>
      <w:r w:rsidRPr="00C25811">
        <w:rPr>
          <w:rStyle w:val="CommentReference"/>
          <w:sz w:val="22"/>
          <w:szCs w:val="22"/>
        </w:rPr>
        <w:t xml:space="preserve"> </w:t>
      </w:r>
    </w:p>
    <w:p w14:paraId="290002C3" w14:textId="47CF6B0D" w:rsidR="001F10A6" w:rsidRDefault="00334895" w:rsidP="00122B75">
      <w:pPr>
        <w:pStyle w:val="Heading2"/>
        <w:numPr>
          <w:ilvl w:val="1"/>
          <w:numId w:val="53"/>
        </w:numPr>
        <w:spacing w:before="240"/>
        <w:ind w:left="1276" w:hanging="567"/>
      </w:pPr>
      <w:bookmarkStart w:id="43" w:name="_Toc492399370"/>
      <w:r>
        <w:t>I</w:t>
      </w:r>
      <w:r w:rsidR="00AD384F" w:rsidRPr="001F10A6">
        <w:t>nformation</w:t>
      </w:r>
      <w:r>
        <w:t xml:space="preserve"> gathering</w:t>
      </w:r>
      <w:bookmarkEnd w:id="43"/>
    </w:p>
    <w:p w14:paraId="5352599F" w14:textId="77777777" w:rsidR="008A2D3F" w:rsidRDefault="001F10A6" w:rsidP="00BC31FD">
      <w:pPr>
        <w:ind w:left="-142"/>
        <w:rPr>
          <w:rFonts w:eastAsia="Times New Roman"/>
        </w:rPr>
      </w:pPr>
      <w:r w:rsidRPr="00C25811">
        <w:rPr>
          <w:rFonts w:eastAsia="Times New Roman"/>
        </w:rPr>
        <w:t>As outlined in section 67 of the Act, inspectors can gather information by searching, inspecting, examining, questioning, taking measurements of, conducting tests, taking photographs, video recordings, audio recordings or making sketches, and taking extracts and copies.</w:t>
      </w:r>
    </w:p>
    <w:p w14:paraId="0076B8C1" w14:textId="28C1FA8B" w:rsidR="000C64A0" w:rsidRPr="00C25811" w:rsidRDefault="008A2D3F" w:rsidP="0047040F">
      <w:pPr>
        <w:ind w:left="284"/>
        <w:rPr>
          <w:rFonts w:eastAsia="Times New Roman"/>
        </w:rPr>
      </w:pPr>
      <w:r w:rsidRPr="008A2D3F">
        <w:rPr>
          <w:rFonts w:eastAsia="Times New Roman"/>
          <w:sz w:val="20"/>
          <w:szCs w:val="20"/>
        </w:rPr>
        <w:t xml:space="preserve">Note:  Inspectors must </w:t>
      </w:r>
      <w:r w:rsidR="0047040F">
        <w:rPr>
          <w:rFonts w:eastAsia="Times New Roman"/>
          <w:sz w:val="20"/>
          <w:szCs w:val="20"/>
        </w:rPr>
        <w:t>NOT</w:t>
      </w:r>
      <w:r w:rsidRPr="008A2D3F">
        <w:rPr>
          <w:rFonts w:eastAsia="Times New Roman"/>
          <w:sz w:val="20"/>
          <w:szCs w:val="20"/>
        </w:rPr>
        <w:t xml:space="preserve"> use their personal phones for taking photos during inspection</w:t>
      </w:r>
      <w:r>
        <w:rPr>
          <w:rFonts w:eastAsia="Times New Roman"/>
          <w:sz w:val="20"/>
          <w:szCs w:val="20"/>
        </w:rPr>
        <w:t>s</w:t>
      </w:r>
      <w:r w:rsidR="0047040F">
        <w:rPr>
          <w:rFonts w:eastAsia="Times New Roman"/>
          <w:sz w:val="20"/>
          <w:szCs w:val="20"/>
        </w:rPr>
        <w:t>. T</w:t>
      </w:r>
      <w:r w:rsidR="0047040F">
        <w:rPr>
          <w:sz w:val="20"/>
          <w:szCs w:val="20"/>
        </w:rPr>
        <w:t>o ensure compliance with the</w:t>
      </w:r>
      <w:r w:rsidR="0047040F" w:rsidRPr="00C25811">
        <w:rPr>
          <w:rFonts w:eastAsia="Times New Roman"/>
        </w:rPr>
        <w:t xml:space="preserve"> </w:t>
      </w:r>
      <w:r w:rsidR="0047040F" w:rsidRPr="008A2D3F">
        <w:rPr>
          <w:sz w:val="20"/>
          <w:szCs w:val="20"/>
        </w:rPr>
        <w:t>Protective Security Policy Framework</w:t>
      </w:r>
      <w:r w:rsidR="0047040F">
        <w:rPr>
          <w:sz w:val="20"/>
          <w:szCs w:val="20"/>
        </w:rPr>
        <w:t xml:space="preserve"> only</w:t>
      </w:r>
      <w:r w:rsidR="0047040F" w:rsidRPr="0047040F">
        <w:rPr>
          <w:sz w:val="20"/>
          <w:szCs w:val="20"/>
        </w:rPr>
        <w:t xml:space="preserve"> ARPANSA tablets or RSB digital cameras </w:t>
      </w:r>
      <w:r w:rsidR="0047040F">
        <w:rPr>
          <w:sz w:val="20"/>
          <w:szCs w:val="20"/>
        </w:rPr>
        <w:t xml:space="preserve">are to be used. </w:t>
      </w:r>
    </w:p>
    <w:p w14:paraId="354D0C97" w14:textId="6E326D6E" w:rsidR="006D60FD" w:rsidRDefault="003C5E58" w:rsidP="003C5E58">
      <w:pPr>
        <w:ind w:left="-142"/>
      </w:pPr>
      <w:r>
        <w:t>Facts and relevant observations should be recorded. G</w:t>
      </w:r>
      <w:r w:rsidRPr="00C25811">
        <w:t>ood practices should</w:t>
      </w:r>
      <w:r>
        <w:t xml:space="preserve"> </w:t>
      </w:r>
      <w:r w:rsidRPr="00C25811">
        <w:t xml:space="preserve">be </w:t>
      </w:r>
      <w:r>
        <w:t xml:space="preserve">acknowledged. </w:t>
      </w:r>
      <w:r w:rsidR="00A064BB">
        <w:t>Non-compliance and AFI should be</w:t>
      </w:r>
      <w:r w:rsidR="007A2031">
        <w:t xml:space="preserve"> noted. Inspectors should look for underlying </w:t>
      </w:r>
      <w:r>
        <w:t xml:space="preserve">causes where weaknesses have been identified as this may point to more systemic issues </w:t>
      </w:r>
      <w:r w:rsidR="003E1248">
        <w:t>with</w:t>
      </w:r>
      <w:r>
        <w:t xml:space="preserve"> </w:t>
      </w:r>
      <w:r w:rsidR="007A2031">
        <w:t>human and organisational factors.</w:t>
      </w:r>
      <w:r w:rsidR="00A064BB">
        <w:t xml:space="preserve"> </w:t>
      </w:r>
      <w:r>
        <w:t xml:space="preserve"> </w:t>
      </w:r>
      <w:bookmarkStart w:id="44" w:name="_Toc492399371"/>
    </w:p>
    <w:p w14:paraId="23097F03" w14:textId="67E8DE8F" w:rsidR="00044FE3" w:rsidRDefault="00044FE3" w:rsidP="00122B75">
      <w:pPr>
        <w:pStyle w:val="Heading2"/>
        <w:numPr>
          <w:ilvl w:val="1"/>
          <w:numId w:val="53"/>
        </w:numPr>
        <w:tabs>
          <w:tab w:val="clear" w:pos="851"/>
          <w:tab w:val="left" w:pos="1276"/>
        </w:tabs>
        <w:spacing w:before="200"/>
        <w:ind w:hanging="929"/>
      </w:pPr>
      <w:r>
        <w:lastRenderedPageBreak/>
        <w:t>Inspector review</w:t>
      </w:r>
    </w:p>
    <w:p w14:paraId="77E1389D" w14:textId="55757FE5" w:rsidR="00044FE3" w:rsidRPr="00C25811" w:rsidRDefault="00044FE3" w:rsidP="00044FE3">
      <w:pPr>
        <w:ind w:left="-142"/>
        <w:rPr>
          <w:rFonts w:eastAsia="Times New Roman"/>
        </w:rPr>
      </w:pPr>
      <w:r>
        <w:rPr>
          <w:lang w:eastAsia="en-AU"/>
        </w:rPr>
        <w:t>Prior to the exit meeting the</w:t>
      </w:r>
      <w:r w:rsidRPr="00C25811">
        <w:t xml:space="preserve"> inspection team </w:t>
      </w:r>
      <w:r>
        <w:t xml:space="preserve">meets to </w:t>
      </w:r>
      <w:r w:rsidRPr="00C25811">
        <w:t xml:space="preserve">review the </w:t>
      </w:r>
      <w:r w:rsidRPr="00C25811">
        <w:rPr>
          <w:rFonts w:eastAsia="Times New Roman"/>
        </w:rPr>
        <w:t xml:space="preserve">facts relating to the scope of the inspection to ensure information is adequately recorded. </w:t>
      </w:r>
      <w:r>
        <w:rPr>
          <w:rFonts w:eastAsia="Times New Roman"/>
        </w:rPr>
        <w:t xml:space="preserve"> P</w:t>
      </w:r>
      <w:r w:rsidRPr="00C25811">
        <w:rPr>
          <w:rFonts w:eastAsia="Times New Roman"/>
        </w:rPr>
        <w:t>reliminary conclusions and recommendations</w:t>
      </w:r>
      <w:r>
        <w:rPr>
          <w:rFonts w:eastAsia="Times New Roman"/>
        </w:rPr>
        <w:t xml:space="preserve"> are made based on an analysis of the information available at the time of inspection. </w:t>
      </w:r>
      <w:r w:rsidRPr="00C25811">
        <w:rPr>
          <w:rFonts w:eastAsia="Times New Roman"/>
        </w:rPr>
        <w:t xml:space="preserve"> </w:t>
      </w:r>
      <w:r>
        <w:rPr>
          <w:rFonts w:eastAsia="Times New Roman"/>
        </w:rPr>
        <w:t>A</w:t>
      </w:r>
      <w:r w:rsidRPr="00C25811">
        <w:rPr>
          <w:rFonts w:eastAsia="Times New Roman"/>
        </w:rPr>
        <w:t>ll statements should be clear and substantiated</w:t>
      </w:r>
      <w:r>
        <w:rPr>
          <w:rFonts w:eastAsia="Times New Roman"/>
        </w:rPr>
        <w:t>; a</w:t>
      </w:r>
      <w:r w:rsidRPr="00C25811">
        <w:rPr>
          <w:rFonts w:eastAsia="Times New Roman"/>
        </w:rPr>
        <w:t xml:space="preserve">greement amongst team members is important. </w:t>
      </w:r>
    </w:p>
    <w:p w14:paraId="0DB52566" w14:textId="77777777" w:rsidR="00044FE3" w:rsidRPr="00C25811" w:rsidRDefault="00044FE3" w:rsidP="00044FE3">
      <w:pPr>
        <w:ind w:left="-142"/>
        <w:rPr>
          <w:rFonts w:eastAsia="Times New Roman"/>
        </w:rPr>
      </w:pPr>
      <w:r w:rsidRPr="00C25811">
        <w:rPr>
          <w:rFonts w:eastAsia="Times New Roman"/>
        </w:rPr>
        <w:t>For multi-day inspections it may be useful for inspectors to conduct a review at the end of each day and a planning meeting each morning.</w:t>
      </w:r>
      <w:r w:rsidRPr="00C25811">
        <w:t xml:space="preserve"> </w:t>
      </w:r>
    </w:p>
    <w:p w14:paraId="7968723F" w14:textId="0AD03DC1" w:rsidR="00044FE3" w:rsidRDefault="00044FE3" w:rsidP="00044FE3">
      <w:pPr>
        <w:ind w:left="-142"/>
      </w:pPr>
      <w:r w:rsidRPr="00C25811">
        <w:t xml:space="preserve">The transparency about findings is important so the licence holder has an opportunity to supply further information. Inspectors </w:t>
      </w:r>
      <w:r>
        <w:t xml:space="preserve">should </w:t>
      </w:r>
      <w:r w:rsidRPr="00C25811">
        <w:t>not prescribe a solution for any identified issue as this responsibility rests with the licence holder.</w:t>
      </w:r>
      <w:r>
        <w:t xml:space="preserve"> </w:t>
      </w:r>
    </w:p>
    <w:p w14:paraId="77999150" w14:textId="4A47F65D" w:rsidR="00044FE3" w:rsidRPr="006D60FD" w:rsidRDefault="00044FE3" w:rsidP="00336989">
      <w:pPr>
        <w:ind w:left="284"/>
        <w:rPr>
          <w:rFonts w:eastAsia="Times New Roman"/>
          <w:i/>
          <w:sz w:val="18"/>
          <w:szCs w:val="18"/>
        </w:rPr>
      </w:pPr>
      <w:r w:rsidRPr="006D60FD">
        <w:rPr>
          <w:rFonts w:eastAsia="Times New Roman"/>
          <w:sz w:val="18"/>
          <w:szCs w:val="18"/>
        </w:rPr>
        <w:t>NOTE: If during the inspection or analysis of an inspection</w:t>
      </w:r>
      <w:r w:rsidR="006D60FD" w:rsidRPr="006D60FD">
        <w:rPr>
          <w:rFonts w:eastAsia="Times New Roman"/>
          <w:sz w:val="18"/>
          <w:szCs w:val="18"/>
        </w:rPr>
        <w:t>,</w:t>
      </w:r>
      <w:r w:rsidRPr="006D60FD">
        <w:rPr>
          <w:rFonts w:eastAsia="Times New Roman"/>
          <w:sz w:val="18"/>
          <w:szCs w:val="18"/>
        </w:rPr>
        <w:t xml:space="preserve"> an issue is identified which has an immediate and significant impact on radiation or nuclear safety it must be dealt with urgently and in advance of the formal inspection reporting process. The CRO must be notified as soon as reasonably practicable. Issuing an improvement notice may be appropriate under certain circumstances - see </w:t>
      </w:r>
      <w:hyperlink r:id="rId35" w:history="1">
        <w:r w:rsidRPr="006D60FD">
          <w:rPr>
            <w:rStyle w:val="Hyperlink"/>
            <w:rFonts w:eastAsia="Times New Roman"/>
            <w:sz w:val="18"/>
            <w:szCs w:val="18"/>
          </w:rPr>
          <w:t>Compliance Manual</w:t>
        </w:r>
      </w:hyperlink>
      <w:r w:rsidRPr="006D60FD">
        <w:rPr>
          <w:rFonts w:eastAsia="Times New Roman"/>
          <w:sz w:val="18"/>
          <w:szCs w:val="18"/>
        </w:rPr>
        <w:t xml:space="preserve">.  </w:t>
      </w:r>
    </w:p>
    <w:p w14:paraId="03C1DE20" w14:textId="334CC40A" w:rsidR="008104A6" w:rsidRDefault="008104A6" w:rsidP="00122B75">
      <w:pPr>
        <w:pStyle w:val="Heading2"/>
        <w:numPr>
          <w:ilvl w:val="1"/>
          <w:numId w:val="53"/>
        </w:numPr>
        <w:tabs>
          <w:tab w:val="clear" w:pos="851"/>
          <w:tab w:val="left" w:pos="1276"/>
        </w:tabs>
        <w:spacing w:before="200"/>
        <w:ind w:hanging="929"/>
      </w:pPr>
      <w:r w:rsidRPr="001F10A6">
        <w:t xml:space="preserve">Exit </w:t>
      </w:r>
      <w:r w:rsidR="00125C83">
        <w:t>m</w:t>
      </w:r>
      <w:r w:rsidRPr="001F10A6">
        <w:t>eeting</w:t>
      </w:r>
      <w:bookmarkEnd w:id="44"/>
    </w:p>
    <w:p w14:paraId="3F731511" w14:textId="7945070D" w:rsidR="00177470" w:rsidRPr="009A4B8D" w:rsidRDefault="006E09CF" w:rsidP="00BC31FD">
      <w:pPr>
        <w:ind w:left="-142"/>
        <w:rPr>
          <w:rFonts w:eastAsia="Times New Roman"/>
        </w:rPr>
      </w:pPr>
      <w:r w:rsidRPr="009A4B8D">
        <w:rPr>
          <w:rFonts w:eastAsia="Times New Roman"/>
        </w:rPr>
        <w:t>A</w:t>
      </w:r>
      <w:r w:rsidR="00FB0138" w:rsidRPr="009A4B8D">
        <w:rPr>
          <w:rFonts w:eastAsia="Times New Roman"/>
        </w:rPr>
        <w:t xml:space="preserve">n exit meeting </w:t>
      </w:r>
      <w:r w:rsidRPr="009A4B8D">
        <w:rPr>
          <w:rFonts w:eastAsia="Times New Roman"/>
        </w:rPr>
        <w:t xml:space="preserve">is held </w:t>
      </w:r>
      <w:r w:rsidR="00FB0138" w:rsidRPr="009A4B8D">
        <w:rPr>
          <w:rFonts w:eastAsia="Times New Roman"/>
        </w:rPr>
        <w:t>with licence holder representatives to outline observations and preliminary findings</w:t>
      </w:r>
      <w:r w:rsidR="00DA1E3F" w:rsidRPr="009A4B8D">
        <w:rPr>
          <w:rFonts w:eastAsia="Times New Roman"/>
        </w:rPr>
        <w:t xml:space="preserve"> and reach agreement on the facts. </w:t>
      </w:r>
      <w:r w:rsidR="0026058A" w:rsidRPr="009A4B8D">
        <w:rPr>
          <w:rFonts w:eastAsia="Times New Roman"/>
        </w:rPr>
        <w:t>The</w:t>
      </w:r>
      <w:r w:rsidR="00D26E6D">
        <w:rPr>
          <w:rFonts w:eastAsia="Times New Roman"/>
        </w:rPr>
        <w:t xml:space="preserve"> timing of the </w:t>
      </w:r>
      <w:r w:rsidR="0026058A" w:rsidRPr="009A4B8D">
        <w:rPr>
          <w:rFonts w:eastAsia="Times New Roman"/>
        </w:rPr>
        <w:t xml:space="preserve">exit meeting </w:t>
      </w:r>
      <w:r w:rsidR="00D26E6D">
        <w:rPr>
          <w:rFonts w:eastAsia="Times New Roman"/>
        </w:rPr>
        <w:t>can be negotiated with the licence holder and will depend on whether there is additional documentation to review that may affect the inspection findings</w:t>
      </w:r>
      <w:r w:rsidR="007F60E6" w:rsidRPr="009A4B8D">
        <w:rPr>
          <w:rFonts w:eastAsia="Times New Roman"/>
        </w:rPr>
        <w:t xml:space="preserve">. </w:t>
      </w:r>
      <w:r w:rsidR="0026058A" w:rsidRPr="009A4B8D">
        <w:rPr>
          <w:rFonts w:eastAsia="Times New Roman"/>
        </w:rPr>
        <w:t xml:space="preserve">The meeting may be held by phone or video conference </w:t>
      </w:r>
      <w:r w:rsidR="00D26E6D">
        <w:rPr>
          <w:rFonts w:eastAsia="Times New Roman"/>
        </w:rPr>
        <w:t xml:space="preserve">if </w:t>
      </w:r>
      <w:r w:rsidR="0026058A" w:rsidRPr="009A4B8D">
        <w:rPr>
          <w:rFonts w:eastAsia="Times New Roman"/>
        </w:rPr>
        <w:t>necessary</w:t>
      </w:r>
      <w:r w:rsidR="007F60E6" w:rsidRPr="009A4B8D">
        <w:rPr>
          <w:rFonts w:eastAsia="Times New Roman"/>
        </w:rPr>
        <w:t xml:space="preserve">. </w:t>
      </w:r>
      <w:r w:rsidR="00D26E6D">
        <w:rPr>
          <w:rFonts w:eastAsia="Times New Roman"/>
        </w:rPr>
        <w:t xml:space="preserve"> If there are outstanding issues or complex matter</w:t>
      </w:r>
      <w:r w:rsidR="004A7AE1">
        <w:rPr>
          <w:rFonts w:eastAsia="Times New Roman"/>
        </w:rPr>
        <w:t>s</w:t>
      </w:r>
      <w:r w:rsidR="00D26E6D">
        <w:rPr>
          <w:rFonts w:eastAsia="Times New Roman"/>
        </w:rPr>
        <w:t xml:space="preserve"> to resolve </w:t>
      </w:r>
      <w:r w:rsidR="004A7AE1">
        <w:rPr>
          <w:rFonts w:eastAsia="Times New Roman"/>
        </w:rPr>
        <w:t xml:space="preserve">that will delay the exit meeting the inspector may consider a </w:t>
      </w:r>
      <w:r w:rsidR="009E4507">
        <w:rPr>
          <w:rFonts w:eastAsia="Times New Roman"/>
        </w:rPr>
        <w:t>reactive</w:t>
      </w:r>
      <w:r w:rsidR="00D26E6D">
        <w:rPr>
          <w:rFonts w:eastAsia="Times New Roman"/>
        </w:rPr>
        <w:t xml:space="preserve"> inspection. </w:t>
      </w:r>
      <w:r w:rsidR="004A7AE1">
        <w:rPr>
          <w:rFonts w:eastAsia="Times New Roman"/>
        </w:rPr>
        <w:t xml:space="preserve"> </w:t>
      </w:r>
    </w:p>
    <w:p w14:paraId="7BF9F58B" w14:textId="49743D1D" w:rsidR="00087309" w:rsidRDefault="006E09CF" w:rsidP="00BC31FD">
      <w:pPr>
        <w:ind w:left="-142"/>
        <w:rPr>
          <w:rFonts w:eastAsia="Times New Roman"/>
        </w:rPr>
      </w:pPr>
      <w:r w:rsidRPr="009A4B8D">
        <w:rPr>
          <w:rFonts w:eastAsia="Times New Roman"/>
        </w:rPr>
        <w:t>L</w:t>
      </w:r>
      <w:r w:rsidR="00177470" w:rsidRPr="009A4B8D">
        <w:rPr>
          <w:rFonts w:eastAsia="Times New Roman"/>
        </w:rPr>
        <w:t xml:space="preserve">icence holder representatives </w:t>
      </w:r>
      <w:r w:rsidRPr="009A4B8D">
        <w:rPr>
          <w:rFonts w:eastAsia="Times New Roman"/>
        </w:rPr>
        <w:t>should be informed</w:t>
      </w:r>
      <w:r w:rsidR="00087309">
        <w:rPr>
          <w:rFonts w:eastAsia="Times New Roman"/>
        </w:rPr>
        <w:t xml:space="preserve"> of the timeframe</w:t>
      </w:r>
      <w:r w:rsidRPr="009A4B8D">
        <w:rPr>
          <w:rFonts w:eastAsia="Times New Roman"/>
        </w:rPr>
        <w:t xml:space="preserve"> </w:t>
      </w:r>
      <w:r w:rsidR="00177470" w:rsidRPr="009A4B8D">
        <w:rPr>
          <w:rFonts w:eastAsia="Times New Roman"/>
        </w:rPr>
        <w:t xml:space="preserve">that the inspection report will be made available for </w:t>
      </w:r>
      <w:r w:rsidR="00E429B8" w:rsidRPr="009A4B8D">
        <w:rPr>
          <w:rFonts w:eastAsia="Times New Roman"/>
        </w:rPr>
        <w:t>verification of technical accuracy</w:t>
      </w:r>
      <w:r w:rsidR="00D75008" w:rsidRPr="009A4B8D">
        <w:rPr>
          <w:rFonts w:eastAsia="Times New Roman"/>
        </w:rPr>
        <w:t xml:space="preserve"> and </w:t>
      </w:r>
      <w:r w:rsidR="00087309">
        <w:rPr>
          <w:rFonts w:eastAsia="Times New Roman"/>
        </w:rPr>
        <w:t xml:space="preserve">that </w:t>
      </w:r>
      <w:r w:rsidR="00D75008" w:rsidRPr="009A4B8D">
        <w:rPr>
          <w:rFonts w:eastAsia="Times New Roman"/>
        </w:rPr>
        <w:t xml:space="preserve">the final report will be published on the ARPANSA website. </w:t>
      </w:r>
      <w:r w:rsidR="00087309">
        <w:rPr>
          <w:rFonts w:eastAsia="Times New Roman"/>
        </w:rPr>
        <w:t xml:space="preserve">There may be circumstances where the report is not published or redacted due to security/commercial </w:t>
      </w:r>
      <w:proofErr w:type="gramStart"/>
      <w:r w:rsidR="00087309">
        <w:rPr>
          <w:rFonts w:eastAsia="Times New Roman"/>
        </w:rPr>
        <w:t>reasons</w:t>
      </w:r>
      <w:proofErr w:type="gramEnd"/>
      <w:r w:rsidR="00087309">
        <w:rPr>
          <w:rFonts w:eastAsia="Times New Roman"/>
        </w:rPr>
        <w:t xml:space="preserve"> and this is discussed during the </w:t>
      </w:r>
      <w:r w:rsidR="00D92CDB">
        <w:rPr>
          <w:rFonts w:eastAsia="Times New Roman"/>
        </w:rPr>
        <w:t>e</w:t>
      </w:r>
      <w:r w:rsidR="00087309">
        <w:rPr>
          <w:rFonts w:eastAsia="Times New Roman"/>
        </w:rPr>
        <w:t xml:space="preserve">xit meeting. </w:t>
      </w:r>
    </w:p>
    <w:p w14:paraId="3CFC03CB" w14:textId="09A31571" w:rsidR="00E429B8" w:rsidRPr="009A4B8D" w:rsidRDefault="00D75008" w:rsidP="00BC31FD">
      <w:pPr>
        <w:ind w:left="-142"/>
        <w:rPr>
          <w:rFonts w:eastAsia="Times New Roman"/>
        </w:rPr>
      </w:pPr>
      <w:r w:rsidRPr="009A4B8D">
        <w:rPr>
          <w:rFonts w:eastAsia="Times New Roman"/>
        </w:rPr>
        <w:t>W</w:t>
      </w:r>
      <w:r w:rsidR="00256AC6" w:rsidRPr="009A4B8D">
        <w:rPr>
          <w:rFonts w:eastAsia="Times New Roman"/>
        </w:rPr>
        <w:t xml:space="preserve">here </w:t>
      </w:r>
      <w:r w:rsidR="00FB0138" w:rsidRPr="009A4B8D">
        <w:rPr>
          <w:rFonts w:eastAsia="Times New Roman"/>
        </w:rPr>
        <w:t xml:space="preserve">the </w:t>
      </w:r>
      <w:r w:rsidR="00256AC6" w:rsidRPr="009A4B8D">
        <w:rPr>
          <w:rFonts w:eastAsia="Times New Roman"/>
        </w:rPr>
        <w:t xml:space="preserve">report </w:t>
      </w:r>
      <w:r w:rsidR="00FB0138" w:rsidRPr="009A4B8D">
        <w:rPr>
          <w:rFonts w:eastAsia="Times New Roman"/>
        </w:rPr>
        <w:t>identif</w:t>
      </w:r>
      <w:r w:rsidR="00256AC6" w:rsidRPr="009A4B8D">
        <w:rPr>
          <w:rFonts w:eastAsia="Times New Roman"/>
        </w:rPr>
        <w:t>ies</w:t>
      </w:r>
      <w:r w:rsidR="00FB0138" w:rsidRPr="009A4B8D">
        <w:rPr>
          <w:rFonts w:eastAsia="Times New Roman"/>
        </w:rPr>
        <w:t xml:space="preserve"> </w:t>
      </w:r>
      <w:r w:rsidR="004973EA" w:rsidRPr="009A4B8D">
        <w:rPr>
          <w:rFonts w:eastAsia="Times New Roman"/>
        </w:rPr>
        <w:t>areas for improvement</w:t>
      </w:r>
      <w:r w:rsidR="00DA60CF" w:rsidRPr="009A4B8D">
        <w:rPr>
          <w:rFonts w:eastAsia="Times New Roman"/>
        </w:rPr>
        <w:t xml:space="preserve"> </w:t>
      </w:r>
      <w:r w:rsidR="00D92CDB">
        <w:rPr>
          <w:rFonts w:eastAsia="Times New Roman"/>
        </w:rPr>
        <w:t xml:space="preserve">the licence holder should be made aware that </w:t>
      </w:r>
      <w:r w:rsidRPr="009A4B8D">
        <w:rPr>
          <w:rFonts w:eastAsia="Times New Roman"/>
        </w:rPr>
        <w:t xml:space="preserve">they are expected to be </w:t>
      </w:r>
      <w:r w:rsidR="00FB0138" w:rsidRPr="009A4B8D">
        <w:rPr>
          <w:rFonts w:eastAsia="Times New Roman"/>
        </w:rPr>
        <w:t>address</w:t>
      </w:r>
      <w:r w:rsidRPr="009A4B8D">
        <w:rPr>
          <w:rFonts w:eastAsia="Times New Roman"/>
        </w:rPr>
        <w:t>ed</w:t>
      </w:r>
      <w:r w:rsidR="00FB0138" w:rsidRPr="009A4B8D">
        <w:rPr>
          <w:rFonts w:eastAsia="Times New Roman"/>
        </w:rPr>
        <w:t xml:space="preserve"> in a timely </w:t>
      </w:r>
      <w:r w:rsidR="00300521" w:rsidRPr="009A4B8D">
        <w:rPr>
          <w:rFonts w:eastAsia="Times New Roman"/>
        </w:rPr>
        <w:t>manner</w:t>
      </w:r>
      <w:r w:rsidR="004E6002" w:rsidRPr="009A4B8D">
        <w:rPr>
          <w:rFonts w:eastAsia="Times New Roman"/>
        </w:rPr>
        <w:t xml:space="preserve"> and within three months where </w:t>
      </w:r>
      <w:r w:rsidR="00863C0E" w:rsidRPr="009A4B8D">
        <w:rPr>
          <w:rFonts w:eastAsia="Times New Roman"/>
        </w:rPr>
        <w:t xml:space="preserve">possible. </w:t>
      </w:r>
      <w:r w:rsidR="00087309">
        <w:rPr>
          <w:rFonts w:eastAsia="Times New Roman"/>
        </w:rPr>
        <w:t>Licence holders are expected to report on the progress of AFIs in their quarterly reports whil</w:t>
      </w:r>
      <w:r w:rsidR="00336989">
        <w:rPr>
          <w:rFonts w:eastAsia="Times New Roman"/>
        </w:rPr>
        <w:t>e</w:t>
      </w:r>
      <w:r w:rsidR="00087309">
        <w:rPr>
          <w:rFonts w:eastAsia="Times New Roman"/>
        </w:rPr>
        <w:t xml:space="preserve"> lead inspectors are responsible for tracking progress on AFIs</w:t>
      </w:r>
      <w:r w:rsidR="00D15EBB">
        <w:rPr>
          <w:rFonts w:eastAsia="Times New Roman"/>
        </w:rPr>
        <w:t xml:space="preserve"> (see Section 2.17)</w:t>
      </w:r>
      <w:r w:rsidR="00087309">
        <w:rPr>
          <w:rFonts w:eastAsia="Times New Roman"/>
        </w:rPr>
        <w:t>.</w:t>
      </w:r>
    </w:p>
    <w:p w14:paraId="17FE5F29" w14:textId="2334CB3F" w:rsidR="00FC63B4" w:rsidRPr="009A4B8D" w:rsidRDefault="00147EB0" w:rsidP="00BC31FD">
      <w:pPr>
        <w:ind w:left="-142"/>
        <w:rPr>
          <w:rFonts w:eastAsia="Times New Roman"/>
        </w:rPr>
      </w:pPr>
      <w:r>
        <w:rPr>
          <w:rFonts w:eastAsia="Times New Roman"/>
        </w:rPr>
        <w:t>N</w:t>
      </w:r>
      <w:r w:rsidR="00FB0138" w:rsidRPr="009A4B8D">
        <w:rPr>
          <w:rFonts w:eastAsia="Times New Roman"/>
        </w:rPr>
        <w:t xml:space="preserve">on-compliance such as failure to comply with a licence condition is more significant. Although the inspection team may describe a finding as a non-compliance </w:t>
      </w:r>
      <w:r w:rsidR="00C20965" w:rsidRPr="009A4B8D">
        <w:rPr>
          <w:rFonts w:eastAsia="Times New Roman"/>
        </w:rPr>
        <w:t>only the CEO</w:t>
      </w:r>
      <w:r w:rsidR="00FC63B4" w:rsidRPr="009A4B8D">
        <w:rPr>
          <w:rFonts w:eastAsia="Times New Roman"/>
        </w:rPr>
        <w:t xml:space="preserve"> </w:t>
      </w:r>
      <w:r w:rsidR="00D75008" w:rsidRPr="009A4B8D">
        <w:rPr>
          <w:rFonts w:eastAsia="Times New Roman"/>
        </w:rPr>
        <w:t>(</w:t>
      </w:r>
      <w:r w:rsidR="00FC63B4" w:rsidRPr="009A4B8D">
        <w:rPr>
          <w:rFonts w:eastAsia="Times New Roman"/>
        </w:rPr>
        <w:t>o</w:t>
      </w:r>
      <w:r w:rsidR="00D75008" w:rsidRPr="009A4B8D">
        <w:rPr>
          <w:rFonts w:eastAsia="Times New Roman"/>
        </w:rPr>
        <w:t>r</w:t>
      </w:r>
      <w:r w:rsidR="00FC63B4" w:rsidRPr="009A4B8D">
        <w:rPr>
          <w:rFonts w:eastAsia="Times New Roman"/>
        </w:rPr>
        <w:t xml:space="preserve"> </w:t>
      </w:r>
      <w:r w:rsidR="00D75008" w:rsidRPr="009A4B8D">
        <w:rPr>
          <w:rFonts w:eastAsia="Times New Roman"/>
        </w:rPr>
        <w:t>d</w:t>
      </w:r>
      <w:r w:rsidR="00FC63B4" w:rsidRPr="009A4B8D">
        <w:rPr>
          <w:rFonts w:eastAsia="Times New Roman"/>
        </w:rPr>
        <w:t>elegate</w:t>
      </w:r>
      <w:r w:rsidR="00D75008" w:rsidRPr="009A4B8D">
        <w:rPr>
          <w:rFonts w:eastAsia="Times New Roman"/>
        </w:rPr>
        <w:t>)</w:t>
      </w:r>
      <w:r w:rsidR="00FC63B4" w:rsidRPr="009A4B8D">
        <w:rPr>
          <w:rFonts w:eastAsia="Times New Roman"/>
        </w:rPr>
        <w:t xml:space="preserve"> </w:t>
      </w:r>
      <w:r w:rsidR="00C20965" w:rsidRPr="009A4B8D">
        <w:rPr>
          <w:rFonts w:eastAsia="Times New Roman"/>
        </w:rPr>
        <w:t xml:space="preserve">can decide whether it is a breach. </w:t>
      </w:r>
      <w:r w:rsidR="006E09CF" w:rsidRPr="009A4B8D">
        <w:rPr>
          <w:rFonts w:eastAsia="Times New Roman"/>
        </w:rPr>
        <w:t>S</w:t>
      </w:r>
      <w:r w:rsidR="00FB0138" w:rsidRPr="009A4B8D">
        <w:rPr>
          <w:rFonts w:eastAsia="Times New Roman"/>
        </w:rPr>
        <w:t xml:space="preserve">hould a non-compliance be identified </w:t>
      </w:r>
      <w:r w:rsidR="00256AC6" w:rsidRPr="009A4B8D">
        <w:rPr>
          <w:rFonts w:eastAsia="Times New Roman"/>
        </w:rPr>
        <w:t xml:space="preserve">in </w:t>
      </w:r>
      <w:r w:rsidR="00FB0138" w:rsidRPr="009A4B8D">
        <w:rPr>
          <w:rFonts w:eastAsia="Times New Roman"/>
        </w:rPr>
        <w:t>the</w:t>
      </w:r>
      <w:r w:rsidR="00177470" w:rsidRPr="009A4B8D">
        <w:rPr>
          <w:rFonts w:eastAsia="Times New Roman"/>
        </w:rPr>
        <w:t xml:space="preserve"> </w:t>
      </w:r>
      <w:r w:rsidR="00256AC6" w:rsidRPr="009A4B8D">
        <w:rPr>
          <w:rFonts w:eastAsia="Times New Roman"/>
        </w:rPr>
        <w:t xml:space="preserve">report the </w:t>
      </w:r>
      <w:r w:rsidR="00177470" w:rsidRPr="009A4B8D">
        <w:rPr>
          <w:rFonts w:eastAsia="Times New Roman"/>
        </w:rPr>
        <w:t>licence holder</w:t>
      </w:r>
      <w:r w:rsidR="00FB0138" w:rsidRPr="009A4B8D">
        <w:rPr>
          <w:rFonts w:eastAsia="Times New Roman"/>
        </w:rPr>
        <w:t xml:space="preserve"> will have an opportunity to make a written response</w:t>
      </w:r>
      <w:r w:rsidR="0097269E" w:rsidRPr="009A4B8D">
        <w:rPr>
          <w:rFonts w:eastAsia="Times New Roman"/>
        </w:rPr>
        <w:t xml:space="preserve">. </w:t>
      </w:r>
      <w:r w:rsidR="006E09CF" w:rsidRPr="009A4B8D">
        <w:rPr>
          <w:rFonts w:eastAsia="Times New Roman"/>
        </w:rPr>
        <w:t>The l</w:t>
      </w:r>
      <w:r w:rsidR="00177470" w:rsidRPr="009A4B8D">
        <w:rPr>
          <w:rFonts w:eastAsia="Times New Roman"/>
        </w:rPr>
        <w:t xml:space="preserve">icence holder </w:t>
      </w:r>
      <w:r w:rsidR="006E09CF" w:rsidRPr="009A4B8D">
        <w:rPr>
          <w:rFonts w:eastAsia="Times New Roman"/>
        </w:rPr>
        <w:t xml:space="preserve">should be reminded </w:t>
      </w:r>
      <w:r w:rsidR="00177470" w:rsidRPr="009A4B8D">
        <w:rPr>
          <w:rFonts w:eastAsia="Times New Roman"/>
        </w:rPr>
        <w:t xml:space="preserve">of their obligation under </w:t>
      </w:r>
      <w:r w:rsidR="009A4B8D">
        <w:rPr>
          <w:rFonts w:eastAsia="Times New Roman"/>
        </w:rPr>
        <w:t xml:space="preserve">section 57 of the </w:t>
      </w:r>
      <w:r w:rsidR="00177470" w:rsidRPr="009A4B8D">
        <w:rPr>
          <w:rFonts w:eastAsia="Times New Roman"/>
        </w:rPr>
        <w:t>Regulation</w:t>
      </w:r>
      <w:r w:rsidR="009A4B8D">
        <w:rPr>
          <w:rFonts w:eastAsia="Times New Roman"/>
        </w:rPr>
        <w:t>s</w:t>
      </w:r>
      <w:r w:rsidR="00177470" w:rsidRPr="009A4B8D">
        <w:rPr>
          <w:rFonts w:eastAsia="Times New Roman"/>
        </w:rPr>
        <w:t xml:space="preserve"> to investigate and rectify any breach as soon as reasonabl</w:t>
      </w:r>
      <w:r w:rsidR="00595AA6" w:rsidRPr="009A4B8D">
        <w:rPr>
          <w:rFonts w:eastAsia="Times New Roman"/>
        </w:rPr>
        <w:t>y</w:t>
      </w:r>
      <w:r w:rsidR="00177470" w:rsidRPr="009A4B8D">
        <w:rPr>
          <w:rFonts w:eastAsia="Times New Roman"/>
        </w:rPr>
        <w:t xml:space="preserve"> practicable.</w:t>
      </w:r>
    </w:p>
    <w:p w14:paraId="36ABCEFA" w14:textId="4AF9B436" w:rsidR="009A4B8D" w:rsidRDefault="00FC63B4" w:rsidP="00BC31FD">
      <w:pPr>
        <w:ind w:left="-142"/>
        <w:rPr>
          <w:rStyle w:val="Hyperlink"/>
          <w:rFonts w:eastAsia="Times New Roman"/>
          <w:color w:val="auto"/>
          <w:u w:val="none"/>
        </w:rPr>
      </w:pPr>
      <w:r w:rsidRPr="009A4B8D">
        <w:rPr>
          <w:rFonts w:eastAsia="Times New Roman"/>
        </w:rPr>
        <w:t>Ensure a record of attendees is made</w:t>
      </w:r>
      <w:r w:rsidR="00BE602B">
        <w:rPr>
          <w:rFonts w:eastAsia="Times New Roman"/>
        </w:rPr>
        <w:t>;</w:t>
      </w:r>
      <w:r w:rsidRPr="009A4B8D">
        <w:rPr>
          <w:rFonts w:eastAsia="Times New Roman"/>
        </w:rPr>
        <w:t xml:space="preserve"> </w:t>
      </w:r>
      <w:r w:rsidR="00D92CDB">
        <w:rPr>
          <w:rFonts w:eastAsia="Times New Roman"/>
        </w:rPr>
        <w:t xml:space="preserve">the </w:t>
      </w:r>
      <w:hyperlink r:id="rId36" w:history="1">
        <w:r w:rsidR="00FB0138" w:rsidRPr="0026687B">
          <w:rPr>
            <w:rStyle w:val="Hyperlink"/>
            <w:rFonts w:eastAsia="Times New Roman"/>
            <w:color w:val="4E1A74" w:themeColor="accent2"/>
          </w:rPr>
          <w:t>Record of Meeting</w:t>
        </w:r>
      </w:hyperlink>
      <w:r w:rsidR="00BE602B">
        <w:rPr>
          <w:rStyle w:val="Hyperlink"/>
          <w:rFonts w:eastAsia="Times New Roman"/>
          <w:color w:val="4E1A74" w:themeColor="accent2"/>
        </w:rPr>
        <w:t xml:space="preserve"> </w:t>
      </w:r>
      <w:r w:rsidR="00BE602B" w:rsidRPr="00BE602B">
        <w:rPr>
          <w:rStyle w:val="Hyperlink"/>
          <w:rFonts w:eastAsia="Times New Roman"/>
          <w:color w:val="auto"/>
          <w:u w:val="none"/>
        </w:rPr>
        <w:t>template</w:t>
      </w:r>
      <w:r w:rsidR="00BE602B">
        <w:rPr>
          <w:rStyle w:val="Hyperlink"/>
          <w:rFonts w:eastAsia="Times New Roman"/>
          <w:color w:val="4E1A74" w:themeColor="accent2"/>
          <w:u w:val="none"/>
        </w:rPr>
        <w:t xml:space="preserve"> </w:t>
      </w:r>
      <w:r w:rsidRPr="009A4B8D">
        <w:rPr>
          <w:rStyle w:val="Hyperlink"/>
          <w:rFonts w:eastAsia="Times New Roman"/>
          <w:color w:val="auto"/>
          <w:u w:val="none"/>
        </w:rPr>
        <w:t>may be used for this purpose</w:t>
      </w:r>
      <w:r w:rsidR="00D54D0D" w:rsidRPr="009A4B8D">
        <w:rPr>
          <w:rStyle w:val="Hyperlink"/>
          <w:rFonts w:eastAsia="Times New Roman"/>
          <w:color w:val="auto"/>
          <w:u w:val="none"/>
        </w:rPr>
        <w:t xml:space="preserve">. </w:t>
      </w:r>
      <w:bookmarkStart w:id="45" w:name="_Toc483572284"/>
      <w:bookmarkStart w:id="46" w:name="_Toc492399372"/>
    </w:p>
    <w:p w14:paraId="3811E60B" w14:textId="77777777" w:rsidR="005B26D1" w:rsidRDefault="005B26D1">
      <w:pPr>
        <w:spacing w:before="200" w:after="200"/>
        <w:rPr>
          <w:b/>
          <w:color w:val="207220" w:themeColor="accent1" w:themeShade="BF"/>
          <w:sz w:val="36"/>
          <w:szCs w:val="36"/>
        </w:rPr>
      </w:pPr>
      <w:r>
        <w:rPr>
          <w:b/>
          <w:color w:val="207220" w:themeColor="accent1" w:themeShade="BF"/>
          <w:sz w:val="36"/>
          <w:szCs w:val="36"/>
        </w:rPr>
        <w:br w:type="page"/>
      </w:r>
    </w:p>
    <w:p w14:paraId="76647818" w14:textId="428D0BFE" w:rsidR="008104A6" w:rsidRPr="00ED7A54" w:rsidRDefault="008104A6" w:rsidP="00122B75">
      <w:pPr>
        <w:pStyle w:val="ListParagraph"/>
        <w:numPr>
          <w:ilvl w:val="0"/>
          <w:numId w:val="40"/>
        </w:numPr>
        <w:spacing w:before="200"/>
        <w:ind w:left="567" w:hanging="567"/>
        <w:rPr>
          <w:rFonts w:eastAsia="Times New Roman"/>
          <w:b/>
          <w:color w:val="154C15" w:themeColor="accent1" w:themeShade="80"/>
          <w:sz w:val="36"/>
          <w:szCs w:val="36"/>
        </w:rPr>
      </w:pPr>
      <w:r w:rsidRPr="00ED7A54">
        <w:rPr>
          <w:b/>
          <w:color w:val="154C15" w:themeColor="accent1" w:themeShade="80"/>
          <w:sz w:val="36"/>
          <w:szCs w:val="36"/>
        </w:rPr>
        <w:lastRenderedPageBreak/>
        <w:t>Reporting</w:t>
      </w:r>
      <w:r w:rsidR="00EF4ED7" w:rsidRPr="00ED7A54">
        <w:rPr>
          <w:b/>
          <w:color w:val="154C15" w:themeColor="accent1" w:themeShade="80"/>
          <w:sz w:val="36"/>
          <w:szCs w:val="36"/>
        </w:rPr>
        <w:t xml:space="preserve"> </w:t>
      </w:r>
      <w:r w:rsidR="00620D94" w:rsidRPr="00ED7A54">
        <w:rPr>
          <w:b/>
          <w:color w:val="154C15" w:themeColor="accent1" w:themeShade="80"/>
          <w:sz w:val="36"/>
          <w:szCs w:val="36"/>
        </w:rPr>
        <w:t>i</w:t>
      </w:r>
      <w:r w:rsidR="00AE4FAF" w:rsidRPr="00ED7A54">
        <w:rPr>
          <w:b/>
          <w:color w:val="154C15" w:themeColor="accent1" w:themeShade="80"/>
          <w:sz w:val="36"/>
          <w:szCs w:val="36"/>
        </w:rPr>
        <w:t xml:space="preserve">nspection </w:t>
      </w:r>
      <w:r w:rsidR="00620D94" w:rsidRPr="00ED7A54">
        <w:rPr>
          <w:b/>
          <w:color w:val="154C15" w:themeColor="accent1" w:themeShade="80"/>
          <w:sz w:val="36"/>
          <w:szCs w:val="36"/>
        </w:rPr>
        <w:t>o</w:t>
      </w:r>
      <w:r w:rsidR="00EF4ED7" w:rsidRPr="00ED7A54">
        <w:rPr>
          <w:b/>
          <w:color w:val="154C15" w:themeColor="accent1" w:themeShade="80"/>
          <w:sz w:val="36"/>
          <w:szCs w:val="36"/>
        </w:rPr>
        <w:t>utcomes</w:t>
      </w:r>
      <w:bookmarkEnd w:id="45"/>
      <w:bookmarkEnd w:id="46"/>
    </w:p>
    <w:p w14:paraId="076026BC" w14:textId="5AEDA47C" w:rsidR="00FB0138" w:rsidRDefault="00F24A52" w:rsidP="00122B75">
      <w:pPr>
        <w:pStyle w:val="Heading2"/>
        <w:numPr>
          <w:ilvl w:val="1"/>
          <w:numId w:val="53"/>
        </w:numPr>
        <w:tabs>
          <w:tab w:val="clear" w:pos="851"/>
          <w:tab w:val="left" w:pos="1276"/>
        </w:tabs>
        <w:ind w:hanging="929"/>
      </w:pPr>
      <w:bookmarkStart w:id="47" w:name="_Toc492399373"/>
      <w:r w:rsidRPr="00FB0138">
        <w:t xml:space="preserve">Inspection </w:t>
      </w:r>
      <w:r w:rsidR="00125C83">
        <w:t>r</w:t>
      </w:r>
      <w:r w:rsidR="008104A6" w:rsidRPr="00FB0138">
        <w:t>eport</w:t>
      </w:r>
      <w:bookmarkEnd w:id="47"/>
    </w:p>
    <w:p w14:paraId="34206E4C" w14:textId="2E20279C" w:rsidR="003508EB" w:rsidRDefault="003508EB" w:rsidP="00BC31FD">
      <w:pPr>
        <w:ind w:left="-142"/>
        <w:rPr>
          <w:rStyle w:val="Normalbold"/>
        </w:rPr>
      </w:pPr>
      <w:r w:rsidRPr="00C25811">
        <w:rPr>
          <w:rStyle w:val="Normalbold"/>
        </w:rPr>
        <w:t>The lead inspector prepares an inspection report</w:t>
      </w:r>
      <w:r>
        <w:rPr>
          <w:rStyle w:val="Normalbold"/>
        </w:rPr>
        <w:t xml:space="preserve"> using the appropriate template</w:t>
      </w:r>
      <w:r w:rsidRPr="00C25811">
        <w:rPr>
          <w:rStyle w:val="Normalbold"/>
        </w:rPr>
        <w:t xml:space="preserve"> to </w:t>
      </w:r>
      <w:r>
        <w:rPr>
          <w:rStyle w:val="Normalbold"/>
        </w:rPr>
        <w:t xml:space="preserve">record inspection findings and </w:t>
      </w:r>
      <w:r w:rsidRPr="00C25811">
        <w:rPr>
          <w:rStyle w:val="Normalbold"/>
        </w:rPr>
        <w:t xml:space="preserve">document the assessment of licence holder performance. </w:t>
      </w:r>
    </w:p>
    <w:p w14:paraId="5B34298E" w14:textId="77777777" w:rsidR="003508EB" w:rsidRDefault="003508EB" w:rsidP="00BC31FD">
      <w:pPr>
        <w:ind w:left="-142"/>
        <w:rPr>
          <w:rStyle w:val="Normalbold"/>
        </w:rPr>
      </w:pPr>
      <w:r>
        <w:rPr>
          <w:rStyle w:val="Normalbold"/>
        </w:rPr>
        <w:t>The purpose of the inspection report is to:</w:t>
      </w:r>
    </w:p>
    <w:p w14:paraId="7B2B2584" w14:textId="77777777" w:rsidR="003508EB" w:rsidRDefault="003508EB" w:rsidP="00122B75">
      <w:pPr>
        <w:pStyle w:val="ListParagraph"/>
        <w:numPr>
          <w:ilvl w:val="0"/>
          <w:numId w:val="50"/>
        </w:numPr>
        <w:ind w:left="993" w:hanging="426"/>
        <w:rPr>
          <w:rStyle w:val="Normalbold"/>
        </w:rPr>
      </w:pPr>
      <w:r w:rsidRPr="004E3E79">
        <w:rPr>
          <w:rStyle w:val="Normalbold"/>
        </w:rPr>
        <w:t xml:space="preserve">record the results </w:t>
      </w:r>
      <w:r>
        <w:rPr>
          <w:rStyle w:val="Normalbold"/>
        </w:rPr>
        <w:t xml:space="preserve">of </w:t>
      </w:r>
      <w:r w:rsidRPr="004E3E79">
        <w:rPr>
          <w:rStyle w:val="Normalbold"/>
        </w:rPr>
        <w:t xml:space="preserve">inspection </w:t>
      </w:r>
      <w:r>
        <w:rPr>
          <w:rStyle w:val="Normalbold"/>
        </w:rPr>
        <w:t xml:space="preserve">activities with </w:t>
      </w:r>
      <w:r w:rsidRPr="004E3E79">
        <w:rPr>
          <w:rStyle w:val="Normalbold"/>
        </w:rPr>
        <w:t xml:space="preserve">safety or regulatory significance </w:t>
      </w:r>
    </w:p>
    <w:p w14:paraId="414B3F99" w14:textId="77777777" w:rsidR="003508EB" w:rsidRDefault="003508EB" w:rsidP="00122B75">
      <w:pPr>
        <w:pStyle w:val="ListParagraph"/>
        <w:numPr>
          <w:ilvl w:val="0"/>
          <w:numId w:val="50"/>
        </w:numPr>
        <w:ind w:left="993" w:hanging="426"/>
        <w:rPr>
          <w:rStyle w:val="Normalbold"/>
        </w:rPr>
      </w:pPr>
      <w:r w:rsidRPr="004E3E79">
        <w:rPr>
          <w:rStyle w:val="Normalbold"/>
        </w:rPr>
        <w:t xml:space="preserve">record an assessment of the </w:t>
      </w:r>
      <w:r>
        <w:rPr>
          <w:rStyle w:val="Normalbold"/>
        </w:rPr>
        <w:t xml:space="preserve">licence holder’s safety &amp; security performance </w:t>
      </w:r>
    </w:p>
    <w:p w14:paraId="7ED3BA27" w14:textId="77777777" w:rsidR="003508EB" w:rsidRDefault="003508EB" w:rsidP="00122B75">
      <w:pPr>
        <w:pStyle w:val="ListParagraph"/>
        <w:numPr>
          <w:ilvl w:val="0"/>
          <w:numId w:val="50"/>
        </w:numPr>
        <w:ind w:left="993" w:hanging="426"/>
        <w:rPr>
          <w:rStyle w:val="Normalbold"/>
        </w:rPr>
      </w:pPr>
      <w:r w:rsidRPr="004E3E79">
        <w:rPr>
          <w:rStyle w:val="Normalbold"/>
        </w:rPr>
        <w:t xml:space="preserve">record </w:t>
      </w:r>
      <w:r>
        <w:rPr>
          <w:rStyle w:val="Normalbold"/>
        </w:rPr>
        <w:t xml:space="preserve">the outcomes of relevant </w:t>
      </w:r>
      <w:r w:rsidRPr="004E3E79">
        <w:rPr>
          <w:rStyle w:val="Normalbold"/>
        </w:rPr>
        <w:t xml:space="preserve">discussions held with </w:t>
      </w:r>
      <w:r>
        <w:rPr>
          <w:rStyle w:val="Normalbold"/>
        </w:rPr>
        <w:t>licence holder</w:t>
      </w:r>
      <w:r w:rsidRPr="004E3E79">
        <w:rPr>
          <w:rStyle w:val="Normalbold"/>
        </w:rPr>
        <w:t>’s staff</w:t>
      </w:r>
      <w:r>
        <w:rPr>
          <w:rStyle w:val="Normalbold"/>
        </w:rPr>
        <w:t xml:space="preserve"> &amp;</w:t>
      </w:r>
      <w:r w:rsidRPr="004E3E79">
        <w:rPr>
          <w:rStyle w:val="Normalbold"/>
        </w:rPr>
        <w:t xml:space="preserve"> management</w:t>
      </w:r>
      <w:r>
        <w:rPr>
          <w:rStyle w:val="Normalbold"/>
        </w:rPr>
        <w:t xml:space="preserve"> </w:t>
      </w:r>
    </w:p>
    <w:p w14:paraId="1B9967C0" w14:textId="77777777" w:rsidR="003508EB" w:rsidRDefault="003508EB" w:rsidP="00122B75">
      <w:pPr>
        <w:pStyle w:val="ListParagraph"/>
        <w:numPr>
          <w:ilvl w:val="0"/>
          <w:numId w:val="50"/>
        </w:numPr>
        <w:ind w:left="993" w:hanging="426"/>
        <w:rPr>
          <w:rStyle w:val="Normalbold"/>
        </w:rPr>
      </w:pPr>
      <w:r w:rsidRPr="004E3E79">
        <w:rPr>
          <w:rStyle w:val="Normalbold"/>
        </w:rPr>
        <w:t xml:space="preserve">inform the </w:t>
      </w:r>
      <w:r>
        <w:rPr>
          <w:rStyle w:val="Normalbold"/>
        </w:rPr>
        <w:t xml:space="preserve">licence holder </w:t>
      </w:r>
      <w:r w:rsidRPr="004E3E79">
        <w:rPr>
          <w:rStyle w:val="Normalbold"/>
        </w:rPr>
        <w:t xml:space="preserve">of the </w:t>
      </w:r>
      <w:r>
        <w:rPr>
          <w:rStyle w:val="Normalbold"/>
        </w:rPr>
        <w:t xml:space="preserve">inspection </w:t>
      </w:r>
      <w:r w:rsidRPr="004E3E79">
        <w:rPr>
          <w:rStyle w:val="Normalbold"/>
        </w:rPr>
        <w:t>findings</w:t>
      </w:r>
      <w:r>
        <w:rPr>
          <w:rStyle w:val="Normalbold"/>
        </w:rPr>
        <w:t>,</w:t>
      </w:r>
      <w:r w:rsidRPr="004E3E79">
        <w:rPr>
          <w:rStyle w:val="Normalbold"/>
        </w:rPr>
        <w:t xml:space="preserve"> any non-compliance</w:t>
      </w:r>
      <w:r>
        <w:rPr>
          <w:rStyle w:val="Normalbold"/>
        </w:rPr>
        <w:t>, and good practice</w:t>
      </w:r>
    </w:p>
    <w:p w14:paraId="672DF4B5" w14:textId="77777777" w:rsidR="003508EB" w:rsidRDefault="003508EB" w:rsidP="00122B75">
      <w:pPr>
        <w:pStyle w:val="ListParagraph"/>
        <w:numPr>
          <w:ilvl w:val="0"/>
          <w:numId w:val="50"/>
        </w:numPr>
        <w:ind w:left="993" w:hanging="426"/>
        <w:rPr>
          <w:rStyle w:val="Normalbold"/>
        </w:rPr>
      </w:pPr>
      <w:r w:rsidRPr="004E3E79">
        <w:rPr>
          <w:rStyle w:val="Normalbold"/>
        </w:rPr>
        <w:t>record any findings or conclusions reached by inspectors</w:t>
      </w:r>
    </w:p>
    <w:p w14:paraId="6911BA4A" w14:textId="77777777" w:rsidR="003508EB" w:rsidRDefault="003508EB" w:rsidP="00122B75">
      <w:pPr>
        <w:pStyle w:val="ListParagraph"/>
        <w:numPr>
          <w:ilvl w:val="0"/>
          <w:numId w:val="50"/>
        </w:numPr>
        <w:ind w:left="993" w:hanging="426"/>
        <w:rPr>
          <w:rStyle w:val="Normalbold"/>
        </w:rPr>
      </w:pPr>
      <w:r>
        <w:rPr>
          <w:rStyle w:val="Normalbold"/>
        </w:rPr>
        <w:t xml:space="preserve">provide a means of sharing of inspection findings with other regulatory staff, </w:t>
      </w:r>
      <w:proofErr w:type="gramStart"/>
      <w:r>
        <w:rPr>
          <w:rStyle w:val="Normalbold"/>
        </w:rPr>
        <w:t>stakeholders</w:t>
      </w:r>
      <w:proofErr w:type="gramEnd"/>
      <w:r>
        <w:rPr>
          <w:rStyle w:val="Normalbold"/>
        </w:rPr>
        <w:t xml:space="preserve"> and other interested parties</w:t>
      </w:r>
    </w:p>
    <w:p w14:paraId="6824905B" w14:textId="77777777" w:rsidR="003508EB" w:rsidRDefault="003508EB" w:rsidP="00122B75">
      <w:pPr>
        <w:pStyle w:val="ListParagraph"/>
        <w:numPr>
          <w:ilvl w:val="0"/>
          <w:numId w:val="50"/>
        </w:numPr>
        <w:ind w:left="993" w:hanging="426"/>
        <w:rPr>
          <w:rStyle w:val="Normalbold"/>
        </w:rPr>
      </w:pPr>
      <w:r w:rsidRPr="004E3E79">
        <w:rPr>
          <w:rStyle w:val="Normalbold"/>
        </w:rPr>
        <w:t>cont</w:t>
      </w:r>
      <w:r>
        <w:rPr>
          <w:rStyle w:val="Normalbold"/>
        </w:rPr>
        <w:t>ribute to maintaining regulatory history</w:t>
      </w:r>
    </w:p>
    <w:p w14:paraId="503C4AE4" w14:textId="59932863" w:rsidR="005C4E34" w:rsidRDefault="00E81B6D" w:rsidP="00BC31FD">
      <w:pPr>
        <w:ind w:left="-142"/>
        <w:rPr>
          <w:rStyle w:val="Normalbold"/>
        </w:rPr>
      </w:pPr>
      <w:r w:rsidRPr="009A4B8D">
        <w:rPr>
          <w:rStyle w:val="Normalbold"/>
        </w:rPr>
        <w:t xml:space="preserve">The report should be </w:t>
      </w:r>
      <w:r w:rsidR="00091074" w:rsidRPr="009A4B8D">
        <w:rPr>
          <w:rStyle w:val="Normalbold"/>
        </w:rPr>
        <w:t>factual and</w:t>
      </w:r>
      <w:r w:rsidRPr="009A4B8D">
        <w:rPr>
          <w:rStyle w:val="Normalbold"/>
        </w:rPr>
        <w:t xml:space="preserve"> concise</w:t>
      </w:r>
      <w:r w:rsidR="003F3771" w:rsidRPr="009A4B8D">
        <w:rPr>
          <w:rStyle w:val="Normalbold"/>
        </w:rPr>
        <w:t xml:space="preserve"> and</w:t>
      </w:r>
      <w:r w:rsidR="00257F92" w:rsidRPr="009A4B8D">
        <w:rPr>
          <w:rStyle w:val="Normalbold"/>
        </w:rPr>
        <w:t xml:space="preserve"> should focus on the inspection scope</w:t>
      </w:r>
      <w:r w:rsidR="008516BE" w:rsidRPr="009A4B8D">
        <w:rPr>
          <w:rStyle w:val="Normalbold"/>
        </w:rPr>
        <w:t>.</w:t>
      </w:r>
      <w:r w:rsidR="00FB0138" w:rsidRPr="009A4B8D">
        <w:rPr>
          <w:rStyle w:val="Normalbold"/>
        </w:rPr>
        <w:t xml:space="preserve"> </w:t>
      </w:r>
      <w:r w:rsidR="003F3771" w:rsidRPr="009A4B8D">
        <w:rPr>
          <w:rStyle w:val="Normalbold"/>
        </w:rPr>
        <w:t xml:space="preserve">It should not identify any security </w:t>
      </w:r>
      <w:r w:rsidR="00E73E47">
        <w:rPr>
          <w:rStyle w:val="Normalbold"/>
        </w:rPr>
        <w:t xml:space="preserve">arrangements </w:t>
      </w:r>
      <w:r w:rsidR="003F3771" w:rsidRPr="009A4B8D">
        <w:rPr>
          <w:rStyle w:val="Normalbold"/>
        </w:rPr>
        <w:t xml:space="preserve">or </w:t>
      </w:r>
      <w:r w:rsidR="00E73E47">
        <w:rPr>
          <w:rStyle w:val="Normalbold"/>
        </w:rPr>
        <w:t xml:space="preserve">reveal any </w:t>
      </w:r>
      <w:r w:rsidR="003F3771" w:rsidRPr="009A4B8D">
        <w:rPr>
          <w:rStyle w:val="Normalbold"/>
        </w:rPr>
        <w:t xml:space="preserve">commercially sensitive </w:t>
      </w:r>
      <w:r w:rsidR="00DB54EF" w:rsidRPr="009A4B8D">
        <w:rPr>
          <w:rStyle w:val="Normalbold"/>
        </w:rPr>
        <w:t>information such as intellectual property</w:t>
      </w:r>
      <w:r w:rsidR="003F3771" w:rsidRPr="009A4B8D">
        <w:rPr>
          <w:rStyle w:val="Normalbold"/>
        </w:rPr>
        <w:t xml:space="preserve">. </w:t>
      </w:r>
      <w:r w:rsidR="005C4E34">
        <w:rPr>
          <w:rStyle w:val="Normalbold"/>
        </w:rPr>
        <w:t xml:space="preserve">There should be a clear link to international best practice for all areas for improvement identified. </w:t>
      </w:r>
      <w:r w:rsidR="008516BE" w:rsidRPr="009A4B8D">
        <w:rPr>
          <w:rStyle w:val="Normalbold"/>
        </w:rPr>
        <w:t xml:space="preserve">There must be evidence </w:t>
      </w:r>
      <w:r w:rsidR="00BF642C">
        <w:rPr>
          <w:rStyle w:val="Normalbold"/>
        </w:rPr>
        <w:t>(elements of proof</w:t>
      </w:r>
      <w:r w:rsidR="00BF642C">
        <w:rPr>
          <w:rStyle w:val="FootnoteReference"/>
          <w:rFonts w:eastAsia="Calibri"/>
        </w:rPr>
        <w:footnoteReference w:id="2"/>
      </w:r>
      <w:r w:rsidR="00BF642C">
        <w:rPr>
          <w:rStyle w:val="Normalbold"/>
        </w:rPr>
        <w:t xml:space="preserve">) </w:t>
      </w:r>
      <w:r w:rsidR="008516BE" w:rsidRPr="009A4B8D">
        <w:rPr>
          <w:rStyle w:val="Normalbold"/>
        </w:rPr>
        <w:t xml:space="preserve">to support </w:t>
      </w:r>
      <w:r w:rsidR="005C4E34">
        <w:rPr>
          <w:rStyle w:val="Normalbold"/>
        </w:rPr>
        <w:t xml:space="preserve">any </w:t>
      </w:r>
      <w:r w:rsidR="008516BE" w:rsidRPr="009A4B8D">
        <w:rPr>
          <w:rStyle w:val="Normalbold"/>
        </w:rPr>
        <w:t>all</w:t>
      </w:r>
      <w:r w:rsidR="005C4E34">
        <w:rPr>
          <w:rStyle w:val="Normalbold"/>
        </w:rPr>
        <w:t>eged</w:t>
      </w:r>
      <w:r w:rsidR="00FB0138" w:rsidRPr="009A4B8D">
        <w:rPr>
          <w:rStyle w:val="Normalbold"/>
        </w:rPr>
        <w:t xml:space="preserve"> non-compliance</w:t>
      </w:r>
      <w:r w:rsidR="007F60E6" w:rsidRPr="009A4B8D">
        <w:rPr>
          <w:rStyle w:val="Normalbold"/>
        </w:rPr>
        <w:t xml:space="preserve">. </w:t>
      </w:r>
    </w:p>
    <w:p w14:paraId="2A924157" w14:textId="7139C4B5" w:rsidR="00FB0138" w:rsidRPr="009A4B8D" w:rsidRDefault="00FB0138" w:rsidP="00BC31FD">
      <w:pPr>
        <w:ind w:left="-142"/>
        <w:rPr>
          <w:rStyle w:val="Normalbold"/>
        </w:rPr>
      </w:pPr>
      <w:r w:rsidRPr="009A4B8D">
        <w:rPr>
          <w:rStyle w:val="Normalbold"/>
        </w:rPr>
        <w:t xml:space="preserve">The body of the report </w:t>
      </w:r>
      <w:r w:rsidR="004940FA" w:rsidRPr="009A4B8D">
        <w:rPr>
          <w:rStyle w:val="Normalbold"/>
        </w:rPr>
        <w:t>should</w:t>
      </w:r>
      <w:r w:rsidRPr="009A4B8D">
        <w:rPr>
          <w:rStyle w:val="Normalbold"/>
        </w:rPr>
        <w:t xml:space="preserve"> not contain the names of </w:t>
      </w:r>
      <w:r w:rsidR="000F4025" w:rsidRPr="009A4B8D">
        <w:rPr>
          <w:rStyle w:val="Normalbold"/>
        </w:rPr>
        <w:t>individuals</w:t>
      </w:r>
      <w:r w:rsidRPr="009A4B8D">
        <w:rPr>
          <w:rStyle w:val="Normalbold"/>
        </w:rPr>
        <w:t>; refer</w:t>
      </w:r>
      <w:r w:rsidR="0029766C" w:rsidRPr="009A4B8D">
        <w:rPr>
          <w:rStyle w:val="Normalbold"/>
        </w:rPr>
        <w:t xml:space="preserve"> only</w:t>
      </w:r>
      <w:r w:rsidRPr="009A4B8D">
        <w:rPr>
          <w:rStyle w:val="Normalbold"/>
        </w:rPr>
        <w:t xml:space="preserve"> to position title </w:t>
      </w:r>
      <w:proofErr w:type="gramStart"/>
      <w:r w:rsidRPr="009A4B8D">
        <w:rPr>
          <w:rStyle w:val="Normalbold"/>
        </w:rPr>
        <w:t>e.g.</w:t>
      </w:r>
      <w:proofErr w:type="gramEnd"/>
      <w:r w:rsidRPr="009A4B8D">
        <w:rPr>
          <w:rStyle w:val="Normalbold"/>
        </w:rPr>
        <w:t xml:space="preserve"> CEO, RSO, Nominee, </w:t>
      </w:r>
      <w:r w:rsidR="0007233E" w:rsidRPr="009A4B8D">
        <w:rPr>
          <w:rStyle w:val="Normalbold"/>
        </w:rPr>
        <w:t>W</w:t>
      </w:r>
      <w:r w:rsidRPr="009A4B8D">
        <w:rPr>
          <w:rStyle w:val="Normalbold"/>
        </w:rPr>
        <w:t xml:space="preserve">HS Manager. A </w:t>
      </w:r>
      <w:r w:rsidR="00537853" w:rsidRPr="009A4B8D">
        <w:rPr>
          <w:rStyle w:val="Normalbold"/>
        </w:rPr>
        <w:t xml:space="preserve">table </w:t>
      </w:r>
      <w:r w:rsidRPr="009A4B8D">
        <w:rPr>
          <w:rStyle w:val="Normalbold"/>
        </w:rPr>
        <w:t>of names</w:t>
      </w:r>
      <w:r w:rsidR="005E5E3F" w:rsidRPr="009A4B8D">
        <w:rPr>
          <w:rStyle w:val="Normalbold"/>
        </w:rPr>
        <w:t xml:space="preserve">, </w:t>
      </w:r>
      <w:r w:rsidRPr="009A4B8D">
        <w:rPr>
          <w:rStyle w:val="Normalbold"/>
        </w:rPr>
        <w:t xml:space="preserve">positions </w:t>
      </w:r>
      <w:r w:rsidR="005E5E3F" w:rsidRPr="009A4B8D">
        <w:rPr>
          <w:rStyle w:val="Normalbold"/>
        </w:rPr>
        <w:t xml:space="preserve">and email addresses is </w:t>
      </w:r>
      <w:r w:rsidRPr="009A4B8D">
        <w:rPr>
          <w:rStyle w:val="Normalbold"/>
        </w:rPr>
        <w:t xml:space="preserve">included in </w:t>
      </w:r>
      <w:r w:rsidR="00577AEC" w:rsidRPr="009A4B8D">
        <w:rPr>
          <w:rStyle w:val="Normalbold"/>
        </w:rPr>
        <w:t>the</w:t>
      </w:r>
      <w:r w:rsidRPr="009A4B8D">
        <w:rPr>
          <w:rStyle w:val="Normalbold"/>
        </w:rPr>
        <w:t xml:space="preserve"> addendum </w:t>
      </w:r>
      <w:r w:rsidR="00E73E47">
        <w:rPr>
          <w:rStyle w:val="Normalbold"/>
        </w:rPr>
        <w:t>which</w:t>
      </w:r>
      <w:r w:rsidR="003F3771" w:rsidRPr="009A4B8D">
        <w:rPr>
          <w:rStyle w:val="Normalbold"/>
        </w:rPr>
        <w:t xml:space="preserve"> </w:t>
      </w:r>
      <w:r w:rsidR="0029766C" w:rsidRPr="009A4B8D">
        <w:rPr>
          <w:rStyle w:val="Normalbold"/>
        </w:rPr>
        <w:t xml:space="preserve">is removed before the report is </w:t>
      </w:r>
      <w:r w:rsidR="00420E58" w:rsidRPr="009A4B8D">
        <w:rPr>
          <w:rStyle w:val="Normalbold"/>
        </w:rPr>
        <w:t>published</w:t>
      </w:r>
      <w:r w:rsidRPr="009A4B8D">
        <w:rPr>
          <w:rStyle w:val="Normalbold"/>
        </w:rPr>
        <w:t>.</w:t>
      </w:r>
    </w:p>
    <w:p w14:paraId="07C9B3EF" w14:textId="64DD3924" w:rsidR="003F3771" w:rsidRPr="009A4B8D" w:rsidRDefault="00563504" w:rsidP="00BC31FD">
      <w:pPr>
        <w:ind w:left="-142"/>
        <w:rPr>
          <w:rStyle w:val="Normalbold"/>
        </w:rPr>
      </w:pPr>
      <w:r w:rsidRPr="009A4B8D">
        <w:rPr>
          <w:rStyle w:val="Normalbold"/>
        </w:rPr>
        <w:t xml:space="preserve">If measurements were taken during the inspection the instrument used should be identified by make, model and serial number, and calibration details noted. If samples were taken there should be a description of the sampling method and information on where, when, and how the samples were taken and the process for measurement or assessment described. </w:t>
      </w:r>
    </w:p>
    <w:p w14:paraId="1BF92DDB" w14:textId="36FCC652" w:rsidR="00C570D8" w:rsidRPr="009A4B8D" w:rsidRDefault="003F3771" w:rsidP="00BC31FD">
      <w:pPr>
        <w:ind w:left="-142"/>
        <w:rPr>
          <w:rStyle w:val="Normalbold"/>
        </w:rPr>
      </w:pPr>
      <w:r w:rsidRPr="009A4B8D">
        <w:rPr>
          <w:rStyle w:val="Normalbold"/>
        </w:rPr>
        <w:t xml:space="preserve">Any additional matters identified during the inspection </w:t>
      </w:r>
      <w:r w:rsidR="00BF642C">
        <w:rPr>
          <w:rStyle w:val="Normalbold"/>
        </w:rPr>
        <w:t xml:space="preserve">that are outside the scope </w:t>
      </w:r>
      <w:r w:rsidRPr="009A4B8D">
        <w:rPr>
          <w:rStyle w:val="Normalbold"/>
        </w:rPr>
        <w:t>should be noted and addressed separately.</w:t>
      </w:r>
      <w:r w:rsidR="00C570D8" w:rsidRPr="009A4B8D">
        <w:rPr>
          <w:rStyle w:val="Normalbold"/>
        </w:rPr>
        <w:t xml:space="preserve"> </w:t>
      </w:r>
    </w:p>
    <w:p w14:paraId="6B5399D1" w14:textId="34F3A494" w:rsidR="00C570D8" w:rsidRPr="009A4B8D" w:rsidRDefault="00C570D8" w:rsidP="00BC31FD">
      <w:pPr>
        <w:ind w:left="-142"/>
        <w:rPr>
          <w:rStyle w:val="Normalbold"/>
        </w:rPr>
      </w:pPr>
      <w:r w:rsidRPr="009A4B8D">
        <w:rPr>
          <w:rStyle w:val="Normalbold"/>
        </w:rPr>
        <w:t xml:space="preserve">Where there has been independent oversight of the inspection this </w:t>
      </w:r>
      <w:r w:rsidR="005E5C9B" w:rsidRPr="009A4B8D">
        <w:rPr>
          <w:rStyle w:val="Normalbold"/>
        </w:rPr>
        <w:t>must</w:t>
      </w:r>
      <w:r w:rsidRPr="009A4B8D">
        <w:rPr>
          <w:rStyle w:val="Normalbold"/>
        </w:rPr>
        <w:t xml:space="preserve"> be indicated and where possible the report signed by the officer involved. </w:t>
      </w:r>
      <w:bookmarkStart w:id="48" w:name="OLE_LINK3"/>
      <w:bookmarkStart w:id="49" w:name="OLE_LINK1"/>
    </w:p>
    <w:p w14:paraId="504175F1" w14:textId="48085EE0" w:rsidR="00FB0138" w:rsidRDefault="008104A6" w:rsidP="00122B75">
      <w:pPr>
        <w:pStyle w:val="Heading2"/>
        <w:numPr>
          <w:ilvl w:val="1"/>
          <w:numId w:val="53"/>
        </w:numPr>
        <w:tabs>
          <w:tab w:val="clear" w:pos="851"/>
        </w:tabs>
        <w:spacing w:before="240"/>
        <w:ind w:left="1276" w:hanging="709"/>
      </w:pPr>
      <w:bookmarkStart w:id="50" w:name="_Toc492399374"/>
      <w:bookmarkEnd w:id="48"/>
      <w:bookmarkEnd w:id="49"/>
      <w:r w:rsidRPr="00FB0138">
        <w:t xml:space="preserve">Review </w:t>
      </w:r>
      <w:r w:rsidR="003E59E1">
        <w:t>draft report</w:t>
      </w:r>
      <w:bookmarkEnd w:id="50"/>
    </w:p>
    <w:p w14:paraId="7937C76E" w14:textId="58FADE98" w:rsidR="0029766C" w:rsidRPr="009A4B8D" w:rsidRDefault="00E66DC4" w:rsidP="00BC31FD">
      <w:pPr>
        <w:spacing w:line="240" w:lineRule="auto"/>
        <w:ind w:left="-142"/>
        <w:rPr>
          <w:rStyle w:val="Normalbold"/>
        </w:rPr>
      </w:pPr>
      <w:r w:rsidRPr="009A4B8D">
        <w:rPr>
          <w:rStyle w:val="Normalbold"/>
        </w:rPr>
        <w:t>Draft i</w:t>
      </w:r>
      <w:r w:rsidR="0029766C" w:rsidRPr="009A4B8D">
        <w:rPr>
          <w:rStyle w:val="Normalbold"/>
        </w:rPr>
        <w:t xml:space="preserve">nspection reports </w:t>
      </w:r>
      <w:r w:rsidR="00DB54EF" w:rsidRPr="009A4B8D">
        <w:rPr>
          <w:rStyle w:val="Normalbold"/>
        </w:rPr>
        <w:t xml:space="preserve">generally </w:t>
      </w:r>
      <w:r w:rsidR="008F4EF0" w:rsidRPr="009A4B8D">
        <w:rPr>
          <w:rStyle w:val="Normalbold"/>
        </w:rPr>
        <w:t xml:space="preserve">undergo </w:t>
      </w:r>
      <w:r w:rsidR="0029766C" w:rsidRPr="009A4B8D">
        <w:rPr>
          <w:rStyle w:val="Normalbold"/>
        </w:rPr>
        <w:t>the following review</w:t>
      </w:r>
      <w:r w:rsidR="003A5D52" w:rsidRPr="009A4B8D">
        <w:rPr>
          <w:rStyle w:val="Normalbold"/>
        </w:rPr>
        <w:t>s</w:t>
      </w:r>
      <w:r w:rsidR="00A64F58" w:rsidRPr="009A4B8D">
        <w:rPr>
          <w:rStyle w:val="Normalbold"/>
        </w:rPr>
        <w:t xml:space="preserve"> prior to sign-off</w:t>
      </w:r>
      <w:r w:rsidR="008E43E7" w:rsidRPr="009A4B8D">
        <w:rPr>
          <w:rStyle w:val="Normalbold"/>
        </w:rPr>
        <w:t xml:space="preserve">: </w:t>
      </w:r>
    </w:p>
    <w:p w14:paraId="4C4C2DD8" w14:textId="77777777" w:rsidR="003F3771" w:rsidRPr="009A4B8D" w:rsidRDefault="00A856C8" w:rsidP="00122B75">
      <w:pPr>
        <w:pStyle w:val="ListParagraph"/>
        <w:numPr>
          <w:ilvl w:val="0"/>
          <w:numId w:val="36"/>
        </w:numPr>
        <w:ind w:left="426" w:hanging="426"/>
        <w:rPr>
          <w:rStyle w:val="Normalbold"/>
          <w:rFonts w:ascii="Calibri" w:hAnsi="Calibri" w:cstheme="majorBidi"/>
          <w:b/>
          <w:bCs/>
          <w:snapToGrid w:val="0"/>
          <w:color w:val="4E1A74"/>
        </w:rPr>
      </w:pPr>
      <w:r w:rsidRPr="00083ACD">
        <w:rPr>
          <w:rStyle w:val="Normalbold"/>
          <w:b/>
          <w:color w:val="4E1A74" w:themeColor="accent2"/>
        </w:rPr>
        <w:t>P</w:t>
      </w:r>
      <w:r w:rsidR="008F4EF0" w:rsidRPr="00083ACD">
        <w:rPr>
          <w:rStyle w:val="Normalbold"/>
          <w:b/>
          <w:color w:val="4E1A74" w:themeColor="accent2"/>
        </w:rPr>
        <w:t>eer review</w:t>
      </w:r>
      <w:r w:rsidR="008F4EF0" w:rsidRPr="00083ACD">
        <w:rPr>
          <w:rStyle w:val="Normalbold"/>
          <w:color w:val="4E1A74" w:themeColor="accent2"/>
        </w:rPr>
        <w:t xml:space="preserve"> </w:t>
      </w:r>
      <w:r w:rsidR="008F4EF0" w:rsidRPr="009A4B8D">
        <w:rPr>
          <w:rStyle w:val="Normalbold"/>
        </w:rPr>
        <w:t xml:space="preserve">by </w:t>
      </w:r>
      <w:r w:rsidR="00A64F58" w:rsidRPr="009A4B8D">
        <w:rPr>
          <w:rStyle w:val="Normalbold"/>
        </w:rPr>
        <w:t xml:space="preserve">alternate inspector, </w:t>
      </w:r>
      <w:r w:rsidR="008F4EF0" w:rsidRPr="009A4B8D">
        <w:rPr>
          <w:rStyle w:val="Normalbold"/>
        </w:rPr>
        <w:t xml:space="preserve">other inspection team member </w:t>
      </w:r>
      <w:r w:rsidRPr="009A4B8D">
        <w:rPr>
          <w:rStyle w:val="Normalbold"/>
        </w:rPr>
        <w:t>(</w:t>
      </w:r>
      <w:r w:rsidR="008F4EF0" w:rsidRPr="009A4B8D">
        <w:rPr>
          <w:rStyle w:val="Normalbold"/>
        </w:rPr>
        <w:t xml:space="preserve">or </w:t>
      </w:r>
      <w:r w:rsidRPr="009A4B8D">
        <w:rPr>
          <w:rStyle w:val="Normalbold"/>
        </w:rPr>
        <w:t xml:space="preserve">optional review by </w:t>
      </w:r>
      <w:r w:rsidR="00A64F58" w:rsidRPr="009A4B8D">
        <w:rPr>
          <w:rStyle w:val="Normalbold"/>
        </w:rPr>
        <w:t>an</w:t>
      </w:r>
      <w:r w:rsidR="008F4EF0" w:rsidRPr="009A4B8D">
        <w:rPr>
          <w:rStyle w:val="Normalbold"/>
        </w:rPr>
        <w:t>other inspector</w:t>
      </w:r>
      <w:r w:rsidRPr="009A4B8D">
        <w:rPr>
          <w:rStyle w:val="Normalbold"/>
        </w:rPr>
        <w:t>)</w:t>
      </w:r>
    </w:p>
    <w:p w14:paraId="61C2CDFB" w14:textId="77777777" w:rsidR="00C570D8" w:rsidRPr="00083ACD" w:rsidRDefault="003F3771" w:rsidP="00122B75">
      <w:pPr>
        <w:pStyle w:val="ListParagraph"/>
        <w:numPr>
          <w:ilvl w:val="0"/>
          <w:numId w:val="36"/>
        </w:numPr>
        <w:spacing w:before="240" w:after="0"/>
        <w:ind w:left="425" w:hanging="426"/>
        <w:contextualSpacing w:val="0"/>
        <w:rPr>
          <w:rStyle w:val="Normalbold"/>
          <w:color w:val="4E1A74" w:themeColor="accent2"/>
        </w:rPr>
      </w:pPr>
      <w:r w:rsidRPr="00083ACD">
        <w:rPr>
          <w:rStyle w:val="Normalbold"/>
          <w:b/>
          <w:color w:val="4E1A74" w:themeColor="accent2"/>
        </w:rPr>
        <w:t xml:space="preserve">Licence holder review  </w:t>
      </w:r>
    </w:p>
    <w:p w14:paraId="72A9CF24" w14:textId="2BC83F6D" w:rsidR="003F3771" w:rsidRPr="009A4B8D" w:rsidRDefault="003F3771" w:rsidP="00BC31FD">
      <w:pPr>
        <w:pStyle w:val="ListParagraph"/>
        <w:spacing w:before="0"/>
        <w:ind w:left="425"/>
        <w:contextualSpacing w:val="0"/>
        <w:rPr>
          <w:rStyle w:val="Normalbold"/>
        </w:rPr>
      </w:pPr>
      <w:r w:rsidRPr="009A4B8D">
        <w:rPr>
          <w:rStyle w:val="Normalbold"/>
        </w:rPr>
        <w:t xml:space="preserve">Where </w:t>
      </w:r>
      <w:r w:rsidR="00F03D1C" w:rsidRPr="009A4B8D">
        <w:rPr>
          <w:rStyle w:val="Normalbold"/>
        </w:rPr>
        <w:t xml:space="preserve">no </w:t>
      </w:r>
      <w:r w:rsidRPr="009A4B8D">
        <w:rPr>
          <w:rStyle w:val="Normalbold"/>
        </w:rPr>
        <w:t xml:space="preserve">non-compliance </w:t>
      </w:r>
      <w:r w:rsidR="008E43E7" w:rsidRPr="009A4B8D">
        <w:rPr>
          <w:rStyle w:val="Normalbold"/>
        </w:rPr>
        <w:t xml:space="preserve">is found </w:t>
      </w:r>
      <w:r w:rsidR="00F03D1C" w:rsidRPr="009A4B8D">
        <w:rPr>
          <w:rStyle w:val="Normalbold"/>
        </w:rPr>
        <w:t xml:space="preserve">the </w:t>
      </w:r>
      <w:r w:rsidRPr="009A4B8D">
        <w:rPr>
          <w:rStyle w:val="Normalbold"/>
        </w:rPr>
        <w:t>inspector should send the draft report to the licence holder within 10 working days. The accuracy of the report should be agreed</w:t>
      </w:r>
      <w:r w:rsidR="00C570D8" w:rsidRPr="009A4B8D">
        <w:rPr>
          <w:rStyle w:val="Normalbold"/>
        </w:rPr>
        <w:t xml:space="preserve"> and</w:t>
      </w:r>
      <w:r w:rsidRPr="009A4B8D">
        <w:rPr>
          <w:rStyle w:val="Normalbold"/>
        </w:rPr>
        <w:t xml:space="preserve"> any sensitive issues regarding publication of the report should be discussed</w:t>
      </w:r>
      <w:r w:rsidR="007F60E6" w:rsidRPr="009A4B8D">
        <w:rPr>
          <w:rStyle w:val="Normalbold"/>
        </w:rPr>
        <w:t xml:space="preserve">. </w:t>
      </w:r>
    </w:p>
    <w:p w14:paraId="0F06F0BA" w14:textId="0E90F0DE" w:rsidR="00677A84" w:rsidRDefault="00677A84">
      <w:pPr>
        <w:spacing w:before="200" w:after="200"/>
        <w:rPr>
          <w:rStyle w:val="Normalbold"/>
          <w:b/>
          <w:color w:val="4E1A74" w:themeColor="accent2"/>
        </w:rPr>
      </w:pPr>
    </w:p>
    <w:p w14:paraId="1B030776" w14:textId="55EA0D24" w:rsidR="00C570D8" w:rsidRPr="00083ACD" w:rsidRDefault="008F4EF0" w:rsidP="00122B75">
      <w:pPr>
        <w:pStyle w:val="ListParagraph"/>
        <w:numPr>
          <w:ilvl w:val="0"/>
          <w:numId w:val="36"/>
        </w:numPr>
        <w:spacing w:after="0"/>
        <w:ind w:left="425" w:hanging="426"/>
        <w:contextualSpacing w:val="0"/>
        <w:rPr>
          <w:rStyle w:val="Normalbold"/>
          <w:b/>
          <w:color w:val="4E1A74" w:themeColor="accent2"/>
        </w:rPr>
      </w:pPr>
      <w:r w:rsidRPr="00083ACD">
        <w:rPr>
          <w:rStyle w:val="Normalbold"/>
          <w:b/>
          <w:color w:val="4E1A74" w:themeColor="accent2"/>
        </w:rPr>
        <w:t xml:space="preserve">Section </w:t>
      </w:r>
      <w:r w:rsidR="005D6201" w:rsidRPr="00083ACD">
        <w:rPr>
          <w:rStyle w:val="Normalbold"/>
          <w:b/>
          <w:color w:val="4E1A74" w:themeColor="accent2"/>
        </w:rPr>
        <w:t xml:space="preserve">Director </w:t>
      </w:r>
      <w:r w:rsidRPr="00083ACD">
        <w:rPr>
          <w:rStyle w:val="Normalbold"/>
          <w:b/>
          <w:color w:val="4E1A74" w:themeColor="accent2"/>
        </w:rPr>
        <w:t>review</w:t>
      </w:r>
      <w:r w:rsidR="003F3771" w:rsidRPr="00083ACD">
        <w:rPr>
          <w:rStyle w:val="Normalbold"/>
          <w:b/>
          <w:color w:val="4E1A74" w:themeColor="accent2"/>
        </w:rPr>
        <w:t xml:space="preserve"> </w:t>
      </w:r>
    </w:p>
    <w:p w14:paraId="05652055" w14:textId="0B699B8F" w:rsidR="003F3771" w:rsidRPr="009A4B8D" w:rsidRDefault="00083ACD" w:rsidP="00BC31FD">
      <w:pPr>
        <w:pStyle w:val="ListParagraph"/>
        <w:ind w:left="426" w:hanging="426"/>
        <w:rPr>
          <w:rStyle w:val="Normalbold"/>
        </w:rPr>
      </w:pPr>
      <w:r>
        <w:rPr>
          <w:rStyle w:val="Normalbold"/>
        </w:rPr>
        <w:tab/>
      </w:r>
      <w:r w:rsidR="003F3771" w:rsidRPr="009A4B8D">
        <w:rPr>
          <w:rStyle w:val="Normalbold"/>
        </w:rPr>
        <w:t xml:space="preserve">The </w:t>
      </w:r>
      <w:r w:rsidR="005D6201" w:rsidRPr="009A4B8D">
        <w:rPr>
          <w:rStyle w:val="Normalbold"/>
        </w:rPr>
        <w:t xml:space="preserve">directors </w:t>
      </w:r>
      <w:r w:rsidR="003F3771" w:rsidRPr="009A4B8D">
        <w:rPr>
          <w:rStyle w:val="Normalbold"/>
        </w:rPr>
        <w:t xml:space="preserve">of Source </w:t>
      </w:r>
      <w:r w:rsidR="00B44C3C">
        <w:rPr>
          <w:rStyle w:val="Normalbold"/>
        </w:rPr>
        <w:t>Safety and Security</w:t>
      </w:r>
      <w:r w:rsidR="003F3771" w:rsidRPr="009A4B8D">
        <w:rPr>
          <w:rStyle w:val="Normalbold"/>
        </w:rPr>
        <w:t xml:space="preserve"> and Facility </w:t>
      </w:r>
      <w:r w:rsidR="00B44C3C">
        <w:rPr>
          <w:rStyle w:val="Normalbold"/>
        </w:rPr>
        <w:t>Safety</w:t>
      </w:r>
      <w:r w:rsidR="003F3771" w:rsidRPr="009A4B8D">
        <w:rPr>
          <w:rStyle w:val="Normalbold"/>
        </w:rPr>
        <w:t xml:space="preserve"> are responsible for the quality of inspection reports. The </w:t>
      </w:r>
      <w:r w:rsidR="005D6201" w:rsidRPr="009A4B8D">
        <w:rPr>
          <w:rStyle w:val="Normalbold"/>
        </w:rPr>
        <w:t xml:space="preserve">director </w:t>
      </w:r>
      <w:r w:rsidR="003F3771" w:rsidRPr="009A4B8D">
        <w:rPr>
          <w:rStyle w:val="Normalbold"/>
        </w:rPr>
        <w:t>should check the following:</w:t>
      </w:r>
    </w:p>
    <w:p w14:paraId="1396111B" w14:textId="77777777" w:rsidR="003F3771" w:rsidRPr="009A4B8D" w:rsidRDefault="003F3771" w:rsidP="00122B75">
      <w:pPr>
        <w:pStyle w:val="ListParagraph"/>
        <w:numPr>
          <w:ilvl w:val="0"/>
          <w:numId w:val="16"/>
        </w:numPr>
        <w:ind w:left="1134" w:hanging="283"/>
        <w:rPr>
          <w:rStyle w:val="Normalbold"/>
        </w:rPr>
      </w:pPr>
      <w:r w:rsidRPr="009A4B8D">
        <w:rPr>
          <w:rStyle w:val="Normalbold"/>
        </w:rPr>
        <w:t xml:space="preserve">Use of correct template </w:t>
      </w:r>
    </w:p>
    <w:p w14:paraId="7F1B036F" w14:textId="77777777" w:rsidR="003F3771" w:rsidRPr="009A4B8D" w:rsidRDefault="003F3771" w:rsidP="00122B75">
      <w:pPr>
        <w:pStyle w:val="ListParagraph"/>
        <w:numPr>
          <w:ilvl w:val="0"/>
          <w:numId w:val="16"/>
        </w:numPr>
        <w:ind w:left="1134" w:hanging="283"/>
        <w:rPr>
          <w:rStyle w:val="Normalbold"/>
        </w:rPr>
      </w:pPr>
      <w:r w:rsidRPr="009A4B8D">
        <w:rPr>
          <w:rStyle w:val="Normalbold"/>
        </w:rPr>
        <w:t>Observations address the scope of the inspection and provide sufficient detail and evidence to support findings</w:t>
      </w:r>
    </w:p>
    <w:p w14:paraId="4A5FB63B" w14:textId="3F67DA14" w:rsidR="003F3771" w:rsidRPr="009A4B8D" w:rsidRDefault="003F3771" w:rsidP="00122B75">
      <w:pPr>
        <w:pStyle w:val="ListParagraph"/>
        <w:numPr>
          <w:ilvl w:val="0"/>
          <w:numId w:val="16"/>
        </w:numPr>
        <w:ind w:left="1134" w:hanging="283"/>
        <w:rPr>
          <w:rStyle w:val="Normalbold"/>
        </w:rPr>
      </w:pPr>
      <w:r w:rsidRPr="009A4B8D">
        <w:rPr>
          <w:rStyle w:val="Normalbold"/>
        </w:rPr>
        <w:t xml:space="preserve">Areas for improvement, non-compliance, and good practices are appropriate  </w:t>
      </w:r>
    </w:p>
    <w:p w14:paraId="54DEC77B" w14:textId="77777777" w:rsidR="003F3771" w:rsidRPr="009A4B8D" w:rsidRDefault="003F3771" w:rsidP="00122B75">
      <w:pPr>
        <w:pStyle w:val="ListParagraph"/>
        <w:numPr>
          <w:ilvl w:val="0"/>
          <w:numId w:val="16"/>
        </w:numPr>
        <w:ind w:left="1134" w:hanging="283"/>
        <w:rPr>
          <w:rStyle w:val="Normalbold"/>
        </w:rPr>
      </w:pPr>
      <w:r w:rsidRPr="009A4B8D">
        <w:rPr>
          <w:rStyle w:val="Normalbold"/>
        </w:rPr>
        <w:t>Consideration is given to common cause and extent of condition when defining areas for improvement or potential non-compliance</w:t>
      </w:r>
    </w:p>
    <w:p w14:paraId="01978F8E" w14:textId="44195214" w:rsidR="003F3771" w:rsidRPr="009A4B8D" w:rsidRDefault="003F3771" w:rsidP="00122B75">
      <w:pPr>
        <w:pStyle w:val="ListParagraph"/>
        <w:numPr>
          <w:ilvl w:val="0"/>
          <w:numId w:val="16"/>
        </w:numPr>
        <w:ind w:left="1134" w:hanging="283"/>
        <w:rPr>
          <w:rStyle w:val="Normalbold"/>
        </w:rPr>
      </w:pPr>
      <w:r w:rsidRPr="009A4B8D">
        <w:rPr>
          <w:rStyle w:val="Normalbold"/>
        </w:rPr>
        <w:t>Findings are described clearly and accurately and are within scope</w:t>
      </w:r>
    </w:p>
    <w:p w14:paraId="18041DCD" w14:textId="25D9E1F5" w:rsidR="00BC31FD" w:rsidRDefault="005D6201" w:rsidP="00BC31FD">
      <w:pPr>
        <w:spacing w:before="0" w:after="0"/>
        <w:ind w:left="426"/>
        <w:rPr>
          <w:rStyle w:val="Normalbold"/>
          <w:b/>
          <w:color w:val="4E1A74" w:themeColor="accent2"/>
        </w:rPr>
      </w:pPr>
      <w:r w:rsidRPr="009A4B8D">
        <w:rPr>
          <w:rStyle w:val="Normalbold"/>
        </w:rPr>
        <w:t xml:space="preserve">Directors </w:t>
      </w:r>
      <w:r w:rsidR="00235B64" w:rsidRPr="009A4B8D">
        <w:rPr>
          <w:rStyle w:val="Normalbold"/>
        </w:rPr>
        <w:t>will also determine whether a factual check by other expertise in ARPANSA is required and seek as necessary.</w:t>
      </w:r>
    </w:p>
    <w:p w14:paraId="398B6472" w14:textId="4BC4AB0F" w:rsidR="00FF4325" w:rsidRPr="00FF4325" w:rsidRDefault="008F4EF0" w:rsidP="00122B75">
      <w:pPr>
        <w:pStyle w:val="ListParagraph"/>
        <w:numPr>
          <w:ilvl w:val="0"/>
          <w:numId w:val="36"/>
        </w:numPr>
        <w:spacing w:after="0"/>
        <w:ind w:left="567" w:hanging="425"/>
        <w:rPr>
          <w:rStyle w:val="Normalbold"/>
        </w:rPr>
      </w:pPr>
      <w:r w:rsidRPr="00FF4325">
        <w:rPr>
          <w:rStyle w:val="Normalbold"/>
          <w:b/>
          <w:color w:val="4E1A74" w:themeColor="accent2"/>
        </w:rPr>
        <w:t>Quality review</w:t>
      </w:r>
    </w:p>
    <w:p w14:paraId="1AA44E8E" w14:textId="1D82F48A" w:rsidR="00F03D1C" w:rsidRPr="009A4B8D" w:rsidRDefault="008A6562" w:rsidP="00BC31FD">
      <w:pPr>
        <w:spacing w:before="0"/>
        <w:ind w:left="426"/>
        <w:rPr>
          <w:rStyle w:val="Normalbold"/>
        </w:rPr>
      </w:pPr>
      <w:r w:rsidRPr="009A4B8D">
        <w:rPr>
          <w:rStyle w:val="Normalbold"/>
        </w:rPr>
        <w:t xml:space="preserve">After </w:t>
      </w:r>
      <w:r w:rsidR="003F3771" w:rsidRPr="009A4B8D">
        <w:rPr>
          <w:rStyle w:val="Normalbold"/>
        </w:rPr>
        <w:t xml:space="preserve">the </w:t>
      </w:r>
      <w:r w:rsidR="00F03D1C" w:rsidRPr="009A4B8D">
        <w:rPr>
          <w:rStyle w:val="Normalbold"/>
        </w:rPr>
        <w:t xml:space="preserve">draft </w:t>
      </w:r>
      <w:r w:rsidR="003F3771" w:rsidRPr="009A4B8D">
        <w:rPr>
          <w:rStyle w:val="Normalbold"/>
        </w:rPr>
        <w:t xml:space="preserve">is cleared </w:t>
      </w:r>
      <w:r w:rsidR="009F13EC" w:rsidRPr="009A4B8D">
        <w:rPr>
          <w:rStyle w:val="Normalbold"/>
        </w:rPr>
        <w:t xml:space="preserve">by the section </w:t>
      </w:r>
      <w:r w:rsidR="005D6201" w:rsidRPr="009A4B8D">
        <w:rPr>
          <w:rStyle w:val="Normalbold"/>
        </w:rPr>
        <w:t xml:space="preserve">director </w:t>
      </w:r>
      <w:r w:rsidRPr="009A4B8D">
        <w:rPr>
          <w:rStyle w:val="Normalbold"/>
        </w:rPr>
        <w:t>the lead inspector seek</w:t>
      </w:r>
      <w:r w:rsidR="00D97B19" w:rsidRPr="009A4B8D">
        <w:rPr>
          <w:rStyle w:val="Normalbold"/>
        </w:rPr>
        <w:t>s</w:t>
      </w:r>
      <w:r w:rsidRPr="009A4B8D">
        <w:rPr>
          <w:rStyle w:val="Normalbold"/>
        </w:rPr>
        <w:t xml:space="preserve"> a </w:t>
      </w:r>
      <w:r w:rsidR="007472CC">
        <w:rPr>
          <w:rStyle w:val="Normalbold"/>
        </w:rPr>
        <w:t xml:space="preserve">quality </w:t>
      </w:r>
      <w:r w:rsidRPr="009A4B8D">
        <w:rPr>
          <w:rStyle w:val="Normalbold"/>
        </w:rPr>
        <w:t xml:space="preserve">review </w:t>
      </w:r>
      <w:r w:rsidR="00607DC1" w:rsidRPr="009A4B8D">
        <w:rPr>
          <w:rStyle w:val="Normalbold"/>
        </w:rPr>
        <w:t xml:space="preserve">from </w:t>
      </w:r>
      <w:r w:rsidR="00DB54EF" w:rsidRPr="009A4B8D">
        <w:rPr>
          <w:rStyle w:val="Normalbold"/>
        </w:rPr>
        <w:t>Safety Systems (SS)</w:t>
      </w:r>
      <w:r w:rsidR="007F60E6" w:rsidRPr="009A4B8D">
        <w:rPr>
          <w:rStyle w:val="Normalbold"/>
        </w:rPr>
        <w:t xml:space="preserve">. </w:t>
      </w:r>
      <w:r w:rsidR="003B6666" w:rsidRPr="009A4B8D">
        <w:rPr>
          <w:rStyle w:val="Normalbold"/>
        </w:rPr>
        <w:t>Th</w:t>
      </w:r>
      <w:r w:rsidR="00607DC1" w:rsidRPr="009A4B8D">
        <w:rPr>
          <w:rStyle w:val="Normalbold"/>
        </w:rPr>
        <w:t xml:space="preserve">e </w:t>
      </w:r>
      <w:r w:rsidR="00DB54EF" w:rsidRPr="009A4B8D">
        <w:rPr>
          <w:rStyle w:val="Normalbold"/>
        </w:rPr>
        <w:t xml:space="preserve">SS </w:t>
      </w:r>
      <w:r w:rsidR="003B6666" w:rsidRPr="009A4B8D">
        <w:rPr>
          <w:rStyle w:val="Normalbold"/>
        </w:rPr>
        <w:t xml:space="preserve">officer will provide advice on the report to the lead inspector and section </w:t>
      </w:r>
      <w:r w:rsidR="005D6201" w:rsidRPr="009A4B8D">
        <w:rPr>
          <w:rStyle w:val="Normalbold"/>
        </w:rPr>
        <w:t>director</w:t>
      </w:r>
      <w:r w:rsidR="003B6666" w:rsidRPr="009A4B8D">
        <w:rPr>
          <w:rStyle w:val="Normalbold"/>
        </w:rPr>
        <w:t>.</w:t>
      </w:r>
      <w:r w:rsidR="00F73C89" w:rsidRPr="009A4B8D">
        <w:rPr>
          <w:rStyle w:val="Normalbold"/>
        </w:rPr>
        <w:t xml:space="preserve"> Acceptance of advice is at the discretion of the section </w:t>
      </w:r>
      <w:r w:rsidR="005D6201" w:rsidRPr="009A4B8D">
        <w:rPr>
          <w:rStyle w:val="Normalbold"/>
        </w:rPr>
        <w:t>director</w:t>
      </w:r>
      <w:r w:rsidR="00F73C89" w:rsidRPr="009A4B8D">
        <w:rPr>
          <w:rStyle w:val="Normalbold"/>
        </w:rPr>
        <w:t xml:space="preserve">. </w:t>
      </w:r>
    </w:p>
    <w:p w14:paraId="046B1254" w14:textId="5F5AD71D" w:rsidR="00C570D8" w:rsidRPr="00083ACD" w:rsidRDefault="00C570D8" w:rsidP="00122B75">
      <w:pPr>
        <w:pStyle w:val="ListParagraph"/>
        <w:numPr>
          <w:ilvl w:val="0"/>
          <w:numId w:val="36"/>
        </w:numPr>
        <w:ind w:left="567" w:hanging="425"/>
        <w:rPr>
          <w:rStyle w:val="Normalbold"/>
        </w:rPr>
      </w:pPr>
      <w:r w:rsidRPr="00083ACD">
        <w:rPr>
          <w:rStyle w:val="Normalbold"/>
          <w:b/>
          <w:color w:val="4E1A74" w:themeColor="accent2"/>
        </w:rPr>
        <w:t>Legal review</w:t>
      </w:r>
      <w:r w:rsidRPr="00083ACD">
        <w:rPr>
          <w:rStyle w:val="Normalbold"/>
          <w:color w:val="4E1A74" w:themeColor="accent2"/>
        </w:rPr>
        <w:t xml:space="preserve"> </w:t>
      </w:r>
      <w:r w:rsidR="00F03D1C" w:rsidRPr="00083ACD">
        <w:rPr>
          <w:rStyle w:val="Normalbold"/>
        </w:rPr>
        <w:t>- only required where there is non-compliance</w:t>
      </w:r>
      <w:r w:rsidR="00605038" w:rsidRPr="00083ACD">
        <w:rPr>
          <w:rStyle w:val="Normalbold"/>
        </w:rPr>
        <w:t xml:space="preserve"> or </w:t>
      </w:r>
      <w:r w:rsidR="00083ACD">
        <w:rPr>
          <w:rStyle w:val="Normalbold"/>
        </w:rPr>
        <w:t xml:space="preserve">a </w:t>
      </w:r>
      <w:r w:rsidR="00605038" w:rsidRPr="00083ACD">
        <w:rPr>
          <w:rStyle w:val="Normalbold"/>
        </w:rPr>
        <w:t>specific legal question</w:t>
      </w:r>
    </w:p>
    <w:p w14:paraId="09553195" w14:textId="4343048C" w:rsidR="00DB54EF" w:rsidRPr="00083ACD" w:rsidRDefault="00DB54EF" w:rsidP="00BC31FD">
      <w:pPr>
        <w:tabs>
          <w:tab w:val="left" w:pos="142"/>
        </w:tabs>
        <w:spacing w:before="240"/>
        <w:ind w:left="567" w:hanging="425"/>
        <w:rPr>
          <w:rStyle w:val="Normalbold"/>
        </w:rPr>
      </w:pPr>
      <w:r w:rsidRPr="00083ACD">
        <w:rPr>
          <w:rStyle w:val="Normalbold"/>
          <w:b/>
          <w:color w:val="4E1A74" w:themeColor="accent2"/>
        </w:rPr>
        <w:t>[6]</w:t>
      </w:r>
      <w:r w:rsidR="00083ACD" w:rsidRPr="00083ACD">
        <w:rPr>
          <w:rStyle w:val="Normalbold"/>
          <w:b/>
          <w:color w:val="4E1A74" w:themeColor="accent2"/>
        </w:rPr>
        <w:tab/>
      </w:r>
      <w:r w:rsidRPr="00083ACD">
        <w:rPr>
          <w:rStyle w:val="Normalbold"/>
          <w:b/>
          <w:color w:val="4E1A74" w:themeColor="accent2"/>
        </w:rPr>
        <w:t>Independent review</w:t>
      </w:r>
      <w:r w:rsidRPr="00083ACD">
        <w:rPr>
          <w:rStyle w:val="Normalbold"/>
          <w:color w:val="4E1A74" w:themeColor="accent2"/>
        </w:rPr>
        <w:t xml:space="preserve"> </w:t>
      </w:r>
      <w:r w:rsidRPr="00083ACD">
        <w:rPr>
          <w:rStyle w:val="Normalbold"/>
        </w:rPr>
        <w:t xml:space="preserve">– only required when </w:t>
      </w:r>
      <w:r w:rsidR="00083ACD" w:rsidRPr="00083ACD">
        <w:rPr>
          <w:rStyle w:val="Normalbold"/>
        </w:rPr>
        <w:t xml:space="preserve">there is an </w:t>
      </w:r>
      <w:r w:rsidRPr="00083ACD">
        <w:rPr>
          <w:rStyle w:val="Normalbold"/>
        </w:rPr>
        <w:t>inspection of ARPANSA</w:t>
      </w:r>
      <w:r w:rsidR="00083ACD" w:rsidRPr="00083ACD">
        <w:rPr>
          <w:rStyle w:val="Normalbold"/>
        </w:rPr>
        <w:t>’s sources or facilities.</w:t>
      </w:r>
      <w:r w:rsidRPr="00083ACD">
        <w:rPr>
          <w:rStyle w:val="Normalbold"/>
        </w:rPr>
        <w:t xml:space="preserve"> </w:t>
      </w:r>
      <w:r w:rsidR="00083ACD" w:rsidRPr="00083ACD">
        <w:rPr>
          <w:rStyle w:val="Normalbold"/>
        </w:rPr>
        <w:t xml:space="preserve"> </w:t>
      </w:r>
      <w:r w:rsidRPr="00083ACD">
        <w:rPr>
          <w:rStyle w:val="Normalbold"/>
        </w:rPr>
        <w:t xml:space="preserve">The lead inspector will seek the views of </w:t>
      </w:r>
      <w:r w:rsidR="00B44C3C">
        <w:rPr>
          <w:rStyle w:val="Normalbold"/>
        </w:rPr>
        <w:t>an</w:t>
      </w:r>
      <w:r w:rsidRPr="00083ACD">
        <w:rPr>
          <w:rStyle w:val="Normalbold"/>
        </w:rPr>
        <w:t xml:space="preserve"> independent </w:t>
      </w:r>
      <w:r w:rsidR="00083ACD">
        <w:rPr>
          <w:rStyle w:val="Normalbold"/>
        </w:rPr>
        <w:t xml:space="preserve">radiation </w:t>
      </w:r>
      <w:r w:rsidRPr="00083ACD">
        <w:rPr>
          <w:rStyle w:val="Normalbold"/>
        </w:rPr>
        <w:t>regulator</w:t>
      </w:r>
      <w:r w:rsidR="00083ACD">
        <w:rPr>
          <w:rStyle w:val="Normalbold"/>
        </w:rPr>
        <w:t xml:space="preserve"> </w:t>
      </w:r>
      <w:r w:rsidR="00DF3DBF">
        <w:rPr>
          <w:rStyle w:val="Normalbold"/>
        </w:rPr>
        <w:t>(</w:t>
      </w:r>
      <w:proofErr w:type="spellStart"/>
      <w:proofErr w:type="gramStart"/>
      <w:r w:rsidR="00B44C3C">
        <w:rPr>
          <w:rStyle w:val="Normalbold"/>
        </w:rPr>
        <w:t>eg</w:t>
      </w:r>
      <w:proofErr w:type="spellEnd"/>
      <w:proofErr w:type="gramEnd"/>
      <w:r w:rsidR="00B44C3C">
        <w:rPr>
          <w:rStyle w:val="Normalbold"/>
        </w:rPr>
        <w:t xml:space="preserve"> an inspector</w:t>
      </w:r>
      <w:r w:rsidR="00DF3DBF">
        <w:rPr>
          <w:rStyle w:val="Normalbold"/>
        </w:rPr>
        <w:t xml:space="preserve"> or other </w:t>
      </w:r>
      <w:r w:rsidR="00B44C3C">
        <w:rPr>
          <w:rStyle w:val="Normalbold"/>
        </w:rPr>
        <w:t>staff member of a State or Territory regulatory body</w:t>
      </w:r>
      <w:r w:rsidR="00DF3DBF">
        <w:rPr>
          <w:rStyle w:val="Normalbold"/>
        </w:rPr>
        <w:t>)</w:t>
      </w:r>
      <w:r w:rsidR="00B44C3C">
        <w:rPr>
          <w:rStyle w:val="Normalbold"/>
        </w:rPr>
        <w:t xml:space="preserve"> </w:t>
      </w:r>
      <w:r w:rsidRPr="00083ACD">
        <w:rPr>
          <w:rStyle w:val="Normalbold"/>
        </w:rPr>
        <w:t>for independent verification purposes.</w:t>
      </w:r>
    </w:p>
    <w:p w14:paraId="69BDDC56" w14:textId="6494E623" w:rsidR="00FB0138" w:rsidRDefault="003E59E1" w:rsidP="00122B75">
      <w:pPr>
        <w:pStyle w:val="Heading2"/>
        <w:numPr>
          <w:ilvl w:val="1"/>
          <w:numId w:val="53"/>
        </w:numPr>
        <w:spacing w:before="240"/>
        <w:ind w:left="1276" w:hanging="709"/>
      </w:pPr>
      <w:bookmarkStart w:id="51" w:name="_Toc492399375"/>
      <w:r>
        <w:t>Approval and i</w:t>
      </w:r>
      <w:r w:rsidR="00731C4A">
        <w:t>ssue</w:t>
      </w:r>
      <w:bookmarkEnd w:id="51"/>
      <w:r w:rsidR="00BB6122">
        <w:t xml:space="preserve"> </w:t>
      </w:r>
    </w:p>
    <w:p w14:paraId="6E0B9EB8" w14:textId="77777777" w:rsidR="003C526F" w:rsidRDefault="003E59E1" w:rsidP="00BC31FD">
      <w:pPr>
        <w:ind w:left="-142"/>
        <w:rPr>
          <w:rStyle w:val="Normalbold"/>
        </w:rPr>
      </w:pPr>
      <w:r w:rsidRPr="009A4B8D">
        <w:rPr>
          <w:rStyle w:val="Normalbold"/>
        </w:rPr>
        <w:t xml:space="preserve">The final report is signed </w:t>
      </w:r>
      <w:r w:rsidR="00DA7F52" w:rsidRPr="009A4B8D">
        <w:rPr>
          <w:rStyle w:val="Normalbold"/>
        </w:rPr>
        <w:t xml:space="preserve">(electronically) </w:t>
      </w:r>
      <w:r w:rsidRPr="009A4B8D">
        <w:rPr>
          <w:rStyle w:val="Normalbold"/>
        </w:rPr>
        <w:t>by the lead inspector</w:t>
      </w:r>
      <w:r w:rsidR="003C526F">
        <w:rPr>
          <w:rStyle w:val="Normalbold"/>
        </w:rPr>
        <w:t xml:space="preserve">. </w:t>
      </w:r>
    </w:p>
    <w:p w14:paraId="6CB6D95D" w14:textId="613A3F07" w:rsidR="003C526F" w:rsidRDefault="003C526F" w:rsidP="003C526F">
      <w:pPr>
        <w:ind w:left="-142"/>
        <w:rPr>
          <w:rStyle w:val="Normalbold"/>
        </w:rPr>
      </w:pPr>
      <w:r>
        <w:rPr>
          <w:rStyle w:val="Normalbold"/>
        </w:rPr>
        <w:t xml:space="preserve">Where there is </w:t>
      </w:r>
      <w:r w:rsidRPr="003C526F">
        <w:rPr>
          <w:rStyle w:val="Normalbold"/>
          <w:b/>
        </w:rPr>
        <w:t>no non-compliance</w:t>
      </w:r>
      <w:r>
        <w:rPr>
          <w:rStyle w:val="Normalbold"/>
        </w:rPr>
        <w:t xml:space="preserve"> the relevant section director may sign </w:t>
      </w:r>
      <w:proofErr w:type="gramStart"/>
      <w:r>
        <w:rPr>
          <w:rStyle w:val="Normalbold"/>
        </w:rPr>
        <w:t>provided</w:t>
      </w:r>
      <w:proofErr w:type="gramEnd"/>
      <w:r>
        <w:rPr>
          <w:rStyle w:val="Normalbold"/>
        </w:rPr>
        <w:t xml:space="preserve"> he/she was not part of the inspection team.  T</w:t>
      </w:r>
      <w:r w:rsidRPr="009A4B8D">
        <w:rPr>
          <w:rStyle w:val="Normalbold"/>
        </w:rPr>
        <w:t xml:space="preserve">he final report should be issued within 20 working days. This period includes steps 1–4 </w:t>
      </w:r>
      <w:r w:rsidR="00377181">
        <w:rPr>
          <w:rStyle w:val="Normalbold"/>
        </w:rPr>
        <w:t>(</w:t>
      </w:r>
      <w:r w:rsidRPr="009A4B8D">
        <w:rPr>
          <w:rStyle w:val="Normalbold"/>
        </w:rPr>
        <w:t>and 6</w:t>
      </w:r>
      <w:r w:rsidR="00377181">
        <w:rPr>
          <w:rStyle w:val="Normalbold"/>
        </w:rPr>
        <w:t xml:space="preserve"> where relevant)</w:t>
      </w:r>
      <w:r w:rsidRPr="009A4B8D">
        <w:rPr>
          <w:rStyle w:val="Normalbold"/>
        </w:rPr>
        <w:t xml:space="preserve"> in paragraph 2.1</w:t>
      </w:r>
      <w:r w:rsidR="00377181">
        <w:rPr>
          <w:rStyle w:val="Normalbold"/>
        </w:rPr>
        <w:t>3</w:t>
      </w:r>
      <w:r w:rsidRPr="009A4B8D">
        <w:rPr>
          <w:rStyle w:val="Normalbold"/>
        </w:rPr>
        <w:t>.</w:t>
      </w:r>
    </w:p>
    <w:p w14:paraId="44EC97D4" w14:textId="7E841D5E" w:rsidR="00DE2FEB" w:rsidRPr="009A4B8D" w:rsidRDefault="003C526F" w:rsidP="00BC31FD">
      <w:pPr>
        <w:ind w:left="-142"/>
        <w:rPr>
          <w:rStyle w:val="Normalbold"/>
        </w:rPr>
      </w:pPr>
      <w:r>
        <w:rPr>
          <w:rStyle w:val="Normalbold"/>
        </w:rPr>
        <w:t xml:space="preserve">Where </w:t>
      </w:r>
      <w:r w:rsidRPr="003C526F">
        <w:rPr>
          <w:rStyle w:val="Normalbold"/>
          <w:b/>
        </w:rPr>
        <w:t>non-compliance</w:t>
      </w:r>
      <w:r>
        <w:rPr>
          <w:rStyle w:val="Normalbold"/>
        </w:rPr>
        <w:t xml:space="preserve"> is identified the report is signed by the CRO. The</w:t>
      </w:r>
      <w:r w:rsidR="00C570D8" w:rsidRPr="009A4B8D">
        <w:rPr>
          <w:rStyle w:val="Normalbold"/>
        </w:rPr>
        <w:t xml:space="preserve"> final report </w:t>
      </w:r>
      <w:r>
        <w:rPr>
          <w:rStyle w:val="Normalbold"/>
        </w:rPr>
        <w:t xml:space="preserve">should be issued </w:t>
      </w:r>
      <w:r w:rsidR="00C570D8" w:rsidRPr="009A4B8D">
        <w:rPr>
          <w:rStyle w:val="Normalbold"/>
        </w:rPr>
        <w:t>within 40 working days</w:t>
      </w:r>
      <w:r w:rsidR="007F60E6" w:rsidRPr="009A4B8D">
        <w:rPr>
          <w:rStyle w:val="Normalbold"/>
        </w:rPr>
        <w:t xml:space="preserve">. </w:t>
      </w:r>
      <w:r w:rsidR="00DE2FEB" w:rsidRPr="009A4B8D">
        <w:rPr>
          <w:rStyle w:val="Normalbold"/>
        </w:rPr>
        <w:t xml:space="preserve">This period allows for </w:t>
      </w:r>
      <w:r w:rsidR="003E59E1" w:rsidRPr="009A4B8D">
        <w:rPr>
          <w:rStyle w:val="Normalbold"/>
        </w:rPr>
        <w:t>review steps 1-</w:t>
      </w:r>
      <w:r w:rsidR="00377181">
        <w:rPr>
          <w:rStyle w:val="Normalbold"/>
        </w:rPr>
        <w:t>5 (and 6 where relevant)</w:t>
      </w:r>
      <w:r w:rsidR="00DB54EF" w:rsidRPr="009A4B8D">
        <w:rPr>
          <w:rStyle w:val="Normalbold"/>
        </w:rPr>
        <w:t xml:space="preserve"> </w:t>
      </w:r>
      <w:r w:rsidR="003E59E1" w:rsidRPr="009A4B8D">
        <w:rPr>
          <w:rStyle w:val="Normalbold"/>
        </w:rPr>
        <w:t>in paragraph 2.1</w:t>
      </w:r>
      <w:r w:rsidR="00377181">
        <w:rPr>
          <w:rStyle w:val="Normalbold"/>
        </w:rPr>
        <w:t>3</w:t>
      </w:r>
      <w:r w:rsidR="00DE2FEB" w:rsidRPr="009A4B8D">
        <w:rPr>
          <w:rStyle w:val="Normalbold"/>
        </w:rPr>
        <w:t xml:space="preserve">. </w:t>
      </w:r>
    </w:p>
    <w:p w14:paraId="7E3164D3" w14:textId="19D93246" w:rsidR="003E59E1" w:rsidRPr="009A4B8D" w:rsidRDefault="003E59E1" w:rsidP="00BC31FD">
      <w:pPr>
        <w:ind w:left="-142"/>
        <w:rPr>
          <w:rStyle w:val="Normalbold"/>
        </w:rPr>
      </w:pPr>
      <w:r w:rsidRPr="009A4B8D">
        <w:rPr>
          <w:rStyle w:val="Normalbold"/>
        </w:rPr>
        <w:t>The lead inspector should consider any information sharing that may be relevant under a MOU with another agency such as Comcare or ASNO.</w:t>
      </w:r>
    </w:p>
    <w:p w14:paraId="3C6A653F" w14:textId="3A236856" w:rsidR="002E04C1" w:rsidRPr="009A4B8D" w:rsidRDefault="002E04C1" w:rsidP="00BC31FD">
      <w:pPr>
        <w:ind w:left="-142"/>
        <w:rPr>
          <w:rStyle w:val="Normalbold"/>
        </w:rPr>
      </w:pPr>
      <w:r w:rsidRPr="009A4B8D">
        <w:rPr>
          <w:rStyle w:val="Normalbold"/>
        </w:rPr>
        <w:t xml:space="preserve">The lead inspector should also consider whether the report contains any sensitive </w:t>
      </w:r>
      <w:r w:rsidR="00096A20" w:rsidRPr="009A4B8D">
        <w:rPr>
          <w:rStyle w:val="Normalbold"/>
        </w:rPr>
        <w:t>findings</w:t>
      </w:r>
      <w:r w:rsidRPr="009A4B8D">
        <w:rPr>
          <w:rStyle w:val="Normalbold"/>
        </w:rPr>
        <w:t xml:space="preserve"> likely to require media management or that need to be brought to the </w:t>
      </w:r>
      <w:r w:rsidR="00096A20" w:rsidRPr="009A4B8D">
        <w:rPr>
          <w:rStyle w:val="Normalbold"/>
        </w:rPr>
        <w:t xml:space="preserve">Minister’s </w:t>
      </w:r>
      <w:r w:rsidRPr="009A4B8D">
        <w:rPr>
          <w:rStyle w:val="Normalbold"/>
        </w:rPr>
        <w:t>attention</w:t>
      </w:r>
      <w:r w:rsidR="00096A20" w:rsidRPr="009A4B8D">
        <w:rPr>
          <w:rStyle w:val="Normalbold"/>
        </w:rPr>
        <w:t xml:space="preserve">. In such cases the OCEO should be advised </w:t>
      </w:r>
      <w:r w:rsidRPr="009A4B8D">
        <w:rPr>
          <w:rStyle w:val="Normalbold"/>
        </w:rPr>
        <w:t>to allow sufficient lead-time to prepare talking points, briefs etc.</w:t>
      </w:r>
    </w:p>
    <w:p w14:paraId="1F33EB6B" w14:textId="5ED8C1CB" w:rsidR="00FE051A" w:rsidRPr="009A4B8D" w:rsidRDefault="007D0E8C" w:rsidP="00BC31FD">
      <w:pPr>
        <w:ind w:left="-142"/>
        <w:rPr>
          <w:rFonts w:eastAsia="Times New Roman"/>
        </w:rPr>
      </w:pPr>
      <w:r w:rsidRPr="009A4B8D">
        <w:rPr>
          <w:rFonts w:eastAsia="Times New Roman"/>
        </w:rPr>
        <w:t xml:space="preserve">The </w:t>
      </w:r>
      <w:r w:rsidR="00DA7F52" w:rsidRPr="009A4B8D">
        <w:rPr>
          <w:rFonts w:eastAsia="Times New Roman"/>
        </w:rPr>
        <w:t xml:space="preserve">final </w:t>
      </w:r>
      <w:r w:rsidR="003E59E1" w:rsidRPr="009A4B8D">
        <w:rPr>
          <w:rFonts w:eastAsia="Times New Roman"/>
        </w:rPr>
        <w:t xml:space="preserve">report is sent to the </w:t>
      </w:r>
      <w:r w:rsidR="006869DC" w:rsidRPr="009A4B8D">
        <w:rPr>
          <w:rFonts w:eastAsia="Times New Roman"/>
        </w:rPr>
        <w:t>LAO</w:t>
      </w:r>
      <w:r w:rsidR="005E5C9B" w:rsidRPr="009A4B8D">
        <w:rPr>
          <w:rStyle w:val="FootnoteReference"/>
          <w:rFonts w:eastAsia="Times New Roman"/>
        </w:rPr>
        <w:footnoteReference w:id="3"/>
      </w:r>
      <w:r w:rsidR="006869DC" w:rsidRPr="009A4B8D">
        <w:rPr>
          <w:rFonts w:eastAsia="Times New Roman"/>
        </w:rPr>
        <w:t xml:space="preserve"> </w:t>
      </w:r>
      <w:r w:rsidR="003E59E1" w:rsidRPr="009A4B8D">
        <w:rPr>
          <w:rFonts w:eastAsia="Times New Roman"/>
        </w:rPr>
        <w:t xml:space="preserve">who </w:t>
      </w:r>
      <w:r w:rsidRPr="009A4B8D">
        <w:rPr>
          <w:rFonts w:eastAsia="Times New Roman"/>
        </w:rPr>
        <w:t>convert</w:t>
      </w:r>
      <w:r w:rsidR="006869DC" w:rsidRPr="009A4B8D">
        <w:rPr>
          <w:rFonts w:eastAsia="Times New Roman"/>
        </w:rPr>
        <w:t xml:space="preserve">s </w:t>
      </w:r>
      <w:r w:rsidR="003E59E1" w:rsidRPr="009A4B8D">
        <w:rPr>
          <w:rFonts w:eastAsia="Times New Roman"/>
        </w:rPr>
        <w:t xml:space="preserve">it </w:t>
      </w:r>
      <w:r w:rsidRPr="009A4B8D">
        <w:rPr>
          <w:rFonts w:eastAsia="Times New Roman"/>
        </w:rPr>
        <w:t>to a pdf and email</w:t>
      </w:r>
      <w:r w:rsidR="006869DC" w:rsidRPr="009A4B8D">
        <w:rPr>
          <w:rFonts w:eastAsia="Times New Roman"/>
        </w:rPr>
        <w:t>s it</w:t>
      </w:r>
      <w:r w:rsidRPr="009A4B8D">
        <w:rPr>
          <w:rFonts w:eastAsia="Times New Roman"/>
        </w:rPr>
        <w:t xml:space="preserve"> to the nominee and licence holder representatives using the appropriate email template</w:t>
      </w:r>
      <w:r w:rsidR="001B1F1F" w:rsidRPr="009A4B8D">
        <w:rPr>
          <w:rFonts w:eastAsia="Times New Roman"/>
        </w:rPr>
        <w:t>.</w:t>
      </w:r>
      <w:r w:rsidR="0031020D">
        <w:rPr>
          <w:rFonts w:eastAsia="Times New Roman"/>
        </w:rPr>
        <w:t xml:space="preserve">  </w:t>
      </w:r>
    </w:p>
    <w:p w14:paraId="25DB2A09" w14:textId="70DFEA1C" w:rsidR="007B0CD1" w:rsidRPr="00CC641F" w:rsidRDefault="007B0CD1" w:rsidP="00BC31FD">
      <w:pPr>
        <w:rPr>
          <w:rFonts w:eastAsia="Times New Roman"/>
          <w:sz w:val="18"/>
          <w:szCs w:val="18"/>
        </w:rPr>
      </w:pPr>
      <w:r w:rsidRPr="00CC641F">
        <w:rPr>
          <w:rFonts w:eastAsia="Times New Roman"/>
          <w:sz w:val="18"/>
          <w:szCs w:val="18"/>
        </w:rPr>
        <w:t>N</w:t>
      </w:r>
      <w:r w:rsidR="00065BA5" w:rsidRPr="00CC641F">
        <w:rPr>
          <w:rFonts w:eastAsia="Times New Roman"/>
          <w:sz w:val="18"/>
          <w:szCs w:val="18"/>
        </w:rPr>
        <w:t>OTE</w:t>
      </w:r>
      <w:r w:rsidRPr="00CC641F">
        <w:rPr>
          <w:rFonts w:eastAsia="Times New Roman"/>
          <w:sz w:val="18"/>
          <w:szCs w:val="18"/>
        </w:rPr>
        <w:t xml:space="preserve">: Because the inspection report is agreed with the licence holder prior to </w:t>
      </w:r>
      <w:r w:rsidR="00562A0F" w:rsidRPr="00CC641F">
        <w:rPr>
          <w:rFonts w:eastAsia="Times New Roman"/>
          <w:sz w:val="18"/>
          <w:szCs w:val="18"/>
        </w:rPr>
        <w:t xml:space="preserve">its </w:t>
      </w:r>
      <w:r w:rsidRPr="00CC641F">
        <w:rPr>
          <w:rFonts w:eastAsia="Times New Roman"/>
          <w:sz w:val="18"/>
          <w:szCs w:val="18"/>
        </w:rPr>
        <w:t>issue</w:t>
      </w:r>
      <w:r w:rsidR="00562A0F" w:rsidRPr="00CC641F">
        <w:rPr>
          <w:rFonts w:eastAsia="Times New Roman"/>
          <w:sz w:val="18"/>
          <w:szCs w:val="18"/>
        </w:rPr>
        <w:t xml:space="preserve"> the need to </w:t>
      </w:r>
      <w:r w:rsidRPr="00CC641F">
        <w:rPr>
          <w:rFonts w:eastAsia="Times New Roman"/>
          <w:sz w:val="18"/>
          <w:szCs w:val="18"/>
        </w:rPr>
        <w:t>reissue a report is unlikely</w:t>
      </w:r>
      <w:r w:rsidR="00355197">
        <w:rPr>
          <w:rFonts w:eastAsia="Times New Roman"/>
          <w:sz w:val="18"/>
          <w:szCs w:val="18"/>
        </w:rPr>
        <w:t>.</w:t>
      </w:r>
      <w:r w:rsidRPr="00CC641F">
        <w:rPr>
          <w:rFonts w:eastAsia="Times New Roman"/>
          <w:sz w:val="18"/>
          <w:szCs w:val="18"/>
        </w:rPr>
        <w:t xml:space="preserve"> </w:t>
      </w:r>
      <w:r w:rsidR="00562A0F" w:rsidRPr="00CC641F">
        <w:rPr>
          <w:rFonts w:eastAsia="Times New Roman"/>
          <w:sz w:val="18"/>
          <w:szCs w:val="18"/>
        </w:rPr>
        <w:t xml:space="preserve"> However</w:t>
      </w:r>
      <w:r w:rsidR="00832E73" w:rsidRPr="00CC641F">
        <w:rPr>
          <w:rFonts w:eastAsia="Times New Roman"/>
          <w:sz w:val="18"/>
          <w:szCs w:val="18"/>
        </w:rPr>
        <w:t>,</w:t>
      </w:r>
      <w:r w:rsidR="00562A0F" w:rsidRPr="00CC641F">
        <w:rPr>
          <w:rFonts w:eastAsia="Times New Roman"/>
          <w:sz w:val="18"/>
          <w:szCs w:val="18"/>
        </w:rPr>
        <w:t xml:space="preserve"> </w:t>
      </w:r>
      <w:r w:rsidR="00355197">
        <w:rPr>
          <w:rFonts w:eastAsia="Times New Roman"/>
          <w:sz w:val="18"/>
          <w:szCs w:val="18"/>
        </w:rPr>
        <w:t xml:space="preserve">in the rare case that it </w:t>
      </w:r>
      <w:r w:rsidR="00562A0F" w:rsidRPr="00CC641F">
        <w:rPr>
          <w:rFonts w:eastAsia="Times New Roman"/>
          <w:sz w:val="18"/>
          <w:szCs w:val="18"/>
        </w:rPr>
        <w:t>should be required</w:t>
      </w:r>
      <w:r w:rsidR="00832E73" w:rsidRPr="00CC641F">
        <w:rPr>
          <w:rFonts w:eastAsia="Times New Roman"/>
          <w:sz w:val="18"/>
          <w:szCs w:val="18"/>
        </w:rPr>
        <w:t>,</w:t>
      </w:r>
      <w:r w:rsidR="00562A0F" w:rsidRPr="00CC641F">
        <w:rPr>
          <w:rFonts w:eastAsia="Times New Roman"/>
          <w:sz w:val="18"/>
          <w:szCs w:val="18"/>
        </w:rPr>
        <w:t xml:space="preserve"> the reason for reissue should be clearly documented and the same approval process followed</w:t>
      </w:r>
      <w:r w:rsidR="007F60E6" w:rsidRPr="00CC641F">
        <w:rPr>
          <w:rFonts w:eastAsia="Times New Roman"/>
          <w:sz w:val="18"/>
          <w:szCs w:val="18"/>
        </w:rPr>
        <w:t xml:space="preserve">. </w:t>
      </w:r>
      <w:r w:rsidR="00562A0F" w:rsidRPr="00CC641F">
        <w:rPr>
          <w:rFonts w:eastAsia="Times New Roman"/>
          <w:sz w:val="18"/>
          <w:szCs w:val="18"/>
        </w:rPr>
        <w:t xml:space="preserve">The report should be marked </w:t>
      </w:r>
      <w:r w:rsidR="00355197">
        <w:rPr>
          <w:rFonts w:eastAsia="Times New Roman"/>
          <w:sz w:val="18"/>
          <w:szCs w:val="18"/>
        </w:rPr>
        <w:t>as an amended report</w:t>
      </w:r>
      <w:r w:rsidR="007F60E6" w:rsidRPr="00CC641F">
        <w:rPr>
          <w:rFonts w:eastAsia="Times New Roman"/>
          <w:sz w:val="18"/>
          <w:szCs w:val="18"/>
        </w:rPr>
        <w:t xml:space="preserve">. </w:t>
      </w:r>
    </w:p>
    <w:p w14:paraId="645DCD52" w14:textId="7E44223F" w:rsidR="00952AD7" w:rsidRDefault="00952AD7" w:rsidP="00122B75">
      <w:pPr>
        <w:pStyle w:val="Heading2"/>
        <w:numPr>
          <w:ilvl w:val="1"/>
          <w:numId w:val="53"/>
        </w:numPr>
        <w:spacing w:before="240"/>
        <w:ind w:left="1276" w:hanging="709"/>
      </w:pPr>
      <w:bookmarkStart w:id="52" w:name="_Toc492399376"/>
      <w:r>
        <w:lastRenderedPageBreak/>
        <w:t xml:space="preserve">Record </w:t>
      </w:r>
      <w:r w:rsidR="00125C83">
        <w:t>k</w:t>
      </w:r>
      <w:r>
        <w:t>eeping</w:t>
      </w:r>
      <w:bookmarkEnd w:id="52"/>
    </w:p>
    <w:p w14:paraId="2892855A" w14:textId="75226598" w:rsidR="00A96BE4" w:rsidRPr="00F854FD" w:rsidRDefault="00A96BE4" w:rsidP="00F55FFF">
      <w:pPr>
        <w:ind w:left="-142"/>
        <w:rPr>
          <w:rFonts w:eastAsia="Times New Roman"/>
        </w:rPr>
      </w:pPr>
      <w:r w:rsidRPr="00F854FD">
        <w:rPr>
          <w:rFonts w:eastAsia="Times New Roman"/>
        </w:rPr>
        <w:t xml:space="preserve">The report must be saved in </w:t>
      </w:r>
      <w:r w:rsidR="00BA56C2">
        <w:rPr>
          <w:rFonts w:eastAsia="Times New Roman"/>
        </w:rPr>
        <w:t>CM</w:t>
      </w:r>
      <w:r w:rsidRPr="00F854FD">
        <w:rPr>
          <w:rFonts w:eastAsia="Times New Roman"/>
        </w:rPr>
        <w:t xml:space="preserve"> using the ‘Inspection Report’ record type</w:t>
      </w:r>
      <w:r w:rsidR="007F60E6" w:rsidRPr="00F854FD">
        <w:rPr>
          <w:rFonts w:eastAsia="Times New Roman"/>
        </w:rPr>
        <w:t xml:space="preserve">. </w:t>
      </w:r>
    </w:p>
    <w:p w14:paraId="32FB55AF" w14:textId="7CB1AA91" w:rsidR="00A65BD0" w:rsidRPr="00F854FD" w:rsidRDefault="00952AD7" w:rsidP="00BC31FD">
      <w:pPr>
        <w:ind w:left="-142"/>
        <w:rPr>
          <w:rFonts w:eastAsia="Times New Roman"/>
        </w:rPr>
      </w:pPr>
      <w:r w:rsidRPr="00F854FD">
        <w:rPr>
          <w:rFonts w:eastAsia="Times New Roman"/>
        </w:rPr>
        <w:t xml:space="preserve">All documents associated with preparation, performance, reporting and follow-up of the inspection must be </w:t>
      </w:r>
      <w:r w:rsidR="00F35E3F" w:rsidRPr="00F854FD">
        <w:rPr>
          <w:rFonts w:eastAsia="Times New Roman"/>
        </w:rPr>
        <w:t xml:space="preserve">saved in </w:t>
      </w:r>
      <w:r w:rsidR="0093604F" w:rsidRPr="00F854FD">
        <w:rPr>
          <w:rFonts w:eastAsia="Times New Roman"/>
        </w:rPr>
        <w:t xml:space="preserve">the appropriate </w:t>
      </w:r>
      <w:r w:rsidR="00BA56C2">
        <w:rPr>
          <w:rFonts w:eastAsia="Times New Roman"/>
        </w:rPr>
        <w:t>CM</w:t>
      </w:r>
      <w:r w:rsidR="00A96BE4" w:rsidRPr="00F854FD">
        <w:rPr>
          <w:rFonts w:eastAsia="Times New Roman"/>
        </w:rPr>
        <w:t xml:space="preserve"> </w:t>
      </w:r>
      <w:r w:rsidR="00096A20" w:rsidRPr="00F854FD">
        <w:rPr>
          <w:rFonts w:eastAsia="Times New Roman"/>
        </w:rPr>
        <w:t xml:space="preserve">records </w:t>
      </w:r>
      <w:r w:rsidR="00D30E5E" w:rsidRPr="00F854FD">
        <w:rPr>
          <w:rFonts w:eastAsia="Times New Roman"/>
        </w:rPr>
        <w:t>file</w:t>
      </w:r>
      <w:r w:rsidR="00914D7C" w:rsidRPr="00F854FD">
        <w:rPr>
          <w:rFonts w:eastAsia="Times New Roman"/>
        </w:rPr>
        <w:t>; this may include</w:t>
      </w:r>
      <w:r w:rsidRPr="00F854FD">
        <w:rPr>
          <w:rFonts w:eastAsia="Times New Roman"/>
        </w:rPr>
        <w:t xml:space="preserve"> </w:t>
      </w:r>
      <w:r w:rsidR="00914D7C" w:rsidRPr="00F854FD">
        <w:rPr>
          <w:rFonts w:eastAsia="Times New Roman"/>
        </w:rPr>
        <w:t xml:space="preserve">scanned </w:t>
      </w:r>
      <w:r w:rsidR="00C45B61" w:rsidRPr="00F854FD">
        <w:rPr>
          <w:rFonts w:eastAsia="Times New Roman"/>
        </w:rPr>
        <w:t>checklists</w:t>
      </w:r>
      <w:r w:rsidR="00D30E5E" w:rsidRPr="00F854FD">
        <w:rPr>
          <w:rFonts w:eastAsia="Times New Roman"/>
        </w:rPr>
        <w:t xml:space="preserve"> or</w:t>
      </w:r>
      <w:r w:rsidR="00C45B61" w:rsidRPr="00F854FD">
        <w:rPr>
          <w:rFonts w:eastAsia="Times New Roman"/>
        </w:rPr>
        <w:t xml:space="preserve"> handwritten</w:t>
      </w:r>
      <w:r w:rsidRPr="00F854FD">
        <w:rPr>
          <w:rFonts w:eastAsia="Times New Roman"/>
        </w:rPr>
        <w:t xml:space="preserve"> notes</w:t>
      </w:r>
      <w:r w:rsidR="00914D7C" w:rsidRPr="00F854FD">
        <w:rPr>
          <w:rFonts w:eastAsia="Times New Roman"/>
        </w:rPr>
        <w:t>, p</w:t>
      </w:r>
      <w:r w:rsidRPr="00F854FD">
        <w:rPr>
          <w:rFonts w:eastAsia="Times New Roman"/>
        </w:rPr>
        <w:t>hotos and/or electronic recordings</w:t>
      </w:r>
      <w:r w:rsidR="007F60E6" w:rsidRPr="00F854FD">
        <w:rPr>
          <w:rFonts w:eastAsia="Times New Roman"/>
        </w:rPr>
        <w:t xml:space="preserve">. </w:t>
      </w:r>
    </w:p>
    <w:p w14:paraId="1109585B" w14:textId="24341B42" w:rsidR="00B13990" w:rsidRPr="00F854FD" w:rsidRDefault="00952AD7" w:rsidP="00BC31FD">
      <w:pPr>
        <w:ind w:left="-142"/>
        <w:rPr>
          <w:rFonts w:eastAsia="Times New Roman"/>
        </w:rPr>
      </w:pPr>
      <w:r w:rsidRPr="00F854FD">
        <w:rPr>
          <w:rFonts w:eastAsia="Times New Roman"/>
        </w:rPr>
        <w:t>Re</w:t>
      </w:r>
      <w:r w:rsidR="00D30E5E" w:rsidRPr="00F854FD">
        <w:rPr>
          <w:rFonts w:eastAsia="Times New Roman"/>
        </w:rPr>
        <w:t xml:space="preserve">levant </w:t>
      </w:r>
      <w:r w:rsidRPr="00F854FD">
        <w:rPr>
          <w:rFonts w:eastAsia="Times New Roman"/>
        </w:rPr>
        <w:t>information must be entered into LAD</w:t>
      </w:r>
      <w:r w:rsidR="007F60E6" w:rsidRPr="00F854FD">
        <w:rPr>
          <w:rFonts w:eastAsia="Times New Roman"/>
        </w:rPr>
        <w:t xml:space="preserve">. </w:t>
      </w:r>
      <w:r w:rsidR="00B25E2E" w:rsidRPr="00F854FD">
        <w:rPr>
          <w:rFonts w:eastAsia="Times New Roman"/>
        </w:rPr>
        <w:t>A</w:t>
      </w:r>
      <w:r w:rsidR="004973EA" w:rsidRPr="00F854FD">
        <w:rPr>
          <w:rFonts w:eastAsia="Times New Roman"/>
        </w:rPr>
        <w:t>reas for improvement</w:t>
      </w:r>
      <w:r w:rsidR="00B25E2E" w:rsidRPr="00F854FD">
        <w:rPr>
          <w:rFonts w:eastAsia="Times New Roman"/>
        </w:rPr>
        <w:t xml:space="preserve"> must be </w:t>
      </w:r>
      <w:r w:rsidR="00CC1F6D" w:rsidRPr="00F854FD">
        <w:rPr>
          <w:rFonts w:eastAsia="Times New Roman"/>
        </w:rPr>
        <w:t xml:space="preserve">separately </w:t>
      </w:r>
      <w:r w:rsidR="00B25E2E" w:rsidRPr="00F854FD">
        <w:rPr>
          <w:rFonts w:eastAsia="Times New Roman"/>
        </w:rPr>
        <w:t>entered</w:t>
      </w:r>
      <w:r w:rsidR="007F60E6" w:rsidRPr="00F854FD">
        <w:rPr>
          <w:rFonts w:eastAsia="Times New Roman"/>
        </w:rPr>
        <w:t xml:space="preserve">. </w:t>
      </w:r>
      <w:r w:rsidR="00B13990" w:rsidRPr="00F854FD">
        <w:rPr>
          <w:rFonts w:eastAsia="Times New Roman"/>
        </w:rPr>
        <w:t xml:space="preserve">Where an inspection report covers more than one licence any areas for improvement should be assigned against the relevant licence. </w:t>
      </w:r>
    </w:p>
    <w:p w14:paraId="6620B1AC" w14:textId="188F6A7F" w:rsidR="0095394E" w:rsidRPr="00F854FD" w:rsidRDefault="00996297" w:rsidP="00BC31FD">
      <w:pPr>
        <w:ind w:left="-142"/>
        <w:rPr>
          <w:b/>
          <w:bCs/>
          <w:caps/>
          <w:color w:val="FFFFFF" w:themeColor="background1"/>
          <w:spacing w:val="15"/>
        </w:rPr>
      </w:pPr>
      <w:r w:rsidRPr="00F854FD">
        <w:rPr>
          <w:rFonts w:eastAsia="Times New Roman"/>
        </w:rPr>
        <w:t>W</w:t>
      </w:r>
      <w:r w:rsidR="00952AD7" w:rsidRPr="00F854FD">
        <w:rPr>
          <w:rFonts w:eastAsia="Times New Roman"/>
        </w:rPr>
        <w:t xml:space="preserve">here </w:t>
      </w:r>
      <w:r w:rsidRPr="00F854FD">
        <w:rPr>
          <w:rFonts w:eastAsia="Times New Roman"/>
        </w:rPr>
        <w:t>an inspection file has been raised actions against any non-compliances or areas for improvement</w:t>
      </w:r>
      <w:r w:rsidR="00125C83" w:rsidRPr="00F854FD">
        <w:rPr>
          <w:rFonts w:eastAsia="Times New Roman"/>
        </w:rPr>
        <w:t xml:space="preserve"> should be recorded before it is </w:t>
      </w:r>
      <w:r w:rsidR="00952AD7" w:rsidRPr="00F854FD">
        <w:rPr>
          <w:rFonts w:eastAsia="Times New Roman"/>
        </w:rPr>
        <w:t>closed.</w:t>
      </w:r>
      <w:r w:rsidR="00B13990" w:rsidRPr="00F854FD">
        <w:rPr>
          <w:rFonts w:eastAsia="Times New Roman"/>
        </w:rPr>
        <w:t xml:space="preserve"> </w:t>
      </w:r>
      <w:r w:rsidR="007F7357">
        <w:rPr>
          <w:rFonts w:eastAsia="Times New Roman"/>
        </w:rPr>
        <w:t>N</w:t>
      </w:r>
      <w:r w:rsidR="00A75F9B" w:rsidRPr="00F854FD">
        <w:rPr>
          <w:rFonts w:eastAsia="Times New Roman"/>
        </w:rPr>
        <w:t>on</w:t>
      </w:r>
      <w:r w:rsidR="00CB7151">
        <w:rPr>
          <w:rFonts w:eastAsia="Times New Roman"/>
        </w:rPr>
        <w:t>-c</w:t>
      </w:r>
      <w:r w:rsidR="00A75F9B" w:rsidRPr="00F854FD">
        <w:rPr>
          <w:rFonts w:eastAsia="Times New Roman"/>
        </w:rPr>
        <w:t>ompliances must also be entered into LAD.</w:t>
      </w:r>
    </w:p>
    <w:p w14:paraId="0F4D0FB8" w14:textId="2F3D846E" w:rsidR="008104A6" w:rsidRDefault="008104A6" w:rsidP="00122B75">
      <w:pPr>
        <w:pStyle w:val="Heading2"/>
        <w:numPr>
          <w:ilvl w:val="1"/>
          <w:numId w:val="53"/>
        </w:numPr>
        <w:spacing w:before="240"/>
        <w:ind w:left="1276" w:hanging="709"/>
      </w:pPr>
      <w:bookmarkStart w:id="53" w:name="_Toc492399377"/>
      <w:r>
        <w:t xml:space="preserve">Publish </w:t>
      </w:r>
      <w:r w:rsidR="00125C83">
        <w:t>r</w:t>
      </w:r>
      <w:r>
        <w:t>eport</w:t>
      </w:r>
      <w:r w:rsidR="00125C83">
        <w:t xml:space="preserve"> &amp; request</w:t>
      </w:r>
      <w:r w:rsidR="00125C83" w:rsidRPr="00125C83">
        <w:t xml:space="preserve"> </w:t>
      </w:r>
      <w:r w:rsidR="00125C83">
        <w:t>p</w:t>
      </w:r>
      <w:r w:rsidR="00125C83" w:rsidRPr="00FB0138">
        <w:t>ost-</w:t>
      </w:r>
      <w:r w:rsidR="00125C83">
        <w:t>i</w:t>
      </w:r>
      <w:r w:rsidR="00125C83" w:rsidRPr="00FB0138">
        <w:t xml:space="preserve">nspection </w:t>
      </w:r>
      <w:r w:rsidR="00125C83">
        <w:t>s</w:t>
      </w:r>
      <w:r w:rsidR="00125C83" w:rsidRPr="00FB0138">
        <w:t>urvey</w:t>
      </w:r>
      <w:bookmarkEnd w:id="53"/>
    </w:p>
    <w:p w14:paraId="5A0EC1EB" w14:textId="50F5403C" w:rsidR="0015028E" w:rsidRPr="00F854FD" w:rsidRDefault="00F854FD" w:rsidP="00BC31FD">
      <w:pPr>
        <w:ind w:left="-142"/>
        <w:rPr>
          <w:color w:val="4E1A74" w:themeColor="accent2"/>
        </w:rPr>
      </w:pPr>
      <w:r w:rsidRPr="00F854FD">
        <w:rPr>
          <w:rFonts w:eastAsia="Times New Roman"/>
        </w:rPr>
        <w:t xml:space="preserve">The </w:t>
      </w:r>
      <w:r>
        <w:rPr>
          <w:rFonts w:eastAsia="Times New Roman"/>
        </w:rPr>
        <w:t xml:space="preserve">LAO </w:t>
      </w:r>
      <w:r w:rsidRPr="00F854FD">
        <w:rPr>
          <w:rFonts w:eastAsia="Times New Roman"/>
        </w:rPr>
        <w:t>removes the addendum and sends a request to the OCEO for th</w:t>
      </w:r>
      <w:r>
        <w:rPr>
          <w:rFonts w:eastAsia="Times New Roman"/>
        </w:rPr>
        <w:t>is</w:t>
      </w:r>
      <w:r w:rsidRPr="00F854FD">
        <w:rPr>
          <w:rFonts w:eastAsia="Times New Roman"/>
        </w:rPr>
        <w:t xml:space="preserve"> public version of the final report to be published after </w:t>
      </w:r>
      <w:proofErr w:type="gramStart"/>
      <w:r w:rsidRPr="00F854FD">
        <w:rPr>
          <w:rFonts w:eastAsia="Times New Roman"/>
        </w:rPr>
        <w:t>taking into account</w:t>
      </w:r>
      <w:proofErr w:type="gramEnd"/>
      <w:r w:rsidRPr="00F854FD">
        <w:rPr>
          <w:rFonts w:eastAsia="Times New Roman"/>
        </w:rPr>
        <w:t xml:space="preserve"> any security or sensitive issues. </w:t>
      </w:r>
      <w:r w:rsidR="005D22EA" w:rsidRPr="00F854FD">
        <w:rPr>
          <w:rFonts w:eastAsia="Times New Roman"/>
        </w:rPr>
        <w:t xml:space="preserve">The LAO </w:t>
      </w:r>
      <w:r>
        <w:rPr>
          <w:rFonts w:eastAsia="Times New Roman"/>
        </w:rPr>
        <w:t xml:space="preserve">also requests the OCEO to organise a </w:t>
      </w:r>
      <w:r w:rsidR="005D22EA" w:rsidRPr="00F854FD">
        <w:rPr>
          <w:rFonts w:eastAsia="Times New Roman"/>
        </w:rPr>
        <w:t>post-inspection survey</w:t>
      </w:r>
      <w:r>
        <w:rPr>
          <w:rFonts w:eastAsia="Times New Roman"/>
        </w:rPr>
        <w:t>.</w:t>
      </w:r>
      <w:r w:rsidR="005D22EA" w:rsidRPr="00F854FD">
        <w:rPr>
          <w:rFonts w:eastAsia="Times New Roman"/>
        </w:rPr>
        <w:t xml:space="preserve"> </w:t>
      </w:r>
      <w:bookmarkStart w:id="54" w:name="_Toc483572285"/>
    </w:p>
    <w:p w14:paraId="37002BF6" w14:textId="63927609" w:rsidR="005D59CE" w:rsidRPr="00BC31FD" w:rsidRDefault="00C45B61" w:rsidP="00122B75">
      <w:pPr>
        <w:pStyle w:val="Heading1"/>
        <w:numPr>
          <w:ilvl w:val="0"/>
          <w:numId w:val="40"/>
        </w:numPr>
        <w:spacing w:before="480"/>
        <w:ind w:left="426" w:hanging="568"/>
        <w:rPr>
          <w:color w:val="207220" w:themeColor="accent1" w:themeShade="BF"/>
          <w:sz w:val="36"/>
          <w:szCs w:val="36"/>
        </w:rPr>
      </w:pPr>
      <w:r w:rsidRPr="00677A84">
        <w:rPr>
          <w:color w:val="154C15" w:themeColor="accent1" w:themeShade="80"/>
          <w:sz w:val="36"/>
          <w:szCs w:val="36"/>
        </w:rPr>
        <w:t>Review &amp; Follow-up</w:t>
      </w:r>
      <w:bookmarkEnd w:id="54"/>
      <w:r w:rsidR="00677A84">
        <w:rPr>
          <w:color w:val="154C15" w:themeColor="accent1" w:themeShade="80"/>
          <w:sz w:val="36"/>
          <w:szCs w:val="36"/>
        </w:rPr>
        <w:t xml:space="preserve">            </w:t>
      </w:r>
    </w:p>
    <w:p w14:paraId="36A094E7" w14:textId="5D4D8430" w:rsidR="008104A6" w:rsidRDefault="005D59CE" w:rsidP="00122B75">
      <w:pPr>
        <w:pStyle w:val="Heading2"/>
        <w:numPr>
          <w:ilvl w:val="1"/>
          <w:numId w:val="53"/>
        </w:numPr>
        <w:spacing w:before="240"/>
        <w:ind w:left="1276" w:hanging="709"/>
      </w:pPr>
      <w:r w:rsidRPr="005D59CE">
        <w:t xml:space="preserve">Review of </w:t>
      </w:r>
      <w:r>
        <w:t xml:space="preserve">facility </w:t>
      </w:r>
      <w:r w:rsidRPr="005D59CE">
        <w:t>regulatory priority</w:t>
      </w:r>
    </w:p>
    <w:p w14:paraId="497D2C3F" w14:textId="79D83859" w:rsidR="00B25E2E" w:rsidRPr="00F854FD" w:rsidRDefault="00503465" w:rsidP="00FF4325">
      <w:pPr>
        <w:spacing w:line="240" w:lineRule="auto"/>
        <w:rPr>
          <w:rFonts w:eastAsia="Times New Roman"/>
        </w:rPr>
      </w:pPr>
      <w:r w:rsidRPr="00F854FD">
        <w:rPr>
          <w:rFonts w:eastAsia="Times New Roman"/>
        </w:rPr>
        <w:t>T</w:t>
      </w:r>
      <w:r w:rsidR="00D6152F" w:rsidRPr="00F854FD">
        <w:rPr>
          <w:rFonts w:eastAsia="Times New Roman"/>
        </w:rPr>
        <w:t xml:space="preserve">he </w:t>
      </w:r>
      <w:r w:rsidR="005D59CE" w:rsidRPr="00F854FD">
        <w:rPr>
          <w:rFonts w:eastAsia="Times New Roman"/>
        </w:rPr>
        <w:t>regulatory priority for facilities</w:t>
      </w:r>
      <w:r w:rsidR="001D7239" w:rsidRPr="00F854FD">
        <w:rPr>
          <w:rFonts w:eastAsia="Times New Roman"/>
        </w:rPr>
        <w:t xml:space="preserve"> </w:t>
      </w:r>
      <w:r w:rsidRPr="00F854FD">
        <w:rPr>
          <w:rFonts w:eastAsia="Times New Roman"/>
        </w:rPr>
        <w:t xml:space="preserve">should be reviewed and </w:t>
      </w:r>
      <w:r w:rsidR="003508EB">
        <w:rPr>
          <w:rFonts w:eastAsia="Times New Roman"/>
        </w:rPr>
        <w:t>updated</w:t>
      </w:r>
      <w:r w:rsidR="00D6152F" w:rsidRPr="00F854FD">
        <w:rPr>
          <w:rFonts w:eastAsia="Times New Roman"/>
        </w:rPr>
        <w:t xml:space="preserve"> </w:t>
      </w:r>
      <w:r w:rsidR="00742FDE">
        <w:rPr>
          <w:rFonts w:eastAsia="Times New Roman"/>
        </w:rPr>
        <w:t xml:space="preserve">where required </w:t>
      </w:r>
      <w:r w:rsidR="00DE4A65" w:rsidRPr="00F854FD">
        <w:rPr>
          <w:rFonts w:eastAsia="Times New Roman"/>
        </w:rPr>
        <w:t>and</w:t>
      </w:r>
      <w:r w:rsidRPr="00F854FD">
        <w:rPr>
          <w:rFonts w:eastAsia="Times New Roman"/>
        </w:rPr>
        <w:t xml:space="preserve"> </w:t>
      </w:r>
      <w:r w:rsidR="00D6152F" w:rsidRPr="00F854FD">
        <w:rPr>
          <w:rFonts w:eastAsia="Times New Roman"/>
        </w:rPr>
        <w:t xml:space="preserve">LAD </w:t>
      </w:r>
      <w:r w:rsidRPr="00F854FD">
        <w:rPr>
          <w:rFonts w:eastAsia="Times New Roman"/>
        </w:rPr>
        <w:t xml:space="preserve">updated </w:t>
      </w:r>
      <w:r w:rsidR="00D6152F" w:rsidRPr="00F854FD">
        <w:rPr>
          <w:rFonts w:eastAsia="Times New Roman"/>
        </w:rPr>
        <w:t>accordingly.</w:t>
      </w:r>
    </w:p>
    <w:p w14:paraId="62174DEB" w14:textId="4F77D1CF" w:rsidR="00B25E2E" w:rsidRDefault="00B25E2E" w:rsidP="00122B75">
      <w:pPr>
        <w:pStyle w:val="Heading2"/>
        <w:numPr>
          <w:ilvl w:val="1"/>
          <w:numId w:val="53"/>
        </w:numPr>
        <w:spacing w:before="240"/>
        <w:ind w:left="1276" w:hanging="709"/>
      </w:pPr>
      <w:bookmarkStart w:id="55" w:name="_Toc492399379"/>
      <w:r>
        <w:t xml:space="preserve">Follow-up </w:t>
      </w:r>
      <w:r w:rsidR="004973EA">
        <w:t>areas for improvement</w:t>
      </w:r>
      <w:r w:rsidR="00E045D6">
        <w:t xml:space="preserve"> and non-compliance</w:t>
      </w:r>
      <w:bookmarkEnd w:id="55"/>
    </w:p>
    <w:p w14:paraId="2E07C2E2" w14:textId="1AF00EC4" w:rsidR="003508EB" w:rsidRDefault="003508EB" w:rsidP="00FF4325">
      <w:pPr>
        <w:spacing w:line="240" w:lineRule="auto"/>
        <w:rPr>
          <w:rStyle w:val="Normalbold"/>
        </w:rPr>
      </w:pPr>
      <w:r w:rsidRPr="00F854FD">
        <w:t xml:space="preserve">Actions to address areas for improvement are expected to be taken within three months. Inspectors should follow up with the licence holder and record the actions in LAD. </w:t>
      </w:r>
      <w:r w:rsidRPr="00C25811">
        <w:rPr>
          <w:rStyle w:val="Normalbold"/>
        </w:rPr>
        <w:t xml:space="preserve">Inspectors are required to follow-up on inspection findings within three months and actions recorded in the appropriate </w:t>
      </w:r>
      <w:r>
        <w:rPr>
          <w:rStyle w:val="Normalbold"/>
        </w:rPr>
        <w:t>CM</w:t>
      </w:r>
      <w:r w:rsidRPr="00C25811">
        <w:rPr>
          <w:rStyle w:val="Normalbold"/>
        </w:rPr>
        <w:t xml:space="preserve"> file and LAD. </w:t>
      </w:r>
      <w:r>
        <w:rPr>
          <w:rStyle w:val="Normalbold"/>
        </w:rPr>
        <w:t xml:space="preserve"> </w:t>
      </w:r>
    </w:p>
    <w:p w14:paraId="4A801C6B" w14:textId="14BF158C" w:rsidR="00952AD7" w:rsidRDefault="00E045D6" w:rsidP="00FF4325">
      <w:pPr>
        <w:spacing w:line="240" w:lineRule="auto"/>
      </w:pPr>
      <w:r w:rsidRPr="00F854FD">
        <w:t>In the case of non-compliance, the inspector should ensure that the licence holder responds within the defined period</w:t>
      </w:r>
      <w:r w:rsidR="007F60E6" w:rsidRPr="00F854FD">
        <w:t xml:space="preserve">. </w:t>
      </w:r>
      <w:r w:rsidR="007232DD" w:rsidRPr="00F854FD">
        <w:t xml:space="preserve">The licence holder’s response should be </w:t>
      </w:r>
      <w:proofErr w:type="gramStart"/>
      <w:r w:rsidR="007232DD" w:rsidRPr="00F854FD">
        <w:t>taken into account</w:t>
      </w:r>
      <w:proofErr w:type="gramEnd"/>
      <w:r w:rsidR="007232DD" w:rsidRPr="00F854FD">
        <w:t xml:space="preserve"> to determine the </w:t>
      </w:r>
      <w:r w:rsidRPr="00F854FD">
        <w:t>appropriate action</w:t>
      </w:r>
      <w:r w:rsidR="007232DD" w:rsidRPr="00F854FD">
        <w:t xml:space="preserve"> in accordance with the </w:t>
      </w:r>
      <w:hyperlink r:id="rId37" w:history="1">
        <w:r w:rsidR="007232DD" w:rsidRPr="00CB7151">
          <w:rPr>
            <w:rStyle w:val="Hyperlink"/>
            <w:color w:val="4E1A74" w:themeColor="accent2"/>
          </w:rPr>
          <w:t>Compliance</w:t>
        </w:r>
        <w:r w:rsidR="003508EB">
          <w:rPr>
            <w:rStyle w:val="Hyperlink"/>
            <w:color w:val="4E1A74" w:themeColor="accent2"/>
          </w:rPr>
          <w:t xml:space="preserve"> </w:t>
        </w:r>
        <w:r w:rsidR="007232DD" w:rsidRPr="00CB7151">
          <w:rPr>
            <w:rStyle w:val="Hyperlink"/>
            <w:color w:val="4E1A74" w:themeColor="accent2"/>
          </w:rPr>
          <w:t>Manual</w:t>
        </w:r>
      </w:hyperlink>
      <w:r w:rsidR="007F60E6" w:rsidRPr="00F854FD">
        <w:t xml:space="preserve">. </w:t>
      </w:r>
    </w:p>
    <w:p w14:paraId="2F685717" w14:textId="6D93391D" w:rsidR="008B0FAB" w:rsidRPr="00F854FD" w:rsidRDefault="00A10470" w:rsidP="00FF4325">
      <w:pPr>
        <w:spacing w:line="240" w:lineRule="auto"/>
      </w:pPr>
      <w:r>
        <w:t>C</w:t>
      </w:r>
      <w:r w:rsidR="008B0FAB" w:rsidRPr="00A10470">
        <w:t xml:space="preserve">ompliance </w:t>
      </w:r>
      <w:r>
        <w:t xml:space="preserve">status and </w:t>
      </w:r>
      <w:r w:rsidR="008B0FAB" w:rsidRPr="00A10470">
        <w:t xml:space="preserve">areas for improvement </w:t>
      </w:r>
      <w:r w:rsidR="00742FDE">
        <w:t>are</w:t>
      </w:r>
      <w:r w:rsidR="008B0FAB" w:rsidRPr="00A10470">
        <w:t xml:space="preserve"> published</w:t>
      </w:r>
      <w:r>
        <w:t xml:space="preserve"> on the web</w:t>
      </w:r>
      <w:r w:rsidR="008B0FAB" w:rsidRPr="00A10470">
        <w:t>.</w:t>
      </w:r>
      <w:r w:rsidR="00742FDE">
        <w:t xml:space="preserve">  The RO must ensure relevant follow-up information is provided to close out items on the web. </w:t>
      </w:r>
      <w:r w:rsidR="008B0FAB">
        <w:t xml:space="preserve">  </w:t>
      </w:r>
    </w:p>
    <w:p w14:paraId="379E1E38" w14:textId="39D287E3" w:rsidR="00D6152F" w:rsidRPr="00886BF2" w:rsidRDefault="00B341EF" w:rsidP="00122B75">
      <w:pPr>
        <w:pStyle w:val="Heading2"/>
        <w:numPr>
          <w:ilvl w:val="1"/>
          <w:numId w:val="53"/>
        </w:numPr>
        <w:spacing w:before="240"/>
        <w:ind w:left="1276" w:hanging="709"/>
      </w:pPr>
      <w:bookmarkStart w:id="56" w:name="_Toc492399380"/>
      <w:r>
        <w:t>F</w:t>
      </w:r>
      <w:r w:rsidR="00D6152F" w:rsidRPr="00886BF2">
        <w:t>eedback</w:t>
      </w:r>
      <w:r>
        <w:t xml:space="preserve"> &amp; </w:t>
      </w:r>
      <w:r w:rsidR="00FF6FD9">
        <w:t>l</w:t>
      </w:r>
      <w:r>
        <w:t xml:space="preserve">essons </w:t>
      </w:r>
      <w:r w:rsidR="00FF6FD9">
        <w:t>l</w:t>
      </w:r>
      <w:r>
        <w:t>earned</w:t>
      </w:r>
      <w:bookmarkEnd w:id="56"/>
    </w:p>
    <w:p w14:paraId="5D6D2A53" w14:textId="21B7DAAE" w:rsidR="00085B74" w:rsidRDefault="00085B74" w:rsidP="00FF4325">
      <w:pPr>
        <w:spacing w:line="240" w:lineRule="auto"/>
        <w:rPr>
          <w:rFonts w:eastAsia="Times New Roman"/>
        </w:rPr>
      </w:pPr>
      <w:r>
        <w:rPr>
          <w:rFonts w:eastAsia="Times New Roman"/>
        </w:rPr>
        <w:t xml:space="preserve">After complex inspections inspectors should review the process and identify any lessons learned.  These should be recorded in the </w:t>
      </w:r>
      <w:hyperlink r:id="rId38" w:history="1">
        <w:r w:rsidRPr="00085B74">
          <w:rPr>
            <w:rStyle w:val="Hyperlink"/>
            <w:rFonts w:eastAsia="Times New Roman"/>
          </w:rPr>
          <w:t>Opportunities for Improvement Register</w:t>
        </w:r>
      </w:hyperlink>
      <w:r>
        <w:rPr>
          <w:rFonts w:eastAsia="Times New Roman"/>
        </w:rPr>
        <w:t xml:space="preserve">. </w:t>
      </w:r>
    </w:p>
    <w:p w14:paraId="2B4DC677" w14:textId="69903C7B" w:rsidR="0028673E" w:rsidRDefault="00B341EF" w:rsidP="00FF4325">
      <w:pPr>
        <w:spacing w:line="240" w:lineRule="auto"/>
        <w:rPr>
          <w:rFonts w:eastAsia="Times New Roman"/>
        </w:rPr>
      </w:pPr>
      <w:r w:rsidRPr="00F854FD">
        <w:rPr>
          <w:rFonts w:eastAsia="Times New Roman"/>
        </w:rPr>
        <w:t>Feedback from the online survey</w:t>
      </w:r>
      <w:r w:rsidR="00D15EBB">
        <w:rPr>
          <w:rFonts w:eastAsia="Times New Roman"/>
        </w:rPr>
        <w:t xml:space="preserve"> and AFIs</w:t>
      </w:r>
      <w:r w:rsidRPr="00F854FD">
        <w:rPr>
          <w:rFonts w:eastAsia="Times New Roman"/>
        </w:rPr>
        <w:t xml:space="preserve"> </w:t>
      </w:r>
      <w:r w:rsidR="00D15EBB">
        <w:rPr>
          <w:rFonts w:eastAsia="Times New Roman"/>
        </w:rPr>
        <w:t>from inspections are</w:t>
      </w:r>
      <w:r w:rsidRPr="00F854FD">
        <w:rPr>
          <w:rFonts w:eastAsia="Times New Roman"/>
        </w:rPr>
        <w:t xml:space="preserve"> </w:t>
      </w:r>
      <w:r w:rsidR="00454EA7" w:rsidRPr="00F854FD">
        <w:rPr>
          <w:rFonts w:eastAsia="Times New Roman"/>
        </w:rPr>
        <w:t xml:space="preserve">regularly </w:t>
      </w:r>
      <w:r w:rsidR="001C5BCA" w:rsidRPr="00F854FD">
        <w:rPr>
          <w:rFonts w:eastAsia="Times New Roman"/>
        </w:rPr>
        <w:t>collated</w:t>
      </w:r>
      <w:r w:rsidR="0028673E">
        <w:rPr>
          <w:rFonts w:eastAsia="Times New Roman"/>
        </w:rPr>
        <w:t xml:space="preserve"> and</w:t>
      </w:r>
      <w:r w:rsidR="00474D8F" w:rsidRPr="00F854FD">
        <w:rPr>
          <w:rFonts w:eastAsia="Times New Roman"/>
        </w:rPr>
        <w:t xml:space="preserve"> </w:t>
      </w:r>
      <w:r w:rsidR="00875673" w:rsidRPr="00F854FD">
        <w:rPr>
          <w:rFonts w:eastAsia="Times New Roman"/>
        </w:rPr>
        <w:t xml:space="preserve">analysed by </w:t>
      </w:r>
      <w:r w:rsidR="00DB54EF" w:rsidRPr="00F854FD">
        <w:rPr>
          <w:rFonts w:eastAsia="Times New Roman"/>
        </w:rPr>
        <w:t>Safety Systems</w:t>
      </w:r>
      <w:r w:rsidR="007F60E6" w:rsidRPr="00F854FD">
        <w:rPr>
          <w:rFonts w:eastAsia="Times New Roman"/>
        </w:rPr>
        <w:t xml:space="preserve">. </w:t>
      </w:r>
    </w:p>
    <w:p w14:paraId="4723E812" w14:textId="5590B3C7" w:rsidR="0028673E" w:rsidRDefault="0028673E" w:rsidP="00FF4325">
      <w:pPr>
        <w:spacing w:line="240" w:lineRule="auto"/>
        <w:rPr>
          <w:rFonts w:eastAsia="Times New Roman"/>
        </w:rPr>
      </w:pPr>
      <w:r w:rsidRPr="00F854FD">
        <w:rPr>
          <w:rFonts w:eastAsia="Times New Roman"/>
        </w:rPr>
        <w:t xml:space="preserve">An analysis of inspection outcomes is periodically published on the ARPANSA website. </w:t>
      </w:r>
      <w:bookmarkStart w:id="57" w:name="_Radiation_monitoring_equipment"/>
      <w:bookmarkStart w:id="58" w:name="_4._Inspector_competencies"/>
      <w:bookmarkStart w:id="59" w:name="_Inspector_health,_safety"/>
      <w:bookmarkEnd w:id="57"/>
      <w:bookmarkEnd w:id="58"/>
      <w:bookmarkEnd w:id="59"/>
    </w:p>
    <w:p w14:paraId="1ABA27C3" w14:textId="77777777" w:rsidR="0028673E" w:rsidRDefault="00B341EF" w:rsidP="00FF4325">
      <w:pPr>
        <w:spacing w:line="240" w:lineRule="auto"/>
        <w:rPr>
          <w:rFonts w:eastAsia="Times New Roman"/>
        </w:rPr>
      </w:pPr>
      <w:r w:rsidRPr="00F854FD">
        <w:rPr>
          <w:rFonts w:eastAsia="Times New Roman"/>
        </w:rPr>
        <w:t xml:space="preserve">Outcomes from inspections and licence holder feedback </w:t>
      </w:r>
      <w:r w:rsidR="007B2E2F" w:rsidRPr="00F854FD">
        <w:rPr>
          <w:rFonts w:eastAsia="Times New Roman"/>
        </w:rPr>
        <w:t>should be</w:t>
      </w:r>
      <w:r w:rsidRPr="00F854FD">
        <w:rPr>
          <w:rFonts w:eastAsia="Times New Roman"/>
        </w:rPr>
        <w:t xml:space="preserve"> discussed at section meetings</w:t>
      </w:r>
      <w:r w:rsidR="007F2390" w:rsidRPr="00F854FD">
        <w:rPr>
          <w:rFonts w:eastAsia="Times New Roman"/>
        </w:rPr>
        <w:t xml:space="preserve"> and </w:t>
      </w:r>
      <w:r w:rsidR="00D50CA9" w:rsidRPr="00F854FD">
        <w:rPr>
          <w:rFonts w:eastAsia="Times New Roman"/>
        </w:rPr>
        <w:t xml:space="preserve">are </w:t>
      </w:r>
      <w:r w:rsidR="007F2390" w:rsidRPr="00F854FD">
        <w:rPr>
          <w:rFonts w:eastAsia="Times New Roman"/>
        </w:rPr>
        <w:t>evaluated during review</w:t>
      </w:r>
      <w:r w:rsidR="00D50CA9" w:rsidRPr="00F854FD">
        <w:rPr>
          <w:rFonts w:eastAsia="Times New Roman"/>
        </w:rPr>
        <w:t xml:space="preserve"> of the inspection program described in </w:t>
      </w:r>
      <w:r w:rsidR="0028673E">
        <w:rPr>
          <w:rFonts w:eastAsia="Times New Roman"/>
        </w:rPr>
        <w:t>paragraph 1.12</w:t>
      </w:r>
      <w:r w:rsidR="007F60E6" w:rsidRPr="00F854FD">
        <w:rPr>
          <w:rFonts w:eastAsia="Times New Roman"/>
        </w:rPr>
        <w:t xml:space="preserve">. </w:t>
      </w:r>
    </w:p>
    <w:p w14:paraId="4BA5C75A" w14:textId="09749DC0" w:rsidR="00554A4A" w:rsidRDefault="00554A4A" w:rsidP="00A10073">
      <w:pPr>
        <w:rPr>
          <w:b/>
          <w:color w:val="4E1A74" w:themeColor="accent2"/>
          <w:sz w:val="44"/>
          <w:szCs w:val="44"/>
        </w:rPr>
      </w:pPr>
      <w:bookmarkStart w:id="60" w:name="_Toc483572303"/>
      <w:bookmarkStart w:id="61" w:name="_Toc492399394"/>
      <w:r>
        <w:br w:type="page"/>
      </w:r>
    </w:p>
    <w:p w14:paraId="0E51C56C" w14:textId="246CB261" w:rsidR="00E37D01" w:rsidRPr="007362B1" w:rsidRDefault="00E37D01" w:rsidP="00122B75">
      <w:pPr>
        <w:pStyle w:val="Heading1"/>
        <w:numPr>
          <w:ilvl w:val="0"/>
          <w:numId w:val="41"/>
        </w:numPr>
        <w:tabs>
          <w:tab w:val="clear" w:pos="851"/>
          <w:tab w:val="left" w:pos="993"/>
        </w:tabs>
        <w:ind w:left="1134" w:hanging="774"/>
      </w:pPr>
      <w:r w:rsidRPr="007362B1">
        <w:lastRenderedPageBreak/>
        <w:t>I</w:t>
      </w:r>
      <w:r w:rsidR="00FA6233" w:rsidRPr="007362B1">
        <w:t xml:space="preserve">nspector health, safety </w:t>
      </w:r>
      <w:r w:rsidR="007774AB" w:rsidRPr="007362B1">
        <w:t>&amp;</w:t>
      </w:r>
      <w:r w:rsidR="00FA6233" w:rsidRPr="007362B1">
        <w:t xml:space="preserve"> security</w:t>
      </w:r>
      <w:r w:rsidRPr="007362B1">
        <w:t xml:space="preserve"> </w:t>
      </w:r>
      <w:bookmarkEnd w:id="60"/>
      <w:bookmarkEnd w:id="61"/>
    </w:p>
    <w:p w14:paraId="720F73B5" w14:textId="23A59438" w:rsidR="00E37D01" w:rsidRPr="002D572F" w:rsidRDefault="00E37D01" w:rsidP="006D032C">
      <w:pPr>
        <w:ind w:left="-142"/>
        <w:rPr>
          <w:rFonts w:eastAsia="Batang"/>
          <w:lang w:eastAsia="ko-KR"/>
        </w:rPr>
      </w:pPr>
      <w:r w:rsidRPr="002D572F">
        <w:rPr>
          <w:rFonts w:eastAsia="Times New Roman"/>
        </w:rPr>
        <w:t xml:space="preserve">Each inspector must take steps to protect </w:t>
      </w:r>
      <w:r w:rsidR="007D3DC1" w:rsidRPr="002D572F">
        <w:rPr>
          <w:rFonts w:eastAsia="Times New Roman"/>
        </w:rPr>
        <w:t xml:space="preserve">his/her own </w:t>
      </w:r>
      <w:r w:rsidRPr="002D572F">
        <w:rPr>
          <w:rFonts w:eastAsia="Times New Roman"/>
        </w:rPr>
        <w:t xml:space="preserve">health and safety. The </w:t>
      </w:r>
      <w:r w:rsidRPr="002D572F">
        <w:rPr>
          <w:rFonts w:eastAsia="Batang"/>
          <w:lang w:eastAsia="ko-KR"/>
        </w:rPr>
        <w:t xml:space="preserve">ARPANSA Radiation Safety Policy, </w:t>
      </w:r>
      <w:hyperlink r:id="rId39" w:history="1">
        <w:r w:rsidRPr="00C8590C">
          <w:rPr>
            <w:rStyle w:val="Hyperlink"/>
            <w:rFonts w:eastAsia="Batang"/>
            <w:lang w:eastAsia="ko-KR"/>
          </w:rPr>
          <w:t>Radiation Safety Manual and Ionising Radiation Safety Procedures</w:t>
        </w:r>
      </w:hyperlink>
      <w:r w:rsidR="007D3DC1" w:rsidRPr="002D572F">
        <w:rPr>
          <w:rFonts w:eastAsia="Batang"/>
          <w:lang w:eastAsia="ko-KR"/>
        </w:rPr>
        <w:t xml:space="preserve"> </w:t>
      </w:r>
      <w:r w:rsidRPr="002D572F">
        <w:rPr>
          <w:rFonts w:eastAsia="Batang"/>
          <w:lang w:eastAsia="ko-KR"/>
        </w:rPr>
        <w:t xml:space="preserve">provide radiation safety advice for general radiation protection situations. </w:t>
      </w:r>
    </w:p>
    <w:p w14:paraId="0638072D" w14:textId="505E0705" w:rsidR="006D0002" w:rsidRDefault="006D0002" w:rsidP="00122B75">
      <w:pPr>
        <w:pStyle w:val="Heading2"/>
        <w:numPr>
          <w:ilvl w:val="1"/>
          <w:numId w:val="41"/>
        </w:numPr>
        <w:spacing w:before="240"/>
        <w:ind w:left="1276" w:hanging="567"/>
      </w:pPr>
      <w:bookmarkStart w:id="62" w:name="_Toc492399395"/>
      <w:r>
        <w:t>Radiation protection</w:t>
      </w:r>
      <w:bookmarkEnd w:id="62"/>
    </w:p>
    <w:p w14:paraId="55D6DECA" w14:textId="0854E816" w:rsidR="00E37D01" w:rsidRPr="002D572F" w:rsidRDefault="00E37D01" w:rsidP="006D032C">
      <w:pPr>
        <w:ind w:left="-142"/>
        <w:rPr>
          <w:rFonts w:eastAsia="Batang"/>
          <w:lang w:eastAsia="ko-KR"/>
        </w:rPr>
      </w:pPr>
      <w:r w:rsidRPr="002D572F">
        <w:rPr>
          <w:rFonts w:eastAsia="Batang"/>
          <w:lang w:eastAsia="ko-KR"/>
        </w:rPr>
        <w:t xml:space="preserve">Inspectors </w:t>
      </w:r>
      <w:r w:rsidR="00281C93" w:rsidRPr="002D572F">
        <w:rPr>
          <w:rFonts w:eastAsia="Batang"/>
          <w:lang w:eastAsia="ko-KR"/>
        </w:rPr>
        <w:t xml:space="preserve">and other team members </w:t>
      </w:r>
      <w:r w:rsidRPr="002D572F">
        <w:rPr>
          <w:rFonts w:eastAsia="Batang"/>
          <w:lang w:eastAsia="ko-KR"/>
        </w:rPr>
        <w:t xml:space="preserve">should be fully aware of the radiation </w:t>
      </w:r>
      <w:r w:rsidR="00490D4F" w:rsidRPr="002D572F">
        <w:rPr>
          <w:rFonts w:eastAsia="Batang"/>
          <w:lang w:eastAsia="ko-KR"/>
        </w:rPr>
        <w:t xml:space="preserve">protection </w:t>
      </w:r>
      <w:r w:rsidRPr="002D572F">
        <w:rPr>
          <w:rFonts w:eastAsia="Batang"/>
          <w:lang w:eastAsia="ko-KR"/>
        </w:rPr>
        <w:t>and nuclear safety issues likely to be</w:t>
      </w:r>
      <w:r w:rsidR="00C7495A" w:rsidRPr="002D572F">
        <w:rPr>
          <w:rFonts w:eastAsia="Batang"/>
          <w:lang w:eastAsia="ko-KR"/>
        </w:rPr>
        <w:t xml:space="preserve"> </w:t>
      </w:r>
      <w:r w:rsidRPr="002D572F">
        <w:rPr>
          <w:rFonts w:eastAsia="Batang"/>
          <w:lang w:eastAsia="ko-KR"/>
        </w:rPr>
        <w:t xml:space="preserve">encountered during a particular inspection. In preparation for an inspection, the </w:t>
      </w:r>
      <w:r w:rsidRPr="002D572F">
        <w:rPr>
          <w:rFonts w:eastAsia="Times New Roman"/>
        </w:rPr>
        <w:t>Workplace Hazard Identification Checklist should be reviewed to identify potential hazards that may be encountered onsite. If required, i</w:t>
      </w:r>
      <w:r w:rsidRPr="002D572F">
        <w:rPr>
          <w:rFonts w:eastAsia="Batang"/>
          <w:lang w:eastAsia="ko-KR"/>
        </w:rPr>
        <w:t xml:space="preserve">nspectors should obtain further advice from the licence holder’s Radiation Safety Officer (RSO) or representative. </w:t>
      </w:r>
    </w:p>
    <w:p w14:paraId="78F30463" w14:textId="77777777" w:rsidR="00E37D01" w:rsidRPr="002D572F" w:rsidRDefault="00E37D01" w:rsidP="006D032C">
      <w:pPr>
        <w:ind w:left="-142"/>
        <w:rPr>
          <w:rFonts w:eastAsia="Batang"/>
          <w:lang w:eastAsia="ko-KR"/>
        </w:rPr>
      </w:pPr>
      <w:r w:rsidRPr="002D572F">
        <w:rPr>
          <w:rFonts w:eastAsia="Batang"/>
          <w:lang w:eastAsia="ko-KR"/>
        </w:rPr>
        <w:t>The following safety measures should be implemented:</w:t>
      </w:r>
    </w:p>
    <w:p w14:paraId="1DFC417A" w14:textId="748B17C2" w:rsidR="00E37D01" w:rsidRPr="002D572F" w:rsidRDefault="00E37D01" w:rsidP="006D032C">
      <w:pPr>
        <w:pStyle w:val="ListParagraph"/>
        <w:numPr>
          <w:ilvl w:val="0"/>
          <w:numId w:val="4"/>
        </w:numPr>
        <w:ind w:left="714" w:hanging="357"/>
        <w:contextualSpacing w:val="0"/>
        <w:rPr>
          <w:rFonts w:eastAsia="Batang"/>
          <w:lang w:eastAsia="ko-KR"/>
        </w:rPr>
      </w:pPr>
      <w:r w:rsidRPr="002D572F">
        <w:rPr>
          <w:rFonts w:eastAsia="Batang"/>
          <w:lang w:eastAsia="ko-KR"/>
        </w:rPr>
        <w:t xml:space="preserve">Inspectors must ensure that a personal dosimeter is </w:t>
      </w:r>
      <w:proofErr w:type="gramStart"/>
      <w:r w:rsidRPr="002D572F">
        <w:rPr>
          <w:rFonts w:eastAsia="Batang"/>
          <w:lang w:eastAsia="ko-KR"/>
        </w:rPr>
        <w:t>worn at all times</w:t>
      </w:r>
      <w:proofErr w:type="gramEnd"/>
      <w:r w:rsidRPr="002D572F">
        <w:rPr>
          <w:rFonts w:eastAsia="Batang"/>
          <w:lang w:eastAsia="ko-KR"/>
        </w:rPr>
        <w:t>, positioned externally on the clothing somewhere appropriate between the waist and chest.</w:t>
      </w:r>
    </w:p>
    <w:p w14:paraId="1B2F58F6" w14:textId="77777777" w:rsidR="00E37D01" w:rsidRPr="002D572F" w:rsidRDefault="00281C93" w:rsidP="006D032C">
      <w:pPr>
        <w:pStyle w:val="ListParagraph"/>
        <w:numPr>
          <w:ilvl w:val="0"/>
          <w:numId w:val="4"/>
        </w:numPr>
        <w:ind w:left="714" w:hanging="357"/>
        <w:contextualSpacing w:val="0"/>
        <w:rPr>
          <w:rFonts w:eastAsia="Batang"/>
          <w:lang w:eastAsia="ko-KR"/>
        </w:rPr>
      </w:pPr>
      <w:r w:rsidRPr="002D572F">
        <w:rPr>
          <w:rFonts w:eastAsia="Batang"/>
          <w:lang w:eastAsia="ko-KR"/>
        </w:rPr>
        <w:t>The i</w:t>
      </w:r>
      <w:r w:rsidR="00E37D01" w:rsidRPr="002D572F">
        <w:rPr>
          <w:rFonts w:eastAsia="Batang"/>
          <w:lang w:eastAsia="ko-KR"/>
        </w:rPr>
        <w:t>nspect</w:t>
      </w:r>
      <w:r w:rsidRPr="002D572F">
        <w:rPr>
          <w:rFonts w:eastAsia="Batang"/>
          <w:lang w:eastAsia="ko-KR"/>
        </w:rPr>
        <w:t>ion team</w:t>
      </w:r>
      <w:r w:rsidR="00E37D01" w:rsidRPr="002D572F">
        <w:rPr>
          <w:rFonts w:eastAsia="Batang"/>
          <w:lang w:eastAsia="ko-KR"/>
        </w:rPr>
        <w:t xml:space="preserve"> should ensure they either carry an ARPANSA EPD if ambient external dose rates are expected to be significantly above background or confirm with the licence holder representative if </w:t>
      </w:r>
      <w:r w:rsidRPr="002D572F">
        <w:rPr>
          <w:rFonts w:eastAsia="Batang"/>
          <w:lang w:eastAsia="ko-KR"/>
        </w:rPr>
        <w:t xml:space="preserve">they </w:t>
      </w:r>
      <w:r w:rsidR="00E37D01" w:rsidRPr="002D572F">
        <w:rPr>
          <w:rFonts w:eastAsia="Batang"/>
          <w:lang w:eastAsia="ko-KR"/>
        </w:rPr>
        <w:t>will be issued for use during the inspection. The EPD should be checked at frequent intervals during the inspection to monitor the dose recorded.</w:t>
      </w:r>
    </w:p>
    <w:p w14:paraId="6BA807D7" w14:textId="2A0DB2C5" w:rsidR="00E37D01" w:rsidRPr="002D572F" w:rsidRDefault="00BA1D1F" w:rsidP="006D032C">
      <w:pPr>
        <w:pStyle w:val="ListParagraph"/>
        <w:numPr>
          <w:ilvl w:val="0"/>
          <w:numId w:val="4"/>
        </w:numPr>
        <w:ind w:left="714" w:hanging="357"/>
        <w:contextualSpacing w:val="0"/>
        <w:rPr>
          <w:rFonts w:eastAsia="Batang"/>
          <w:lang w:eastAsia="ko-KR"/>
        </w:rPr>
      </w:pPr>
      <w:r w:rsidRPr="002D572F">
        <w:rPr>
          <w:rFonts w:eastAsia="Batang"/>
          <w:lang w:eastAsia="ko-KR"/>
        </w:rPr>
        <w:t xml:space="preserve">If using an ARPANSA EPD, </w:t>
      </w:r>
      <w:r w:rsidR="00E37D01" w:rsidRPr="002D572F">
        <w:rPr>
          <w:rFonts w:eastAsia="Batang"/>
          <w:lang w:eastAsia="ko-KR"/>
        </w:rPr>
        <w:t xml:space="preserve">the inspector should establish normal ambient radiation levels and set appropriate alarm levels on </w:t>
      </w:r>
      <w:r w:rsidR="00490D4F" w:rsidRPr="002D572F">
        <w:rPr>
          <w:rFonts w:eastAsia="Batang"/>
          <w:lang w:eastAsia="ko-KR"/>
        </w:rPr>
        <w:t>the EPD</w:t>
      </w:r>
      <w:r w:rsidRPr="002D572F">
        <w:rPr>
          <w:rFonts w:eastAsia="Batang"/>
          <w:lang w:eastAsia="ko-KR"/>
        </w:rPr>
        <w:t xml:space="preserve"> before entering any radiation area.</w:t>
      </w:r>
      <w:r w:rsidR="00E37D01" w:rsidRPr="002D572F">
        <w:rPr>
          <w:rFonts w:eastAsia="Batang"/>
          <w:lang w:eastAsia="ko-KR"/>
        </w:rPr>
        <w:t xml:space="preserve"> A</w:t>
      </w:r>
      <w:r w:rsidR="006D0002" w:rsidRPr="002D572F">
        <w:rPr>
          <w:rFonts w:eastAsia="Batang"/>
          <w:lang w:eastAsia="ko-KR"/>
        </w:rPr>
        <w:t xml:space="preserve">ny </w:t>
      </w:r>
      <w:r w:rsidR="00E37D01" w:rsidRPr="002D572F">
        <w:rPr>
          <w:rFonts w:eastAsia="Batang"/>
          <w:lang w:eastAsia="ko-KR"/>
        </w:rPr>
        <w:t>radiation dose recorded on an EPD should be noted</w:t>
      </w:r>
      <w:r w:rsidR="007F60E6" w:rsidRPr="002D572F">
        <w:rPr>
          <w:rFonts w:eastAsia="Batang"/>
          <w:lang w:eastAsia="ko-KR"/>
        </w:rPr>
        <w:t xml:space="preserve">. </w:t>
      </w:r>
      <w:r w:rsidR="00E37D01" w:rsidRPr="002D572F">
        <w:rPr>
          <w:rFonts w:eastAsia="Batang"/>
          <w:lang w:eastAsia="ko-KR"/>
        </w:rPr>
        <w:t>If an EPD should alarm, the inspector should move to an area of lower radiation dose rate and assess the situation.</w:t>
      </w:r>
    </w:p>
    <w:p w14:paraId="2841B2C0" w14:textId="35893BC9" w:rsidR="00E37D01" w:rsidRPr="002D572F" w:rsidRDefault="00E37D01" w:rsidP="006D032C">
      <w:pPr>
        <w:pStyle w:val="ListParagraph"/>
        <w:numPr>
          <w:ilvl w:val="0"/>
          <w:numId w:val="4"/>
        </w:numPr>
        <w:ind w:left="714" w:hanging="357"/>
        <w:contextualSpacing w:val="0"/>
        <w:rPr>
          <w:rFonts w:eastAsia="Batang"/>
          <w:lang w:eastAsia="ko-KR"/>
        </w:rPr>
      </w:pPr>
      <w:r w:rsidRPr="002D572F">
        <w:rPr>
          <w:rFonts w:eastAsia="Batang"/>
          <w:lang w:eastAsia="ko-KR"/>
        </w:rPr>
        <w:t xml:space="preserve">If the inspector </w:t>
      </w:r>
      <w:proofErr w:type="gramStart"/>
      <w:r w:rsidRPr="002D572F">
        <w:rPr>
          <w:rFonts w:eastAsia="Batang"/>
          <w:lang w:eastAsia="ko-KR"/>
        </w:rPr>
        <w:t>has to</w:t>
      </w:r>
      <w:proofErr w:type="gramEnd"/>
      <w:r w:rsidRPr="002D572F">
        <w:rPr>
          <w:rFonts w:eastAsia="Batang"/>
          <w:lang w:eastAsia="ko-KR"/>
        </w:rPr>
        <w:t xml:space="preserve"> enter a clean area, then they should follow the local procedures described by the licence holder representative. </w:t>
      </w:r>
      <w:r w:rsidR="00490D4F" w:rsidRPr="002D572F">
        <w:rPr>
          <w:rFonts w:eastAsia="Batang"/>
          <w:lang w:eastAsia="ko-KR"/>
        </w:rPr>
        <w:t>C</w:t>
      </w:r>
      <w:r w:rsidRPr="002D572F">
        <w:rPr>
          <w:rFonts w:eastAsia="Batang"/>
          <w:lang w:eastAsia="ko-KR"/>
        </w:rPr>
        <w:t>lean area procedures may include the inspector wearing a laboratory coat or apron, gloves, hair cap, shoe covers and using a hand and foot monitor.</w:t>
      </w:r>
    </w:p>
    <w:p w14:paraId="7B733C19" w14:textId="3FC03177" w:rsidR="00E37D01" w:rsidRPr="002D572F" w:rsidRDefault="00E37D01" w:rsidP="006D032C">
      <w:pPr>
        <w:pStyle w:val="ListParagraph"/>
        <w:numPr>
          <w:ilvl w:val="0"/>
          <w:numId w:val="4"/>
        </w:numPr>
        <w:ind w:left="714" w:hanging="357"/>
        <w:contextualSpacing w:val="0"/>
        <w:rPr>
          <w:rFonts w:eastAsia="Batang"/>
          <w:lang w:eastAsia="ko-KR"/>
        </w:rPr>
      </w:pPr>
      <w:r w:rsidRPr="002D572F">
        <w:rPr>
          <w:rFonts w:eastAsia="Batang"/>
          <w:lang w:eastAsia="ko-KR"/>
        </w:rPr>
        <w:t>If there is a radiological incident, the inspector should follow the advice from the licence holder’s RSO and comply with local procedures.</w:t>
      </w:r>
      <w:r w:rsidR="00117842" w:rsidRPr="002D572F">
        <w:t xml:space="preserve"> On return to the office an ARPANSA incident form should be completed</w:t>
      </w:r>
      <w:r w:rsidR="007F60E6" w:rsidRPr="002D572F">
        <w:t xml:space="preserve">. </w:t>
      </w:r>
    </w:p>
    <w:p w14:paraId="19668C57" w14:textId="1BB80F35" w:rsidR="006D0002" w:rsidRPr="006D0002" w:rsidRDefault="006D0002" w:rsidP="00122B75">
      <w:pPr>
        <w:pStyle w:val="Heading2"/>
        <w:numPr>
          <w:ilvl w:val="1"/>
          <w:numId w:val="41"/>
        </w:numPr>
        <w:spacing w:before="240"/>
        <w:ind w:left="1276" w:hanging="567"/>
      </w:pPr>
      <w:bookmarkStart w:id="63" w:name="_Toc492399396"/>
      <w:r>
        <w:t>Travel safety and security</w:t>
      </w:r>
      <w:bookmarkEnd w:id="63"/>
      <w:r w:rsidR="00A21E98">
        <w:t xml:space="preserve"> </w:t>
      </w:r>
    </w:p>
    <w:p w14:paraId="62E24369" w14:textId="2F0374BA" w:rsidR="00351040" w:rsidRDefault="00351040" w:rsidP="006D032C">
      <w:pPr>
        <w:ind w:left="-142"/>
      </w:pPr>
      <w:r>
        <w:t xml:space="preserve">All inspectors must follow the </w:t>
      </w:r>
      <w:hyperlink r:id="rId40" w:history="1">
        <w:r w:rsidRPr="00351040">
          <w:rPr>
            <w:rStyle w:val="Hyperlink"/>
          </w:rPr>
          <w:t>WHS Travel Procedure</w:t>
        </w:r>
      </w:hyperlink>
      <w:r>
        <w:t xml:space="preserve"> that covers all levels of travel and includes the requirement to download and regularly check-in using the </w:t>
      </w:r>
      <w:r w:rsidRPr="00FA4780">
        <w:t>ISOS App</w:t>
      </w:r>
      <w:r>
        <w:rPr>
          <w:color w:val="444448" w:themeColor="text2"/>
        </w:rPr>
        <w:t xml:space="preserve">. </w:t>
      </w:r>
    </w:p>
    <w:p w14:paraId="5B08B8D0" w14:textId="52BE2019" w:rsidR="0059403D" w:rsidRPr="002D572F" w:rsidRDefault="0059403D" w:rsidP="006D032C">
      <w:pPr>
        <w:ind w:left="-142"/>
      </w:pPr>
      <w:r w:rsidRPr="002D572F">
        <w:t>I</w:t>
      </w:r>
      <w:r w:rsidR="000D2604" w:rsidRPr="002D572F">
        <w:t xml:space="preserve">nter-city travel </w:t>
      </w:r>
      <w:r w:rsidRPr="002D572F">
        <w:t xml:space="preserve">and travel to larger regional centres </w:t>
      </w:r>
      <w:r w:rsidR="000D2604" w:rsidRPr="002D572F">
        <w:t xml:space="preserve">will </w:t>
      </w:r>
      <w:r w:rsidRPr="002D572F">
        <w:t xml:space="preserve">generally </w:t>
      </w:r>
      <w:r w:rsidR="000D2604" w:rsidRPr="002D572F">
        <w:t>not require any special considerations</w:t>
      </w:r>
      <w:r w:rsidRPr="002D572F">
        <w:t xml:space="preserve"> beyond normal travel precautions</w:t>
      </w:r>
      <w:r w:rsidR="007F60E6" w:rsidRPr="002D572F">
        <w:t xml:space="preserve">. </w:t>
      </w:r>
    </w:p>
    <w:p w14:paraId="568FD780" w14:textId="7CE5810B" w:rsidR="0059403D" w:rsidRPr="002D572F" w:rsidRDefault="000D2604" w:rsidP="006D032C">
      <w:pPr>
        <w:ind w:left="-142"/>
      </w:pPr>
      <w:r w:rsidRPr="002D572F">
        <w:t>However, for i</w:t>
      </w:r>
      <w:r w:rsidR="00F578C5" w:rsidRPr="002D572F">
        <w:t>nspect</w:t>
      </w:r>
      <w:r w:rsidRPr="002D572F">
        <w:t xml:space="preserve">ions or site visits </w:t>
      </w:r>
      <w:r w:rsidR="0059403D" w:rsidRPr="002D572F">
        <w:t xml:space="preserve">to </w:t>
      </w:r>
      <w:r w:rsidR="003E5E67" w:rsidRPr="002D572F">
        <w:t xml:space="preserve">remote locations </w:t>
      </w:r>
      <w:r w:rsidRPr="002D572F">
        <w:t>a</w:t>
      </w:r>
      <w:r w:rsidR="003E5E67" w:rsidRPr="002D572F">
        <w:t xml:space="preserve"> risk assessment should be carried out </w:t>
      </w:r>
      <w:r w:rsidR="00753E6E" w:rsidRPr="002D572F">
        <w:t>by the lead inspector prior</w:t>
      </w:r>
      <w:r w:rsidR="003E5E67" w:rsidRPr="002D572F">
        <w:t xml:space="preserve"> to </w:t>
      </w:r>
      <w:r w:rsidR="0059403D" w:rsidRPr="002D572F">
        <w:t>travel</w:t>
      </w:r>
      <w:r w:rsidR="007F60E6" w:rsidRPr="002D572F">
        <w:t xml:space="preserve">. </w:t>
      </w:r>
      <w:r w:rsidR="00B5095E" w:rsidRPr="002D572F">
        <w:t>I</w:t>
      </w:r>
      <w:r w:rsidRPr="002D572F">
        <w:t xml:space="preserve">t should determine whether it is </w:t>
      </w:r>
      <w:r w:rsidR="003E5E67" w:rsidRPr="002D572F">
        <w:t xml:space="preserve">safe </w:t>
      </w:r>
      <w:r w:rsidRPr="002D572F">
        <w:t xml:space="preserve">for an inspector </w:t>
      </w:r>
      <w:r w:rsidR="003E5E67" w:rsidRPr="002D572F">
        <w:t>to travel and work alone</w:t>
      </w:r>
      <w:r w:rsidR="007F60E6" w:rsidRPr="002D572F">
        <w:t xml:space="preserve">. </w:t>
      </w:r>
      <w:r w:rsidRPr="002D572F">
        <w:t>The need for s</w:t>
      </w:r>
      <w:r w:rsidR="003E5E67" w:rsidRPr="002D572F">
        <w:t xml:space="preserve">uitable communication </w:t>
      </w:r>
      <w:r w:rsidRPr="002D572F">
        <w:t>equipment</w:t>
      </w:r>
      <w:r w:rsidR="004266CA" w:rsidRPr="002D572F">
        <w:t xml:space="preserve"> such as satellite phone</w:t>
      </w:r>
      <w:r w:rsidR="0059403D" w:rsidRPr="002D572F">
        <w:t xml:space="preserve"> or </w:t>
      </w:r>
      <w:r w:rsidR="00B5095E" w:rsidRPr="002D572F">
        <w:t xml:space="preserve">a </w:t>
      </w:r>
      <w:r w:rsidR="0059403D" w:rsidRPr="002D572F">
        <w:t>personal satellite tracking</w:t>
      </w:r>
      <w:r w:rsidR="004266CA" w:rsidRPr="002D572F">
        <w:t xml:space="preserve"> </w:t>
      </w:r>
      <w:r w:rsidR="0059403D" w:rsidRPr="002D572F">
        <w:t xml:space="preserve">device </w:t>
      </w:r>
      <w:r w:rsidR="008E3A68" w:rsidRPr="002D572F">
        <w:t xml:space="preserve">must </w:t>
      </w:r>
      <w:r w:rsidRPr="002D572F">
        <w:t>be considered</w:t>
      </w:r>
      <w:r w:rsidR="007F60E6" w:rsidRPr="002D572F">
        <w:t xml:space="preserve">. </w:t>
      </w:r>
    </w:p>
    <w:p w14:paraId="1678567D" w14:textId="41BEC074" w:rsidR="0059403D" w:rsidRPr="002D572F" w:rsidRDefault="00000000" w:rsidP="006D032C">
      <w:pPr>
        <w:ind w:left="-142"/>
      </w:pPr>
      <w:hyperlink r:id="rId41" w:history="1">
        <w:r w:rsidR="0059403D" w:rsidRPr="00C75BE6">
          <w:rPr>
            <w:rStyle w:val="Hyperlink"/>
            <w:color w:val="4E1A74" w:themeColor="accent2"/>
          </w:rPr>
          <w:t>Comcare guidance on working in remote and isolated locations</w:t>
        </w:r>
      </w:hyperlink>
      <w:r w:rsidR="005E2AFB" w:rsidRPr="002D572F">
        <w:t xml:space="preserve"> </w:t>
      </w:r>
      <w:r w:rsidR="00DE0AB8" w:rsidRPr="002D572F">
        <w:t xml:space="preserve">or </w:t>
      </w:r>
      <w:hyperlink r:id="rId42" w:history="1">
        <w:proofErr w:type="spellStart"/>
        <w:r w:rsidR="00DE0AB8" w:rsidRPr="00C75BE6">
          <w:rPr>
            <w:rStyle w:val="Hyperlink"/>
            <w:color w:val="4E1A74" w:themeColor="accent2"/>
          </w:rPr>
          <w:t>Safework</w:t>
        </w:r>
        <w:proofErr w:type="spellEnd"/>
        <w:r w:rsidR="00DE0AB8" w:rsidRPr="00C75BE6">
          <w:rPr>
            <w:rStyle w:val="Hyperlink"/>
            <w:color w:val="4E1A74" w:themeColor="accent2"/>
          </w:rPr>
          <w:t xml:space="preserve"> Australia </w:t>
        </w:r>
        <w:r w:rsidR="00017855" w:rsidRPr="00C75BE6">
          <w:rPr>
            <w:rStyle w:val="Hyperlink"/>
            <w:color w:val="4E1A74" w:themeColor="accent2"/>
          </w:rPr>
          <w:t>r</w:t>
        </w:r>
        <w:r w:rsidR="00DE0AB8" w:rsidRPr="00C75BE6">
          <w:rPr>
            <w:rStyle w:val="Hyperlink"/>
            <w:color w:val="4E1A74" w:themeColor="accent2"/>
          </w:rPr>
          <w:t>emote or isolated work</w:t>
        </w:r>
      </w:hyperlink>
      <w:r w:rsidR="00DE0AB8" w:rsidRPr="002D572F">
        <w:t xml:space="preserve"> </w:t>
      </w:r>
      <w:r w:rsidR="005E2AFB" w:rsidRPr="002D572F">
        <w:t>may be useful</w:t>
      </w:r>
      <w:r w:rsidR="00930196">
        <w:t xml:space="preserve"> resources for</w:t>
      </w:r>
      <w:r w:rsidR="005E2AFB" w:rsidRPr="002D572F">
        <w:t xml:space="preserve"> the risk assessment</w:t>
      </w:r>
      <w:r w:rsidR="007F60E6" w:rsidRPr="002D572F">
        <w:t xml:space="preserve">. </w:t>
      </w:r>
    </w:p>
    <w:p w14:paraId="1AF3E980" w14:textId="77777777" w:rsidR="005D497F" w:rsidRDefault="005D497F" w:rsidP="006D032C">
      <w:pPr>
        <w:spacing w:before="200" w:after="200"/>
      </w:pPr>
      <w:bookmarkStart w:id="64" w:name="_Review_of_inspection"/>
      <w:bookmarkStart w:id="65" w:name="_Toc483572304"/>
      <w:bookmarkStart w:id="66" w:name="_Toc492399397"/>
      <w:bookmarkEnd w:id="64"/>
      <w:r>
        <w:br w:type="page"/>
      </w:r>
    </w:p>
    <w:p w14:paraId="78F04FEC" w14:textId="20F2576F" w:rsidR="00994721" w:rsidRDefault="005D497F" w:rsidP="00122B75">
      <w:pPr>
        <w:pStyle w:val="Heading1"/>
        <w:numPr>
          <w:ilvl w:val="0"/>
          <w:numId w:val="41"/>
        </w:numPr>
      </w:pPr>
      <w:r>
        <w:lastRenderedPageBreak/>
        <w:tab/>
      </w:r>
      <w:bookmarkStart w:id="67" w:name="_Glossary"/>
      <w:bookmarkStart w:id="68" w:name="_Toc483572305"/>
      <w:bookmarkStart w:id="69" w:name="_Toc492399398"/>
      <w:bookmarkEnd w:id="65"/>
      <w:bookmarkEnd w:id="66"/>
      <w:bookmarkEnd w:id="67"/>
      <w:r w:rsidR="00994721">
        <w:t>G</w:t>
      </w:r>
      <w:r w:rsidR="00FA6233">
        <w:t>lossary</w:t>
      </w:r>
      <w:bookmarkEnd w:id="68"/>
      <w:bookmarkEnd w:id="69"/>
    </w:p>
    <w:p w14:paraId="363714D5" w14:textId="6C3B5FC7" w:rsidR="002F68FE" w:rsidRPr="00C75BE6" w:rsidRDefault="004973EA" w:rsidP="006D032C">
      <w:r w:rsidRPr="00C75BE6">
        <w:rPr>
          <w:b/>
          <w:i/>
        </w:rPr>
        <w:t xml:space="preserve">Area </w:t>
      </w:r>
      <w:r w:rsidR="004802CC">
        <w:rPr>
          <w:b/>
          <w:i/>
        </w:rPr>
        <w:t>f</w:t>
      </w:r>
      <w:r w:rsidR="00006B4B" w:rsidRPr="00C75BE6">
        <w:rPr>
          <w:b/>
          <w:i/>
        </w:rPr>
        <w:t xml:space="preserve">or </w:t>
      </w:r>
      <w:r w:rsidR="004802CC">
        <w:rPr>
          <w:b/>
          <w:i/>
        </w:rPr>
        <w:t>i</w:t>
      </w:r>
      <w:r w:rsidR="00006B4B" w:rsidRPr="00C75BE6">
        <w:rPr>
          <w:b/>
          <w:i/>
        </w:rPr>
        <w:t>mprovement (AFI)</w:t>
      </w:r>
      <w:r w:rsidRPr="00C75BE6">
        <w:t xml:space="preserve"> means a</w:t>
      </w:r>
      <w:r w:rsidR="00AB6B5D" w:rsidRPr="00C75BE6">
        <w:t xml:space="preserve">n </w:t>
      </w:r>
      <w:r w:rsidR="00482A8B" w:rsidRPr="00C75BE6">
        <w:rPr>
          <w:rFonts w:eastAsiaTheme="minorHAnsi"/>
        </w:rPr>
        <w:t>identified opportunity to improve performance to achieve best practice rather than minimal compliance.</w:t>
      </w:r>
      <w:r w:rsidR="00006B4B" w:rsidRPr="00C75BE6">
        <w:rPr>
          <w:rFonts w:eastAsiaTheme="minorHAnsi"/>
        </w:rPr>
        <w:t xml:space="preserve"> </w:t>
      </w:r>
      <w:r w:rsidR="00006B4B" w:rsidRPr="00C75BE6">
        <w:t xml:space="preserve">It is distinct from a non-compliance with the Act, the </w:t>
      </w:r>
      <w:proofErr w:type="gramStart"/>
      <w:r w:rsidR="00006B4B" w:rsidRPr="00C75BE6">
        <w:t>Regulations</w:t>
      </w:r>
      <w:proofErr w:type="gramEnd"/>
      <w:r w:rsidR="00006B4B" w:rsidRPr="00C75BE6">
        <w:t xml:space="preserve"> or a licence condition. An area for improvement may be found where, despite reasonably practicable steps taken by the licence holder, an isolated instance of non-conformance with low safety significance has occurred.</w:t>
      </w:r>
    </w:p>
    <w:p w14:paraId="1BB3F0D4" w14:textId="753916F8" w:rsidR="007551CD" w:rsidRPr="007551CD" w:rsidRDefault="007551CD" w:rsidP="006D032C">
      <w:pPr>
        <w:spacing w:before="240"/>
      </w:pPr>
      <w:r>
        <w:rPr>
          <w:b/>
          <w:i/>
        </w:rPr>
        <w:t>Breach</w:t>
      </w:r>
      <w:r>
        <w:t xml:space="preserve"> means </w:t>
      </w:r>
      <w:r w:rsidRPr="007551CD">
        <w:t xml:space="preserve">a violation in the performance of or a failure to perform an obligation </w:t>
      </w:r>
      <w:r>
        <w:t xml:space="preserve">required </w:t>
      </w:r>
      <w:r w:rsidRPr="007551CD">
        <w:t xml:space="preserve">by </w:t>
      </w:r>
      <w:r>
        <w:t xml:space="preserve">the Act, </w:t>
      </w:r>
      <w:proofErr w:type="gramStart"/>
      <w:r>
        <w:t>Regulations</w:t>
      </w:r>
      <w:proofErr w:type="gramEnd"/>
      <w:r>
        <w:t xml:space="preserve"> or licence condition</w:t>
      </w:r>
      <w:r w:rsidRPr="007551CD">
        <w:t xml:space="preserve"> without justification</w:t>
      </w:r>
      <w:r>
        <w:t xml:space="preserve">.  A non-compliance will only be declared a breach by the CEO of ARPANSA after affording the licence holder natural justice and after </w:t>
      </w:r>
      <w:proofErr w:type="gramStart"/>
      <w:r>
        <w:t>taking into account</w:t>
      </w:r>
      <w:proofErr w:type="gramEnd"/>
      <w:r>
        <w:t xml:space="preserve"> all information relating to the non-compliance. (Refer to the </w:t>
      </w:r>
      <w:hyperlink r:id="rId43" w:history="1">
        <w:r w:rsidRPr="007551CD">
          <w:rPr>
            <w:rStyle w:val="Hyperlink"/>
          </w:rPr>
          <w:t>Compliance Manual</w:t>
        </w:r>
      </w:hyperlink>
      <w:r>
        <w:t xml:space="preserve"> for information on the management of non-compliance) </w:t>
      </w:r>
    </w:p>
    <w:p w14:paraId="6C0F87C7" w14:textId="0C452B44" w:rsidR="000F7B44" w:rsidRPr="00C75BE6" w:rsidRDefault="000F7B44" w:rsidP="006D032C">
      <w:pPr>
        <w:spacing w:before="240"/>
      </w:pPr>
      <w:r w:rsidRPr="00C75BE6">
        <w:rPr>
          <w:b/>
          <w:i/>
        </w:rPr>
        <w:t>Controlled person</w:t>
      </w:r>
      <w:r w:rsidR="00CD361D" w:rsidRPr="00C75BE6">
        <w:t xml:space="preserve"> is defined in the Act as </w:t>
      </w:r>
    </w:p>
    <w:p w14:paraId="3CF6365B" w14:textId="0D75822F" w:rsidR="00CD361D" w:rsidRPr="00C75BE6" w:rsidRDefault="00CD361D" w:rsidP="00122B75">
      <w:pPr>
        <w:pStyle w:val="ListParagraph"/>
        <w:numPr>
          <w:ilvl w:val="0"/>
          <w:numId w:val="37"/>
        </w:numPr>
        <w:rPr>
          <w:rFonts w:eastAsia="Times New Roman"/>
        </w:rPr>
      </w:pPr>
      <w:r w:rsidRPr="00C75BE6">
        <w:rPr>
          <w:rFonts w:eastAsia="Times New Roman"/>
        </w:rPr>
        <w:t>a Commonwealth entity</w:t>
      </w:r>
    </w:p>
    <w:p w14:paraId="68720763" w14:textId="44810C47" w:rsidR="00CD361D" w:rsidRPr="00C75BE6" w:rsidRDefault="00CD361D" w:rsidP="00122B75">
      <w:pPr>
        <w:pStyle w:val="ListParagraph"/>
        <w:numPr>
          <w:ilvl w:val="0"/>
          <w:numId w:val="37"/>
        </w:numPr>
        <w:rPr>
          <w:rFonts w:eastAsia="Times New Roman"/>
        </w:rPr>
      </w:pPr>
      <w:r w:rsidRPr="00C75BE6">
        <w:rPr>
          <w:rFonts w:eastAsia="Times New Roman"/>
        </w:rPr>
        <w:t>a Commonwealth contractor</w:t>
      </w:r>
    </w:p>
    <w:p w14:paraId="1EF7307D" w14:textId="2E7C9D01" w:rsidR="00CD361D" w:rsidRPr="00C75BE6" w:rsidRDefault="00CD361D" w:rsidP="00122B75">
      <w:pPr>
        <w:pStyle w:val="ListParagraph"/>
        <w:numPr>
          <w:ilvl w:val="0"/>
          <w:numId w:val="37"/>
        </w:numPr>
        <w:rPr>
          <w:rFonts w:eastAsia="Times New Roman"/>
        </w:rPr>
      </w:pPr>
      <w:r w:rsidRPr="00C75BE6">
        <w:rPr>
          <w:rFonts w:eastAsia="Times New Roman"/>
        </w:rPr>
        <w:t>a person, in the capacity of a Commonwealth contractor</w:t>
      </w:r>
    </w:p>
    <w:p w14:paraId="4FA29458" w14:textId="100F1CDB" w:rsidR="00CD361D" w:rsidRPr="00C75BE6" w:rsidRDefault="00CD361D" w:rsidP="00122B75">
      <w:pPr>
        <w:pStyle w:val="ListParagraph"/>
        <w:numPr>
          <w:ilvl w:val="0"/>
          <w:numId w:val="37"/>
        </w:numPr>
        <w:rPr>
          <w:rFonts w:eastAsia="Times New Roman"/>
        </w:rPr>
      </w:pPr>
      <w:r w:rsidRPr="00C75BE6">
        <w:rPr>
          <w:rFonts w:eastAsia="Times New Roman"/>
        </w:rPr>
        <w:t xml:space="preserve">a person </w:t>
      </w:r>
      <w:r w:rsidR="00777E34">
        <w:rPr>
          <w:rFonts w:eastAsia="Times New Roman"/>
        </w:rPr>
        <w:t>i</w:t>
      </w:r>
      <w:r w:rsidRPr="00C75BE6">
        <w:rPr>
          <w:rFonts w:eastAsia="Times New Roman"/>
        </w:rPr>
        <w:t>n a prescribed Commonwealth place</w:t>
      </w:r>
    </w:p>
    <w:p w14:paraId="3F197539" w14:textId="52E33749" w:rsidR="00887B5C" w:rsidRPr="00C75BE6" w:rsidRDefault="00887B5C" w:rsidP="006D032C">
      <w:pPr>
        <w:spacing w:before="240"/>
      </w:pPr>
      <w:r w:rsidRPr="00C75BE6">
        <w:rPr>
          <w:b/>
          <w:i/>
        </w:rPr>
        <w:t xml:space="preserve">e-inspection </w:t>
      </w:r>
      <w:r w:rsidRPr="00C75BE6">
        <w:t>means an inspection that is conducted remotely via a desk top review without the need for an inspector to attend the site</w:t>
      </w:r>
      <w:r w:rsidR="007F60E6" w:rsidRPr="00C75BE6">
        <w:t xml:space="preserve">. </w:t>
      </w:r>
      <w:r w:rsidRPr="00C75BE6">
        <w:t>This type of inspection may be used for l</w:t>
      </w:r>
      <w:r w:rsidRPr="00C75BE6">
        <w:rPr>
          <w:rFonts w:eastAsia="Times New Roman"/>
        </w:rPr>
        <w:t>icence holders with low hazard sources</w:t>
      </w:r>
      <w:r w:rsidR="007A26D0">
        <w:rPr>
          <w:rFonts w:eastAsia="Times New Roman"/>
        </w:rPr>
        <w:t xml:space="preserve"> or </w:t>
      </w:r>
      <w:r w:rsidRPr="00C75BE6">
        <w:rPr>
          <w:rFonts w:eastAsia="Times New Roman"/>
        </w:rPr>
        <w:t>sources in remote locations</w:t>
      </w:r>
      <w:r w:rsidR="00153CB4" w:rsidRPr="00C75BE6">
        <w:rPr>
          <w:rFonts w:eastAsia="Times New Roman"/>
        </w:rPr>
        <w:t xml:space="preserve"> or overseas</w:t>
      </w:r>
      <w:r w:rsidRPr="00C75BE6">
        <w:rPr>
          <w:rFonts w:eastAsia="Times New Roman"/>
        </w:rPr>
        <w:t>.</w:t>
      </w:r>
      <w:r w:rsidR="007A26D0">
        <w:rPr>
          <w:rFonts w:eastAsia="Times New Roman"/>
        </w:rPr>
        <w:t xml:space="preserve"> Such inspections may also be conducted </w:t>
      </w:r>
      <w:r w:rsidR="00383ED9">
        <w:rPr>
          <w:rFonts w:eastAsia="Times New Roman"/>
        </w:rPr>
        <w:t>during</w:t>
      </w:r>
      <w:r w:rsidR="007A26D0">
        <w:rPr>
          <w:rFonts w:eastAsia="Times New Roman"/>
        </w:rPr>
        <w:t xml:space="preserve"> special circumstances as described in </w:t>
      </w:r>
      <w:hyperlink w:anchor="_Special_circumstances_1" w:history="1">
        <w:r w:rsidR="007A26D0" w:rsidRPr="00383ED9">
          <w:rPr>
            <w:rStyle w:val="Hyperlink"/>
            <w:rFonts w:eastAsia="Times New Roman"/>
          </w:rPr>
          <w:t>paragraph</w:t>
        </w:r>
        <w:r w:rsidR="00383ED9" w:rsidRPr="00383ED9">
          <w:rPr>
            <w:rStyle w:val="Hyperlink"/>
            <w:rFonts w:eastAsia="Times New Roman"/>
          </w:rPr>
          <w:t xml:space="preserve"> 1.13</w:t>
        </w:r>
      </w:hyperlink>
      <w:r w:rsidR="00383ED9">
        <w:rPr>
          <w:rFonts w:eastAsia="Times New Roman"/>
        </w:rPr>
        <w:t>.</w:t>
      </w:r>
      <w:r w:rsidR="007A26D0">
        <w:rPr>
          <w:rFonts w:eastAsia="Times New Roman"/>
        </w:rPr>
        <w:t xml:space="preserve"> </w:t>
      </w:r>
    </w:p>
    <w:p w14:paraId="47F26B7F" w14:textId="5A889684" w:rsidR="00994721" w:rsidRDefault="00994721" w:rsidP="006D032C">
      <w:pPr>
        <w:spacing w:before="240"/>
      </w:pPr>
      <w:r w:rsidRPr="00C75BE6">
        <w:rPr>
          <w:b/>
          <w:i/>
        </w:rPr>
        <w:t>Good practice</w:t>
      </w:r>
      <w:r w:rsidRPr="00C75BE6">
        <w:t xml:space="preserve"> means a program, practice, </w:t>
      </w:r>
      <w:proofErr w:type="gramStart"/>
      <w:r w:rsidRPr="00C75BE6">
        <w:t>activity</w:t>
      </w:r>
      <w:proofErr w:type="gramEnd"/>
      <w:r w:rsidRPr="00C75BE6">
        <w:t xml:space="preserve"> or arrangement that the inspector regards as superior to that generally observed elsewhere. A good practice goes beyond the fulfilment of current requirements or expectations and is worthy of the attention of other licence holders as a model in the pursuit of excellence.</w:t>
      </w:r>
    </w:p>
    <w:p w14:paraId="45033DD7" w14:textId="6A2C4E3D" w:rsidR="00566197" w:rsidRPr="005A12FE" w:rsidRDefault="00566197" w:rsidP="005A12FE">
      <w:pPr>
        <w:spacing w:before="240"/>
        <w:ind w:left="284"/>
        <w:rPr>
          <w:b/>
          <w:i/>
          <w:sz w:val="20"/>
          <w:szCs w:val="20"/>
        </w:rPr>
      </w:pPr>
      <w:r w:rsidRPr="005A12FE">
        <w:rPr>
          <w:sz w:val="20"/>
          <w:szCs w:val="20"/>
        </w:rPr>
        <w:t xml:space="preserve">NOTE: </w:t>
      </w:r>
      <w:r w:rsidR="00EC4876" w:rsidRPr="005A12FE">
        <w:rPr>
          <w:sz w:val="20"/>
          <w:szCs w:val="20"/>
        </w:rPr>
        <w:t xml:space="preserve">Good practice should be expressed as a clear ‘stand-alone’ </w:t>
      </w:r>
      <w:proofErr w:type="gramStart"/>
      <w:r w:rsidR="00EC4876" w:rsidRPr="005A12FE">
        <w:rPr>
          <w:sz w:val="20"/>
          <w:szCs w:val="20"/>
        </w:rPr>
        <w:t>statement</w:t>
      </w:r>
      <w:proofErr w:type="gramEnd"/>
      <w:r w:rsidR="00EC4876" w:rsidRPr="005A12FE">
        <w:rPr>
          <w:sz w:val="20"/>
          <w:szCs w:val="20"/>
        </w:rPr>
        <w:t xml:space="preserve"> so it is self-explanatory when extracted for the website</w:t>
      </w:r>
      <w:r w:rsidR="00777E34" w:rsidRPr="005A12FE">
        <w:rPr>
          <w:sz w:val="20"/>
          <w:szCs w:val="20"/>
        </w:rPr>
        <w:t xml:space="preserve"> </w:t>
      </w:r>
      <w:r w:rsidR="00EC15D9">
        <w:rPr>
          <w:sz w:val="20"/>
          <w:szCs w:val="20"/>
        </w:rPr>
        <w:t>–</w:t>
      </w:r>
      <w:r w:rsidR="00777E34" w:rsidRPr="005A12FE">
        <w:rPr>
          <w:sz w:val="20"/>
          <w:szCs w:val="20"/>
        </w:rPr>
        <w:t xml:space="preserve"> p</w:t>
      </w:r>
      <w:r w:rsidR="00156F81" w:rsidRPr="005A12FE">
        <w:rPr>
          <w:sz w:val="20"/>
          <w:szCs w:val="20"/>
        </w:rPr>
        <w:t>referably</w:t>
      </w:r>
      <w:r w:rsidR="00EC15D9">
        <w:rPr>
          <w:sz w:val="20"/>
          <w:szCs w:val="20"/>
        </w:rPr>
        <w:t xml:space="preserve"> around</w:t>
      </w:r>
      <w:r w:rsidR="00156F81" w:rsidRPr="005A12FE">
        <w:rPr>
          <w:sz w:val="20"/>
          <w:szCs w:val="20"/>
        </w:rPr>
        <w:t xml:space="preserve"> </w:t>
      </w:r>
      <w:r w:rsidR="00EC15D9">
        <w:rPr>
          <w:sz w:val="20"/>
          <w:szCs w:val="20"/>
        </w:rPr>
        <w:t>80</w:t>
      </w:r>
      <w:r w:rsidR="00156F81" w:rsidRPr="005A12FE">
        <w:rPr>
          <w:sz w:val="20"/>
          <w:szCs w:val="20"/>
        </w:rPr>
        <w:t xml:space="preserve"> words or less. </w:t>
      </w:r>
    </w:p>
    <w:p w14:paraId="3A12C4DF" w14:textId="77777777" w:rsidR="002C0A62" w:rsidRPr="00C75BE6" w:rsidRDefault="002C0A62" w:rsidP="006D032C">
      <w:pPr>
        <w:spacing w:before="240"/>
      </w:pPr>
      <w:r w:rsidRPr="00C75BE6">
        <w:rPr>
          <w:b/>
          <w:i/>
        </w:rPr>
        <w:t xml:space="preserve">Inspector </w:t>
      </w:r>
      <w:r w:rsidRPr="00C75BE6">
        <w:t xml:space="preserve">means a </w:t>
      </w:r>
      <w:r w:rsidR="00397C60" w:rsidRPr="00C75BE6">
        <w:t xml:space="preserve">person appointed or employed by the Commonwealth or by a State or Territory who is </w:t>
      </w:r>
      <w:r w:rsidRPr="00C75BE6">
        <w:t>appointed</w:t>
      </w:r>
      <w:r w:rsidR="00397C60" w:rsidRPr="00C75BE6">
        <w:t xml:space="preserve"> by instrument in writing</w:t>
      </w:r>
      <w:r w:rsidRPr="00C75BE6">
        <w:t xml:space="preserve"> under section 62 of the Act</w:t>
      </w:r>
      <w:r w:rsidR="00397C60" w:rsidRPr="00C75BE6">
        <w:t>.</w:t>
      </w:r>
    </w:p>
    <w:p w14:paraId="09DA257B" w14:textId="03AE902F" w:rsidR="00994721" w:rsidRPr="00C75BE6" w:rsidRDefault="00994721" w:rsidP="006D032C">
      <w:pPr>
        <w:spacing w:before="240"/>
      </w:pPr>
      <w:r w:rsidRPr="00C75BE6">
        <w:rPr>
          <w:b/>
          <w:i/>
        </w:rPr>
        <w:t xml:space="preserve">Inspection </w:t>
      </w:r>
      <w:r w:rsidRPr="00C75BE6">
        <w:t>means the act of assessing licence holder performance to determine whether controlled material, controlled apparatus or a controlled facility is being used safely and in compliance with the Act, the Regulations and licence conditions</w:t>
      </w:r>
      <w:r w:rsidR="007F60E6" w:rsidRPr="006878AE">
        <w:t xml:space="preserve">. </w:t>
      </w:r>
      <w:r w:rsidRPr="006878AE">
        <w:t xml:space="preserve">Inspections are generally proactive, that is, scheduled and planned but may be </w:t>
      </w:r>
      <w:r w:rsidR="009E4507">
        <w:rPr>
          <w:i/>
        </w:rPr>
        <w:t>reactive</w:t>
      </w:r>
      <w:r w:rsidR="007A26D0">
        <w:t xml:space="preserve"> </w:t>
      </w:r>
      <w:r w:rsidRPr="006878AE">
        <w:t xml:space="preserve">in response to regulatory events such as relevant changes, incidents, </w:t>
      </w:r>
      <w:proofErr w:type="gramStart"/>
      <w:r w:rsidRPr="006878AE">
        <w:t>accidents</w:t>
      </w:r>
      <w:proofErr w:type="gramEnd"/>
      <w:r w:rsidRPr="006878AE">
        <w:t xml:space="preserve"> or non-compliances</w:t>
      </w:r>
      <w:r w:rsidR="007F60E6" w:rsidRPr="006878AE">
        <w:t>.</w:t>
      </w:r>
      <w:r w:rsidR="007F60E6" w:rsidRPr="00C75BE6">
        <w:t xml:space="preserve"> </w:t>
      </w:r>
    </w:p>
    <w:p w14:paraId="2B3E7FA7" w14:textId="2A592D47" w:rsidR="00E465D4" w:rsidRDefault="00994721" w:rsidP="00E465D4">
      <w:pPr>
        <w:spacing w:before="240"/>
        <w:rPr>
          <w:rFonts w:eastAsia="Times New Roman"/>
        </w:rPr>
      </w:pPr>
      <w:r w:rsidRPr="00C75BE6">
        <w:rPr>
          <w:b/>
          <w:i/>
        </w:rPr>
        <w:t xml:space="preserve">Inspection </w:t>
      </w:r>
      <w:r w:rsidR="00B07B6E">
        <w:rPr>
          <w:b/>
          <w:i/>
        </w:rPr>
        <w:t>s</w:t>
      </w:r>
      <w:r w:rsidRPr="00C75BE6">
        <w:rPr>
          <w:b/>
          <w:i/>
        </w:rPr>
        <w:t>chedule</w:t>
      </w:r>
      <w:r w:rsidRPr="00C75BE6">
        <w:rPr>
          <w:i/>
        </w:rPr>
        <w:t xml:space="preserve"> </w:t>
      </w:r>
      <w:r w:rsidRPr="00C75BE6">
        <w:t xml:space="preserve">means ARPANSA’s program of inspections of licence holders and other controlled persons including Commonwealth contractors. The schedule is informed by the licence holder’s compliance record and radiation and nuclear safety performance commensurate with the hazards and risks associated with the conducts and/or dealings authorised under the </w:t>
      </w:r>
      <w:proofErr w:type="gramStart"/>
      <w:r w:rsidRPr="00C75BE6">
        <w:t>particular source</w:t>
      </w:r>
      <w:proofErr w:type="gramEnd"/>
      <w:r w:rsidRPr="00C75BE6">
        <w:t xml:space="preserve"> or facility licence which is reflected in their </w:t>
      </w:r>
      <w:r w:rsidR="00534D08" w:rsidRPr="00C75BE6">
        <w:t>regulatory priority</w:t>
      </w:r>
      <w:r w:rsidR="007F60E6" w:rsidRPr="00C75BE6">
        <w:t xml:space="preserve">. </w:t>
      </w:r>
      <w:r w:rsidRPr="00C75BE6">
        <w:rPr>
          <w:rFonts w:eastAsia="Times New Roman"/>
        </w:rPr>
        <w:t xml:space="preserve">The inspection schedule defines the minimum number of inspections to evaluate licence holder performance over </w:t>
      </w:r>
      <w:r w:rsidR="00D1718D">
        <w:rPr>
          <w:rFonts w:eastAsia="Times New Roman"/>
        </w:rPr>
        <w:t>a specific</w:t>
      </w:r>
      <w:r w:rsidRPr="00C75BE6">
        <w:rPr>
          <w:rFonts w:eastAsia="Times New Roman"/>
        </w:rPr>
        <w:t xml:space="preserve"> period.</w:t>
      </w:r>
      <w:r w:rsidR="007A26D0">
        <w:rPr>
          <w:rFonts w:eastAsia="Times New Roman"/>
        </w:rPr>
        <w:t xml:space="preserve"> Additional </w:t>
      </w:r>
      <w:r w:rsidR="009E4507">
        <w:rPr>
          <w:rFonts w:eastAsia="Times New Roman"/>
          <w:i/>
        </w:rPr>
        <w:t>reactive</w:t>
      </w:r>
      <w:r w:rsidR="007A26D0">
        <w:rPr>
          <w:rFonts w:eastAsia="Times New Roman"/>
        </w:rPr>
        <w:t xml:space="preserve"> inspections may be conducted in response to specific circumstances. </w:t>
      </w:r>
    </w:p>
    <w:p w14:paraId="7A370FDB" w14:textId="5544919A" w:rsidR="00BD560D" w:rsidRPr="00C75BE6" w:rsidRDefault="00994721" w:rsidP="00E465D4">
      <w:pPr>
        <w:spacing w:before="240"/>
      </w:pPr>
      <w:r w:rsidRPr="00C75BE6">
        <w:rPr>
          <w:b/>
          <w:i/>
        </w:rPr>
        <w:lastRenderedPageBreak/>
        <w:t xml:space="preserve">Inspection </w:t>
      </w:r>
      <w:r w:rsidR="00B07B6E">
        <w:rPr>
          <w:b/>
          <w:i/>
        </w:rPr>
        <w:t>t</w:t>
      </w:r>
      <w:r w:rsidRPr="00C75BE6">
        <w:rPr>
          <w:b/>
          <w:i/>
        </w:rPr>
        <w:t>eam</w:t>
      </w:r>
      <w:r w:rsidRPr="00C75BE6">
        <w:t xml:space="preserve"> means a group of </w:t>
      </w:r>
      <w:r w:rsidR="007D01DA" w:rsidRPr="00C75BE6">
        <w:t>persons</w:t>
      </w:r>
      <w:r w:rsidR="002C0A62" w:rsidRPr="00C75BE6">
        <w:t xml:space="preserve"> </w:t>
      </w:r>
      <w:r w:rsidRPr="00C75BE6">
        <w:t>involved in a particular inspection</w:t>
      </w:r>
      <w:r w:rsidR="007F60E6" w:rsidRPr="00C75BE6">
        <w:t xml:space="preserve">. </w:t>
      </w:r>
      <w:r w:rsidR="002C0A62" w:rsidRPr="00C75BE6">
        <w:t xml:space="preserve">In addition to </w:t>
      </w:r>
      <w:r w:rsidR="009150B1" w:rsidRPr="00C75BE6">
        <w:t xml:space="preserve">the </w:t>
      </w:r>
      <w:r w:rsidR="007D01DA" w:rsidRPr="00C75BE6">
        <w:t>inspector</w:t>
      </w:r>
      <w:r w:rsidR="009150B1" w:rsidRPr="00C75BE6">
        <w:t>(</w:t>
      </w:r>
      <w:r w:rsidR="007D01DA" w:rsidRPr="00C75BE6">
        <w:t>s</w:t>
      </w:r>
      <w:r w:rsidR="009150B1" w:rsidRPr="00C75BE6">
        <w:t>)</w:t>
      </w:r>
      <w:r w:rsidR="002C0A62" w:rsidRPr="00C75BE6">
        <w:t>, the group may comprise</w:t>
      </w:r>
      <w:r w:rsidRPr="00C75BE6">
        <w:t xml:space="preserve"> </w:t>
      </w:r>
      <w:r w:rsidR="007D01DA" w:rsidRPr="00C75BE6">
        <w:t xml:space="preserve">other regulatory officers or </w:t>
      </w:r>
      <w:r w:rsidRPr="00C75BE6">
        <w:t>technical/scientific experts from ARPANSA or other agencies</w:t>
      </w:r>
      <w:r w:rsidR="007F60E6" w:rsidRPr="00C75BE6">
        <w:t xml:space="preserve">. </w:t>
      </w:r>
      <w:r w:rsidRPr="00C75BE6">
        <w:t xml:space="preserve">Distinctions between inspectors and </w:t>
      </w:r>
      <w:r w:rsidR="007D01DA" w:rsidRPr="00C75BE6">
        <w:t xml:space="preserve">team members </w:t>
      </w:r>
      <w:r w:rsidRPr="00C75BE6">
        <w:t>who are not appointed as inspectors will be carefully ma</w:t>
      </w:r>
      <w:r w:rsidR="007D01DA" w:rsidRPr="00C75BE6">
        <w:t>naged</w:t>
      </w:r>
      <w:r w:rsidRPr="00C75BE6">
        <w:t xml:space="preserve"> to ensure </w:t>
      </w:r>
      <w:r w:rsidR="00BD560D" w:rsidRPr="00C75BE6">
        <w:t>appropriate exercise of inspection powers.</w:t>
      </w:r>
    </w:p>
    <w:p w14:paraId="2D68357A" w14:textId="518C4A65" w:rsidR="00BD560D" w:rsidRPr="00C75BE6" w:rsidRDefault="00BD560D" w:rsidP="006D032C">
      <w:pPr>
        <w:spacing w:before="240"/>
      </w:pPr>
      <w:r w:rsidRPr="00C75BE6">
        <w:rPr>
          <w:b/>
          <w:i/>
        </w:rPr>
        <w:t>Instrument store</w:t>
      </w:r>
      <w:r w:rsidRPr="00C75BE6">
        <w:t xml:space="preserve"> means the metal cabinet located in the secure room of the Miranda office. </w:t>
      </w:r>
    </w:p>
    <w:p w14:paraId="11D858F9" w14:textId="0523C42D" w:rsidR="00BD560D" w:rsidRPr="00C75BE6" w:rsidRDefault="00BD560D" w:rsidP="006D032C">
      <w:pPr>
        <w:spacing w:before="240"/>
      </w:pPr>
      <w:bookmarkStart w:id="70" w:name="OLE_LINK2"/>
      <w:r w:rsidRPr="00C75BE6">
        <w:rPr>
          <w:b/>
          <w:i/>
        </w:rPr>
        <w:t>Instrument calibration files</w:t>
      </w:r>
      <w:r w:rsidRPr="00C75BE6">
        <w:t xml:space="preserve"> </w:t>
      </w:r>
      <w:bookmarkEnd w:id="70"/>
      <w:r w:rsidRPr="00C75BE6">
        <w:t>means the paper/</w:t>
      </w:r>
      <w:r w:rsidR="00BA56C2">
        <w:t>CM</w:t>
      </w:r>
      <w:r w:rsidR="00A96BE4" w:rsidRPr="00C75BE6">
        <w:t xml:space="preserve"> </w:t>
      </w:r>
      <w:r w:rsidRPr="00C75BE6">
        <w:t xml:space="preserve">files containing all the documentation associated with the testing and calibration of the radiation monitoring instruments. </w:t>
      </w:r>
    </w:p>
    <w:p w14:paraId="33D9FF28" w14:textId="77777777" w:rsidR="00BD560D" w:rsidRPr="00C75BE6" w:rsidRDefault="00BD560D" w:rsidP="006D032C">
      <w:pPr>
        <w:spacing w:before="240"/>
      </w:pPr>
      <w:r w:rsidRPr="00C75BE6">
        <w:rPr>
          <w:b/>
          <w:i/>
        </w:rPr>
        <w:t>Instrument register</w:t>
      </w:r>
      <w:r w:rsidRPr="00C75BE6">
        <w:t xml:space="preserve"> means the list of instruments (including when the instrument is due for recalibration). </w:t>
      </w:r>
    </w:p>
    <w:p w14:paraId="4D1E6BEF" w14:textId="446B5CC8" w:rsidR="00BD560D" w:rsidRPr="00C75BE6" w:rsidRDefault="00BD560D" w:rsidP="006D032C">
      <w:pPr>
        <w:spacing w:before="240"/>
        <w:rPr>
          <w:b/>
        </w:rPr>
      </w:pPr>
      <w:r w:rsidRPr="00C75BE6">
        <w:rPr>
          <w:b/>
          <w:i/>
        </w:rPr>
        <w:t>Instrumentation officer</w:t>
      </w:r>
      <w:r w:rsidRPr="00C75BE6">
        <w:rPr>
          <w:b/>
        </w:rPr>
        <w:t xml:space="preserve"> </w:t>
      </w:r>
      <w:r w:rsidRPr="00C75BE6">
        <w:t xml:space="preserve">means the officer appointed </w:t>
      </w:r>
      <w:r w:rsidR="00667B5F" w:rsidRPr="00C75BE6">
        <w:t>to manage the calibration and maintenance of instruments and associated records</w:t>
      </w:r>
      <w:r w:rsidRPr="00C75BE6">
        <w:t>.</w:t>
      </w:r>
    </w:p>
    <w:p w14:paraId="68754854" w14:textId="371DE464" w:rsidR="00AB4F33" w:rsidRPr="00C75BE6" w:rsidRDefault="00AB4F33" w:rsidP="006D032C">
      <w:pPr>
        <w:spacing w:before="240"/>
      </w:pPr>
      <w:r w:rsidRPr="00C75BE6">
        <w:rPr>
          <w:b/>
          <w:i/>
        </w:rPr>
        <w:t xml:space="preserve">LAD </w:t>
      </w:r>
      <w:r w:rsidRPr="00C75BE6">
        <w:t>means the Licence Administration Database</w:t>
      </w:r>
    </w:p>
    <w:p w14:paraId="231F97D4" w14:textId="1BB255E6" w:rsidR="00994721" w:rsidRPr="00C75BE6" w:rsidRDefault="00994721" w:rsidP="006D032C">
      <w:pPr>
        <w:spacing w:before="240"/>
      </w:pPr>
      <w:r w:rsidRPr="00C75BE6">
        <w:rPr>
          <w:b/>
          <w:i/>
        </w:rPr>
        <w:t>Lead Inspector</w:t>
      </w:r>
      <w:r w:rsidRPr="00C75BE6">
        <w:t xml:space="preserve"> means the leader of an inspection team</w:t>
      </w:r>
      <w:r w:rsidR="007F60E6" w:rsidRPr="00C75BE6">
        <w:t xml:space="preserve">. </w:t>
      </w:r>
      <w:r w:rsidRPr="00C75BE6">
        <w:t xml:space="preserve">In most cases, this will be the </w:t>
      </w:r>
      <w:r w:rsidR="00397C60" w:rsidRPr="00C75BE6">
        <w:t xml:space="preserve">inspector </w:t>
      </w:r>
      <w:r w:rsidRPr="00C75BE6">
        <w:t>responsible for the assessment of a controlled person’s licence application(s) or monitoring of the licence holder’s compliance</w:t>
      </w:r>
      <w:r w:rsidR="007F60E6" w:rsidRPr="00C75BE6">
        <w:t xml:space="preserve">. </w:t>
      </w:r>
    </w:p>
    <w:p w14:paraId="0E1057FE" w14:textId="1DD4488B" w:rsidR="00994721" w:rsidRPr="00C75BE6" w:rsidRDefault="00D425B4" w:rsidP="006D032C">
      <w:pPr>
        <w:spacing w:before="240"/>
      </w:pPr>
      <w:r>
        <w:rPr>
          <w:b/>
          <w:i/>
        </w:rPr>
        <w:t>N</w:t>
      </w:r>
      <w:r w:rsidR="00994721" w:rsidRPr="00C75BE6">
        <w:rPr>
          <w:b/>
          <w:i/>
        </w:rPr>
        <w:t>on-compliance</w:t>
      </w:r>
      <w:r w:rsidR="00994721" w:rsidRPr="00C75BE6">
        <w:t xml:space="preserve"> means the situation that exists when facts indicate</w:t>
      </w:r>
      <w:r>
        <w:t xml:space="preserve"> to an inspector</w:t>
      </w:r>
      <w:r w:rsidR="00994721" w:rsidRPr="00C75BE6">
        <w:t xml:space="preserve"> that </w:t>
      </w:r>
      <w:r w:rsidR="00E86DD7" w:rsidRPr="00C75BE6">
        <w:t xml:space="preserve">requirements in </w:t>
      </w:r>
      <w:r w:rsidR="00994721" w:rsidRPr="00C75BE6">
        <w:t xml:space="preserve">the Act, the Regulations, or one or more licence conditions </w:t>
      </w:r>
      <w:r w:rsidR="00E86DD7" w:rsidRPr="00C75BE6">
        <w:t>have</w:t>
      </w:r>
      <w:r w:rsidR="00B265FC">
        <w:t xml:space="preserve"> not</w:t>
      </w:r>
      <w:r w:rsidR="00E86DD7" w:rsidRPr="00C75BE6">
        <w:t xml:space="preserve"> </w:t>
      </w:r>
      <w:r w:rsidR="00994721" w:rsidRPr="00C75BE6">
        <w:t>be</w:t>
      </w:r>
      <w:r w:rsidR="00E86DD7" w:rsidRPr="00C75BE6">
        <w:t>en</w:t>
      </w:r>
      <w:r w:rsidR="00994721" w:rsidRPr="00C75BE6">
        <w:t xml:space="preserve"> met.</w:t>
      </w:r>
    </w:p>
    <w:p w14:paraId="1F31DBB5" w14:textId="366966B6" w:rsidR="00CD361D" w:rsidRPr="00C75BE6" w:rsidRDefault="000F7B44" w:rsidP="006D032C">
      <w:pPr>
        <w:spacing w:before="240"/>
      </w:pPr>
      <w:r w:rsidRPr="00C75BE6">
        <w:rPr>
          <w:b/>
          <w:i/>
        </w:rPr>
        <w:t>Radiation risk</w:t>
      </w:r>
      <w:r w:rsidR="00CD361D" w:rsidRPr="00C75BE6">
        <w:rPr>
          <w:b/>
          <w:i/>
        </w:rPr>
        <w:t xml:space="preserve"> </w:t>
      </w:r>
      <w:r w:rsidR="00CD361D" w:rsidRPr="00C75BE6">
        <w:t xml:space="preserve">is defined in the </w:t>
      </w:r>
      <w:r w:rsidR="00CD361D" w:rsidRPr="00C75BE6">
        <w:rPr>
          <w:i/>
        </w:rPr>
        <w:t>Policy for ARPANSA’s Regulatory Activities</w:t>
      </w:r>
      <w:r w:rsidR="00CD361D" w:rsidRPr="00C75BE6">
        <w:t xml:space="preserve"> (ARPANSA-POL-002) as</w:t>
      </w:r>
      <w:r w:rsidR="00870BB3" w:rsidRPr="00C75BE6">
        <w:t>:</w:t>
      </w:r>
      <w:r w:rsidR="00CD361D" w:rsidRPr="00C75BE6">
        <w:t xml:space="preserve"> </w:t>
      </w:r>
      <w:r w:rsidR="00CD361D" w:rsidRPr="00D1718D">
        <w:rPr>
          <w:i/>
        </w:rPr>
        <w:t>Detrimental health effects of exposure to ionising radiation including the likelihood of such effects occurring, and other risks including environmental risks, that might arise from exposure to ionising radiation; the presence of radioactive material (including radioactive waste) or its release to the environment; or a loss of control over a nuclear reactor core, nuclear chain reaction, radioactive source or any other source of radiation; alone or in combination.</w:t>
      </w:r>
    </w:p>
    <w:p w14:paraId="5D4B3C32" w14:textId="5257D049" w:rsidR="000F7B44" w:rsidRPr="00C75BE6" w:rsidRDefault="00CD361D" w:rsidP="006D032C">
      <w:pPr>
        <w:rPr>
          <w:b/>
          <w:i/>
        </w:rPr>
      </w:pPr>
      <w:r w:rsidRPr="00C75BE6">
        <w:t xml:space="preserve">Health effects and health risks associated with acute or prolonged exposure to non-ionising radiation such as ultraviolet radiation, radiofrequency radiation, optical </w:t>
      </w:r>
      <w:proofErr w:type="gramStart"/>
      <w:r w:rsidRPr="00C75BE6">
        <w:t>radiation</w:t>
      </w:r>
      <w:proofErr w:type="gramEnd"/>
      <w:r w:rsidRPr="00C75BE6">
        <w:t xml:space="preserve"> and other types of non-ionising radiation either in occupational settings or as members of the public.</w:t>
      </w:r>
    </w:p>
    <w:p w14:paraId="4446619F" w14:textId="63534AA7" w:rsidR="004B20BC" w:rsidRPr="00515A38" w:rsidRDefault="004B20BC" w:rsidP="004B20BC">
      <w:pPr>
        <w:spacing w:before="240"/>
        <w:rPr>
          <w:rFonts w:eastAsia="Calibri"/>
        </w:rPr>
      </w:pPr>
      <w:r>
        <w:rPr>
          <w:b/>
          <w:i/>
        </w:rPr>
        <w:t>Reactive</w:t>
      </w:r>
      <w:r w:rsidRPr="006878AE">
        <w:rPr>
          <w:b/>
          <w:i/>
        </w:rPr>
        <w:t xml:space="preserve"> </w:t>
      </w:r>
      <w:r>
        <w:rPr>
          <w:b/>
          <w:i/>
        </w:rPr>
        <w:t>i</w:t>
      </w:r>
      <w:r w:rsidRPr="006878AE">
        <w:rPr>
          <w:b/>
          <w:i/>
        </w:rPr>
        <w:t xml:space="preserve">nspection </w:t>
      </w:r>
      <w:r w:rsidRPr="006878AE">
        <w:t>means an inspection</w:t>
      </w:r>
      <w:r>
        <w:t xml:space="preserve"> that is outside the established inspection schedule; usually in response to a regulatory event such as an accident or incident, </w:t>
      </w:r>
      <w:r w:rsidRPr="006878AE">
        <w:t xml:space="preserve">relevant </w:t>
      </w:r>
      <w:proofErr w:type="gramStart"/>
      <w:r w:rsidRPr="006878AE">
        <w:t>change</w:t>
      </w:r>
      <w:proofErr w:type="gramEnd"/>
      <w:r w:rsidRPr="006878AE">
        <w:t xml:space="preserve"> or non-compliance</w:t>
      </w:r>
      <w:r>
        <w:t xml:space="preserve">.  </w:t>
      </w:r>
    </w:p>
    <w:p w14:paraId="3AC0D1D6" w14:textId="7641A6AD" w:rsidR="00613448" w:rsidRPr="00C75BE6" w:rsidRDefault="00613448" w:rsidP="006D032C">
      <w:pPr>
        <w:spacing w:before="240"/>
      </w:pPr>
      <w:r w:rsidRPr="00C75BE6">
        <w:rPr>
          <w:b/>
          <w:i/>
        </w:rPr>
        <w:t>Safety</w:t>
      </w:r>
      <w:r w:rsidR="00CD361D" w:rsidRPr="00C75BE6">
        <w:t xml:space="preserve"> </w:t>
      </w:r>
      <w:r w:rsidR="00CD7356">
        <w:t>f</w:t>
      </w:r>
      <w:r w:rsidR="00CD361D" w:rsidRPr="00C75BE6">
        <w:t xml:space="preserve">or the purpose of this manual refers to all factors that contribute </w:t>
      </w:r>
      <w:r w:rsidR="00C75BE6">
        <w:t xml:space="preserve">to </w:t>
      </w:r>
      <w:r w:rsidR="00CD361D" w:rsidRPr="00C75BE6">
        <w:t xml:space="preserve">protection of people and the </w:t>
      </w:r>
      <w:r w:rsidR="00765F52" w:rsidRPr="00C75BE6">
        <w:t>environment</w:t>
      </w:r>
      <w:r w:rsidR="00CD361D" w:rsidRPr="00C75BE6">
        <w:t xml:space="preserve"> from harmful effects of radiation which include radiation protection and safety, nuclear safety, waste safety, transport safety, physical protection and security</w:t>
      </w:r>
      <w:r w:rsidR="00765F52" w:rsidRPr="00C75BE6">
        <w:t>, and emergency preparedness and response.</w:t>
      </w:r>
    </w:p>
    <w:p w14:paraId="240C52B0" w14:textId="6E8D712E" w:rsidR="00994721" w:rsidRPr="00C75BE6" w:rsidRDefault="00994721" w:rsidP="006D032C">
      <w:pPr>
        <w:spacing w:before="240"/>
      </w:pPr>
      <w:r w:rsidRPr="00C75BE6">
        <w:rPr>
          <w:b/>
          <w:i/>
        </w:rPr>
        <w:t xml:space="preserve">Site Visit </w:t>
      </w:r>
      <w:r w:rsidRPr="00C75BE6">
        <w:t>means a visit by a</w:t>
      </w:r>
      <w:r w:rsidR="00053D85" w:rsidRPr="00C75BE6">
        <w:t xml:space="preserve">n inspector </w:t>
      </w:r>
      <w:r w:rsidRPr="00C75BE6">
        <w:t>to the premises of an applicant or licence holder for the purpose of gathering information about a facility or source, associated processes or procedures, and/or personnel</w:t>
      </w:r>
      <w:r w:rsidR="00053D85" w:rsidRPr="00C75BE6">
        <w:t>. It may also be for information sharing or educational purposes relevant to the licence.</w:t>
      </w:r>
      <w:r w:rsidR="000D4D8F" w:rsidRPr="00C75BE6">
        <w:t xml:space="preserve"> </w:t>
      </w:r>
    </w:p>
    <w:p w14:paraId="0C65AD99" w14:textId="06498D03" w:rsidR="00F033A4" w:rsidRDefault="00994721" w:rsidP="00EC6DF2">
      <w:pPr>
        <w:spacing w:before="240"/>
      </w:pPr>
      <w:r w:rsidRPr="00C75BE6">
        <w:rPr>
          <w:b/>
          <w:i/>
        </w:rPr>
        <w:t>Technical/Scientific Advisor</w:t>
      </w:r>
      <w:r w:rsidRPr="00C75BE6">
        <w:t xml:space="preserve"> means a technical/scientific expert requested to provide advice or scientific services or to participate in an inspection</w:t>
      </w:r>
      <w:r w:rsidR="007F60E6" w:rsidRPr="00C75BE6">
        <w:t>.</w:t>
      </w:r>
      <w:r w:rsidR="007F60E6">
        <w:t xml:space="preserve"> </w:t>
      </w:r>
      <w:bookmarkStart w:id="71" w:name="_Appendix_1:_Report"/>
      <w:bookmarkStart w:id="72" w:name="_Appendix_1:_Inspection"/>
      <w:bookmarkStart w:id="73" w:name="_Appendix_2:_Report"/>
      <w:bookmarkStart w:id="74" w:name="_Appendix_1:_Review"/>
      <w:bookmarkStart w:id="75" w:name="_Appendix_A:_Review"/>
      <w:bookmarkStart w:id="76" w:name="_Appendix_2:_Levels"/>
      <w:bookmarkStart w:id="77" w:name="_Appendix_B:_Levels"/>
      <w:bookmarkStart w:id="78" w:name="_Appendix_2:_Control"/>
      <w:bookmarkStart w:id="79" w:name="_Appendix_E:_Report"/>
      <w:bookmarkStart w:id="80" w:name="_Attachment_1:_Inspection"/>
      <w:bookmarkStart w:id="81" w:name="_Attachment_1:_email"/>
      <w:bookmarkStart w:id="82" w:name="_Appendix_F:_Convention"/>
      <w:bookmarkStart w:id="83" w:name="_Appendix_6:_Convention"/>
      <w:bookmarkStart w:id="84" w:name="_Appendix_6:_Record"/>
      <w:bookmarkStart w:id="85" w:name="_Appendix_3:_Record"/>
      <w:bookmarkStart w:id="86" w:name="_Attachment_3:_Inspection"/>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ectPr w:rsidR="00F033A4" w:rsidSect="00EB2422">
      <w:footerReference w:type="first" r:id="rId44"/>
      <w:pgSz w:w="11906" w:h="16838"/>
      <w:pgMar w:top="964" w:right="849" w:bottom="96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4A97" w14:textId="77777777" w:rsidR="00747175" w:rsidRDefault="00747175">
      <w:r>
        <w:separator/>
      </w:r>
    </w:p>
    <w:p w14:paraId="150A33A3" w14:textId="77777777" w:rsidR="00747175" w:rsidRDefault="00747175"/>
    <w:p w14:paraId="436BB135" w14:textId="77777777" w:rsidR="00747175" w:rsidRDefault="00747175"/>
  </w:endnote>
  <w:endnote w:type="continuationSeparator" w:id="0">
    <w:p w14:paraId="07266BF7" w14:textId="77777777" w:rsidR="00747175" w:rsidRDefault="00747175">
      <w:r>
        <w:continuationSeparator/>
      </w:r>
    </w:p>
    <w:p w14:paraId="680893CE" w14:textId="77777777" w:rsidR="00747175" w:rsidRDefault="00747175"/>
    <w:p w14:paraId="2C1B4511" w14:textId="77777777" w:rsidR="00747175" w:rsidRDefault="00747175" w:rsidP="0051066F">
      <w:pPr>
        <w:pStyle w:val="Footer"/>
        <w:rPr>
          <w:sz w:val="16"/>
          <w:szCs w:val="16"/>
        </w:rPr>
      </w:pPr>
      <w:r w:rsidRPr="006B299F">
        <w:rPr>
          <w:noProof/>
          <w:lang w:eastAsia="en-AU"/>
        </w:rPr>
        <w:drawing>
          <wp:anchor distT="0" distB="0" distL="114300" distR="114300" simplePos="0" relativeHeight="251659264" behindDoc="0" locked="0" layoutInCell="1" allowOverlap="1" wp14:anchorId="08CB572A" wp14:editId="7BDB9323">
            <wp:simplePos x="0" y="0"/>
            <wp:positionH relativeFrom="column">
              <wp:posOffset>0</wp:posOffset>
            </wp:positionH>
            <wp:positionV relativeFrom="paragraph">
              <wp:posOffset>287655</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p w14:paraId="2D3560FD" w14:textId="77777777" w:rsidR="00747175" w:rsidRDefault="00747175" w:rsidP="0051066F">
      <w:r>
        <w:t xml:space="preserve">Inspection Manual </w:t>
      </w:r>
      <w:r w:rsidRPr="003C7878">
        <w:t>v2</w:t>
      </w:r>
      <w:r w:rsidRPr="003C7878">
        <w:tab/>
      </w:r>
      <w:r>
        <w:t>September 2017</w:t>
      </w:r>
      <w:r w:rsidRPr="003C7878">
        <w:tab/>
        <w:t xml:space="preserve">Page </w:t>
      </w:r>
      <w:r w:rsidRPr="003C7878">
        <w:fldChar w:fldCharType="begin"/>
      </w:r>
      <w:r w:rsidRPr="003C7878">
        <w:instrText xml:space="preserve"> PAGE  \* Arabic  \* MERGEFORMAT </w:instrText>
      </w:r>
      <w:r w:rsidRPr="003C7878">
        <w:fldChar w:fldCharType="separate"/>
      </w:r>
      <w:r>
        <w:rPr>
          <w:noProof/>
        </w:rPr>
        <w:t>36</w:t>
      </w:r>
      <w:r w:rsidRPr="003C7878">
        <w:fldChar w:fldCharType="end"/>
      </w:r>
      <w:r w:rsidRPr="003C7878">
        <w:t xml:space="preserve"> of </w:t>
      </w:r>
      <w:fldSimple w:instr=" NUMPAGES  \* Arabic  \* MERGEFORMAT ">
        <w:r>
          <w:rPr>
            <w:noProof/>
          </w:rPr>
          <w:t>36</w:t>
        </w:r>
      </w:fldSimple>
    </w:p>
    <w:p w14:paraId="73D68C25" w14:textId="77777777" w:rsidR="00747175" w:rsidRDefault="00747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8DD6" w14:textId="775505FF" w:rsidR="00D24C87" w:rsidRDefault="00D24C87" w:rsidP="0051066F">
    <w:pPr>
      <w:pStyle w:val="Footer"/>
      <w:rPr>
        <w:sz w:val="16"/>
        <w:szCs w:val="16"/>
      </w:rPr>
    </w:pPr>
    <w:bookmarkStart w:id="30" w:name="_Toc411804072"/>
    <w:r w:rsidRPr="006B299F">
      <w:rPr>
        <w:noProof/>
        <w:lang w:eastAsia="en-AU"/>
      </w:rPr>
      <w:drawing>
        <wp:anchor distT="0" distB="0" distL="114300" distR="114300" simplePos="0" relativeHeight="251655680" behindDoc="0" locked="0" layoutInCell="1" allowOverlap="1" wp14:anchorId="13D40020" wp14:editId="47158219">
          <wp:simplePos x="0" y="0"/>
          <wp:positionH relativeFrom="column">
            <wp:posOffset>0</wp:posOffset>
          </wp:positionH>
          <wp:positionV relativeFrom="paragraph">
            <wp:posOffset>287655</wp:posOffset>
          </wp:positionV>
          <wp:extent cx="6119495" cy="53975"/>
          <wp:effectExtent l="0" t="0" r="0" b="3175"/>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p w14:paraId="3AA86C92" w14:textId="1FBE51DF" w:rsidR="00D24C87" w:rsidRDefault="00D24C87">
    <w:pPr>
      <w:pStyle w:val="Footer"/>
      <w:rPr>
        <w:noProof/>
      </w:rPr>
    </w:pPr>
    <w:r>
      <w:t xml:space="preserve">Inspection Manual </w:t>
    </w:r>
    <w:r w:rsidRPr="003C7878">
      <w:t>v2</w:t>
    </w:r>
    <w:r w:rsidRPr="003C7878">
      <w:tab/>
    </w:r>
    <w:r>
      <w:t>September 2017</w:t>
    </w:r>
    <w:r w:rsidRPr="003C7878">
      <w:tab/>
      <w:t xml:space="preserve">Page </w:t>
    </w:r>
    <w:r w:rsidRPr="003C7878">
      <w:fldChar w:fldCharType="begin"/>
    </w:r>
    <w:r w:rsidRPr="003C7878">
      <w:instrText xml:space="preserve"> PAGE  \* Arabic  \* MERGEFORMAT </w:instrText>
    </w:r>
    <w:r w:rsidRPr="003C7878">
      <w:fldChar w:fldCharType="separate"/>
    </w:r>
    <w:r>
      <w:rPr>
        <w:noProof/>
      </w:rPr>
      <w:t>24</w:t>
    </w:r>
    <w:r w:rsidRPr="003C7878">
      <w:fldChar w:fldCharType="end"/>
    </w:r>
    <w:r w:rsidRPr="003C7878">
      <w:t xml:space="preserve"> of </w:t>
    </w:r>
    <w:fldSimple w:instr=" NUMPAGES  \* Arabic  \* MERGEFORMAT ">
      <w:r>
        <w:rPr>
          <w:noProof/>
        </w:rPr>
        <w:t>52</w:t>
      </w:r>
    </w:fldSimple>
    <w:bookmarkEnd w:id="30"/>
  </w:p>
  <w:p w14:paraId="1A82A706" w14:textId="682B4B69" w:rsidR="00D24C87" w:rsidRPr="003C7878" w:rsidRDefault="00D24C87">
    <w:pPr>
      <w:pStyle w:val="Footer"/>
    </w:pPr>
    <w:r>
      <w:t>ARPANSA-REG-INS-MAN-280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742A" w14:textId="32CCEA44" w:rsidR="00D24C87" w:rsidRPr="0051066F" w:rsidRDefault="00D24C87" w:rsidP="00116415">
    <w:pPr>
      <w:pStyle w:val="Footer"/>
      <w:ind w:left="-284"/>
      <w:rPr>
        <w:noProof/>
        <w:sz w:val="18"/>
        <w:szCs w:val="18"/>
      </w:rPr>
    </w:pPr>
    <w:r w:rsidRPr="0051066F">
      <w:rPr>
        <w:noProof/>
        <w:sz w:val="18"/>
        <w:szCs w:val="18"/>
        <w:lang w:eastAsia="en-AU"/>
      </w:rPr>
      <w:drawing>
        <wp:anchor distT="0" distB="0" distL="114300" distR="114300" simplePos="0" relativeHeight="251653632" behindDoc="0" locked="0" layoutInCell="1" allowOverlap="1" wp14:anchorId="68782936" wp14:editId="500C5177">
          <wp:simplePos x="0" y="0"/>
          <wp:positionH relativeFrom="column">
            <wp:posOffset>-300355</wp:posOffset>
          </wp:positionH>
          <wp:positionV relativeFrom="paragraph">
            <wp:posOffset>-57150</wp:posOffset>
          </wp:positionV>
          <wp:extent cx="6305550" cy="4508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5550" cy="45085"/>
                  </a:xfrm>
                  <a:prstGeom prst="rect">
                    <a:avLst/>
                  </a:prstGeom>
                </pic:spPr>
              </pic:pic>
            </a:graphicData>
          </a:graphic>
          <wp14:sizeRelH relativeFrom="page">
            <wp14:pctWidth>0</wp14:pctWidth>
          </wp14:sizeRelH>
          <wp14:sizeRelV relativeFrom="page">
            <wp14:pctHeight>0</wp14:pctHeight>
          </wp14:sizeRelV>
        </wp:anchor>
      </w:drawing>
    </w:r>
    <w:r w:rsidRPr="0051066F">
      <w:rPr>
        <w:sz w:val="18"/>
        <w:szCs w:val="18"/>
      </w:rPr>
      <w:t>Inspection Manual</w:t>
    </w:r>
    <w:r w:rsidRPr="0051066F">
      <w:rPr>
        <w:sz w:val="18"/>
        <w:szCs w:val="18"/>
      </w:rPr>
      <w:tab/>
    </w:r>
    <w:r>
      <w:rPr>
        <w:sz w:val="18"/>
        <w:szCs w:val="18"/>
      </w:rPr>
      <w:t>ARPANSA-GDE-1119</w:t>
    </w:r>
    <w:r w:rsidRPr="0051066F">
      <w:rPr>
        <w:sz w:val="18"/>
        <w:szCs w:val="18"/>
      </w:rPr>
      <w:tab/>
      <w:t xml:space="preserve">Page </w:t>
    </w:r>
    <w:r w:rsidRPr="0051066F">
      <w:rPr>
        <w:sz w:val="18"/>
        <w:szCs w:val="18"/>
      </w:rPr>
      <w:fldChar w:fldCharType="begin"/>
    </w:r>
    <w:r w:rsidRPr="0051066F">
      <w:rPr>
        <w:sz w:val="18"/>
        <w:szCs w:val="18"/>
      </w:rPr>
      <w:instrText xml:space="preserve"> PAGE  \* Arabic  \* MERGEFORMAT </w:instrText>
    </w:r>
    <w:r w:rsidRPr="0051066F">
      <w:rPr>
        <w:sz w:val="18"/>
        <w:szCs w:val="18"/>
      </w:rPr>
      <w:fldChar w:fldCharType="separate"/>
    </w:r>
    <w:r w:rsidR="00852DAD">
      <w:rPr>
        <w:noProof/>
        <w:sz w:val="18"/>
        <w:szCs w:val="18"/>
      </w:rPr>
      <w:t>25</w:t>
    </w:r>
    <w:r w:rsidRPr="0051066F">
      <w:rPr>
        <w:sz w:val="18"/>
        <w:szCs w:val="18"/>
      </w:rPr>
      <w:fldChar w:fldCharType="end"/>
    </w:r>
    <w:r w:rsidRPr="0051066F">
      <w:rPr>
        <w:sz w:val="18"/>
        <w:szCs w:val="18"/>
      </w:rPr>
      <w:t xml:space="preserve"> of </w:t>
    </w:r>
    <w:r w:rsidRPr="0051066F">
      <w:rPr>
        <w:sz w:val="18"/>
        <w:szCs w:val="18"/>
      </w:rPr>
      <w:fldChar w:fldCharType="begin"/>
    </w:r>
    <w:r w:rsidRPr="0051066F">
      <w:rPr>
        <w:sz w:val="18"/>
        <w:szCs w:val="18"/>
      </w:rPr>
      <w:instrText xml:space="preserve"> NUMPAGES  \* Arabic  \* MERGEFORMAT </w:instrText>
    </w:r>
    <w:r w:rsidRPr="0051066F">
      <w:rPr>
        <w:sz w:val="18"/>
        <w:szCs w:val="18"/>
      </w:rPr>
      <w:fldChar w:fldCharType="separate"/>
    </w:r>
    <w:r w:rsidR="00852DAD">
      <w:rPr>
        <w:noProof/>
        <w:sz w:val="18"/>
        <w:szCs w:val="18"/>
      </w:rPr>
      <w:t>37</w:t>
    </w:r>
    <w:r w:rsidRPr="0051066F">
      <w:rPr>
        <w:noProof/>
        <w:sz w:val="18"/>
        <w:szCs w:val="18"/>
      </w:rPr>
      <w:fldChar w:fldCharType="end"/>
    </w:r>
  </w:p>
  <w:p w14:paraId="548CDB0C" w14:textId="177DEBF6" w:rsidR="00D24C87" w:rsidRPr="0051066F" w:rsidRDefault="00D24C87" w:rsidP="00116415">
    <w:pPr>
      <w:pStyle w:val="Footer"/>
      <w:spacing w:before="0"/>
      <w:ind w:left="-284"/>
      <w:rPr>
        <w:noProof/>
        <w:sz w:val="18"/>
        <w:szCs w:val="18"/>
      </w:rPr>
    </w:pPr>
    <w:r w:rsidRPr="0051066F">
      <w:rPr>
        <w:sz w:val="18"/>
        <w:szCs w:val="18"/>
      </w:rPr>
      <w:t>v</w:t>
    </w:r>
    <w:r>
      <w:rPr>
        <w:sz w:val="18"/>
        <w:szCs w:val="18"/>
      </w:rPr>
      <w:t>.</w:t>
    </w:r>
    <w:r w:rsidR="009D3888">
      <w:rPr>
        <w:sz w:val="18"/>
        <w:szCs w:val="18"/>
      </w:rPr>
      <w:t>5.</w:t>
    </w:r>
    <w:r w:rsidR="0047040F">
      <w:rPr>
        <w:sz w:val="18"/>
        <w:szCs w:val="18"/>
      </w:rPr>
      <w:t>2</w:t>
    </w:r>
    <w:r>
      <w:rPr>
        <w:sz w:val="18"/>
        <w:szCs w:val="18"/>
      </w:rPr>
      <w:tab/>
      <w:t>Ma</w:t>
    </w:r>
    <w:r w:rsidR="0047040F">
      <w:rPr>
        <w:sz w:val="18"/>
        <w:szCs w:val="18"/>
      </w:rPr>
      <w:t>y</w:t>
    </w:r>
    <w:r>
      <w:rPr>
        <w:sz w:val="18"/>
        <w:szCs w:val="18"/>
      </w:rPr>
      <w:t xml:space="preserve"> 202</w:t>
    </w:r>
    <w:r w:rsidR="00E333D4">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0E3E" w14:textId="76D69E6A" w:rsidR="00D24C87" w:rsidRPr="00BE11C6" w:rsidRDefault="00D24C87" w:rsidP="0051066F">
    <w:pPr>
      <w:rPr>
        <w:sz w:val="18"/>
        <w:szCs w:val="18"/>
      </w:rPr>
    </w:pPr>
    <w:r w:rsidRPr="00BE11C6">
      <w:rPr>
        <w:noProof/>
        <w:sz w:val="18"/>
        <w:szCs w:val="18"/>
        <w:lang w:eastAsia="en-AU"/>
      </w:rPr>
      <w:drawing>
        <wp:anchor distT="0" distB="0" distL="114300" distR="114300" simplePos="0" relativeHeight="251657728" behindDoc="0" locked="0" layoutInCell="1" allowOverlap="1" wp14:anchorId="1AE5C1EA" wp14:editId="1BEBAD90">
          <wp:simplePos x="0" y="0"/>
          <wp:positionH relativeFrom="margin">
            <wp:align>right</wp:align>
          </wp:positionH>
          <wp:positionV relativeFrom="paragraph">
            <wp:posOffset>-38100</wp:posOffset>
          </wp:positionV>
          <wp:extent cx="6120000" cy="54000"/>
          <wp:effectExtent l="0" t="0" r="0" b="3175"/>
          <wp:wrapTopAndBottom/>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907C" w14:textId="2D5884B9" w:rsidR="00D24C87" w:rsidRPr="00ED3BE0" w:rsidRDefault="00374DCD" w:rsidP="0051066F">
    <w:pPr>
      <w:pStyle w:val="Footer"/>
      <w:rPr>
        <w:sz w:val="18"/>
        <w:szCs w:val="18"/>
      </w:rPr>
    </w:pPr>
    <w:r w:rsidRPr="0051066F">
      <w:rPr>
        <w:noProof/>
        <w:sz w:val="18"/>
        <w:szCs w:val="18"/>
        <w:lang w:eastAsia="en-AU"/>
      </w:rPr>
      <w:drawing>
        <wp:anchor distT="0" distB="0" distL="114300" distR="114300" simplePos="0" relativeHeight="251667968" behindDoc="0" locked="0" layoutInCell="1" allowOverlap="1" wp14:anchorId="37E879DC" wp14:editId="40848902">
          <wp:simplePos x="0" y="0"/>
          <wp:positionH relativeFrom="column">
            <wp:posOffset>-101600</wp:posOffset>
          </wp:positionH>
          <wp:positionV relativeFrom="paragraph">
            <wp:posOffset>-44450</wp:posOffset>
          </wp:positionV>
          <wp:extent cx="6305550" cy="45085"/>
          <wp:effectExtent l="0" t="0" r="0" b="0"/>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5550" cy="45085"/>
                  </a:xfrm>
                  <a:prstGeom prst="rect">
                    <a:avLst/>
                  </a:prstGeom>
                </pic:spPr>
              </pic:pic>
            </a:graphicData>
          </a:graphic>
          <wp14:sizeRelH relativeFrom="page">
            <wp14:pctWidth>0</wp14:pctWidth>
          </wp14:sizeRelH>
          <wp14:sizeRelV relativeFrom="page">
            <wp14:pctHeight>0</wp14:pctHeight>
          </wp14:sizeRelV>
        </wp:anchor>
      </w:drawing>
    </w:r>
    <w:r w:rsidR="00D24C87">
      <w:rPr>
        <w:sz w:val="18"/>
        <w:szCs w:val="18"/>
      </w:rPr>
      <w:t>Inspection Manual</w:t>
    </w:r>
    <w:r w:rsidR="00D24C87" w:rsidRPr="00ED3BE0">
      <w:rPr>
        <w:sz w:val="18"/>
        <w:szCs w:val="18"/>
      </w:rPr>
      <w:tab/>
    </w:r>
    <w:r w:rsidR="00F4190A">
      <w:rPr>
        <w:sz w:val="18"/>
        <w:szCs w:val="18"/>
      </w:rPr>
      <w:t>ARPANSA-GDE-1119</w:t>
    </w:r>
    <w:r w:rsidR="00D24C87" w:rsidRPr="00ED3BE0">
      <w:rPr>
        <w:sz w:val="18"/>
        <w:szCs w:val="18"/>
      </w:rPr>
      <w:tab/>
    </w:r>
    <w:r w:rsidR="006F376D" w:rsidRPr="006F376D">
      <w:rPr>
        <w:sz w:val="18"/>
        <w:szCs w:val="18"/>
      </w:rPr>
      <w:t xml:space="preserve">Page </w:t>
    </w:r>
    <w:r w:rsidR="006F376D" w:rsidRPr="006F376D">
      <w:rPr>
        <w:sz w:val="18"/>
        <w:szCs w:val="18"/>
      </w:rPr>
      <w:fldChar w:fldCharType="begin"/>
    </w:r>
    <w:r w:rsidR="006F376D" w:rsidRPr="006F376D">
      <w:rPr>
        <w:sz w:val="18"/>
        <w:szCs w:val="18"/>
      </w:rPr>
      <w:instrText xml:space="preserve"> PAGE  \* Arabic  \* MERGEFORMAT </w:instrText>
    </w:r>
    <w:r w:rsidR="006F376D" w:rsidRPr="006F376D">
      <w:rPr>
        <w:sz w:val="18"/>
        <w:szCs w:val="18"/>
      </w:rPr>
      <w:fldChar w:fldCharType="separate"/>
    </w:r>
    <w:r w:rsidR="006F376D" w:rsidRPr="006F376D">
      <w:rPr>
        <w:noProof/>
        <w:sz w:val="18"/>
        <w:szCs w:val="18"/>
      </w:rPr>
      <w:t>1</w:t>
    </w:r>
    <w:r w:rsidR="006F376D" w:rsidRPr="006F376D">
      <w:rPr>
        <w:sz w:val="18"/>
        <w:szCs w:val="18"/>
      </w:rPr>
      <w:fldChar w:fldCharType="end"/>
    </w:r>
    <w:r w:rsidR="006F376D" w:rsidRPr="006F376D">
      <w:rPr>
        <w:sz w:val="18"/>
        <w:szCs w:val="18"/>
      </w:rPr>
      <w:t xml:space="preserve"> of </w:t>
    </w:r>
    <w:r w:rsidR="006F376D" w:rsidRPr="006F376D">
      <w:rPr>
        <w:sz w:val="18"/>
        <w:szCs w:val="18"/>
      </w:rPr>
      <w:fldChar w:fldCharType="begin"/>
    </w:r>
    <w:r w:rsidR="006F376D" w:rsidRPr="006F376D">
      <w:rPr>
        <w:sz w:val="18"/>
        <w:szCs w:val="18"/>
      </w:rPr>
      <w:instrText xml:space="preserve"> NUMPAGES  \* Arabic  \* MERGEFORMAT </w:instrText>
    </w:r>
    <w:r w:rsidR="006F376D" w:rsidRPr="006F376D">
      <w:rPr>
        <w:sz w:val="18"/>
        <w:szCs w:val="18"/>
      </w:rPr>
      <w:fldChar w:fldCharType="separate"/>
    </w:r>
    <w:r w:rsidR="006F376D" w:rsidRPr="006F376D">
      <w:rPr>
        <w:noProof/>
        <w:sz w:val="18"/>
        <w:szCs w:val="18"/>
      </w:rPr>
      <w:t>2</w:t>
    </w:r>
    <w:r w:rsidR="006F376D" w:rsidRPr="006F376D">
      <w:rPr>
        <w:sz w:val="18"/>
        <w:szCs w:val="18"/>
      </w:rPr>
      <w:fldChar w:fldCharType="end"/>
    </w:r>
    <w:r w:rsidR="00D24C87" w:rsidRPr="00ED3BE0">
      <w:rPr>
        <w:sz w:val="18"/>
        <w:szCs w:val="18"/>
      </w:rPr>
      <w:t xml:space="preserve"> </w:t>
    </w:r>
  </w:p>
  <w:p w14:paraId="5BA9CFD1" w14:textId="679BF6B6" w:rsidR="00D24C87" w:rsidRPr="00ED3BE0" w:rsidRDefault="00D24C87" w:rsidP="00ED3BE0">
    <w:pPr>
      <w:pStyle w:val="Footer"/>
      <w:spacing w:before="0"/>
      <w:rPr>
        <w:sz w:val="18"/>
        <w:szCs w:val="18"/>
      </w:rPr>
    </w:pPr>
    <w:r>
      <w:rPr>
        <w:sz w:val="18"/>
        <w:szCs w:val="18"/>
      </w:rPr>
      <w:t>v.</w:t>
    </w:r>
    <w:r w:rsidRPr="00ED3BE0">
      <w:rPr>
        <w:sz w:val="18"/>
        <w:szCs w:val="18"/>
      </w:rPr>
      <w:t>5</w:t>
    </w:r>
    <w:r w:rsidR="002A77A4">
      <w:rPr>
        <w:sz w:val="18"/>
        <w:szCs w:val="18"/>
      </w:rPr>
      <w:t>.</w:t>
    </w:r>
    <w:r w:rsidR="006F376D">
      <w:rPr>
        <w:sz w:val="18"/>
        <w:szCs w:val="18"/>
      </w:rPr>
      <w:t>2</w:t>
    </w:r>
    <w:r>
      <w:rPr>
        <w:sz w:val="18"/>
        <w:szCs w:val="18"/>
      </w:rPr>
      <w:tab/>
    </w:r>
    <w:r w:rsidR="00F4190A">
      <w:rPr>
        <w:sz w:val="18"/>
        <w:szCs w:val="18"/>
      </w:rPr>
      <w:t>Ma</w:t>
    </w:r>
    <w:r w:rsidR="006F376D">
      <w:rPr>
        <w:sz w:val="18"/>
        <w:szCs w:val="18"/>
      </w:rPr>
      <w:t>y</w:t>
    </w:r>
    <w:r w:rsidR="00F4190A">
      <w:rPr>
        <w:sz w:val="18"/>
        <w:szCs w:val="18"/>
      </w:rPr>
      <w:t xml:space="preserve"> 202</w:t>
    </w:r>
    <w:r w:rsidR="006F376D">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8093" w14:textId="77777777" w:rsidR="00747175" w:rsidRDefault="00747175" w:rsidP="00351040">
      <w:r>
        <w:separator/>
      </w:r>
    </w:p>
  </w:footnote>
  <w:footnote w:type="continuationSeparator" w:id="0">
    <w:p w14:paraId="52E334FC" w14:textId="77777777" w:rsidR="00747175" w:rsidRDefault="00747175" w:rsidP="0051066F">
      <w:r>
        <w:continuationSeparator/>
      </w:r>
    </w:p>
  </w:footnote>
  <w:footnote w:id="1">
    <w:p w14:paraId="4E7BA7BB" w14:textId="1B364B5E" w:rsidR="00D24C87" w:rsidRPr="00D26D28" w:rsidRDefault="00D24C87" w:rsidP="00B55711">
      <w:pPr>
        <w:pStyle w:val="FootnoteText"/>
        <w:spacing w:before="0"/>
      </w:pPr>
      <w:r w:rsidRPr="00034F55">
        <w:rPr>
          <w:rStyle w:val="FootnoteReference"/>
          <w:sz w:val="16"/>
          <w:szCs w:val="16"/>
        </w:rPr>
        <w:footnoteRef/>
      </w:r>
      <w:r w:rsidRPr="00034F55">
        <w:rPr>
          <w:sz w:val="16"/>
          <w:szCs w:val="16"/>
        </w:rPr>
        <w:t xml:space="preserve"> ARPANSA’s inspection program will only identify prohibited activities undertaken by controlled persons who are licensed for another activity. Targeted awareness campaigns will be conducted periodically to promote licensing and identify prohibited activity.</w:t>
      </w:r>
      <w:r>
        <w:t xml:space="preserve"> </w:t>
      </w:r>
    </w:p>
  </w:footnote>
  <w:footnote w:id="2">
    <w:p w14:paraId="7D813CE5" w14:textId="2DCC1E4F" w:rsidR="00D24C87" w:rsidRDefault="00D24C87">
      <w:pPr>
        <w:pStyle w:val="FootnoteText"/>
      </w:pPr>
      <w:r>
        <w:rPr>
          <w:rStyle w:val="FootnoteReference"/>
        </w:rPr>
        <w:footnoteRef/>
      </w:r>
      <w:r>
        <w:t xml:space="preserve"> </w:t>
      </w:r>
      <w:r w:rsidRPr="00BF642C">
        <w:rPr>
          <w:sz w:val="18"/>
          <w:szCs w:val="18"/>
        </w:rPr>
        <w:t xml:space="preserve">See </w:t>
      </w:r>
      <w:hyperlink w:anchor="_Appendix_E:_Report" w:history="1">
        <w:r w:rsidRPr="00BF642C">
          <w:rPr>
            <w:rStyle w:val="Hyperlink"/>
            <w:sz w:val="18"/>
            <w:szCs w:val="18"/>
          </w:rPr>
          <w:t>Appendix</w:t>
        </w:r>
        <w:r>
          <w:rPr>
            <w:rStyle w:val="Hyperlink"/>
            <w:sz w:val="18"/>
            <w:szCs w:val="18"/>
          </w:rPr>
          <w:t xml:space="preserve"> 4 Report writing guide</w:t>
        </w:r>
      </w:hyperlink>
    </w:p>
  </w:footnote>
  <w:footnote w:id="3">
    <w:p w14:paraId="659D2852" w14:textId="61738DBB" w:rsidR="00D24C87" w:rsidRPr="0015028E" w:rsidRDefault="00D24C87" w:rsidP="0051066F">
      <w:pPr>
        <w:pStyle w:val="FootnoteText"/>
      </w:pPr>
      <w:r w:rsidRPr="0015028E">
        <w:rPr>
          <w:rStyle w:val="FootnoteReference"/>
          <w:sz w:val="16"/>
          <w:szCs w:val="16"/>
        </w:rPr>
        <w:footnoteRef/>
      </w:r>
      <w:r w:rsidRPr="0015028E">
        <w:t xml:space="preserve"> </w:t>
      </w:r>
      <w:r w:rsidRPr="00FA4780">
        <w:rPr>
          <w:sz w:val="16"/>
          <w:szCs w:val="16"/>
        </w:rPr>
        <w:t>If the LAO is not available, the inspector may send the pdf report to the licence holder but must send a copy to the Licence Admin mailbox.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8F3"/>
    <w:multiLevelType w:val="hybridMultilevel"/>
    <w:tmpl w:val="CEF2C98E"/>
    <w:lvl w:ilvl="0" w:tplc="E1D4248C">
      <w:start w:val="1"/>
      <w:numFmt w:val="bullet"/>
      <w:lvlText w:val=""/>
      <w:lvlJc w:val="left"/>
      <w:pPr>
        <w:tabs>
          <w:tab w:val="num" w:pos="720"/>
        </w:tabs>
        <w:ind w:left="720" w:hanging="360"/>
      </w:pPr>
      <w:rPr>
        <w:rFonts w:ascii="Wingdings" w:hAnsi="Wingdings" w:hint="default"/>
      </w:rPr>
    </w:lvl>
    <w:lvl w:ilvl="1" w:tplc="884A026E" w:tentative="1">
      <w:start w:val="1"/>
      <w:numFmt w:val="bullet"/>
      <w:lvlText w:val=""/>
      <w:lvlJc w:val="left"/>
      <w:pPr>
        <w:tabs>
          <w:tab w:val="num" w:pos="1440"/>
        </w:tabs>
        <w:ind w:left="1440" w:hanging="360"/>
      </w:pPr>
      <w:rPr>
        <w:rFonts w:ascii="Wingdings" w:hAnsi="Wingdings" w:hint="default"/>
      </w:rPr>
    </w:lvl>
    <w:lvl w:ilvl="2" w:tplc="A510BFDA" w:tentative="1">
      <w:start w:val="1"/>
      <w:numFmt w:val="bullet"/>
      <w:lvlText w:val=""/>
      <w:lvlJc w:val="left"/>
      <w:pPr>
        <w:tabs>
          <w:tab w:val="num" w:pos="2160"/>
        </w:tabs>
        <w:ind w:left="2160" w:hanging="360"/>
      </w:pPr>
      <w:rPr>
        <w:rFonts w:ascii="Wingdings" w:hAnsi="Wingdings" w:hint="default"/>
      </w:rPr>
    </w:lvl>
    <w:lvl w:ilvl="3" w:tplc="85E62A30" w:tentative="1">
      <w:start w:val="1"/>
      <w:numFmt w:val="bullet"/>
      <w:lvlText w:val=""/>
      <w:lvlJc w:val="left"/>
      <w:pPr>
        <w:tabs>
          <w:tab w:val="num" w:pos="2880"/>
        </w:tabs>
        <w:ind w:left="2880" w:hanging="360"/>
      </w:pPr>
      <w:rPr>
        <w:rFonts w:ascii="Wingdings" w:hAnsi="Wingdings" w:hint="default"/>
      </w:rPr>
    </w:lvl>
    <w:lvl w:ilvl="4" w:tplc="C28A9BF4" w:tentative="1">
      <w:start w:val="1"/>
      <w:numFmt w:val="bullet"/>
      <w:lvlText w:val=""/>
      <w:lvlJc w:val="left"/>
      <w:pPr>
        <w:tabs>
          <w:tab w:val="num" w:pos="3600"/>
        </w:tabs>
        <w:ind w:left="3600" w:hanging="360"/>
      </w:pPr>
      <w:rPr>
        <w:rFonts w:ascii="Wingdings" w:hAnsi="Wingdings" w:hint="default"/>
      </w:rPr>
    </w:lvl>
    <w:lvl w:ilvl="5" w:tplc="48B6E5AC" w:tentative="1">
      <w:start w:val="1"/>
      <w:numFmt w:val="bullet"/>
      <w:lvlText w:val=""/>
      <w:lvlJc w:val="left"/>
      <w:pPr>
        <w:tabs>
          <w:tab w:val="num" w:pos="4320"/>
        </w:tabs>
        <w:ind w:left="4320" w:hanging="360"/>
      </w:pPr>
      <w:rPr>
        <w:rFonts w:ascii="Wingdings" w:hAnsi="Wingdings" w:hint="default"/>
      </w:rPr>
    </w:lvl>
    <w:lvl w:ilvl="6" w:tplc="83A83692" w:tentative="1">
      <w:start w:val="1"/>
      <w:numFmt w:val="bullet"/>
      <w:lvlText w:val=""/>
      <w:lvlJc w:val="left"/>
      <w:pPr>
        <w:tabs>
          <w:tab w:val="num" w:pos="5040"/>
        </w:tabs>
        <w:ind w:left="5040" w:hanging="360"/>
      </w:pPr>
      <w:rPr>
        <w:rFonts w:ascii="Wingdings" w:hAnsi="Wingdings" w:hint="default"/>
      </w:rPr>
    </w:lvl>
    <w:lvl w:ilvl="7" w:tplc="08A4D306" w:tentative="1">
      <w:start w:val="1"/>
      <w:numFmt w:val="bullet"/>
      <w:lvlText w:val=""/>
      <w:lvlJc w:val="left"/>
      <w:pPr>
        <w:tabs>
          <w:tab w:val="num" w:pos="5760"/>
        </w:tabs>
        <w:ind w:left="5760" w:hanging="360"/>
      </w:pPr>
      <w:rPr>
        <w:rFonts w:ascii="Wingdings" w:hAnsi="Wingdings" w:hint="default"/>
      </w:rPr>
    </w:lvl>
    <w:lvl w:ilvl="8" w:tplc="13D095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572B3"/>
    <w:multiLevelType w:val="hybridMultilevel"/>
    <w:tmpl w:val="761A22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36A34"/>
    <w:multiLevelType w:val="multilevel"/>
    <w:tmpl w:val="4184E9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EA6BDA"/>
    <w:multiLevelType w:val="hybridMultilevel"/>
    <w:tmpl w:val="D526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56965"/>
    <w:multiLevelType w:val="hybridMultilevel"/>
    <w:tmpl w:val="0C86EF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A7DEA"/>
    <w:multiLevelType w:val="hybridMultilevel"/>
    <w:tmpl w:val="AB3C86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B687F"/>
    <w:multiLevelType w:val="hybridMultilevel"/>
    <w:tmpl w:val="A6B2A0D8"/>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A2366"/>
    <w:multiLevelType w:val="hybridMultilevel"/>
    <w:tmpl w:val="8D0E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2A4FD5"/>
    <w:multiLevelType w:val="hybridMultilevel"/>
    <w:tmpl w:val="B87262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E36747"/>
    <w:multiLevelType w:val="hybridMultilevel"/>
    <w:tmpl w:val="AEFC6A58"/>
    <w:lvl w:ilvl="0" w:tplc="2FE48E58">
      <w:start w:val="1"/>
      <w:numFmt w:val="bullet"/>
      <w:lvlText w:val=""/>
      <w:lvlJc w:val="left"/>
      <w:pPr>
        <w:tabs>
          <w:tab w:val="num" w:pos="720"/>
        </w:tabs>
        <w:ind w:left="720" w:hanging="360"/>
      </w:pPr>
      <w:rPr>
        <w:rFonts w:ascii="Wingdings" w:hAnsi="Wingdings" w:hint="default"/>
      </w:rPr>
    </w:lvl>
    <w:lvl w:ilvl="1" w:tplc="613A83D6" w:tentative="1">
      <w:start w:val="1"/>
      <w:numFmt w:val="bullet"/>
      <w:lvlText w:val=""/>
      <w:lvlJc w:val="left"/>
      <w:pPr>
        <w:tabs>
          <w:tab w:val="num" w:pos="1440"/>
        </w:tabs>
        <w:ind w:left="1440" w:hanging="360"/>
      </w:pPr>
      <w:rPr>
        <w:rFonts w:ascii="Wingdings" w:hAnsi="Wingdings" w:hint="default"/>
      </w:rPr>
    </w:lvl>
    <w:lvl w:ilvl="2" w:tplc="4A201494" w:tentative="1">
      <w:start w:val="1"/>
      <w:numFmt w:val="bullet"/>
      <w:lvlText w:val=""/>
      <w:lvlJc w:val="left"/>
      <w:pPr>
        <w:tabs>
          <w:tab w:val="num" w:pos="2160"/>
        </w:tabs>
        <w:ind w:left="2160" w:hanging="360"/>
      </w:pPr>
      <w:rPr>
        <w:rFonts w:ascii="Wingdings" w:hAnsi="Wingdings" w:hint="default"/>
      </w:rPr>
    </w:lvl>
    <w:lvl w:ilvl="3" w:tplc="F634BB30" w:tentative="1">
      <w:start w:val="1"/>
      <w:numFmt w:val="bullet"/>
      <w:lvlText w:val=""/>
      <w:lvlJc w:val="left"/>
      <w:pPr>
        <w:tabs>
          <w:tab w:val="num" w:pos="2880"/>
        </w:tabs>
        <w:ind w:left="2880" w:hanging="360"/>
      </w:pPr>
      <w:rPr>
        <w:rFonts w:ascii="Wingdings" w:hAnsi="Wingdings" w:hint="default"/>
      </w:rPr>
    </w:lvl>
    <w:lvl w:ilvl="4" w:tplc="D1F4095E" w:tentative="1">
      <w:start w:val="1"/>
      <w:numFmt w:val="bullet"/>
      <w:lvlText w:val=""/>
      <w:lvlJc w:val="left"/>
      <w:pPr>
        <w:tabs>
          <w:tab w:val="num" w:pos="3600"/>
        </w:tabs>
        <w:ind w:left="3600" w:hanging="360"/>
      </w:pPr>
      <w:rPr>
        <w:rFonts w:ascii="Wingdings" w:hAnsi="Wingdings" w:hint="default"/>
      </w:rPr>
    </w:lvl>
    <w:lvl w:ilvl="5" w:tplc="AF10749C" w:tentative="1">
      <w:start w:val="1"/>
      <w:numFmt w:val="bullet"/>
      <w:lvlText w:val=""/>
      <w:lvlJc w:val="left"/>
      <w:pPr>
        <w:tabs>
          <w:tab w:val="num" w:pos="4320"/>
        </w:tabs>
        <w:ind w:left="4320" w:hanging="360"/>
      </w:pPr>
      <w:rPr>
        <w:rFonts w:ascii="Wingdings" w:hAnsi="Wingdings" w:hint="default"/>
      </w:rPr>
    </w:lvl>
    <w:lvl w:ilvl="6" w:tplc="EC6462D6" w:tentative="1">
      <w:start w:val="1"/>
      <w:numFmt w:val="bullet"/>
      <w:lvlText w:val=""/>
      <w:lvlJc w:val="left"/>
      <w:pPr>
        <w:tabs>
          <w:tab w:val="num" w:pos="5040"/>
        </w:tabs>
        <w:ind w:left="5040" w:hanging="360"/>
      </w:pPr>
      <w:rPr>
        <w:rFonts w:ascii="Wingdings" w:hAnsi="Wingdings" w:hint="default"/>
      </w:rPr>
    </w:lvl>
    <w:lvl w:ilvl="7" w:tplc="2A905ACC" w:tentative="1">
      <w:start w:val="1"/>
      <w:numFmt w:val="bullet"/>
      <w:lvlText w:val=""/>
      <w:lvlJc w:val="left"/>
      <w:pPr>
        <w:tabs>
          <w:tab w:val="num" w:pos="5760"/>
        </w:tabs>
        <w:ind w:left="5760" w:hanging="360"/>
      </w:pPr>
      <w:rPr>
        <w:rFonts w:ascii="Wingdings" w:hAnsi="Wingdings" w:hint="default"/>
      </w:rPr>
    </w:lvl>
    <w:lvl w:ilvl="8" w:tplc="B6708DB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14AB2"/>
    <w:multiLevelType w:val="hybridMultilevel"/>
    <w:tmpl w:val="8FA4EE12"/>
    <w:lvl w:ilvl="0" w:tplc="BEFA18D2">
      <w:start w:val="1"/>
      <w:numFmt w:val="bullet"/>
      <w:lvlText w:val=""/>
      <w:lvlJc w:val="left"/>
      <w:pPr>
        <w:tabs>
          <w:tab w:val="num" w:pos="720"/>
        </w:tabs>
        <w:ind w:left="720" w:hanging="360"/>
      </w:pPr>
      <w:rPr>
        <w:rFonts w:ascii="Wingdings" w:hAnsi="Wingdings" w:hint="default"/>
      </w:rPr>
    </w:lvl>
    <w:lvl w:ilvl="1" w:tplc="A57E6B8E" w:tentative="1">
      <w:start w:val="1"/>
      <w:numFmt w:val="bullet"/>
      <w:lvlText w:val=""/>
      <w:lvlJc w:val="left"/>
      <w:pPr>
        <w:tabs>
          <w:tab w:val="num" w:pos="1440"/>
        </w:tabs>
        <w:ind w:left="1440" w:hanging="360"/>
      </w:pPr>
      <w:rPr>
        <w:rFonts w:ascii="Wingdings" w:hAnsi="Wingdings" w:hint="default"/>
      </w:rPr>
    </w:lvl>
    <w:lvl w:ilvl="2" w:tplc="C86098B2" w:tentative="1">
      <w:start w:val="1"/>
      <w:numFmt w:val="bullet"/>
      <w:lvlText w:val=""/>
      <w:lvlJc w:val="left"/>
      <w:pPr>
        <w:tabs>
          <w:tab w:val="num" w:pos="2160"/>
        </w:tabs>
        <w:ind w:left="2160" w:hanging="360"/>
      </w:pPr>
      <w:rPr>
        <w:rFonts w:ascii="Wingdings" w:hAnsi="Wingdings" w:hint="default"/>
      </w:rPr>
    </w:lvl>
    <w:lvl w:ilvl="3" w:tplc="729C46B0" w:tentative="1">
      <w:start w:val="1"/>
      <w:numFmt w:val="bullet"/>
      <w:lvlText w:val=""/>
      <w:lvlJc w:val="left"/>
      <w:pPr>
        <w:tabs>
          <w:tab w:val="num" w:pos="2880"/>
        </w:tabs>
        <w:ind w:left="2880" w:hanging="360"/>
      </w:pPr>
      <w:rPr>
        <w:rFonts w:ascii="Wingdings" w:hAnsi="Wingdings" w:hint="default"/>
      </w:rPr>
    </w:lvl>
    <w:lvl w:ilvl="4" w:tplc="1CE02332" w:tentative="1">
      <w:start w:val="1"/>
      <w:numFmt w:val="bullet"/>
      <w:lvlText w:val=""/>
      <w:lvlJc w:val="left"/>
      <w:pPr>
        <w:tabs>
          <w:tab w:val="num" w:pos="3600"/>
        </w:tabs>
        <w:ind w:left="3600" w:hanging="360"/>
      </w:pPr>
      <w:rPr>
        <w:rFonts w:ascii="Wingdings" w:hAnsi="Wingdings" w:hint="default"/>
      </w:rPr>
    </w:lvl>
    <w:lvl w:ilvl="5" w:tplc="A2E6E628" w:tentative="1">
      <w:start w:val="1"/>
      <w:numFmt w:val="bullet"/>
      <w:lvlText w:val=""/>
      <w:lvlJc w:val="left"/>
      <w:pPr>
        <w:tabs>
          <w:tab w:val="num" w:pos="4320"/>
        </w:tabs>
        <w:ind w:left="4320" w:hanging="360"/>
      </w:pPr>
      <w:rPr>
        <w:rFonts w:ascii="Wingdings" w:hAnsi="Wingdings" w:hint="default"/>
      </w:rPr>
    </w:lvl>
    <w:lvl w:ilvl="6" w:tplc="397EE3DC" w:tentative="1">
      <w:start w:val="1"/>
      <w:numFmt w:val="bullet"/>
      <w:lvlText w:val=""/>
      <w:lvlJc w:val="left"/>
      <w:pPr>
        <w:tabs>
          <w:tab w:val="num" w:pos="5040"/>
        </w:tabs>
        <w:ind w:left="5040" w:hanging="360"/>
      </w:pPr>
      <w:rPr>
        <w:rFonts w:ascii="Wingdings" w:hAnsi="Wingdings" w:hint="default"/>
      </w:rPr>
    </w:lvl>
    <w:lvl w:ilvl="7" w:tplc="129EA882" w:tentative="1">
      <w:start w:val="1"/>
      <w:numFmt w:val="bullet"/>
      <w:lvlText w:val=""/>
      <w:lvlJc w:val="left"/>
      <w:pPr>
        <w:tabs>
          <w:tab w:val="num" w:pos="5760"/>
        </w:tabs>
        <w:ind w:left="5760" w:hanging="360"/>
      </w:pPr>
      <w:rPr>
        <w:rFonts w:ascii="Wingdings" w:hAnsi="Wingdings" w:hint="default"/>
      </w:rPr>
    </w:lvl>
    <w:lvl w:ilvl="8" w:tplc="1174D3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24E82"/>
    <w:multiLevelType w:val="hybridMultilevel"/>
    <w:tmpl w:val="5094984C"/>
    <w:lvl w:ilvl="0" w:tplc="51520B78">
      <w:start w:val="1"/>
      <w:numFmt w:val="lowerLetter"/>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3344AF"/>
    <w:multiLevelType w:val="multilevel"/>
    <w:tmpl w:val="7D2EC6E6"/>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0888" w:hanging="1800"/>
      </w:pPr>
      <w:rPr>
        <w:rFonts w:hint="default"/>
      </w:rPr>
    </w:lvl>
  </w:abstractNum>
  <w:abstractNum w:abstractNumId="13" w15:restartNumberingAfterBreak="0">
    <w:nsid w:val="1A0C79AA"/>
    <w:multiLevelType w:val="hybridMultilevel"/>
    <w:tmpl w:val="D518B14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D90309"/>
    <w:multiLevelType w:val="multilevel"/>
    <w:tmpl w:val="3CEEEC86"/>
    <w:lvl w:ilvl="0">
      <w:start w:val="1"/>
      <w:numFmt w:val="decimal"/>
      <w:lvlText w:val="%1"/>
      <w:lvlJc w:val="left"/>
      <w:pPr>
        <w:ind w:left="360" w:hanging="360"/>
      </w:pPr>
      <w:rPr>
        <w:rFonts w:hint="default"/>
      </w:rPr>
    </w:lvl>
    <w:lvl w:ilvl="1">
      <w:start w:val="1"/>
      <w:numFmt w:val="decimal"/>
      <w:pStyle w:val="Heading2"/>
      <w:lvlText w:val="%1.%2"/>
      <w:lvlJc w:val="left"/>
      <w:pPr>
        <w:ind w:left="928"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D160915"/>
    <w:multiLevelType w:val="hybridMultilevel"/>
    <w:tmpl w:val="190A08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1F5BCB"/>
    <w:multiLevelType w:val="hybridMultilevel"/>
    <w:tmpl w:val="9E6AEF74"/>
    <w:lvl w:ilvl="0" w:tplc="FD0EC8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30768"/>
    <w:multiLevelType w:val="hybridMultilevel"/>
    <w:tmpl w:val="9970FD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C92E25"/>
    <w:multiLevelType w:val="hybridMultilevel"/>
    <w:tmpl w:val="E7984440"/>
    <w:lvl w:ilvl="0" w:tplc="FD0EC8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960389"/>
    <w:multiLevelType w:val="hybridMultilevel"/>
    <w:tmpl w:val="E9700810"/>
    <w:lvl w:ilvl="0" w:tplc="9E9A10D2">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8F5C82"/>
    <w:multiLevelType w:val="hybridMultilevel"/>
    <w:tmpl w:val="FC68D0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4D1E7A"/>
    <w:multiLevelType w:val="hybridMultilevel"/>
    <w:tmpl w:val="7B8AF780"/>
    <w:lvl w:ilvl="0" w:tplc="8C54E19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7D7A54"/>
    <w:multiLevelType w:val="multilevel"/>
    <w:tmpl w:val="BD0278B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6E244E"/>
    <w:multiLevelType w:val="multilevel"/>
    <w:tmpl w:val="88E05DF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D860A9"/>
    <w:multiLevelType w:val="hybridMultilevel"/>
    <w:tmpl w:val="E108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0D48B2"/>
    <w:multiLevelType w:val="hybridMultilevel"/>
    <w:tmpl w:val="20AC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562473"/>
    <w:multiLevelType w:val="hybridMultilevel"/>
    <w:tmpl w:val="ED603096"/>
    <w:lvl w:ilvl="0" w:tplc="BEFA18D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6965FC"/>
    <w:multiLevelType w:val="multilevel"/>
    <w:tmpl w:val="8ADC8B88"/>
    <w:lvl w:ilvl="0">
      <w:start w:val="1"/>
      <w:numFmt w:val="decimal"/>
      <w:lvlText w:val="%1"/>
      <w:lvlJc w:val="left"/>
      <w:pPr>
        <w:ind w:left="360" w:hanging="360"/>
      </w:pPr>
      <w:rPr>
        <w:rFonts w:hint="default"/>
      </w:rPr>
    </w:lvl>
    <w:lvl w:ilvl="1">
      <w:start w:val="1"/>
      <w:numFmt w:val="bullet"/>
      <w:lvlText w:val=""/>
      <w:lvlJc w:val="left"/>
      <w:pPr>
        <w:ind w:left="928" w:hanging="360"/>
      </w:pPr>
      <w:rPr>
        <w:rFonts w:ascii="Wingdings" w:hAnsi="Wingding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40A6BC5"/>
    <w:multiLevelType w:val="hybridMultilevel"/>
    <w:tmpl w:val="6116E766"/>
    <w:lvl w:ilvl="0" w:tplc="E60E2372">
      <w:start w:val="1"/>
      <w:numFmt w:val="bullet"/>
      <w:lvlText w:val=""/>
      <w:lvlJc w:val="left"/>
      <w:pPr>
        <w:tabs>
          <w:tab w:val="num" w:pos="720"/>
        </w:tabs>
        <w:ind w:left="720" w:hanging="360"/>
      </w:pPr>
      <w:rPr>
        <w:rFonts w:ascii="Wingdings" w:hAnsi="Wingdings" w:hint="default"/>
      </w:rPr>
    </w:lvl>
    <w:lvl w:ilvl="1" w:tplc="306871F4" w:tentative="1">
      <w:start w:val="1"/>
      <w:numFmt w:val="bullet"/>
      <w:lvlText w:val=""/>
      <w:lvlJc w:val="left"/>
      <w:pPr>
        <w:tabs>
          <w:tab w:val="num" w:pos="1440"/>
        </w:tabs>
        <w:ind w:left="1440" w:hanging="360"/>
      </w:pPr>
      <w:rPr>
        <w:rFonts w:ascii="Wingdings" w:hAnsi="Wingdings" w:hint="default"/>
      </w:rPr>
    </w:lvl>
    <w:lvl w:ilvl="2" w:tplc="3F24B482" w:tentative="1">
      <w:start w:val="1"/>
      <w:numFmt w:val="bullet"/>
      <w:lvlText w:val=""/>
      <w:lvlJc w:val="left"/>
      <w:pPr>
        <w:tabs>
          <w:tab w:val="num" w:pos="2160"/>
        </w:tabs>
        <w:ind w:left="2160" w:hanging="360"/>
      </w:pPr>
      <w:rPr>
        <w:rFonts w:ascii="Wingdings" w:hAnsi="Wingdings" w:hint="default"/>
      </w:rPr>
    </w:lvl>
    <w:lvl w:ilvl="3" w:tplc="7F6EFDAE" w:tentative="1">
      <w:start w:val="1"/>
      <w:numFmt w:val="bullet"/>
      <w:lvlText w:val=""/>
      <w:lvlJc w:val="left"/>
      <w:pPr>
        <w:tabs>
          <w:tab w:val="num" w:pos="2880"/>
        </w:tabs>
        <w:ind w:left="2880" w:hanging="360"/>
      </w:pPr>
      <w:rPr>
        <w:rFonts w:ascii="Wingdings" w:hAnsi="Wingdings" w:hint="default"/>
      </w:rPr>
    </w:lvl>
    <w:lvl w:ilvl="4" w:tplc="C86A2CE6" w:tentative="1">
      <w:start w:val="1"/>
      <w:numFmt w:val="bullet"/>
      <w:lvlText w:val=""/>
      <w:lvlJc w:val="left"/>
      <w:pPr>
        <w:tabs>
          <w:tab w:val="num" w:pos="3600"/>
        </w:tabs>
        <w:ind w:left="3600" w:hanging="360"/>
      </w:pPr>
      <w:rPr>
        <w:rFonts w:ascii="Wingdings" w:hAnsi="Wingdings" w:hint="default"/>
      </w:rPr>
    </w:lvl>
    <w:lvl w:ilvl="5" w:tplc="C6BCAB80" w:tentative="1">
      <w:start w:val="1"/>
      <w:numFmt w:val="bullet"/>
      <w:lvlText w:val=""/>
      <w:lvlJc w:val="left"/>
      <w:pPr>
        <w:tabs>
          <w:tab w:val="num" w:pos="4320"/>
        </w:tabs>
        <w:ind w:left="4320" w:hanging="360"/>
      </w:pPr>
      <w:rPr>
        <w:rFonts w:ascii="Wingdings" w:hAnsi="Wingdings" w:hint="default"/>
      </w:rPr>
    </w:lvl>
    <w:lvl w:ilvl="6" w:tplc="E616883A" w:tentative="1">
      <w:start w:val="1"/>
      <w:numFmt w:val="bullet"/>
      <w:lvlText w:val=""/>
      <w:lvlJc w:val="left"/>
      <w:pPr>
        <w:tabs>
          <w:tab w:val="num" w:pos="5040"/>
        </w:tabs>
        <w:ind w:left="5040" w:hanging="360"/>
      </w:pPr>
      <w:rPr>
        <w:rFonts w:ascii="Wingdings" w:hAnsi="Wingdings" w:hint="default"/>
      </w:rPr>
    </w:lvl>
    <w:lvl w:ilvl="7" w:tplc="80269856" w:tentative="1">
      <w:start w:val="1"/>
      <w:numFmt w:val="bullet"/>
      <w:lvlText w:val=""/>
      <w:lvlJc w:val="left"/>
      <w:pPr>
        <w:tabs>
          <w:tab w:val="num" w:pos="5760"/>
        </w:tabs>
        <w:ind w:left="5760" w:hanging="360"/>
      </w:pPr>
      <w:rPr>
        <w:rFonts w:ascii="Wingdings" w:hAnsi="Wingdings" w:hint="default"/>
      </w:rPr>
    </w:lvl>
    <w:lvl w:ilvl="8" w:tplc="C51434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D6C5E"/>
    <w:multiLevelType w:val="hybridMultilevel"/>
    <w:tmpl w:val="2AF66B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A57DF3"/>
    <w:multiLevelType w:val="hybridMultilevel"/>
    <w:tmpl w:val="3FE4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126E8"/>
    <w:multiLevelType w:val="hybridMultilevel"/>
    <w:tmpl w:val="97D0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CB0165"/>
    <w:multiLevelType w:val="hybridMultilevel"/>
    <w:tmpl w:val="473AE1D2"/>
    <w:lvl w:ilvl="0" w:tplc="D9227758">
      <w:start w:val="1"/>
      <w:numFmt w:val="bullet"/>
      <w:lvlText w:val=""/>
      <w:lvlJc w:val="left"/>
      <w:pPr>
        <w:tabs>
          <w:tab w:val="num" w:pos="720"/>
        </w:tabs>
        <w:ind w:left="720" w:hanging="360"/>
      </w:pPr>
      <w:rPr>
        <w:rFonts w:ascii="Wingdings" w:hAnsi="Wingdings" w:hint="default"/>
      </w:rPr>
    </w:lvl>
    <w:lvl w:ilvl="1" w:tplc="092E88BC" w:tentative="1">
      <w:start w:val="1"/>
      <w:numFmt w:val="bullet"/>
      <w:lvlText w:val=""/>
      <w:lvlJc w:val="left"/>
      <w:pPr>
        <w:tabs>
          <w:tab w:val="num" w:pos="1440"/>
        </w:tabs>
        <w:ind w:left="1440" w:hanging="360"/>
      </w:pPr>
      <w:rPr>
        <w:rFonts w:ascii="Wingdings" w:hAnsi="Wingdings" w:hint="default"/>
      </w:rPr>
    </w:lvl>
    <w:lvl w:ilvl="2" w:tplc="F6CA2456" w:tentative="1">
      <w:start w:val="1"/>
      <w:numFmt w:val="bullet"/>
      <w:lvlText w:val=""/>
      <w:lvlJc w:val="left"/>
      <w:pPr>
        <w:tabs>
          <w:tab w:val="num" w:pos="2160"/>
        </w:tabs>
        <w:ind w:left="2160" w:hanging="360"/>
      </w:pPr>
      <w:rPr>
        <w:rFonts w:ascii="Wingdings" w:hAnsi="Wingdings" w:hint="default"/>
      </w:rPr>
    </w:lvl>
    <w:lvl w:ilvl="3" w:tplc="7FB4958A" w:tentative="1">
      <w:start w:val="1"/>
      <w:numFmt w:val="bullet"/>
      <w:lvlText w:val=""/>
      <w:lvlJc w:val="left"/>
      <w:pPr>
        <w:tabs>
          <w:tab w:val="num" w:pos="2880"/>
        </w:tabs>
        <w:ind w:left="2880" w:hanging="360"/>
      </w:pPr>
      <w:rPr>
        <w:rFonts w:ascii="Wingdings" w:hAnsi="Wingdings" w:hint="default"/>
      </w:rPr>
    </w:lvl>
    <w:lvl w:ilvl="4" w:tplc="380455DE" w:tentative="1">
      <w:start w:val="1"/>
      <w:numFmt w:val="bullet"/>
      <w:lvlText w:val=""/>
      <w:lvlJc w:val="left"/>
      <w:pPr>
        <w:tabs>
          <w:tab w:val="num" w:pos="3600"/>
        </w:tabs>
        <w:ind w:left="3600" w:hanging="360"/>
      </w:pPr>
      <w:rPr>
        <w:rFonts w:ascii="Wingdings" w:hAnsi="Wingdings" w:hint="default"/>
      </w:rPr>
    </w:lvl>
    <w:lvl w:ilvl="5" w:tplc="76B68E76" w:tentative="1">
      <w:start w:val="1"/>
      <w:numFmt w:val="bullet"/>
      <w:lvlText w:val=""/>
      <w:lvlJc w:val="left"/>
      <w:pPr>
        <w:tabs>
          <w:tab w:val="num" w:pos="4320"/>
        </w:tabs>
        <w:ind w:left="4320" w:hanging="360"/>
      </w:pPr>
      <w:rPr>
        <w:rFonts w:ascii="Wingdings" w:hAnsi="Wingdings" w:hint="default"/>
      </w:rPr>
    </w:lvl>
    <w:lvl w:ilvl="6" w:tplc="F02A1A84" w:tentative="1">
      <w:start w:val="1"/>
      <w:numFmt w:val="bullet"/>
      <w:lvlText w:val=""/>
      <w:lvlJc w:val="left"/>
      <w:pPr>
        <w:tabs>
          <w:tab w:val="num" w:pos="5040"/>
        </w:tabs>
        <w:ind w:left="5040" w:hanging="360"/>
      </w:pPr>
      <w:rPr>
        <w:rFonts w:ascii="Wingdings" w:hAnsi="Wingdings" w:hint="default"/>
      </w:rPr>
    </w:lvl>
    <w:lvl w:ilvl="7" w:tplc="B09CDE1E" w:tentative="1">
      <w:start w:val="1"/>
      <w:numFmt w:val="bullet"/>
      <w:lvlText w:val=""/>
      <w:lvlJc w:val="left"/>
      <w:pPr>
        <w:tabs>
          <w:tab w:val="num" w:pos="5760"/>
        </w:tabs>
        <w:ind w:left="5760" w:hanging="360"/>
      </w:pPr>
      <w:rPr>
        <w:rFonts w:ascii="Wingdings" w:hAnsi="Wingdings" w:hint="default"/>
      </w:rPr>
    </w:lvl>
    <w:lvl w:ilvl="8" w:tplc="E124D25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2B6D50"/>
    <w:multiLevelType w:val="hybridMultilevel"/>
    <w:tmpl w:val="3BC0ABB2"/>
    <w:lvl w:ilvl="0" w:tplc="7A0812F2">
      <w:start w:val="1"/>
      <w:numFmt w:val="bullet"/>
      <w:lvlText w:val=""/>
      <w:lvlJc w:val="left"/>
      <w:pPr>
        <w:ind w:left="928" w:hanging="360"/>
      </w:pPr>
      <w:rPr>
        <w:rFonts w:ascii="Wingdings" w:hAnsi="Wingdings" w:hint="default"/>
        <w:color w:val="2B992B"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B373D7B"/>
    <w:multiLevelType w:val="hybridMultilevel"/>
    <w:tmpl w:val="0778C968"/>
    <w:lvl w:ilvl="0" w:tplc="17D6F51A">
      <w:start w:val="1"/>
      <w:numFmt w:val="decimal"/>
      <w:pStyle w:val="Style1"/>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F412AC"/>
    <w:multiLevelType w:val="hybridMultilevel"/>
    <w:tmpl w:val="15060C7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437878"/>
    <w:multiLevelType w:val="hybridMultilevel"/>
    <w:tmpl w:val="BDA88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C9408C5"/>
    <w:multiLevelType w:val="hybridMultilevel"/>
    <w:tmpl w:val="CE926E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CF345A"/>
    <w:multiLevelType w:val="hybridMultilevel"/>
    <w:tmpl w:val="19EC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F435BE"/>
    <w:multiLevelType w:val="hybridMultilevel"/>
    <w:tmpl w:val="E774E8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0EA70CE"/>
    <w:multiLevelType w:val="hybridMultilevel"/>
    <w:tmpl w:val="C61E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EE4D49"/>
    <w:multiLevelType w:val="hybridMultilevel"/>
    <w:tmpl w:val="3C502E54"/>
    <w:lvl w:ilvl="0" w:tplc="FD0EC8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D84661"/>
    <w:multiLevelType w:val="hybridMultilevel"/>
    <w:tmpl w:val="D83CFDAC"/>
    <w:lvl w:ilvl="0" w:tplc="6D1A06C2">
      <w:start w:val="1"/>
      <w:numFmt w:val="lowerLetter"/>
      <w:lvlText w:val="%1."/>
      <w:lvlJc w:val="left"/>
      <w:pPr>
        <w:ind w:left="2847" w:hanging="360"/>
      </w:pPr>
      <w:rPr>
        <w:rFonts w:hint="default"/>
        <w:sz w:val="16"/>
        <w:szCs w:val="16"/>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43" w15:restartNumberingAfterBreak="0">
    <w:nsid w:val="553A58FD"/>
    <w:multiLevelType w:val="hybridMultilevel"/>
    <w:tmpl w:val="40C4EF84"/>
    <w:lvl w:ilvl="0" w:tplc="49B2C2A4">
      <w:start w:val="1"/>
      <w:numFmt w:val="bullet"/>
      <w:lvlText w:val=""/>
      <w:lvlJc w:val="left"/>
      <w:pPr>
        <w:tabs>
          <w:tab w:val="num" w:pos="720"/>
        </w:tabs>
        <w:ind w:left="720" w:hanging="360"/>
      </w:pPr>
      <w:rPr>
        <w:rFonts w:ascii="Wingdings" w:hAnsi="Wingdings" w:hint="default"/>
      </w:rPr>
    </w:lvl>
    <w:lvl w:ilvl="1" w:tplc="AD1ED7E8" w:tentative="1">
      <w:start w:val="1"/>
      <w:numFmt w:val="bullet"/>
      <w:lvlText w:val=""/>
      <w:lvlJc w:val="left"/>
      <w:pPr>
        <w:tabs>
          <w:tab w:val="num" w:pos="1440"/>
        </w:tabs>
        <w:ind w:left="1440" w:hanging="360"/>
      </w:pPr>
      <w:rPr>
        <w:rFonts w:ascii="Wingdings" w:hAnsi="Wingdings" w:hint="default"/>
      </w:rPr>
    </w:lvl>
    <w:lvl w:ilvl="2" w:tplc="655ABBE0" w:tentative="1">
      <w:start w:val="1"/>
      <w:numFmt w:val="bullet"/>
      <w:lvlText w:val=""/>
      <w:lvlJc w:val="left"/>
      <w:pPr>
        <w:tabs>
          <w:tab w:val="num" w:pos="2160"/>
        </w:tabs>
        <w:ind w:left="2160" w:hanging="360"/>
      </w:pPr>
      <w:rPr>
        <w:rFonts w:ascii="Wingdings" w:hAnsi="Wingdings" w:hint="default"/>
      </w:rPr>
    </w:lvl>
    <w:lvl w:ilvl="3" w:tplc="13F29208" w:tentative="1">
      <w:start w:val="1"/>
      <w:numFmt w:val="bullet"/>
      <w:lvlText w:val=""/>
      <w:lvlJc w:val="left"/>
      <w:pPr>
        <w:tabs>
          <w:tab w:val="num" w:pos="2880"/>
        </w:tabs>
        <w:ind w:left="2880" w:hanging="360"/>
      </w:pPr>
      <w:rPr>
        <w:rFonts w:ascii="Wingdings" w:hAnsi="Wingdings" w:hint="default"/>
      </w:rPr>
    </w:lvl>
    <w:lvl w:ilvl="4" w:tplc="D8D280C0" w:tentative="1">
      <w:start w:val="1"/>
      <w:numFmt w:val="bullet"/>
      <w:lvlText w:val=""/>
      <w:lvlJc w:val="left"/>
      <w:pPr>
        <w:tabs>
          <w:tab w:val="num" w:pos="3600"/>
        </w:tabs>
        <w:ind w:left="3600" w:hanging="360"/>
      </w:pPr>
      <w:rPr>
        <w:rFonts w:ascii="Wingdings" w:hAnsi="Wingdings" w:hint="default"/>
      </w:rPr>
    </w:lvl>
    <w:lvl w:ilvl="5" w:tplc="B8029FB8" w:tentative="1">
      <w:start w:val="1"/>
      <w:numFmt w:val="bullet"/>
      <w:lvlText w:val=""/>
      <w:lvlJc w:val="left"/>
      <w:pPr>
        <w:tabs>
          <w:tab w:val="num" w:pos="4320"/>
        </w:tabs>
        <w:ind w:left="4320" w:hanging="360"/>
      </w:pPr>
      <w:rPr>
        <w:rFonts w:ascii="Wingdings" w:hAnsi="Wingdings" w:hint="default"/>
      </w:rPr>
    </w:lvl>
    <w:lvl w:ilvl="6" w:tplc="D0EC65C4" w:tentative="1">
      <w:start w:val="1"/>
      <w:numFmt w:val="bullet"/>
      <w:lvlText w:val=""/>
      <w:lvlJc w:val="left"/>
      <w:pPr>
        <w:tabs>
          <w:tab w:val="num" w:pos="5040"/>
        </w:tabs>
        <w:ind w:left="5040" w:hanging="360"/>
      </w:pPr>
      <w:rPr>
        <w:rFonts w:ascii="Wingdings" w:hAnsi="Wingdings" w:hint="default"/>
      </w:rPr>
    </w:lvl>
    <w:lvl w:ilvl="7" w:tplc="9828DD8E" w:tentative="1">
      <w:start w:val="1"/>
      <w:numFmt w:val="bullet"/>
      <w:lvlText w:val=""/>
      <w:lvlJc w:val="left"/>
      <w:pPr>
        <w:tabs>
          <w:tab w:val="num" w:pos="5760"/>
        </w:tabs>
        <w:ind w:left="5760" w:hanging="360"/>
      </w:pPr>
      <w:rPr>
        <w:rFonts w:ascii="Wingdings" w:hAnsi="Wingdings" w:hint="default"/>
      </w:rPr>
    </w:lvl>
    <w:lvl w:ilvl="8" w:tplc="2BEC79B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78743D"/>
    <w:multiLevelType w:val="multilevel"/>
    <w:tmpl w:val="8ADC8B88"/>
    <w:lvl w:ilvl="0">
      <w:start w:val="1"/>
      <w:numFmt w:val="decimal"/>
      <w:lvlText w:val="%1"/>
      <w:lvlJc w:val="left"/>
      <w:pPr>
        <w:ind w:left="360" w:hanging="360"/>
      </w:pPr>
      <w:rPr>
        <w:rFonts w:hint="default"/>
      </w:rPr>
    </w:lvl>
    <w:lvl w:ilvl="1">
      <w:start w:val="1"/>
      <w:numFmt w:val="bullet"/>
      <w:lvlText w:val=""/>
      <w:lvlJc w:val="left"/>
      <w:pPr>
        <w:ind w:left="928" w:hanging="360"/>
      </w:pPr>
      <w:rPr>
        <w:rFonts w:ascii="Wingdings" w:hAnsi="Wingding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58A8743F"/>
    <w:multiLevelType w:val="hybridMultilevel"/>
    <w:tmpl w:val="BACE23AA"/>
    <w:lvl w:ilvl="0" w:tplc="92D433CC">
      <w:start w:val="1"/>
      <w:numFmt w:val="bullet"/>
      <w:lvlText w:val=""/>
      <w:lvlJc w:val="left"/>
      <w:pPr>
        <w:tabs>
          <w:tab w:val="num" w:pos="720"/>
        </w:tabs>
        <w:ind w:left="720" w:hanging="360"/>
      </w:pPr>
      <w:rPr>
        <w:rFonts w:ascii="Wingdings" w:hAnsi="Wingdings" w:hint="default"/>
      </w:rPr>
    </w:lvl>
    <w:lvl w:ilvl="1" w:tplc="8B84B18A" w:tentative="1">
      <w:start w:val="1"/>
      <w:numFmt w:val="bullet"/>
      <w:lvlText w:val=""/>
      <w:lvlJc w:val="left"/>
      <w:pPr>
        <w:tabs>
          <w:tab w:val="num" w:pos="1440"/>
        </w:tabs>
        <w:ind w:left="1440" w:hanging="360"/>
      </w:pPr>
      <w:rPr>
        <w:rFonts w:ascii="Wingdings" w:hAnsi="Wingdings" w:hint="default"/>
      </w:rPr>
    </w:lvl>
    <w:lvl w:ilvl="2" w:tplc="98BE3782" w:tentative="1">
      <w:start w:val="1"/>
      <w:numFmt w:val="bullet"/>
      <w:lvlText w:val=""/>
      <w:lvlJc w:val="left"/>
      <w:pPr>
        <w:tabs>
          <w:tab w:val="num" w:pos="2160"/>
        </w:tabs>
        <w:ind w:left="2160" w:hanging="360"/>
      </w:pPr>
      <w:rPr>
        <w:rFonts w:ascii="Wingdings" w:hAnsi="Wingdings" w:hint="default"/>
      </w:rPr>
    </w:lvl>
    <w:lvl w:ilvl="3" w:tplc="E3607834" w:tentative="1">
      <w:start w:val="1"/>
      <w:numFmt w:val="bullet"/>
      <w:lvlText w:val=""/>
      <w:lvlJc w:val="left"/>
      <w:pPr>
        <w:tabs>
          <w:tab w:val="num" w:pos="2880"/>
        </w:tabs>
        <w:ind w:left="2880" w:hanging="360"/>
      </w:pPr>
      <w:rPr>
        <w:rFonts w:ascii="Wingdings" w:hAnsi="Wingdings" w:hint="default"/>
      </w:rPr>
    </w:lvl>
    <w:lvl w:ilvl="4" w:tplc="FB324EB4" w:tentative="1">
      <w:start w:val="1"/>
      <w:numFmt w:val="bullet"/>
      <w:lvlText w:val=""/>
      <w:lvlJc w:val="left"/>
      <w:pPr>
        <w:tabs>
          <w:tab w:val="num" w:pos="3600"/>
        </w:tabs>
        <w:ind w:left="3600" w:hanging="360"/>
      </w:pPr>
      <w:rPr>
        <w:rFonts w:ascii="Wingdings" w:hAnsi="Wingdings" w:hint="default"/>
      </w:rPr>
    </w:lvl>
    <w:lvl w:ilvl="5" w:tplc="A6D85D5A" w:tentative="1">
      <w:start w:val="1"/>
      <w:numFmt w:val="bullet"/>
      <w:lvlText w:val=""/>
      <w:lvlJc w:val="left"/>
      <w:pPr>
        <w:tabs>
          <w:tab w:val="num" w:pos="4320"/>
        </w:tabs>
        <w:ind w:left="4320" w:hanging="360"/>
      </w:pPr>
      <w:rPr>
        <w:rFonts w:ascii="Wingdings" w:hAnsi="Wingdings" w:hint="default"/>
      </w:rPr>
    </w:lvl>
    <w:lvl w:ilvl="6" w:tplc="CE66AC66" w:tentative="1">
      <w:start w:val="1"/>
      <w:numFmt w:val="bullet"/>
      <w:lvlText w:val=""/>
      <w:lvlJc w:val="left"/>
      <w:pPr>
        <w:tabs>
          <w:tab w:val="num" w:pos="5040"/>
        </w:tabs>
        <w:ind w:left="5040" w:hanging="360"/>
      </w:pPr>
      <w:rPr>
        <w:rFonts w:ascii="Wingdings" w:hAnsi="Wingdings" w:hint="default"/>
      </w:rPr>
    </w:lvl>
    <w:lvl w:ilvl="7" w:tplc="442CB460" w:tentative="1">
      <w:start w:val="1"/>
      <w:numFmt w:val="bullet"/>
      <w:lvlText w:val=""/>
      <w:lvlJc w:val="left"/>
      <w:pPr>
        <w:tabs>
          <w:tab w:val="num" w:pos="5760"/>
        </w:tabs>
        <w:ind w:left="5760" w:hanging="360"/>
      </w:pPr>
      <w:rPr>
        <w:rFonts w:ascii="Wingdings" w:hAnsi="Wingdings" w:hint="default"/>
      </w:rPr>
    </w:lvl>
    <w:lvl w:ilvl="8" w:tplc="62F4975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2A6BB2"/>
    <w:multiLevelType w:val="hybridMultilevel"/>
    <w:tmpl w:val="C16856BC"/>
    <w:lvl w:ilvl="0" w:tplc="BEFA18D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B14D88"/>
    <w:multiLevelType w:val="hybridMultilevel"/>
    <w:tmpl w:val="453C6346"/>
    <w:lvl w:ilvl="0" w:tplc="FD0EC8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E11D08"/>
    <w:multiLevelType w:val="hybridMultilevel"/>
    <w:tmpl w:val="04C4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084BE9"/>
    <w:multiLevelType w:val="multilevel"/>
    <w:tmpl w:val="8ADC8B88"/>
    <w:lvl w:ilvl="0">
      <w:start w:val="1"/>
      <w:numFmt w:val="decimal"/>
      <w:lvlText w:val="%1"/>
      <w:lvlJc w:val="left"/>
      <w:pPr>
        <w:ind w:left="360" w:hanging="360"/>
      </w:pPr>
      <w:rPr>
        <w:rFonts w:hint="default"/>
      </w:rPr>
    </w:lvl>
    <w:lvl w:ilvl="1">
      <w:start w:val="1"/>
      <w:numFmt w:val="bullet"/>
      <w:lvlText w:val=""/>
      <w:lvlJc w:val="left"/>
      <w:pPr>
        <w:ind w:left="928" w:hanging="360"/>
      </w:pPr>
      <w:rPr>
        <w:rFonts w:ascii="Wingdings" w:hAnsi="Wingding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604F06F9"/>
    <w:multiLevelType w:val="hybridMultilevel"/>
    <w:tmpl w:val="69B01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401870"/>
    <w:multiLevelType w:val="hybridMultilevel"/>
    <w:tmpl w:val="7AF0D6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772CD7"/>
    <w:multiLevelType w:val="hybridMultilevel"/>
    <w:tmpl w:val="3F4CAC72"/>
    <w:lvl w:ilvl="0" w:tplc="2B5837C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3D47D9F"/>
    <w:multiLevelType w:val="multilevel"/>
    <w:tmpl w:val="8ADC8B88"/>
    <w:lvl w:ilvl="0">
      <w:start w:val="1"/>
      <w:numFmt w:val="decimal"/>
      <w:lvlText w:val="%1"/>
      <w:lvlJc w:val="left"/>
      <w:pPr>
        <w:ind w:left="360" w:hanging="360"/>
      </w:pPr>
      <w:rPr>
        <w:rFonts w:hint="default"/>
      </w:rPr>
    </w:lvl>
    <w:lvl w:ilvl="1">
      <w:start w:val="1"/>
      <w:numFmt w:val="bullet"/>
      <w:lvlText w:val=""/>
      <w:lvlJc w:val="left"/>
      <w:pPr>
        <w:ind w:left="928" w:hanging="360"/>
      </w:pPr>
      <w:rPr>
        <w:rFonts w:ascii="Wingdings" w:hAnsi="Wingding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5483E6C"/>
    <w:multiLevelType w:val="hybridMultilevel"/>
    <w:tmpl w:val="CC6CD7FC"/>
    <w:lvl w:ilvl="0" w:tplc="FD0EC8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5F3F45"/>
    <w:multiLevelType w:val="hybridMultilevel"/>
    <w:tmpl w:val="5AD061F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A2857DE"/>
    <w:multiLevelType w:val="hybridMultilevel"/>
    <w:tmpl w:val="6240BDE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A994CA1"/>
    <w:multiLevelType w:val="hybridMultilevel"/>
    <w:tmpl w:val="0FF2FE0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D23D23"/>
    <w:multiLevelType w:val="hybridMultilevel"/>
    <w:tmpl w:val="47C26A3A"/>
    <w:lvl w:ilvl="0" w:tplc="CDFA8272">
      <w:start w:val="1"/>
      <w:numFmt w:val="bullet"/>
      <w:lvlText w:val=""/>
      <w:lvlJc w:val="left"/>
      <w:pPr>
        <w:ind w:left="720" w:hanging="360"/>
      </w:pPr>
      <w:rPr>
        <w:rFonts w:ascii="Wingdings" w:hAnsi="Wingdings" w:hint="default"/>
        <w:color w:val="154C15"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B957F26"/>
    <w:multiLevelType w:val="hybridMultilevel"/>
    <w:tmpl w:val="6BDA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0839FF"/>
    <w:multiLevelType w:val="hybridMultilevel"/>
    <w:tmpl w:val="2CFE7D1A"/>
    <w:lvl w:ilvl="0" w:tplc="0C090001">
      <w:start w:val="1"/>
      <w:numFmt w:val="bullet"/>
      <w:lvlText w:val=""/>
      <w:lvlJc w:val="left"/>
      <w:pPr>
        <w:ind w:left="720" w:hanging="360"/>
      </w:pPr>
      <w:rPr>
        <w:rFonts w:ascii="Symbol" w:hAnsi="Symbol" w:hint="default"/>
      </w:rPr>
    </w:lvl>
    <w:lvl w:ilvl="1" w:tplc="296EC7CA">
      <w:numFmt w:val="bullet"/>
      <w:lvlText w:val="−"/>
      <w:lvlJc w:val="left"/>
      <w:pPr>
        <w:ind w:left="1440" w:hanging="360"/>
      </w:pPr>
      <w:rPr>
        <w:rFonts w:ascii="Calibri" w:eastAsiaTheme="minorEastAsia" w:hAnsi="Calibri" w:cstheme="minorBidi" w:hint="default"/>
      </w:rPr>
    </w:lvl>
    <w:lvl w:ilvl="2" w:tplc="F43EB8FE">
      <w:numFmt w:val="bullet"/>
      <w:lvlText w:val="•"/>
      <w:lvlJc w:val="left"/>
      <w:pPr>
        <w:ind w:left="2160" w:hanging="360"/>
      </w:pPr>
      <w:rPr>
        <w:rFonts w:ascii="Calibri" w:eastAsiaTheme="minorEastAsia"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5660C7"/>
    <w:multiLevelType w:val="hybridMultilevel"/>
    <w:tmpl w:val="80549C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996F2E"/>
    <w:multiLevelType w:val="hybridMultilevel"/>
    <w:tmpl w:val="798A1D5C"/>
    <w:lvl w:ilvl="0" w:tplc="9BDE032C">
      <w:start w:val="1"/>
      <w:numFmt w:val="decimal"/>
      <w:lvlText w:val="[%1]"/>
      <w:lvlJc w:val="left"/>
      <w:pPr>
        <w:ind w:left="720" w:hanging="360"/>
      </w:pPr>
      <w:rPr>
        <w:rFonts w:hint="default"/>
        <w:b/>
        <w:color w:val="4E1A74"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E6A336B"/>
    <w:multiLevelType w:val="hybridMultilevel"/>
    <w:tmpl w:val="90A8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6E6B86"/>
    <w:multiLevelType w:val="hybridMultilevel"/>
    <w:tmpl w:val="64987D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8C69CB"/>
    <w:multiLevelType w:val="hybridMultilevel"/>
    <w:tmpl w:val="CC22CA3A"/>
    <w:lvl w:ilvl="0" w:tplc="FD0EC8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E30D72"/>
    <w:multiLevelType w:val="hybridMultilevel"/>
    <w:tmpl w:val="F196A94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7" w15:restartNumberingAfterBreak="0">
    <w:nsid w:val="78C97DEF"/>
    <w:multiLevelType w:val="multilevel"/>
    <w:tmpl w:val="FAD08E30"/>
    <w:lvl w:ilvl="0">
      <w:start w:val="1"/>
      <w:numFmt w:val="decimal"/>
      <w:lvlText w:val="%1."/>
      <w:lvlJc w:val="left"/>
      <w:pPr>
        <w:ind w:left="720" w:hanging="360"/>
      </w:pPr>
      <w:rPr>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E02D52"/>
    <w:multiLevelType w:val="hybridMultilevel"/>
    <w:tmpl w:val="32F40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6714027">
    <w:abstractNumId w:val="24"/>
  </w:num>
  <w:num w:numId="2" w16cid:durableId="1985815407">
    <w:abstractNumId w:val="60"/>
  </w:num>
  <w:num w:numId="3" w16cid:durableId="1684697595">
    <w:abstractNumId w:val="23"/>
  </w:num>
  <w:num w:numId="4" w16cid:durableId="1716546277">
    <w:abstractNumId w:val="31"/>
  </w:num>
  <w:num w:numId="5" w16cid:durableId="825128355">
    <w:abstractNumId w:val="42"/>
  </w:num>
  <w:num w:numId="6" w16cid:durableId="2128546493">
    <w:abstractNumId w:val="52"/>
  </w:num>
  <w:num w:numId="7" w16cid:durableId="1138961520">
    <w:abstractNumId w:val="4"/>
  </w:num>
  <w:num w:numId="8" w16cid:durableId="512956476">
    <w:abstractNumId w:val="35"/>
  </w:num>
  <w:num w:numId="9" w16cid:durableId="1623611953">
    <w:abstractNumId w:val="67"/>
  </w:num>
  <w:num w:numId="10" w16cid:durableId="666707255">
    <w:abstractNumId w:val="25"/>
  </w:num>
  <w:num w:numId="11" w16cid:durableId="1258832724">
    <w:abstractNumId w:val="30"/>
  </w:num>
  <w:num w:numId="12" w16cid:durableId="204021966">
    <w:abstractNumId w:val="38"/>
  </w:num>
  <w:num w:numId="13" w16cid:durableId="690498553">
    <w:abstractNumId w:val="59"/>
  </w:num>
  <w:num w:numId="14" w16cid:durableId="63453504">
    <w:abstractNumId w:val="34"/>
  </w:num>
  <w:num w:numId="15" w16cid:durableId="1520435837">
    <w:abstractNumId w:val="48"/>
  </w:num>
  <w:num w:numId="16" w16cid:durableId="458382464">
    <w:abstractNumId w:val="63"/>
  </w:num>
  <w:num w:numId="17" w16cid:durableId="1481114532">
    <w:abstractNumId w:val="40"/>
  </w:num>
  <w:num w:numId="18" w16cid:durableId="1207910556">
    <w:abstractNumId w:val="2"/>
  </w:num>
  <w:num w:numId="19" w16cid:durableId="1543009575">
    <w:abstractNumId w:val="45"/>
  </w:num>
  <w:num w:numId="20" w16cid:durableId="259028964">
    <w:abstractNumId w:val="28"/>
  </w:num>
  <w:num w:numId="21" w16cid:durableId="802163056">
    <w:abstractNumId w:val="43"/>
  </w:num>
  <w:num w:numId="22" w16cid:durableId="1703090435">
    <w:abstractNumId w:val="0"/>
  </w:num>
  <w:num w:numId="23" w16cid:durableId="1425999302">
    <w:abstractNumId w:val="10"/>
  </w:num>
  <w:num w:numId="24" w16cid:durableId="2013875665">
    <w:abstractNumId w:val="32"/>
  </w:num>
  <w:num w:numId="25" w16cid:durableId="1418094981">
    <w:abstractNumId w:val="9"/>
  </w:num>
  <w:num w:numId="26" w16cid:durableId="1692872381">
    <w:abstractNumId w:val="65"/>
  </w:num>
  <w:num w:numId="27" w16cid:durableId="920917369">
    <w:abstractNumId w:val="47"/>
  </w:num>
  <w:num w:numId="28" w16cid:durableId="1979456818">
    <w:abstractNumId w:val="54"/>
  </w:num>
  <w:num w:numId="29" w16cid:durableId="279531175">
    <w:abstractNumId w:val="41"/>
  </w:num>
  <w:num w:numId="30" w16cid:durableId="1700666998">
    <w:abstractNumId w:val="16"/>
  </w:num>
  <w:num w:numId="31" w16cid:durableId="268201606">
    <w:abstractNumId w:val="18"/>
  </w:num>
  <w:num w:numId="32" w16cid:durableId="476647522">
    <w:abstractNumId w:val="51"/>
  </w:num>
  <w:num w:numId="33" w16cid:durableId="1406104730">
    <w:abstractNumId w:val="29"/>
  </w:num>
  <w:num w:numId="34" w16cid:durableId="1622834065">
    <w:abstractNumId w:val="8"/>
  </w:num>
  <w:num w:numId="35" w16cid:durableId="1866212348">
    <w:abstractNumId w:val="61"/>
  </w:num>
  <w:num w:numId="36" w16cid:durableId="277227011">
    <w:abstractNumId w:val="62"/>
  </w:num>
  <w:num w:numId="37" w16cid:durableId="1586915037">
    <w:abstractNumId w:val="11"/>
  </w:num>
  <w:num w:numId="38" w16cid:durableId="166139287">
    <w:abstractNumId w:val="14"/>
  </w:num>
  <w:num w:numId="39" w16cid:durableId="1463890302">
    <w:abstractNumId w:val="17"/>
  </w:num>
  <w:num w:numId="40" w16cid:durableId="1970889119">
    <w:abstractNumId w:val="58"/>
  </w:num>
  <w:num w:numId="41" w16cid:durableId="1318650359">
    <w:abstractNumId w:val="22"/>
  </w:num>
  <w:num w:numId="42" w16cid:durableId="910694541">
    <w:abstractNumId w:val="57"/>
  </w:num>
  <w:num w:numId="43" w16cid:durableId="952176171">
    <w:abstractNumId w:val="39"/>
  </w:num>
  <w:num w:numId="44" w16cid:durableId="1770660720">
    <w:abstractNumId w:val="7"/>
  </w:num>
  <w:num w:numId="45" w16cid:durableId="2078505873">
    <w:abstractNumId w:val="6"/>
  </w:num>
  <w:num w:numId="46" w16cid:durableId="1576935175">
    <w:abstractNumId w:val="33"/>
  </w:num>
  <w:num w:numId="47" w16cid:durableId="217666678">
    <w:abstractNumId w:val="19"/>
  </w:num>
  <w:num w:numId="48" w16cid:durableId="428698182">
    <w:abstractNumId w:val="13"/>
  </w:num>
  <w:num w:numId="49" w16cid:durableId="1920554118">
    <w:abstractNumId w:val="15"/>
  </w:num>
  <w:num w:numId="50" w16cid:durableId="749542984">
    <w:abstractNumId w:val="50"/>
  </w:num>
  <w:num w:numId="51" w16cid:durableId="1704987345">
    <w:abstractNumId w:val="56"/>
  </w:num>
  <w:num w:numId="52" w16cid:durableId="1023362948">
    <w:abstractNumId w:val="3"/>
  </w:num>
  <w:num w:numId="53" w16cid:durableId="1872062881">
    <w:abstractNumId w:val="12"/>
  </w:num>
  <w:num w:numId="54" w16cid:durableId="133110572">
    <w:abstractNumId w:val="20"/>
  </w:num>
  <w:num w:numId="55" w16cid:durableId="948658634">
    <w:abstractNumId w:val="21"/>
  </w:num>
  <w:num w:numId="56" w16cid:durableId="630088379">
    <w:abstractNumId w:val="1"/>
  </w:num>
  <w:num w:numId="57" w16cid:durableId="353457180">
    <w:abstractNumId w:val="64"/>
  </w:num>
  <w:num w:numId="58" w16cid:durableId="928855473">
    <w:abstractNumId w:val="27"/>
  </w:num>
  <w:num w:numId="59" w16cid:durableId="1404327700">
    <w:abstractNumId w:val="44"/>
  </w:num>
  <w:num w:numId="60" w16cid:durableId="1376466689">
    <w:abstractNumId w:val="49"/>
  </w:num>
  <w:num w:numId="61" w16cid:durableId="1166747597">
    <w:abstractNumId w:val="53"/>
  </w:num>
  <w:num w:numId="62" w16cid:durableId="1226840481">
    <w:abstractNumId w:val="14"/>
  </w:num>
  <w:num w:numId="63" w16cid:durableId="444495926">
    <w:abstractNumId w:val="37"/>
  </w:num>
  <w:num w:numId="64" w16cid:durableId="1374693261">
    <w:abstractNumId w:val="55"/>
  </w:num>
  <w:num w:numId="65" w16cid:durableId="903024868">
    <w:abstractNumId w:val="5"/>
  </w:num>
  <w:num w:numId="66" w16cid:durableId="1848713153">
    <w:abstractNumId w:val="36"/>
  </w:num>
  <w:num w:numId="67" w16cid:durableId="726031983">
    <w:abstractNumId w:val="66"/>
  </w:num>
  <w:num w:numId="68" w16cid:durableId="1648125403">
    <w:abstractNumId w:val="46"/>
  </w:num>
  <w:num w:numId="69" w16cid:durableId="2096130279">
    <w:abstractNumId w:val="26"/>
  </w:num>
  <w:num w:numId="70" w16cid:durableId="333581332">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D4"/>
    <w:rsid w:val="000003C7"/>
    <w:rsid w:val="00000CD0"/>
    <w:rsid w:val="000019B9"/>
    <w:rsid w:val="00001DCE"/>
    <w:rsid w:val="00001DE3"/>
    <w:rsid w:val="00001EC6"/>
    <w:rsid w:val="000020C3"/>
    <w:rsid w:val="00003B0F"/>
    <w:rsid w:val="00004B9B"/>
    <w:rsid w:val="00004BE0"/>
    <w:rsid w:val="00004E10"/>
    <w:rsid w:val="000055D8"/>
    <w:rsid w:val="000064E2"/>
    <w:rsid w:val="00006B4B"/>
    <w:rsid w:val="00007B15"/>
    <w:rsid w:val="0001016E"/>
    <w:rsid w:val="000148E2"/>
    <w:rsid w:val="00016F90"/>
    <w:rsid w:val="00017855"/>
    <w:rsid w:val="000215CA"/>
    <w:rsid w:val="000217E1"/>
    <w:rsid w:val="000228DE"/>
    <w:rsid w:val="000228FC"/>
    <w:rsid w:val="00022B6B"/>
    <w:rsid w:val="00023173"/>
    <w:rsid w:val="000233C3"/>
    <w:rsid w:val="0002426C"/>
    <w:rsid w:val="000269D0"/>
    <w:rsid w:val="00027624"/>
    <w:rsid w:val="00027C00"/>
    <w:rsid w:val="0003005F"/>
    <w:rsid w:val="0003166D"/>
    <w:rsid w:val="00033AE3"/>
    <w:rsid w:val="000340FD"/>
    <w:rsid w:val="000349DD"/>
    <w:rsid w:val="00034E0B"/>
    <w:rsid w:val="00034F55"/>
    <w:rsid w:val="0003506B"/>
    <w:rsid w:val="0003627C"/>
    <w:rsid w:val="00037931"/>
    <w:rsid w:val="00037DE7"/>
    <w:rsid w:val="000416EF"/>
    <w:rsid w:val="00041F73"/>
    <w:rsid w:val="0004274B"/>
    <w:rsid w:val="00042CCA"/>
    <w:rsid w:val="00042F4D"/>
    <w:rsid w:val="000440E6"/>
    <w:rsid w:val="00044996"/>
    <w:rsid w:val="00044FE3"/>
    <w:rsid w:val="00045171"/>
    <w:rsid w:val="00046899"/>
    <w:rsid w:val="00047838"/>
    <w:rsid w:val="0005005C"/>
    <w:rsid w:val="00050639"/>
    <w:rsid w:val="000512C7"/>
    <w:rsid w:val="00051D45"/>
    <w:rsid w:val="0005273E"/>
    <w:rsid w:val="00053D85"/>
    <w:rsid w:val="00053D94"/>
    <w:rsid w:val="0005412A"/>
    <w:rsid w:val="000542BD"/>
    <w:rsid w:val="00055B4B"/>
    <w:rsid w:val="00056823"/>
    <w:rsid w:val="000614E5"/>
    <w:rsid w:val="00061F0A"/>
    <w:rsid w:val="0006256D"/>
    <w:rsid w:val="000628A7"/>
    <w:rsid w:val="00064AB9"/>
    <w:rsid w:val="00065BA5"/>
    <w:rsid w:val="00065D5A"/>
    <w:rsid w:val="00071028"/>
    <w:rsid w:val="0007233E"/>
    <w:rsid w:val="00073A89"/>
    <w:rsid w:val="00075857"/>
    <w:rsid w:val="00075FBA"/>
    <w:rsid w:val="000765D1"/>
    <w:rsid w:val="000766F6"/>
    <w:rsid w:val="00076A63"/>
    <w:rsid w:val="00076F23"/>
    <w:rsid w:val="000806DF"/>
    <w:rsid w:val="00081599"/>
    <w:rsid w:val="000817EC"/>
    <w:rsid w:val="00081B5D"/>
    <w:rsid w:val="00082116"/>
    <w:rsid w:val="00082516"/>
    <w:rsid w:val="00083255"/>
    <w:rsid w:val="00083408"/>
    <w:rsid w:val="0008382B"/>
    <w:rsid w:val="00083ACD"/>
    <w:rsid w:val="00084BD6"/>
    <w:rsid w:val="00084F7A"/>
    <w:rsid w:val="00085001"/>
    <w:rsid w:val="00085B74"/>
    <w:rsid w:val="00085BE3"/>
    <w:rsid w:val="00086075"/>
    <w:rsid w:val="00087054"/>
    <w:rsid w:val="00087309"/>
    <w:rsid w:val="00090355"/>
    <w:rsid w:val="00091074"/>
    <w:rsid w:val="00091638"/>
    <w:rsid w:val="00093312"/>
    <w:rsid w:val="0009456B"/>
    <w:rsid w:val="00094CB7"/>
    <w:rsid w:val="0009557D"/>
    <w:rsid w:val="00096490"/>
    <w:rsid w:val="0009662C"/>
    <w:rsid w:val="00096A20"/>
    <w:rsid w:val="000A11FF"/>
    <w:rsid w:val="000A12B0"/>
    <w:rsid w:val="000A24FE"/>
    <w:rsid w:val="000A345B"/>
    <w:rsid w:val="000A34E3"/>
    <w:rsid w:val="000A448E"/>
    <w:rsid w:val="000A5064"/>
    <w:rsid w:val="000A5C03"/>
    <w:rsid w:val="000A759E"/>
    <w:rsid w:val="000B0A85"/>
    <w:rsid w:val="000B14C3"/>
    <w:rsid w:val="000B16BD"/>
    <w:rsid w:val="000B1F29"/>
    <w:rsid w:val="000B295A"/>
    <w:rsid w:val="000B2A64"/>
    <w:rsid w:val="000B2DA6"/>
    <w:rsid w:val="000B44C9"/>
    <w:rsid w:val="000B46ED"/>
    <w:rsid w:val="000B59C1"/>
    <w:rsid w:val="000B5B30"/>
    <w:rsid w:val="000B6EDB"/>
    <w:rsid w:val="000B72B1"/>
    <w:rsid w:val="000B7711"/>
    <w:rsid w:val="000C12E5"/>
    <w:rsid w:val="000C1F74"/>
    <w:rsid w:val="000C208B"/>
    <w:rsid w:val="000C2330"/>
    <w:rsid w:val="000C2D2B"/>
    <w:rsid w:val="000C36F1"/>
    <w:rsid w:val="000C4321"/>
    <w:rsid w:val="000C4F46"/>
    <w:rsid w:val="000C523C"/>
    <w:rsid w:val="000C5301"/>
    <w:rsid w:val="000C58BB"/>
    <w:rsid w:val="000C617A"/>
    <w:rsid w:val="000C6424"/>
    <w:rsid w:val="000C64A0"/>
    <w:rsid w:val="000C6788"/>
    <w:rsid w:val="000D13C1"/>
    <w:rsid w:val="000D1813"/>
    <w:rsid w:val="000D2604"/>
    <w:rsid w:val="000D42EF"/>
    <w:rsid w:val="000D4D8F"/>
    <w:rsid w:val="000D516A"/>
    <w:rsid w:val="000D6EEB"/>
    <w:rsid w:val="000D7046"/>
    <w:rsid w:val="000E0908"/>
    <w:rsid w:val="000E0B8F"/>
    <w:rsid w:val="000E147C"/>
    <w:rsid w:val="000E175D"/>
    <w:rsid w:val="000E2214"/>
    <w:rsid w:val="000E2BF6"/>
    <w:rsid w:val="000E3455"/>
    <w:rsid w:val="000E38BF"/>
    <w:rsid w:val="000E42F0"/>
    <w:rsid w:val="000E4AEA"/>
    <w:rsid w:val="000E686C"/>
    <w:rsid w:val="000E6BDB"/>
    <w:rsid w:val="000E6C0E"/>
    <w:rsid w:val="000E7A25"/>
    <w:rsid w:val="000F0252"/>
    <w:rsid w:val="000F05E9"/>
    <w:rsid w:val="000F0662"/>
    <w:rsid w:val="000F18F3"/>
    <w:rsid w:val="000F1900"/>
    <w:rsid w:val="000F191B"/>
    <w:rsid w:val="000F30E2"/>
    <w:rsid w:val="000F39BA"/>
    <w:rsid w:val="000F3EAB"/>
    <w:rsid w:val="000F4025"/>
    <w:rsid w:val="000F4257"/>
    <w:rsid w:val="000F6FE5"/>
    <w:rsid w:val="000F7B44"/>
    <w:rsid w:val="00100253"/>
    <w:rsid w:val="00100E32"/>
    <w:rsid w:val="0010395F"/>
    <w:rsid w:val="00104DA4"/>
    <w:rsid w:val="001067D7"/>
    <w:rsid w:val="00106C4D"/>
    <w:rsid w:val="00107068"/>
    <w:rsid w:val="0011051A"/>
    <w:rsid w:val="00110A70"/>
    <w:rsid w:val="0011310E"/>
    <w:rsid w:val="00113941"/>
    <w:rsid w:val="00113DF2"/>
    <w:rsid w:val="00114FBE"/>
    <w:rsid w:val="001153B1"/>
    <w:rsid w:val="00115420"/>
    <w:rsid w:val="00116415"/>
    <w:rsid w:val="0011768D"/>
    <w:rsid w:val="00117842"/>
    <w:rsid w:val="0012028D"/>
    <w:rsid w:val="0012242C"/>
    <w:rsid w:val="00122B75"/>
    <w:rsid w:val="00123EB4"/>
    <w:rsid w:val="00125C83"/>
    <w:rsid w:val="00127BB5"/>
    <w:rsid w:val="00130452"/>
    <w:rsid w:val="00131DCC"/>
    <w:rsid w:val="00132F9C"/>
    <w:rsid w:val="0013312B"/>
    <w:rsid w:val="00133B60"/>
    <w:rsid w:val="001348E7"/>
    <w:rsid w:val="00134961"/>
    <w:rsid w:val="00136451"/>
    <w:rsid w:val="00136B08"/>
    <w:rsid w:val="00136B52"/>
    <w:rsid w:val="001379C9"/>
    <w:rsid w:val="00140D30"/>
    <w:rsid w:val="001428AF"/>
    <w:rsid w:val="00142A5A"/>
    <w:rsid w:val="00143531"/>
    <w:rsid w:val="0014761C"/>
    <w:rsid w:val="00147EB0"/>
    <w:rsid w:val="0015000A"/>
    <w:rsid w:val="0015028E"/>
    <w:rsid w:val="001504B0"/>
    <w:rsid w:val="00151DE0"/>
    <w:rsid w:val="00151EA5"/>
    <w:rsid w:val="00153957"/>
    <w:rsid w:val="00153CB4"/>
    <w:rsid w:val="00155027"/>
    <w:rsid w:val="00155D0A"/>
    <w:rsid w:val="00156F81"/>
    <w:rsid w:val="0016014F"/>
    <w:rsid w:val="00160FC0"/>
    <w:rsid w:val="00161638"/>
    <w:rsid w:val="00161F5B"/>
    <w:rsid w:val="00162244"/>
    <w:rsid w:val="00162D81"/>
    <w:rsid w:val="00163B5D"/>
    <w:rsid w:val="001647FB"/>
    <w:rsid w:val="00165524"/>
    <w:rsid w:val="00165D0A"/>
    <w:rsid w:val="00165F3E"/>
    <w:rsid w:val="00166A8B"/>
    <w:rsid w:val="001670A2"/>
    <w:rsid w:val="00167C9A"/>
    <w:rsid w:val="00173409"/>
    <w:rsid w:val="00175799"/>
    <w:rsid w:val="00176237"/>
    <w:rsid w:val="00177470"/>
    <w:rsid w:val="0018130C"/>
    <w:rsid w:val="00182008"/>
    <w:rsid w:val="00182FFE"/>
    <w:rsid w:val="00185FFB"/>
    <w:rsid w:val="00186EF1"/>
    <w:rsid w:val="00190789"/>
    <w:rsid w:val="0019287B"/>
    <w:rsid w:val="00192D8D"/>
    <w:rsid w:val="0019315D"/>
    <w:rsid w:val="00193D19"/>
    <w:rsid w:val="001951D7"/>
    <w:rsid w:val="00197026"/>
    <w:rsid w:val="0019743A"/>
    <w:rsid w:val="00197ADA"/>
    <w:rsid w:val="001A0FD3"/>
    <w:rsid w:val="001A1CFD"/>
    <w:rsid w:val="001A3AA3"/>
    <w:rsid w:val="001A3E17"/>
    <w:rsid w:val="001A4DA3"/>
    <w:rsid w:val="001A4EA6"/>
    <w:rsid w:val="001A7736"/>
    <w:rsid w:val="001A7859"/>
    <w:rsid w:val="001A79EC"/>
    <w:rsid w:val="001B1144"/>
    <w:rsid w:val="001B1588"/>
    <w:rsid w:val="001B1F1F"/>
    <w:rsid w:val="001B1F25"/>
    <w:rsid w:val="001B2896"/>
    <w:rsid w:val="001B2A8C"/>
    <w:rsid w:val="001B2E58"/>
    <w:rsid w:val="001B2F5C"/>
    <w:rsid w:val="001B4D55"/>
    <w:rsid w:val="001B57C6"/>
    <w:rsid w:val="001B61FD"/>
    <w:rsid w:val="001B648B"/>
    <w:rsid w:val="001B7B3E"/>
    <w:rsid w:val="001C1212"/>
    <w:rsid w:val="001C1C16"/>
    <w:rsid w:val="001C200B"/>
    <w:rsid w:val="001C3214"/>
    <w:rsid w:val="001C35E7"/>
    <w:rsid w:val="001C3740"/>
    <w:rsid w:val="001C3DA6"/>
    <w:rsid w:val="001C4D2E"/>
    <w:rsid w:val="001C515C"/>
    <w:rsid w:val="001C5BCA"/>
    <w:rsid w:val="001C697C"/>
    <w:rsid w:val="001C6C4C"/>
    <w:rsid w:val="001C7AF7"/>
    <w:rsid w:val="001C7E0A"/>
    <w:rsid w:val="001D34F3"/>
    <w:rsid w:val="001D7239"/>
    <w:rsid w:val="001D7827"/>
    <w:rsid w:val="001D7EB4"/>
    <w:rsid w:val="001E0013"/>
    <w:rsid w:val="001E05EC"/>
    <w:rsid w:val="001E099A"/>
    <w:rsid w:val="001E2926"/>
    <w:rsid w:val="001E38DB"/>
    <w:rsid w:val="001E6B1D"/>
    <w:rsid w:val="001F00AE"/>
    <w:rsid w:val="001F0C22"/>
    <w:rsid w:val="001F0EA1"/>
    <w:rsid w:val="001F10A6"/>
    <w:rsid w:val="001F1564"/>
    <w:rsid w:val="001F2178"/>
    <w:rsid w:val="001F289F"/>
    <w:rsid w:val="001F5DE0"/>
    <w:rsid w:val="001F636C"/>
    <w:rsid w:val="001F712A"/>
    <w:rsid w:val="002019BE"/>
    <w:rsid w:val="002038A2"/>
    <w:rsid w:val="0020413F"/>
    <w:rsid w:val="00205ED2"/>
    <w:rsid w:val="00206508"/>
    <w:rsid w:val="00206D75"/>
    <w:rsid w:val="002078FB"/>
    <w:rsid w:val="0021040F"/>
    <w:rsid w:val="00216865"/>
    <w:rsid w:val="00216ABE"/>
    <w:rsid w:val="002176E5"/>
    <w:rsid w:val="002176EC"/>
    <w:rsid w:val="00220E83"/>
    <w:rsid w:val="0022128B"/>
    <w:rsid w:val="0022559C"/>
    <w:rsid w:val="00225736"/>
    <w:rsid w:val="002261C8"/>
    <w:rsid w:val="002269B9"/>
    <w:rsid w:val="0022743C"/>
    <w:rsid w:val="00227BDA"/>
    <w:rsid w:val="00227EFB"/>
    <w:rsid w:val="002301AA"/>
    <w:rsid w:val="00230AA4"/>
    <w:rsid w:val="00231504"/>
    <w:rsid w:val="00231EFC"/>
    <w:rsid w:val="00232D73"/>
    <w:rsid w:val="0023382C"/>
    <w:rsid w:val="00234EF5"/>
    <w:rsid w:val="002354AD"/>
    <w:rsid w:val="00235B64"/>
    <w:rsid w:val="00236862"/>
    <w:rsid w:val="00236FE5"/>
    <w:rsid w:val="002405E5"/>
    <w:rsid w:val="002408FF"/>
    <w:rsid w:val="00240C1E"/>
    <w:rsid w:val="002413A4"/>
    <w:rsid w:val="002413BE"/>
    <w:rsid w:val="00241896"/>
    <w:rsid w:val="00241E44"/>
    <w:rsid w:val="00244BAB"/>
    <w:rsid w:val="00245AFD"/>
    <w:rsid w:val="00245E93"/>
    <w:rsid w:val="00246F76"/>
    <w:rsid w:val="00247625"/>
    <w:rsid w:val="00247719"/>
    <w:rsid w:val="00250058"/>
    <w:rsid w:val="0025059F"/>
    <w:rsid w:val="00251206"/>
    <w:rsid w:val="00251DCA"/>
    <w:rsid w:val="00251E5D"/>
    <w:rsid w:val="0025345D"/>
    <w:rsid w:val="0025471C"/>
    <w:rsid w:val="00255736"/>
    <w:rsid w:val="0025608A"/>
    <w:rsid w:val="00256AC6"/>
    <w:rsid w:val="00257F92"/>
    <w:rsid w:val="0026058A"/>
    <w:rsid w:val="00260677"/>
    <w:rsid w:val="002606C5"/>
    <w:rsid w:val="002609A2"/>
    <w:rsid w:val="002609FC"/>
    <w:rsid w:val="00261EDD"/>
    <w:rsid w:val="00264822"/>
    <w:rsid w:val="002652A1"/>
    <w:rsid w:val="00265FE8"/>
    <w:rsid w:val="0026687B"/>
    <w:rsid w:val="00266CBB"/>
    <w:rsid w:val="002709D2"/>
    <w:rsid w:val="00270B55"/>
    <w:rsid w:val="00271B5B"/>
    <w:rsid w:val="002738D0"/>
    <w:rsid w:val="00274217"/>
    <w:rsid w:val="002744EB"/>
    <w:rsid w:val="0027515E"/>
    <w:rsid w:val="00275773"/>
    <w:rsid w:val="00276931"/>
    <w:rsid w:val="00281C93"/>
    <w:rsid w:val="00281ED7"/>
    <w:rsid w:val="0028216C"/>
    <w:rsid w:val="00282EDA"/>
    <w:rsid w:val="00283121"/>
    <w:rsid w:val="00283D6F"/>
    <w:rsid w:val="00283E97"/>
    <w:rsid w:val="0028673E"/>
    <w:rsid w:val="00287903"/>
    <w:rsid w:val="0029061E"/>
    <w:rsid w:val="00291059"/>
    <w:rsid w:val="00292DA9"/>
    <w:rsid w:val="0029483B"/>
    <w:rsid w:val="00294A56"/>
    <w:rsid w:val="00294DB9"/>
    <w:rsid w:val="00294DCF"/>
    <w:rsid w:val="00294F30"/>
    <w:rsid w:val="00295A31"/>
    <w:rsid w:val="00295DED"/>
    <w:rsid w:val="0029766C"/>
    <w:rsid w:val="00297D13"/>
    <w:rsid w:val="002A1057"/>
    <w:rsid w:val="002A1EB8"/>
    <w:rsid w:val="002A77A4"/>
    <w:rsid w:val="002B0E07"/>
    <w:rsid w:val="002B1540"/>
    <w:rsid w:val="002B1580"/>
    <w:rsid w:val="002B1F56"/>
    <w:rsid w:val="002B2C4D"/>
    <w:rsid w:val="002B2E5A"/>
    <w:rsid w:val="002B37EB"/>
    <w:rsid w:val="002B4761"/>
    <w:rsid w:val="002B6940"/>
    <w:rsid w:val="002B6CDE"/>
    <w:rsid w:val="002B7E43"/>
    <w:rsid w:val="002C08CA"/>
    <w:rsid w:val="002C0A62"/>
    <w:rsid w:val="002C0AF9"/>
    <w:rsid w:val="002C2043"/>
    <w:rsid w:val="002C2E34"/>
    <w:rsid w:val="002C3012"/>
    <w:rsid w:val="002C428D"/>
    <w:rsid w:val="002C431B"/>
    <w:rsid w:val="002C5CA9"/>
    <w:rsid w:val="002C7CAE"/>
    <w:rsid w:val="002D1652"/>
    <w:rsid w:val="002D173F"/>
    <w:rsid w:val="002D2248"/>
    <w:rsid w:val="002D2F1B"/>
    <w:rsid w:val="002D3343"/>
    <w:rsid w:val="002D4BCF"/>
    <w:rsid w:val="002D4E9A"/>
    <w:rsid w:val="002D572F"/>
    <w:rsid w:val="002D668F"/>
    <w:rsid w:val="002D682D"/>
    <w:rsid w:val="002D69AA"/>
    <w:rsid w:val="002D6B8D"/>
    <w:rsid w:val="002D772F"/>
    <w:rsid w:val="002D7AEA"/>
    <w:rsid w:val="002E04C1"/>
    <w:rsid w:val="002E14FB"/>
    <w:rsid w:val="002E21D5"/>
    <w:rsid w:val="002E29F3"/>
    <w:rsid w:val="002E2A46"/>
    <w:rsid w:val="002E3AAA"/>
    <w:rsid w:val="002E4C2F"/>
    <w:rsid w:val="002E59F4"/>
    <w:rsid w:val="002E5F7B"/>
    <w:rsid w:val="002E72F3"/>
    <w:rsid w:val="002E74F2"/>
    <w:rsid w:val="002F1D2D"/>
    <w:rsid w:val="002F2163"/>
    <w:rsid w:val="002F2973"/>
    <w:rsid w:val="002F3B32"/>
    <w:rsid w:val="002F50C6"/>
    <w:rsid w:val="002F546D"/>
    <w:rsid w:val="002F55EC"/>
    <w:rsid w:val="002F6058"/>
    <w:rsid w:val="002F68FE"/>
    <w:rsid w:val="002F6B53"/>
    <w:rsid w:val="002F765B"/>
    <w:rsid w:val="002F7B84"/>
    <w:rsid w:val="00300195"/>
    <w:rsid w:val="00300521"/>
    <w:rsid w:val="00300A38"/>
    <w:rsid w:val="0030160A"/>
    <w:rsid w:val="00305ABE"/>
    <w:rsid w:val="003067CE"/>
    <w:rsid w:val="00306F1E"/>
    <w:rsid w:val="0030747B"/>
    <w:rsid w:val="0031020D"/>
    <w:rsid w:val="00310278"/>
    <w:rsid w:val="0031044B"/>
    <w:rsid w:val="00310F1C"/>
    <w:rsid w:val="00311995"/>
    <w:rsid w:val="003125AB"/>
    <w:rsid w:val="00312CD6"/>
    <w:rsid w:val="00313843"/>
    <w:rsid w:val="003157EA"/>
    <w:rsid w:val="00315875"/>
    <w:rsid w:val="00317681"/>
    <w:rsid w:val="00320325"/>
    <w:rsid w:val="0032154C"/>
    <w:rsid w:val="00321921"/>
    <w:rsid w:val="003231CC"/>
    <w:rsid w:val="00325DCE"/>
    <w:rsid w:val="00325FAA"/>
    <w:rsid w:val="003263E2"/>
    <w:rsid w:val="0032702C"/>
    <w:rsid w:val="0032795D"/>
    <w:rsid w:val="0033019B"/>
    <w:rsid w:val="00331AAE"/>
    <w:rsid w:val="00333AE3"/>
    <w:rsid w:val="0033444E"/>
    <w:rsid w:val="00334895"/>
    <w:rsid w:val="003356B7"/>
    <w:rsid w:val="00336989"/>
    <w:rsid w:val="00336DD7"/>
    <w:rsid w:val="0033729C"/>
    <w:rsid w:val="00337918"/>
    <w:rsid w:val="00340403"/>
    <w:rsid w:val="00340649"/>
    <w:rsid w:val="0034188D"/>
    <w:rsid w:val="00342C8A"/>
    <w:rsid w:val="003431C5"/>
    <w:rsid w:val="003432B3"/>
    <w:rsid w:val="00344376"/>
    <w:rsid w:val="003446BD"/>
    <w:rsid w:val="003446F3"/>
    <w:rsid w:val="00344B2B"/>
    <w:rsid w:val="00344B4A"/>
    <w:rsid w:val="00345A88"/>
    <w:rsid w:val="00345E60"/>
    <w:rsid w:val="003463C5"/>
    <w:rsid w:val="0034721E"/>
    <w:rsid w:val="003507BE"/>
    <w:rsid w:val="003508EB"/>
    <w:rsid w:val="00351040"/>
    <w:rsid w:val="00351D9D"/>
    <w:rsid w:val="00352952"/>
    <w:rsid w:val="00355197"/>
    <w:rsid w:val="003551D4"/>
    <w:rsid w:val="00355467"/>
    <w:rsid w:val="0035798D"/>
    <w:rsid w:val="003605F3"/>
    <w:rsid w:val="00361D72"/>
    <w:rsid w:val="00362E31"/>
    <w:rsid w:val="00364280"/>
    <w:rsid w:val="003649B2"/>
    <w:rsid w:val="003662A1"/>
    <w:rsid w:val="00367048"/>
    <w:rsid w:val="003703B6"/>
    <w:rsid w:val="00373CBC"/>
    <w:rsid w:val="00374949"/>
    <w:rsid w:val="00374DCD"/>
    <w:rsid w:val="00374EA5"/>
    <w:rsid w:val="00375B33"/>
    <w:rsid w:val="00376E4E"/>
    <w:rsid w:val="00377181"/>
    <w:rsid w:val="00377859"/>
    <w:rsid w:val="00380792"/>
    <w:rsid w:val="00383831"/>
    <w:rsid w:val="00383ED9"/>
    <w:rsid w:val="00384BDE"/>
    <w:rsid w:val="003854F8"/>
    <w:rsid w:val="00386A8B"/>
    <w:rsid w:val="00386E5F"/>
    <w:rsid w:val="00393335"/>
    <w:rsid w:val="003938F4"/>
    <w:rsid w:val="00393ADD"/>
    <w:rsid w:val="00394027"/>
    <w:rsid w:val="0039442F"/>
    <w:rsid w:val="00394C0D"/>
    <w:rsid w:val="00395F14"/>
    <w:rsid w:val="0039655F"/>
    <w:rsid w:val="0039780E"/>
    <w:rsid w:val="00397BBF"/>
    <w:rsid w:val="00397C60"/>
    <w:rsid w:val="003A01C1"/>
    <w:rsid w:val="003A0FD1"/>
    <w:rsid w:val="003A1DEB"/>
    <w:rsid w:val="003A45EE"/>
    <w:rsid w:val="003A47EE"/>
    <w:rsid w:val="003A4B74"/>
    <w:rsid w:val="003A4C44"/>
    <w:rsid w:val="003A5D52"/>
    <w:rsid w:val="003A6135"/>
    <w:rsid w:val="003A67D8"/>
    <w:rsid w:val="003A6C05"/>
    <w:rsid w:val="003A6E8F"/>
    <w:rsid w:val="003A7F0D"/>
    <w:rsid w:val="003B2512"/>
    <w:rsid w:val="003B3850"/>
    <w:rsid w:val="003B4189"/>
    <w:rsid w:val="003B4B84"/>
    <w:rsid w:val="003B56E3"/>
    <w:rsid w:val="003B6666"/>
    <w:rsid w:val="003C063D"/>
    <w:rsid w:val="003C0D65"/>
    <w:rsid w:val="003C1E77"/>
    <w:rsid w:val="003C2128"/>
    <w:rsid w:val="003C2667"/>
    <w:rsid w:val="003C26EB"/>
    <w:rsid w:val="003C370D"/>
    <w:rsid w:val="003C3E91"/>
    <w:rsid w:val="003C3F29"/>
    <w:rsid w:val="003C476A"/>
    <w:rsid w:val="003C4F2E"/>
    <w:rsid w:val="003C4F51"/>
    <w:rsid w:val="003C526F"/>
    <w:rsid w:val="003C5BA0"/>
    <w:rsid w:val="003C5D77"/>
    <w:rsid w:val="003C5E58"/>
    <w:rsid w:val="003C70F0"/>
    <w:rsid w:val="003C7762"/>
    <w:rsid w:val="003C7878"/>
    <w:rsid w:val="003C7BC1"/>
    <w:rsid w:val="003C7C88"/>
    <w:rsid w:val="003D018C"/>
    <w:rsid w:val="003D0373"/>
    <w:rsid w:val="003D1268"/>
    <w:rsid w:val="003D2745"/>
    <w:rsid w:val="003D3349"/>
    <w:rsid w:val="003D3E7D"/>
    <w:rsid w:val="003D40B1"/>
    <w:rsid w:val="003D445E"/>
    <w:rsid w:val="003D5738"/>
    <w:rsid w:val="003D660A"/>
    <w:rsid w:val="003E0EBF"/>
    <w:rsid w:val="003E1248"/>
    <w:rsid w:val="003E14D3"/>
    <w:rsid w:val="003E19D0"/>
    <w:rsid w:val="003E1BDE"/>
    <w:rsid w:val="003E25BF"/>
    <w:rsid w:val="003E27D3"/>
    <w:rsid w:val="003E39C6"/>
    <w:rsid w:val="003E4233"/>
    <w:rsid w:val="003E4275"/>
    <w:rsid w:val="003E4A60"/>
    <w:rsid w:val="003E50E7"/>
    <w:rsid w:val="003E59E1"/>
    <w:rsid w:val="003E5E67"/>
    <w:rsid w:val="003E63A5"/>
    <w:rsid w:val="003E65EA"/>
    <w:rsid w:val="003E7612"/>
    <w:rsid w:val="003E7F07"/>
    <w:rsid w:val="003F07EF"/>
    <w:rsid w:val="003F14CE"/>
    <w:rsid w:val="003F1594"/>
    <w:rsid w:val="003F1922"/>
    <w:rsid w:val="003F3678"/>
    <w:rsid w:val="003F3771"/>
    <w:rsid w:val="003F4415"/>
    <w:rsid w:val="003F4A4F"/>
    <w:rsid w:val="003F5049"/>
    <w:rsid w:val="003F6107"/>
    <w:rsid w:val="003F6C31"/>
    <w:rsid w:val="00401B9E"/>
    <w:rsid w:val="00402461"/>
    <w:rsid w:val="0040276B"/>
    <w:rsid w:val="00402BF6"/>
    <w:rsid w:val="00403B4D"/>
    <w:rsid w:val="0040518E"/>
    <w:rsid w:val="004058CA"/>
    <w:rsid w:val="00406851"/>
    <w:rsid w:val="00407DF6"/>
    <w:rsid w:val="00410325"/>
    <w:rsid w:val="004126A1"/>
    <w:rsid w:val="00412BB8"/>
    <w:rsid w:val="0041435E"/>
    <w:rsid w:val="004151AE"/>
    <w:rsid w:val="004168C5"/>
    <w:rsid w:val="00417470"/>
    <w:rsid w:val="00417BEE"/>
    <w:rsid w:val="004206EE"/>
    <w:rsid w:val="00420AFA"/>
    <w:rsid w:val="00420E58"/>
    <w:rsid w:val="00421131"/>
    <w:rsid w:val="00422C7B"/>
    <w:rsid w:val="004233D8"/>
    <w:rsid w:val="00423F8F"/>
    <w:rsid w:val="0042450D"/>
    <w:rsid w:val="004256C9"/>
    <w:rsid w:val="004266CA"/>
    <w:rsid w:val="004276B3"/>
    <w:rsid w:val="00431D08"/>
    <w:rsid w:val="00432222"/>
    <w:rsid w:val="00432B4B"/>
    <w:rsid w:val="00434248"/>
    <w:rsid w:val="00436B46"/>
    <w:rsid w:val="00436E0A"/>
    <w:rsid w:val="00443573"/>
    <w:rsid w:val="00443DEC"/>
    <w:rsid w:val="0044410D"/>
    <w:rsid w:val="00446940"/>
    <w:rsid w:val="00447E6E"/>
    <w:rsid w:val="00450837"/>
    <w:rsid w:val="004519E8"/>
    <w:rsid w:val="00453192"/>
    <w:rsid w:val="0045342F"/>
    <w:rsid w:val="00453D4C"/>
    <w:rsid w:val="00453EBC"/>
    <w:rsid w:val="00454084"/>
    <w:rsid w:val="00454434"/>
    <w:rsid w:val="004548F0"/>
    <w:rsid w:val="00454EA7"/>
    <w:rsid w:val="00454F1E"/>
    <w:rsid w:val="00455ADB"/>
    <w:rsid w:val="00456029"/>
    <w:rsid w:val="0045602A"/>
    <w:rsid w:val="004613A1"/>
    <w:rsid w:val="004622F5"/>
    <w:rsid w:val="004628E4"/>
    <w:rsid w:val="0046293F"/>
    <w:rsid w:val="00463E92"/>
    <w:rsid w:val="0046601B"/>
    <w:rsid w:val="00466237"/>
    <w:rsid w:val="004662C3"/>
    <w:rsid w:val="00466AC8"/>
    <w:rsid w:val="00470163"/>
    <w:rsid w:val="0047040F"/>
    <w:rsid w:val="00472181"/>
    <w:rsid w:val="00472E1F"/>
    <w:rsid w:val="00473690"/>
    <w:rsid w:val="00473D06"/>
    <w:rsid w:val="004748D6"/>
    <w:rsid w:val="00474D8F"/>
    <w:rsid w:val="0047515E"/>
    <w:rsid w:val="00475C2D"/>
    <w:rsid w:val="004802CC"/>
    <w:rsid w:val="00480AB0"/>
    <w:rsid w:val="00481859"/>
    <w:rsid w:val="00481B1D"/>
    <w:rsid w:val="00482A8B"/>
    <w:rsid w:val="00482F12"/>
    <w:rsid w:val="004854E6"/>
    <w:rsid w:val="00486334"/>
    <w:rsid w:val="00490CCF"/>
    <w:rsid w:val="00490D4F"/>
    <w:rsid w:val="00492AE9"/>
    <w:rsid w:val="00493B5A"/>
    <w:rsid w:val="00493D25"/>
    <w:rsid w:val="004940FA"/>
    <w:rsid w:val="004973EA"/>
    <w:rsid w:val="004A184F"/>
    <w:rsid w:val="004A1999"/>
    <w:rsid w:val="004A19C1"/>
    <w:rsid w:val="004A2DDA"/>
    <w:rsid w:val="004A3833"/>
    <w:rsid w:val="004A3B62"/>
    <w:rsid w:val="004A6E9F"/>
    <w:rsid w:val="004A74B8"/>
    <w:rsid w:val="004A7552"/>
    <w:rsid w:val="004A7AE1"/>
    <w:rsid w:val="004B0992"/>
    <w:rsid w:val="004B0F08"/>
    <w:rsid w:val="004B14B9"/>
    <w:rsid w:val="004B18F6"/>
    <w:rsid w:val="004B20BC"/>
    <w:rsid w:val="004B3C35"/>
    <w:rsid w:val="004B4833"/>
    <w:rsid w:val="004B4866"/>
    <w:rsid w:val="004B5149"/>
    <w:rsid w:val="004B5BF9"/>
    <w:rsid w:val="004B6525"/>
    <w:rsid w:val="004B65C9"/>
    <w:rsid w:val="004B79D3"/>
    <w:rsid w:val="004C0AAC"/>
    <w:rsid w:val="004C0CA3"/>
    <w:rsid w:val="004C1EC1"/>
    <w:rsid w:val="004C1ED6"/>
    <w:rsid w:val="004C21BD"/>
    <w:rsid w:val="004C2360"/>
    <w:rsid w:val="004C2679"/>
    <w:rsid w:val="004C483D"/>
    <w:rsid w:val="004C7DA5"/>
    <w:rsid w:val="004D077F"/>
    <w:rsid w:val="004D0972"/>
    <w:rsid w:val="004D18C4"/>
    <w:rsid w:val="004D2182"/>
    <w:rsid w:val="004D478C"/>
    <w:rsid w:val="004D4826"/>
    <w:rsid w:val="004D4B89"/>
    <w:rsid w:val="004D4BF1"/>
    <w:rsid w:val="004D5420"/>
    <w:rsid w:val="004D6021"/>
    <w:rsid w:val="004D6859"/>
    <w:rsid w:val="004E0855"/>
    <w:rsid w:val="004E1675"/>
    <w:rsid w:val="004E1CA3"/>
    <w:rsid w:val="004E25A6"/>
    <w:rsid w:val="004E3E61"/>
    <w:rsid w:val="004E3E79"/>
    <w:rsid w:val="004E42B1"/>
    <w:rsid w:val="004E50DF"/>
    <w:rsid w:val="004E6002"/>
    <w:rsid w:val="004E7D07"/>
    <w:rsid w:val="004F0EBE"/>
    <w:rsid w:val="004F48A7"/>
    <w:rsid w:val="004F49BA"/>
    <w:rsid w:val="004F692E"/>
    <w:rsid w:val="004F7122"/>
    <w:rsid w:val="00500DB3"/>
    <w:rsid w:val="0050108B"/>
    <w:rsid w:val="0050276B"/>
    <w:rsid w:val="00503103"/>
    <w:rsid w:val="00503465"/>
    <w:rsid w:val="00503785"/>
    <w:rsid w:val="00503814"/>
    <w:rsid w:val="00504F2A"/>
    <w:rsid w:val="00505C66"/>
    <w:rsid w:val="00505E8B"/>
    <w:rsid w:val="00505F11"/>
    <w:rsid w:val="00506A08"/>
    <w:rsid w:val="00507DDA"/>
    <w:rsid w:val="00507EB8"/>
    <w:rsid w:val="0051066F"/>
    <w:rsid w:val="00510AFD"/>
    <w:rsid w:val="00511291"/>
    <w:rsid w:val="00512BC8"/>
    <w:rsid w:val="00513095"/>
    <w:rsid w:val="00513F4D"/>
    <w:rsid w:val="00515A38"/>
    <w:rsid w:val="00516973"/>
    <w:rsid w:val="00517B81"/>
    <w:rsid w:val="00521057"/>
    <w:rsid w:val="00523743"/>
    <w:rsid w:val="005245FF"/>
    <w:rsid w:val="00524B5D"/>
    <w:rsid w:val="00526EA0"/>
    <w:rsid w:val="005273C0"/>
    <w:rsid w:val="00527E4A"/>
    <w:rsid w:val="00531B0B"/>
    <w:rsid w:val="0053385C"/>
    <w:rsid w:val="00533C24"/>
    <w:rsid w:val="00534D08"/>
    <w:rsid w:val="00535688"/>
    <w:rsid w:val="00537853"/>
    <w:rsid w:val="0054051A"/>
    <w:rsid w:val="00542FB6"/>
    <w:rsid w:val="00545E17"/>
    <w:rsid w:val="0054643E"/>
    <w:rsid w:val="005464E7"/>
    <w:rsid w:val="00546DA5"/>
    <w:rsid w:val="00546E1E"/>
    <w:rsid w:val="0055033E"/>
    <w:rsid w:val="00550CD6"/>
    <w:rsid w:val="0055243C"/>
    <w:rsid w:val="00552985"/>
    <w:rsid w:val="00554A4A"/>
    <w:rsid w:val="005571C9"/>
    <w:rsid w:val="00557B6D"/>
    <w:rsid w:val="00557B6F"/>
    <w:rsid w:val="00560042"/>
    <w:rsid w:val="00560FC6"/>
    <w:rsid w:val="005618AC"/>
    <w:rsid w:val="00561B76"/>
    <w:rsid w:val="0056216D"/>
    <w:rsid w:val="0056278E"/>
    <w:rsid w:val="00562A0F"/>
    <w:rsid w:val="00562A63"/>
    <w:rsid w:val="00562D3D"/>
    <w:rsid w:val="00562E3C"/>
    <w:rsid w:val="00562F51"/>
    <w:rsid w:val="00562FBB"/>
    <w:rsid w:val="00563504"/>
    <w:rsid w:val="005642A4"/>
    <w:rsid w:val="00565623"/>
    <w:rsid w:val="00565E36"/>
    <w:rsid w:val="00566197"/>
    <w:rsid w:val="0056619D"/>
    <w:rsid w:val="00566A39"/>
    <w:rsid w:val="00567809"/>
    <w:rsid w:val="005701CA"/>
    <w:rsid w:val="00570A33"/>
    <w:rsid w:val="005714A4"/>
    <w:rsid w:val="00572336"/>
    <w:rsid w:val="005733D3"/>
    <w:rsid w:val="00574190"/>
    <w:rsid w:val="005746C0"/>
    <w:rsid w:val="005765A7"/>
    <w:rsid w:val="00576793"/>
    <w:rsid w:val="00576DA4"/>
    <w:rsid w:val="00577AEC"/>
    <w:rsid w:val="00580AA6"/>
    <w:rsid w:val="00581083"/>
    <w:rsid w:val="00581A1A"/>
    <w:rsid w:val="0058334B"/>
    <w:rsid w:val="005840D4"/>
    <w:rsid w:val="0058465E"/>
    <w:rsid w:val="005850FB"/>
    <w:rsid w:val="00587F00"/>
    <w:rsid w:val="00592D4F"/>
    <w:rsid w:val="005931AF"/>
    <w:rsid w:val="0059328D"/>
    <w:rsid w:val="0059403D"/>
    <w:rsid w:val="00595AA6"/>
    <w:rsid w:val="00596906"/>
    <w:rsid w:val="005A060C"/>
    <w:rsid w:val="005A068C"/>
    <w:rsid w:val="005A0D22"/>
    <w:rsid w:val="005A12FE"/>
    <w:rsid w:val="005A13C9"/>
    <w:rsid w:val="005A3FC1"/>
    <w:rsid w:val="005A5B34"/>
    <w:rsid w:val="005B0AF6"/>
    <w:rsid w:val="005B0E5A"/>
    <w:rsid w:val="005B1D08"/>
    <w:rsid w:val="005B1F44"/>
    <w:rsid w:val="005B1F9B"/>
    <w:rsid w:val="005B24C5"/>
    <w:rsid w:val="005B26D1"/>
    <w:rsid w:val="005B6E97"/>
    <w:rsid w:val="005B7ECC"/>
    <w:rsid w:val="005C01B3"/>
    <w:rsid w:val="005C08E5"/>
    <w:rsid w:val="005C14A7"/>
    <w:rsid w:val="005C27B2"/>
    <w:rsid w:val="005C3866"/>
    <w:rsid w:val="005C45A4"/>
    <w:rsid w:val="005C4E34"/>
    <w:rsid w:val="005C52A4"/>
    <w:rsid w:val="005C5C65"/>
    <w:rsid w:val="005C66A2"/>
    <w:rsid w:val="005C7EEB"/>
    <w:rsid w:val="005D0838"/>
    <w:rsid w:val="005D0D46"/>
    <w:rsid w:val="005D0E05"/>
    <w:rsid w:val="005D0F5A"/>
    <w:rsid w:val="005D118D"/>
    <w:rsid w:val="005D22EA"/>
    <w:rsid w:val="005D23AA"/>
    <w:rsid w:val="005D318F"/>
    <w:rsid w:val="005D497F"/>
    <w:rsid w:val="005D4BD4"/>
    <w:rsid w:val="005D5052"/>
    <w:rsid w:val="005D57F2"/>
    <w:rsid w:val="005D59CE"/>
    <w:rsid w:val="005D6201"/>
    <w:rsid w:val="005D79DE"/>
    <w:rsid w:val="005D7F68"/>
    <w:rsid w:val="005E023F"/>
    <w:rsid w:val="005E1E93"/>
    <w:rsid w:val="005E2022"/>
    <w:rsid w:val="005E20A1"/>
    <w:rsid w:val="005E2AFB"/>
    <w:rsid w:val="005E39CC"/>
    <w:rsid w:val="005E41E2"/>
    <w:rsid w:val="005E4B26"/>
    <w:rsid w:val="005E5022"/>
    <w:rsid w:val="005E512A"/>
    <w:rsid w:val="005E5469"/>
    <w:rsid w:val="005E5C9B"/>
    <w:rsid w:val="005E5E3F"/>
    <w:rsid w:val="005E5EF6"/>
    <w:rsid w:val="005E65AD"/>
    <w:rsid w:val="005E73C6"/>
    <w:rsid w:val="005F0045"/>
    <w:rsid w:val="005F0D3F"/>
    <w:rsid w:val="005F1055"/>
    <w:rsid w:val="005F1C3A"/>
    <w:rsid w:val="005F256B"/>
    <w:rsid w:val="005F27B1"/>
    <w:rsid w:val="005F3458"/>
    <w:rsid w:val="005F3B31"/>
    <w:rsid w:val="005F5BD5"/>
    <w:rsid w:val="005F7503"/>
    <w:rsid w:val="005F798F"/>
    <w:rsid w:val="005F7A13"/>
    <w:rsid w:val="0060010D"/>
    <w:rsid w:val="006006B0"/>
    <w:rsid w:val="006023FF"/>
    <w:rsid w:val="00603A01"/>
    <w:rsid w:val="006041B5"/>
    <w:rsid w:val="00605038"/>
    <w:rsid w:val="0060558B"/>
    <w:rsid w:val="00606A65"/>
    <w:rsid w:val="00607A1D"/>
    <w:rsid w:val="00607B27"/>
    <w:rsid w:val="00607BD8"/>
    <w:rsid w:val="00607DC1"/>
    <w:rsid w:val="00610543"/>
    <w:rsid w:val="00610599"/>
    <w:rsid w:val="0061072B"/>
    <w:rsid w:val="0061209C"/>
    <w:rsid w:val="0061270C"/>
    <w:rsid w:val="00612F35"/>
    <w:rsid w:val="00613448"/>
    <w:rsid w:val="00614770"/>
    <w:rsid w:val="006156C1"/>
    <w:rsid w:val="00616ABE"/>
    <w:rsid w:val="00616C54"/>
    <w:rsid w:val="00616F2E"/>
    <w:rsid w:val="00617A3A"/>
    <w:rsid w:val="00617A95"/>
    <w:rsid w:val="00620D94"/>
    <w:rsid w:val="006210E9"/>
    <w:rsid w:val="006219BF"/>
    <w:rsid w:val="00621A7A"/>
    <w:rsid w:val="00621B26"/>
    <w:rsid w:val="0062211A"/>
    <w:rsid w:val="0062216B"/>
    <w:rsid w:val="00622AD3"/>
    <w:rsid w:val="00624A64"/>
    <w:rsid w:val="006303F4"/>
    <w:rsid w:val="006311B8"/>
    <w:rsid w:val="006340E8"/>
    <w:rsid w:val="006348FA"/>
    <w:rsid w:val="00634A83"/>
    <w:rsid w:val="006356B6"/>
    <w:rsid w:val="006371F5"/>
    <w:rsid w:val="006400FE"/>
    <w:rsid w:val="00641779"/>
    <w:rsid w:val="0064184D"/>
    <w:rsid w:val="00641B65"/>
    <w:rsid w:val="00641BED"/>
    <w:rsid w:val="00642AB5"/>
    <w:rsid w:val="00643C72"/>
    <w:rsid w:val="00644D0C"/>
    <w:rsid w:val="006453CB"/>
    <w:rsid w:val="00646C44"/>
    <w:rsid w:val="006474EF"/>
    <w:rsid w:val="006478CD"/>
    <w:rsid w:val="00647ECE"/>
    <w:rsid w:val="006500D5"/>
    <w:rsid w:val="006515FD"/>
    <w:rsid w:val="00654DFD"/>
    <w:rsid w:val="0065500F"/>
    <w:rsid w:val="00656531"/>
    <w:rsid w:val="00660247"/>
    <w:rsid w:val="00660FB9"/>
    <w:rsid w:val="00661716"/>
    <w:rsid w:val="006621CE"/>
    <w:rsid w:val="00662F04"/>
    <w:rsid w:val="006640DB"/>
    <w:rsid w:val="006644CB"/>
    <w:rsid w:val="00664CA8"/>
    <w:rsid w:val="00666994"/>
    <w:rsid w:val="00667916"/>
    <w:rsid w:val="00667938"/>
    <w:rsid w:val="00667B5F"/>
    <w:rsid w:val="00670319"/>
    <w:rsid w:val="006708B1"/>
    <w:rsid w:val="00670ADF"/>
    <w:rsid w:val="00671AD8"/>
    <w:rsid w:val="0067326B"/>
    <w:rsid w:val="00674781"/>
    <w:rsid w:val="00675306"/>
    <w:rsid w:val="00675F79"/>
    <w:rsid w:val="006774D6"/>
    <w:rsid w:val="00677A84"/>
    <w:rsid w:val="00677B7D"/>
    <w:rsid w:val="00677CB5"/>
    <w:rsid w:val="00677F68"/>
    <w:rsid w:val="006801F3"/>
    <w:rsid w:val="0068047B"/>
    <w:rsid w:val="00681570"/>
    <w:rsid w:val="00682C51"/>
    <w:rsid w:val="00682D74"/>
    <w:rsid w:val="006836B2"/>
    <w:rsid w:val="00684B3B"/>
    <w:rsid w:val="0068551F"/>
    <w:rsid w:val="00685E8B"/>
    <w:rsid w:val="006868E3"/>
    <w:rsid w:val="006869DC"/>
    <w:rsid w:val="006874CF"/>
    <w:rsid w:val="006878AE"/>
    <w:rsid w:val="00691508"/>
    <w:rsid w:val="00691B1E"/>
    <w:rsid w:val="0069256F"/>
    <w:rsid w:val="0069292C"/>
    <w:rsid w:val="00693324"/>
    <w:rsid w:val="00693587"/>
    <w:rsid w:val="00694178"/>
    <w:rsid w:val="006946FF"/>
    <w:rsid w:val="00694C04"/>
    <w:rsid w:val="00694D59"/>
    <w:rsid w:val="006960A5"/>
    <w:rsid w:val="006A0E3B"/>
    <w:rsid w:val="006A24A8"/>
    <w:rsid w:val="006A2BF0"/>
    <w:rsid w:val="006A4699"/>
    <w:rsid w:val="006A4A57"/>
    <w:rsid w:val="006A5A1C"/>
    <w:rsid w:val="006A5BC0"/>
    <w:rsid w:val="006A5C92"/>
    <w:rsid w:val="006A5FB5"/>
    <w:rsid w:val="006A66C2"/>
    <w:rsid w:val="006B060E"/>
    <w:rsid w:val="006B1A53"/>
    <w:rsid w:val="006B1CBE"/>
    <w:rsid w:val="006B2E1A"/>
    <w:rsid w:val="006B311A"/>
    <w:rsid w:val="006B360F"/>
    <w:rsid w:val="006B4A61"/>
    <w:rsid w:val="006B558F"/>
    <w:rsid w:val="006B66E4"/>
    <w:rsid w:val="006B73BE"/>
    <w:rsid w:val="006C02D9"/>
    <w:rsid w:val="006C10AA"/>
    <w:rsid w:val="006C192D"/>
    <w:rsid w:val="006C3461"/>
    <w:rsid w:val="006C37E8"/>
    <w:rsid w:val="006C4B49"/>
    <w:rsid w:val="006C5014"/>
    <w:rsid w:val="006C52B1"/>
    <w:rsid w:val="006C565F"/>
    <w:rsid w:val="006C5D91"/>
    <w:rsid w:val="006C61F7"/>
    <w:rsid w:val="006D0002"/>
    <w:rsid w:val="006D032C"/>
    <w:rsid w:val="006D063F"/>
    <w:rsid w:val="006D1145"/>
    <w:rsid w:val="006D1431"/>
    <w:rsid w:val="006D2DF1"/>
    <w:rsid w:val="006D3455"/>
    <w:rsid w:val="006D36AE"/>
    <w:rsid w:val="006D3BA0"/>
    <w:rsid w:val="006D4272"/>
    <w:rsid w:val="006D60FD"/>
    <w:rsid w:val="006D6D37"/>
    <w:rsid w:val="006D7D7D"/>
    <w:rsid w:val="006E052B"/>
    <w:rsid w:val="006E059A"/>
    <w:rsid w:val="006E09CF"/>
    <w:rsid w:val="006E0D6A"/>
    <w:rsid w:val="006E1041"/>
    <w:rsid w:val="006E18E5"/>
    <w:rsid w:val="006E2111"/>
    <w:rsid w:val="006E3385"/>
    <w:rsid w:val="006E4153"/>
    <w:rsid w:val="006E55F2"/>
    <w:rsid w:val="006E5BE7"/>
    <w:rsid w:val="006E6789"/>
    <w:rsid w:val="006F2231"/>
    <w:rsid w:val="006F347C"/>
    <w:rsid w:val="006F376D"/>
    <w:rsid w:val="006F3ECF"/>
    <w:rsid w:val="006F4751"/>
    <w:rsid w:val="006F5118"/>
    <w:rsid w:val="006F5BB1"/>
    <w:rsid w:val="006F5C86"/>
    <w:rsid w:val="006F62AD"/>
    <w:rsid w:val="006F6869"/>
    <w:rsid w:val="006F735D"/>
    <w:rsid w:val="006F7B87"/>
    <w:rsid w:val="00700078"/>
    <w:rsid w:val="00700900"/>
    <w:rsid w:val="0070283C"/>
    <w:rsid w:val="00702CC2"/>
    <w:rsid w:val="00703450"/>
    <w:rsid w:val="00703696"/>
    <w:rsid w:val="007037BD"/>
    <w:rsid w:val="00704CAA"/>
    <w:rsid w:val="00705D91"/>
    <w:rsid w:val="0070614A"/>
    <w:rsid w:val="0071063E"/>
    <w:rsid w:val="00712CF3"/>
    <w:rsid w:val="00712E5D"/>
    <w:rsid w:val="007139BD"/>
    <w:rsid w:val="00713EDF"/>
    <w:rsid w:val="0071587F"/>
    <w:rsid w:val="007160A7"/>
    <w:rsid w:val="007172D3"/>
    <w:rsid w:val="00720C65"/>
    <w:rsid w:val="0072140A"/>
    <w:rsid w:val="00721714"/>
    <w:rsid w:val="00722ABB"/>
    <w:rsid w:val="007232DD"/>
    <w:rsid w:val="00723DEF"/>
    <w:rsid w:val="00724549"/>
    <w:rsid w:val="007253A9"/>
    <w:rsid w:val="007256F5"/>
    <w:rsid w:val="00727355"/>
    <w:rsid w:val="007275B5"/>
    <w:rsid w:val="00727B7D"/>
    <w:rsid w:val="007307F4"/>
    <w:rsid w:val="00730D22"/>
    <w:rsid w:val="00731C4A"/>
    <w:rsid w:val="00731D79"/>
    <w:rsid w:val="007326D1"/>
    <w:rsid w:val="00733751"/>
    <w:rsid w:val="007341B1"/>
    <w:rsid w:val="007349A4"/>
    <w:rsid w:val="0073622E"/>
    <w:rsid w:val="007362B1"/>
    <w:rsid w:val="00737B40"/>
    <w:rsid w:val="00737CF6"/>
    <w:rsid w:val="00741333"/>
    <w:rsid w:val="00742FDE"/>
    <w:rsid w:val="0074344F"/>
    <w:rsid w:val="00743B6F"/>
    <w:rsid w:val="007442B3"/>
    <w:rsid w:val="00744EE7"/>
    <w:rsid w:val="0074504E"/>
    <w:rsid w:val="00745913"/>
    <w:rsid w:val="0074630A"/>
    <w:rsid w:val="00746D51"/>
    <w:rsid w:val="00747175"/>
    <w:rsid w:val="007472CC"/>
    <w:rsid w:val="00750787"/>
    <w:rsid w:val="00753E6E"/>
    <w:rsid w:val="007548E5"/>
    <w:rsid w:val="00754F2A"/>
    <w:rsid w:val="007551CD"/>
    <w:rsid w:val="0075571F"/>
    <w:rsid w:val="00760B95"/>
    <w:rsid w:val="00761386"/>
    <w:rsid w:val="007616D8"/>
    <w:rsid w:val="00761AB2"/>
    <w:rsid w:val="007624D5"/>
    <w:rsid w:val="007628CF"/>
    <w:rsid w:val="007631FD"/>
    <w:rsid w:val="007632CC"/>
    <w:rsid w:val="00763FCE"/>
    <w:rsid w:val="00764C96"/>
    <w:rsid w:val="00764ED0"/>
    <w:rsid w:val="00765D2D"/>
    <w:rsid w:val="00765F52"/>
    <w:rsid w:val="007660FF"/>
    <w:rsid w:val="00766AEF"/>
    <w:rsid w:val="00766BDE"/>
    <w:rsid w:val="00766CAF"/>
    <w:rsid w:val="00766D34"/>
    <w:rsid w:val="007675F7"/>
    <w:rsid w:val="00767CC0"/>
    <w:rsid w:val="00771713"/>
    <w:rsid w:val="0077233A"/>
    <w:rsid w:val="00772691"/>
    <w:rsid w:val="00772A8F"/>
    <w:rsid w:val="00772CE5"/>
    <w:rsid w:val="00773C70"/>
    <w:rsid w:val="007774AB"/>
    <w:rsid w:val="00777E34"/>
    <w:rsid w:val="007847C3"/>
    <w:rsid w:val="00784FC2"/>
    <w:rsid w:val="0078572E"/>
    <w:rsid w:val="00786026"/>
    <w:rsid w:val="007870E1"/>
    <w:rsid w:val="00790292"/>
    <w:rsid w:val="00790F67"/>
    <w:rsid w:val="007916FD"/>
    <w:rsid w:val="007924AE"/>
    <w:rsid w:val="007928A5"/>
    <w:rsid w:val="00793F21"/>
    <w:rsid w:val="007953ED"/>
    <w:rsid w:val="007956B2"/>
    <w:rsid w:val="0079591D"/>
    <w:rsid w:val="00797A5E"/>
    <w:rsid w:val="007A022C"/>
    <w:rsid w:val="007A04E9"/>
    <w:rsid w:val="007A120A"/>
    <w:rsid w:val="007A1468"/>
    <w:rsid w:val="007A14C0"/>
    <w:rsid w:val="007A1C76"/>
    <w:rsid w:val="007A2031"/>
    <w:rsid w:val="007A26D0"/>
    <w:rsid w:val="007A31D2"/>
    <w:rsid w:val="007A3C5E"/>
    <w:rsid w:val="007A3D87"/>
    <w:rsid w:val="007A3E72"/>
    <w:rsid w:val="007A430F"/>
    <w:rsid w:val="007A4C72"/>
    <w:rsid w:val="007A5BA5"/>
    <w:rsid w:val="007A600B"/>
    <w:rsid w:val="007A722B"/>
    <w:rsid w:val="007B0009"/>
    <w:rsid w:val="007B0992"/>
    <w:rsid w:val="007B0CD1"/>
    <w:rsid w:val="007B12D3"/>
    <w:rsid w:val="007B2E2F"/>
    <w:rsid w:val="007B303A"/>
    <w:rsid w:val="007B35B9"/>
    <w:rsid w:val="007B6406"/>
    <w:rsid w:val="007B7614"/>
    <w:rsid w:val="007C428E"/>
    <w:rsid w:val="007C4E02"/>
    <w:rsid w:val="007C6386"/>
    <w:rsid w:val="007C6BD2"/>
    <w:rsid w:val="007D01DA"/>
    <w:rsid w:val="007D0887"/>
    <w:rsid w:val="007D0E8C"/>
    <w:rsid w:val="007D38FA"/>
    <w:rsid w:val="007D3DC1"/>
    <w:rsid w:val="007D3E6F"/>
    <w:rsid w:val="007D4315"/>
    <w:rsid w:val="007D5DA0"/>
    <w:rsid w:val="007D5EED"/>
    <w:rsid w:val="007D5F25"/>
    <w:rsid w:val="007E03D1"/>
    <w:rsid w:val="007E0B5C"/>
    <w:rsid w:val="007E1111"/>
    <w:rsid w:val="007E1443"/>
    <w:rsid w:val="007E28F7"/>
    <w:rsid w:val="007E31E5"/>
    <w:rsid w:val="007E3891"/>
    <w:rsid w:val="007E57C2"/>
    <w:rsid w:val="007E651D"/>
    <w:rsid w:val="007E66F7"/>
    <w:rsid w:val="007E6E75"/>
    <w:rsid w:val="007F0D00"/>
    <w:rsid w:val="007F0E29"/>
    <w:rsid w:val="007F1041"/>
    <w:rsid w:val="007F2174"/>
    <w:rsid w:val="007F2390"/>
    <w:rsid w:val="007F241B"/>
    <w:rsid w:val="007F2458"/>
    <w:rsid w:val="007F2AC1"/>
    <w:rsid w:val="007F2E56"/>
    <w:rsid w:val="007F3566"/>
    <w:rsid w:val="007F3A86"/>
    <w:rsid w:val="007F3B2E"/>
    <w:rsid w:val="007F4A3C"/>
    <w:rsid w:val="007F4D16"/>
    <w:rsid w:val="007F554E"/>
    <w:rsid w:val="007F60E6"/>
    <w:rsid w:val="007F7357"/>
    <w:rsid w:val="008013DF"/>
    <w:rsid w:val="00803AD4"/>
    <w:rsid w:val="00803F62"/>
    <w:rsid w:val="00804CCF"/>
    <w:rsid w:val="008051A7"/>
    <w:rsid w:val="00805E41"/>
    <w:rsid w:val="00806FAE"/>
    <w:rsid w:val="00807011"/>
    <w:rsid w:val="008104A6"/>
    <w:rsid w:val="00811BCE"/>
    <w:rsid w:val="00811DF1"/>
    <w:rsid w:val="00812457"/>
    <w:rsid w:val="00812D30"/>
    <w:rsid w:val="00812FDE"/>
    <w:rsid w:val="008131C3"/>
    <w:rsid w:val="00813626"/>
    <w:rsid w:val="00813D37"/>
    <w:rsid w:val="00813F5A"/>
    <w:rsid w:val="00815F5F"/>
    <w:rsid w:val="008205CE"/>
    <w:rsid w:val="0082137A"/>
    <w:rsid w:val="008217C5"/>
    <w:rsid w:val="00821DF0"/>
    <w:rsid w:val="008220E9"/>
    <w:rsid w:val="00822A68"/>
    <w:rsid w:val="00823D2C"/>
    <w:rsid w:val="00823D95"/>
    <w:rsid w:val="008247F4"/>
    <w:rsid w:val="00824E6D"/>
    <w:rsid w:val="008278B0"/>
    <w:rsid w:val="00827FE4"/>
    <w:rsid w:val="00831203"/>
    <w:rsid w:val="008316A1"/>
    <w:rsid w:val="00832914"/>
    <w:rsid w:val="00832B70"/>
    <w:rsid w:val="00832E73"/>
    <w:rsid w:val="00832E86"/>
    <w:rsid w:val="008340C3"/>
    <w:rsid w:val="0083518F"/>
    <w:rsid w:val="008365DA"/>
    <w:rsid w:val="008377C5"/>
    <w:rsid w:val="00837C6A"/>
    <w:rsid w:val="0084001F"/>
    <w:rsid w:val="00843733"/>
    <w:rsid w:val="00843F64"/>
    <w:rsid w:val="008453B1"/>
    <w:rsid w:val="00846738"/>
    <w:rsid w:val="0084790A"/>
    <w:rsid w:val="00850BAE"/>
    <w:rsid w:val="00850C5F"/>
    <w:rsid w:val="008516BE"/>
    <w:rsid w:val="0085194F"/>
    <w:rsid w:val="00851A86"/>
    <w:rsid w:val="008520E6"/>
    <w:rsid w:val="00852DAD"/>
    <w:rsid w:val="008536FC"/>
    <w:rsid w:val="0085517A"/>
    <w:rsid w:val="008561CF"/>
    <w:rsid w:val="00856492"/>
    <w:rsid w:val="0085795D"/>
    <w:rsid w:val="008607F3"/>
    <w:rsid w:val="00862227"/>
    <w:rsid w:val="00863039"/>
    <w:rsid w:val="0086313C"/>
    <w:rsid w:val="00863C0E"/>
    <w:rsid w:val="00863E77"/>
    <w:rsid w:val="008666E1"/>
    <w:rsid w:val="0086745C"/>
    <w:rsid w:val="00870BB3"/>
    <w:rsid w:val="00870DC1"/>
    <w:rsid w:val="00870FAD"/>
    <w:rsid w:val="00871F30"/>
    <w:rsid w:val="0087225B"/>
    <w:rsid w:val="008724D4"/>
    <w:rsid w:val="0087351D"/>
    <w:rsid w:val="00873AE8"/>
    <w:rsid w:val="00873E0A"/>
    <w:rsid w:val="00874322"/>
    <w:rsid w:val="00875673"/>
    <w:rsid w:val="0087694C"/>
    <w:rsid w:val="00877AF0"/>
    <w:rsid w:val="00880AF8"/>
    <w:rsid w:val="00881A36"/>
    <w:rsid w:val="00883DC4"/>
    <w:rsid w:val="00884320"/>
    <w:rsid w:val="008849E1"/>
    <w:rsid w:val="00884F28"/>
    <w:rsid w:val="008857C3"/>
    <w:rsid w:val="00885AB2"/>
    <w:rsid w:val="00885B10"/>
    <w:rsid w:val="00886087"/>
    <w:rsid w:val="00887B5C"/>
    <w:rsid w:val="00891024"/>
    <w:rsid w:val="00892670"/>
    <w:rsid w:val="0089293E"/>
    <w:rsid w:val="008932E7"/>
    <w:rsid w:val="00893859"/>
    <w:rsid w:val="008969E4"/>
    <w:rsid w:val="00896C8B"/>
    <w:rsid w:val="00896F3A"/>
    <w:rsid w:val="008A13B0"/>
    <w:rsid w:val="008A1C56"/>
    <w:rsid w:val="008A23C3"/>
    <w:rsid w:val="008A2D3F"/>
    <w:rsid w:val="008A475B"/>
    <w:rsid w:val="008A4943"/>
    <w:rsid w:val="008A4CE9"/>
    <w:rsid w:val="008A6562"/>
    <w:rsid w:val="008A6766"/>
    <w:rsid w:val="008B02F0"/>
    <w:rsid w:val="008B0FAB"/>
    <w:rsid w:val="008B159A"/>
    <w:rsid w:val="008B308C"/>
    <w:rsid w:val="008B7A34"/>
    <w:rsid w:val="008C1ABB"/>
    <w:rsid w:val="008C3B81"/>
    <w:rsid w:val="008C3D27"/>
    <w:rsid w:val="008C55D8"/>
    <w:rsid w:val="008C5D9F"/>
    <w:rsid w:val="008C6C8C"/>
    <w:rsid w:val="008C7FE4"/>
    <w:rsid w:val="008D28D0"/>
    <w:rsid w:val="008D443A"/>
    <w:rsid w:val="008D5487"/>
    <w:rsid w:val="008D5ECD"/>
    <w:rsid w:val="008D604E"/>
    <w:rsid w:val="008E0DE1"/>
    <w:rsid w:val="008E1FCD"/>
    <w:rsid w:val="008E21A0"/>
    <w:rsid w:val="008E3A68"/>
    <w:rsid w:val="008E43E7"/>
    <w:rsid w:val="008E44D8"/>
    <w:rsid w:val="008E4DCC"/>
    <w:rsid w:val="008E6AFD"/>
    <w:rsid w:val="008E78CC"/>
    <w:rsid w:val="008F0003"/>
    <w:rsid w:val="008F0DC4"/>
    <w:rsid w:val="008F120A"/>
    <w:rsid w:val="008F3CF9"/>
    <w:rsid w:val="008F43C2"/>
    <w:rsid w:val="008F4EF0"/>
    <w:rsid w:val="008F5044"/>
    <w:rsid w:val="008F77B5"/>
    <w:rsid w:val="009000AC"/>
    <w:rsid w:val="00900AE5"/>
    <w:rsid w:val="00901706"/>
    <w:rsid w:val="00903CEA"/>
    <w:rsid w:val="00903DBD"/>
    <w:rsid w:val="00911244"/>
    <w:rsid w:val="009121BA"/>
    <w:rsid w:val="009130BD"/>
    <w:rsid w:val="009131D3"/>
    <w:rsid w:val="00913937"/>
    <w:rsid w:val="00914174"/>
    <w:rsid w:val="009143E6"/>
    <w:rsid w:val="00914D7C"/>
    <w:rsid w:val="009150B1"/>
    <w:rsid w:val="00916C84"/>
    <w:rsid w:val="00916D06"/>
    <w:rsid w:val="00920EC8"/>
    <w:rsid w:val="00922310"/>
    <w:rsid w:val="00922C49"/>
    <w:rsid w:val="00923379"/>
    <w:rsid w:val="00925946"/>
    <w:rsid w:val="00927816"/>
    <w:rsid w:val="00927A06"/>
    <w:rsid w:val="00930196"/>
    <w:rsid w:val="00931B9F"/>
    <w:rsid w:val="009331BA"/>
    <w:rsid w:val="00933961"/>
    <w:rsid w:val="009352B7"/>
    <w:rsid w:val="0093604F"/>
    <w:rsid w:val="009361D9"/>
    <w:rsid w:val="00936571"/>
    <w:rsid w:val="009368E6"/>
    <w:rsid w:val="009371AC"/>
    <w:rsid w:val="00940DF4"/>
    <w:rsid w:val="009411D7"/>
    <w:rsid w:val="009424EB"/>
    <w:rsid w:val="00945D31"/>
    <w:rsid w:val="00946D49"/>
    <w:rsid w:val="00952069"/>
    <w:rsid w:val="009521F9"/>
    <w:rsid w:val="00952AD7"/>
    <w:rsid w:val="0095376B"/>
    <w:rsid w:val="0095394E"/>
    <w:rsid w:val="00953CB5"/>
    <w:rsid w:val="00954419"/>
    <w:rsid w:val="00954B45"/>
    <w:rsid w:val="0095544A"/>
    <w:rsid w:val="009567F4"/>
    <w:rsid w:val="009573BA"/>
    <w:rsid w:val="00957C68"/>
    <w:rsid w:val="00960EB7"/>
    <w:rsid w:val="00961141"/>
    <w:rsid w:val="00961142"/>
    <w:rsid w:val="009615E6"/>
    <w:rsid w:val="00961A41"/>
    <w:rsid w:val="00961FD0"/>
    <w:rsid w:val="009622FD"/>
    <w:rsid w:val="00964F58"/>
    <w:rsid w:val="00965DCD"/>
    <w:rsid w:val="00971060"/>
    <w:rsid w:val="00972302"/>
    <w:rsid w:val="0097269E"/>
    <w:rsid w:val="00974DA0"/>
    <w:rsid w:val="00975539"/>
    <w:rsid w:val="009808E5"/>
    <w:rsid w:val="0098137C"/>
    <w:rsid w:val="009819D3"/>
    <w:rsid w:val="009829A3"/>
    <w:rsid w:val="00983F89"/>
    <w:rsid w:val="009861F2"/>
    <w:rsid w:val="009866E8"/>
    <w:rsid w:val="00986F9E"/>
    <w:rsid w:val="009879D8"/>
    <w:rsid w:val="009902EE"/>
    <w:rsid w:val="009905C3"/>
    <w:rsid w:val="00991639"/>
    <w:rsid w:val="00992A7E"/>
    <w:rsid w:val="00993537"/>
    <w:rsid w:val="00993EB0"/>
    <w:rsid w:val="00994721"/>
    <w:rsid w:val="00996297"/>
    <w:rsid w:val="00997243"/>
    <w:rsid w:val="009A017E"/>
    <w:rsid w:val="009A0383"/>
    <w:rsid w:val="009A3056"/>
    <w:rsid w:val="009A3F54"/>
    <w:rsid w:val="009A406E"/>
    <w:rsid w:val="009A4B8D"/>
    <w:rsid w:val="009A58D4"/>
    <w:rsid w:val="009A6021"/>
    <w:rsid w:val="009A6169"/>
    <w:rsid w:val="009A72D9"/>
    <w:rsid w:val="009A7300"/>
    <w:rsid w:val="009A7807"/>
    <w:rsid w:val="009A7F4F"/>
    <w:rsid w:val="009B0200"/>
    <w:rsid w:val="009B1829"/>
    <w:rsid w:val="009B2A76"/>
    <w:rsid w:val="009B349B"/>
    <w:rsid w:val="009B529B"/>
    <w:rsid w:val="009B5420"/>
    <w:rsid w:val="009B5584"/>
    <w:rsid w:val="009B55DA"/>
    <w:rsid w:val="009B71A5"/>
    <w:rsid w:val="009C0F5F"/>
    <w:rsid w:val="009C2FD8"/>
    <w:rsid w:val="009C327C"/>
    <w:rsid w:val="009C4899"/>
    <w:rsid w:val="009C6BA1"/>
    <w:rsid w:val="009D2752"/>
    <w:rsid w:val="009D3888"/>
    <w:rsid w:val="009D4739"/>
    <w:rsid w:val="009D5641"/>
    <w:rsid w:val="009D57E8"/>
    <w:rsid w:val="009D611E"/>
    <w:rsid w:val="009D6F30"/>
    <w:rsid w:val="009D77A8"/>
    <w:rsid w:val="009D790F"/>
    <w:rsid w:val="009E0122"/>
    <w:rsid w:val="009E286A"/>
    <w:rsid w:val="009E2EE9"/>
    <w:rsid w:val="009E33EC"/>
    <w:rsid w:val="009E3F56"/>
    <w:rsid w:val="009E3FBF"/>
    <w:rsid w:val="009E4507"/>
    <w:rsid w:val="009E53FA"/>
    <w:rsid w:val="009E7C59"/>
    <w:rsid w:val="009F090A"/>
    <w:rsid w:val="009F13EC"/>
    <w:rsid w:val="009F18A6"/>
    <w:rsid w:val="009F2A89"/>
    <w:rsid w:val="009F410E"/>
    <w:rsid w:val="009F4341"/>
    <w:rsid w:val="009F4F89"/>
    <w:rsid w:val="009F6691"/>
    <w:rsid w:val="009F6EF8"/>
    <w:rsid w:val="009F7E0D"/>
    <w:rsid w:val="00A005B5"/>
    <w:rsid w:val="00A00D48"/>
    <w:rsid w:val="00A00DAF"/>
    <w:rsid w:val="00A02CA6"/>
    <w:rsid w:val="00A03EF0"/>
    <w:rsid w:val="00A04D70"/>
    <w:rsid w:val="00A0524E"/>
    <w:rsid w:val="00A05276"/>
    <w:rsid w:val="00A05901"/>
    <w:rsid w:val="00A05CE5"/>
    <w:rsid w:val="00A064BB"/>
    <w:rsid w:val="00A10073"/>
    <w:rsid w:val="00A10470"/>
    <w:rsid w:val="00A13742"/>
    <w:rsid w:val="00A13F43"/>
    <w:rsid w:val="00A14E51"/>
    <w:rsid w:val="00A16341"/>
    <w:rsid w:val="00A17738"/>
    <w:rsid w:val="00A207B2"/>
    <w:rsid w:val="00A20FDE"/>
    <w:rsid w:val="00A21E98"/>
    <w:rsid w:val="00A231F3"/>
    <w:rsid w:val="00A23E83"/>
    <w:rsid w:val="00A23ED9"/>
    <w:rsid w:val="00A25C1F"/>
    <w:rsid w:val="00A25F4E"/>
    <w:rsid w:val="00A26BB4"/>
    <w:rsid w:val="00A2754F"/>
    <w:rsid w:val="00A30011"/>
    <w:rsid w:val="00A308B1"/>
    <w:rsid w:val="00A30CBC"/>
    <w:rsid w:val="00A3122C"/>
    <w:rsid w:val="00A34D2F"/>
    <w:rsid w:val="00A34F44"/>
    <w:rsid w:val="00A35085"/>
    <w:rsid w:val="00A36596"/>
    <w:rsid w:val="00A406D8"/>
    <w:rsid w:val="00A409D6"/>
    <w:rsid w:val="00A43EC3"/>
    <w:rsid w:val="00A443D7"/>
    <w:rsid w:val="00A46678"/>
    <w:rsid w:val="00A533D3"/>
    <w:rsid w:val="00A54EA4"/>
    <w:rsid w:val="00A55427"/>
    <w:rsid w:val="00A5625F"/>
    <w:rsid w:val="00A566EB"/>
    <w:rsid w:val="00A5690B"/>
    <w:rsid w:val="00A569F1"/>
    <w:rsid w:val="00A56E02"/>
    <w:rsid w:val="00A57C23"/>
    <w:rsid w:val="00A62E1C"/>
    <w:rsid w:val="00A62E9A"/>
    <w:rsid w:val="00A6370D"/>
    <w:rsid w:val="00A64F58"/>
    <w:rsid w:val="00A658B6"/>
    <w:rsid w:val="00A65A1A"/>
    <w:rsid w:val="00A65BD0"/>
    <w:rsid w:val="00A66E7A"/>
    <w:rsid w:val="00A674EA"/>
    <w:rsid w:val="00A67D3B"/>
    <w:rsid w:val="00A7110D"/>
    <w:rsid w:val="00A71345"/>
    <w:rsid w:val="00A71349"/>
    <w:rsid w:val="00A71643"/>
    <w:rsid w:val="00A71C59"/>
    <w:rsid w:val="00A72AFE"/>
    <w:rsid w:val="00A72BE6"/>
    <w:rsid w:val="00A72F8B"/>
    <w:rsid w:val="00A736F7"/>
    <w:rsid w:val="00A75F9B"/>
    <w:rsid w:val="00A765EE"/>
    <w:rsid w:val="00A76B39"/>
    <w:rsid w:val="00A77151"/>
    <w:rsid w:val="00A801E2"/>
    <w:rsid w:val="00A81ACC"/>
    <w:rsid w:val="00A82978"/>
    <w:rsid w:val="00A83C2D"/>
    <w:rsid w:val="00A83E7A"/>
    <w:rsid w:val="00A856C8"/>
    <w:rsid w:val="00A87D62"/>
    <w:rsid w:val="00A90C9F"/>
    <w:rsid w:val="00A90E88"/>
    <w:rsid w:val="00A911BF"/>
    <w:rsid w:val="00A9150E"/>
    <w:rsid w:val="00A92106"/>
    <w:rsid w:val="00A92F20"/>
    <w:rsid w:val="00A93287"/>
    <w:rsid w:val="00A93CCB"/>
    <w:rsid w:val="00A9665F"/>
    <w:rsid w:val="00A96BE4"/>
    <w:rsid w:val="00A9766D"/>
    <w:rsid w:val="00AA1E1C"/>
    <w:rsid w:val="00AA3710"/>
    <w:rsid w:val="00AA3C2E"/>
    <w:rsid w:val="00AA49A6"/>
    <w:rsid w:val="00AA4A0A"/>
    <w:rsid w:val="00AA518B"/>
    <w:rsid w:val="00AA572D"/>
    <w:rsid w:val="00AA5C11"/>
    <w:rsid w:val="00AA5C7C"/>
    <w:rsid w:val="00AA6990"/>
    <w:rsid w:val="00AA765B"/>
    <w:rsid w:val="00AA7D94"/>
    <w:rsid w:val="00AB035E"/>
    <w:rsid w:val="00AB2313"/>
    <w:rsid w:val="00AB2EF1"/>
    <w:rsid w:val="00AB3618"/>
    <w:rsid w:val="00AB4860"/>
    <w:rsid w:val="00AB4F33"/>
    <w:rsid w:val="00AB5F89"/>
    <w:rsid w:val="00AB6B5D"/>
    <w:rsid w:val="00AB7E87"/>
    <w:rsid w:val="00AC0C6C"/>
    <w:rsid w:val="00AC3351"/>
    <w:rsid w:val="00AC50DF"/>
    <w:rsid w:val="00AC6591"/>
    <w:rsid w:val="00AC689C"/>
    <w:rsid w:val="00AC6F85"/>
    <w:rsid w:val="00AD236E"/>
    <w:rsid w:val="00AD24CD"/>
    <w:rsid w:val="00AD2D7D"/>
    <w:rsid w:val="00AD384F"/>
    <w:rsid w:val="00AD4250"/>
    <w:rsid w:val="00AD4965"/>
    <w:rsid w:val="00AD5AE7"/>
    <w:rsid w:val="00AD6768"/>
    <w:rsid w:val="00AD7F24"/>
    <w:rsid w:val="00AE144D"/>
    <w:rsid w:val="00AE25C5"/>
    <w:rsid w:val="00AE2E20"/>
    <w:rsid w:val="00AE3790"/>
    <w:rsid w:val="00AE4FAF"/>
    <w:rsid w:val="00AE517B"/>
    <w:rsid w:val="00AE52F5"/>
    <w:rsid w:val="00AE5ACD"/>
    <w:rsid w:val="00AF175D"/>
    <w:rsid w:val="00AF2FDB"/>
    <w:rsid w:val="00AF4842"/>
    <w:rsid w:val="00AF6F61"/>
    <w:rsid w:val="00B014DB"/>
    <w:rsid w:val="00B01E22"/>
    <w:rsid w:val="00B0396E"/>
    <w:rsid w:val="00B0429C"/>
    <w:rsid w:val="00B04919"/>
    <w:rsid w:val="00B05B1F"/>
    <w:rsid w:val="00B07B6E"/>
    <w:rsid w:val="00B10695"/>
    <w:rsid w:val="00B1143A"/>
    <w:rsid w:val="00B11AAC"/>
    <w:rsid w:val="00B13468"/>
    <w:rsid w:val="00B13990"/>
    <w:rsid w:val="00B140FD"/>
    <w:rsid w:val="00B164A6"/>
    <w:rsid w:val="00B16B53"/>
    <w:rsid w:val="00B17788"/>
    <w:rsid w:val="00B241E5"/>
    <w:rsid w:val="00B25E2E"/>
    <w:rsid w:val="00B265FC"/>
    <w:rsid w:val="00B272EA"/>
    <w:rsid w:val="00B277D8"/>
    <w:rsid w:val="00B30512"/>
    <w:rsid w:val="00B31AF4"/>
    <w:rsid w:val="00B329A5"/>
    <w:rsid w:val="00B33891"/>
    <w:rsid w:val="00B341EF"/>
    <w:rsid w:val="00B3460C"/>
    <w:rsid w:val="00B34FDD"/>
    <w:rsid w:val="00B35930"/>
    <w:rsid w:val="00B376C1"/>
    <w:rsid w:val="00B37F6C"/>
    <w:rsid w:val="00B404DB"/>
    <w:rsid w:val="00B40E5B"/>
    <w:rsid w:val="00B41880"/>
    <w:rsid w:val="00B437EE"/>
    <w:rsid w:val="00B44C3C"/>
    <w:rsid w:val="00B4569D"/>
    <w:rsid w:val="00B45713"/>
    <w:rsid w:val="00B472D8"/>
    <w:rsid w:val="00B47776"/>
    <w:rsid w:val="00B47C41"/>
    <w:rsid w:val="00B50924"/>
    <w:rsid w:val="00B50936"/>
    <w:rsid w:val="00B5095E"/>
    <w:rsid w:val="00B50A2B"/>
    <w:rsid w:val="00B521D3"/>
    <w:rsid w:val="00B54163"/>
    <w:rsid w:val="00B5476D"/>
    <w:rsid w:val="00B54D81"/>
    <w:rsid w:val="00B55711"/>
    <w:rsid w:val="00B55727"/>
    <w:rsid w:val="00B564DE"/>
    <w:rsid w:val="00B56B4E"/>
    <w:rsid w:val="00B57349"/>
    <w:rsid w:val="00B57E9C"/>
    <w:rsid w:val="00B60813"/>
    <w:rsid w:val="00B60FDA"/>
    <w:rsid w:val="00B61466"/>
    <w:rsid w:val="00B617B8"/>
    <w:rsid w:val="00B61A3B"/>
    <w:rsid w:val="00B61A91"/>
    <w:rsid w:val="00B62B83"/>
    <w:rsid w:val="00B633C8"/>
    <w:rsid w:val="00B662EF"/>
    <w:rsid w:val="00B669A5"/>
    <w:rsid w:val="00B67B17"/>
    <w:rsid w:val="00B729DC"/>
    <w:rsid w:val="00B72FBA"/>
    <w:rsid w:val="00B7380D"/>
    <w:rsid w:val="00B74106"/>
    <w:rsid w:val="00B7559B"/>
    <w:rsid w:val="00B75F93"/>
    <w:rsid w:val="00B76876"/>
    <w:rsid w:val="00B80DD1"/>
    <w:rsid w:val="00B81503"/>
    <w:rsid w:val="00B84BA8"/>
    <w:rsid w:val="00B85359"/>
    <w:rsid w:val="00B86695"/>
    <w:rsid w:val="00B87C24"/>
    <w:rsid w:val="00B87D7E"/>
    <w:rsid w:val="00B90AAF"/>
    <w:rsid w:val="00B90DAF"/>
    <w:rsid w:val="00B90DB0"/>
    <w:rsid w:val="00B91F5D"/>
    <w:rsid w:val="00B93716"/>
    <w:rsid w:val="00B93EA4"/>
    <w:rsid w:val="00B972F7"/>
    <w:rsid w:val="00BA1386"/>
    <w:rsid w:val="00BA1D1F"/>
    <w:rsid w:val="00BA233D"/>
    <w:rsid w:val="00BA3057"/>
    <w:rsid w:val="00BA56C2"/>
    <w:rsid w:val="00BA6C12"/>
    <w:rsid w:val="00BA75EC"/>
    <w:rsid w:val="00BB1BB5"/>
    <w:rsid w:val="00BB254A"/>
    <w:rsid w:val="00BB40BF"/>
    <w:rsid w:val="00BB48DA"/>
    <w:rsid w:val="00BB57D4"/>
    <w:rsid w:val="00BB5F24"/>
    <w:rsid w:val="00BB6122"/>
    <w:rsid w:val="00BB71B0"/>
    <w:rsid w:val="00BC0F85"/>
    <w:rsid w:val="00BC2D44"/>
    <w:rsid w:val="00BC31FD"/>
    <w:rsid w:val="00BC3979"/>
    <w:rsid w:val="00BC3C4F"/>
    <w:rsid w:val="00BC3F6B"/>
    <w:rsid w:val="00BC5BE5"/>
    <w:rsid w:val="00BD022B"/>
    <w:rsid w:val="00BD0F7F"/>
    <w:rsid w:val="00BD31EE"/>
    <w:rsid w:val="00BD38EC"/>
    <w:rsid w:val="00BD42F8"/>
    <w:rsid w:val="00BD4A17"/>
    <w:rsid w:val="00BD4D84"/>
    <w:rsid w:val="00BD4DC6"/>
    <w:rsid w:val="00BD560D"/>
    <w:rsid w:val="00BD7083"/>
    <w:rsid w:val="00BD70E9"/>
    <w:rsid w:val="00BD7EAB"/>
    <w:rsid w:val="00BD7EE6"/>
    <w:rsid w:val="00BE11C6"/>
    <w:rsid w:val="00BE35E0"/>
    <w:rsid w:val="00BE4A99"/>
    <w:rsid w:val="00BE5CCA"/>
    <w:rsid w:val="00BE602B"/>
    <w:rsid w:val="00BE655D"/>
    <w:rsid w:val="00BE65A1"/>
    <w:rsid w:val="00BE6D87"/>
    <w:rsid w:val="00BE7237"/>
    <w:rsid w:val="00BF00F5"/>
    <w:rsid w:val="00BF0114"/>
    <w:rsid w:val="00BF05DB"/>
    <w:rsid w:val="00BF0C2B"/>
    <w:rsid w:val="00BF29E8"/>
    <w:rsid w:val="00BF2A58"/>
    <w:rsid w:val="00BF565C"/>
    <w:rsid w:val="00BF5E52"/>
    <w:rsid w:val="00BF642C"/>
    <w:rsid w:val="00BF75BF"/>
    <w:rsid w:val="00BF7EF7"/>
    <w:rsid w:val="00C03657"/>
    <w:rsid w:val="00C03937"/>
    <w:rsid w:val="00C03D62"/>
    <w:rsid w:val="00C04850"/>
    <w:rsid w:val="00C05EF3"/>
    <w:rsid w:val="00C05FD7"/>
    <w:rsid w:val="00C0705A"/>
    <w:rsid w:val="00C1067E"/>
    <w:rsid w:val="00C129E2"/>
    <w:rsid w:val="00C13350"/>
    <w:rsid w:val="00C17472"/>
    <w:rsid w:val="00C20965"/>
    <w:rsid w:val="00C20A9F"/>
    <w:rsid w:val="00C22E2E"/>
    <w:rsid w:val="00C2316E"/>
    <w:rsid w:val="00C24DFC"/>
    <w:rsid w:val="00C255C0"/>
    <w:rsid w:val="00C25811"/>
    <w:rsid w:val="00C260D3"/>
    <w:rsid w:val="00C27B95"/>
    <w:rsid w:val="00C30B7D"/>
    <w:rsid w:val="00C34B20"/>
    <w:rsid w:val="00C35FA9"/>
    <w:rsid w:val="00C36816"/>
    <w:rsid w:val="00C37043"/>
    <w:rsid w:val="00C41553"/>
    <w:rsid w:val="00C4184E"/>
    <w:rsid w:val="00C434BE"/>
    <w:rsid w:val="00C45A59"/>
    <w:rsid w:val="00C45B61"/>
    <w:rsid w:val="00C45F2D"/>
    <w:rsid w:val="00C46BAE"/>
    <w:rsid w:val="00C47A38"/>
    <w:rsid w:val="00C508EA"/>
    <w:rsid w:val="00C51A10"/>
    <w:rsid w:val="00C53403"/>
    <w:rsid w:val="00C549EC"/>
    <w:rsid w:val="00C54B3A"/>
    <w:rsid w:val="00C570D8"/>
    <w:rsid w:val="00C60D99"/>
    <w:rsid w:val="00C62BB4"/>
    <w:rsid w:val="00C647D4"/>
    <w:rsid w:val="00C64AC4"/>
    <w:rsid w:val="00C64C94"/>
    <w:rsid w:val="00C66338"/>
    <w:rsid w:val="00C6789B"/>
    <w:rsid w:val="00C67E91"/>
    <w:rsid w:val="00C7009E"/>
    <w:rsid w:val="00C724CB"/>
    <w:rsid w:val="00C73149"/>
    <w:rsid w:val="00C74073"/>
    <w:rsid w:val="00C740D1"/>
    <w:rsid w:val="00C7495A"/>
    <w:rsid w:val="00C751B4"/>
    <w:rsid w:val="00C75BE6"/>
    <w:rsid w:val="00C76804"/>
    <w:rsid w:val="00C76D70"/>
    <w:rsid w:val="00C77762"/>
    <w:rsid w:val="00C818F7"/>
    <w:rsid w:val="00C83F3D"/>
    <w:rsid w:val="00C85055"/>
    <w:rsid w:val="00C8590C"/>
    <w:rsid w:val="00C87A43"/>
    <w:rsid w:val="00C912A2"/>
    <w:rsid w:val="00C913C7"/>
    <w:rsid w:val="00C91B7F"/>
    <w:rsid w:val="00C92215"/>
    <w:rsid w:val="00C92B9C"/>
    <w:rsid w:val="00C92F79"/>
    <w:rsid w:val="00C94FC7"/>
    <w:rsid w:val="00C95223"/>
    <w:rsid w:val="00C96236"/>
    <w:rsid w:val="00C96D48"/>
    <w:rsid w:val="00C97205"/>
    <w:rsid w:val="00CA00D2"/>
    <w:rsid w:val="00CA1D24"/>
    <w:rsid w:val="00CA3138"/>
    <w:rsid w:val="00CA3E66"/>
    <w:rsid w:val="00CA4199"/>
    <w:rsid w:val="00CA4AFE"/>
    <w:rsid w:val="00CA6FC2"/>
    <w:rsid w:val="00CA7480"/>
    <w:rsid w:val="00CB0793"/>
    <w:rsid w:val="00CB08A2"/>
    <w:rsid w:val="00CB0CD8"/>
    <w:rsid w:val="00CB0EB8"/>
    <w:rsid w:val="00CB2CC6"/>
    <w:rsid w:val="00CB4194"/>
    <w:rsid w:val="00CB4708"/>
    <w:rsid w:val="00CB4D17"/>
    <w:rsid w:val="00CB53A7"/>
    <w:rsid w:val="00CB66A0"/>
    <w:rsid w:val="00CB67D6"/>
    <w:rsid w:val="00CB6A06"/>
    <w:rsid w:val="00CB6F2E"/>
    <w:rsid w:val="00CB7151"/>
    <w:rsid w:val="00CB728B"/>
    <w:rsid w:val="00CB73A5"/>
    <w:rsid w:val="00CB7B31"/>
    <w:rsid w:val="00CB7F47"/>
    <w:rsid w:val="00CC07B6"/>
    <w:rsid w:val="00CC0A97"/>
    <w:rsid w:val="00CC182B"/>
    <w:rsid w:val="00CC1F6D"/>
    <w:rsid w:val="00CC2A8F"/>
    <w:rsid w:val="00CC4309"/>
    <w:rsid w:val="00CC4357"/>
    <w:rsid w:val="00CC483B"/>
    <w:rsid w:val="00CC488C"/>
    <w:rsid w:val="00CC494B"/>
    <w:rsid w:val="00CC56DA"/>
    <w:rsid w:val="00CC580F"/>
    <w:rsid w:val="00CC5DCA"/>
    <w:rsid w:val="00CC641F"/>
    <w:rsid w:val="00CC6934"/>
    <w:rsid w:val="00CC6A32"/>
    <w:rsid w:val="00CC70B3"/>
    <w:rsid w:val="00CC798E"/>
    <w:rsid w:val="00CD088C"/>
    <w:rsid w:val="00CD1792"/>
    <w:rsid w:val="00CD333F"/>
    <w:rsid w:val="00CD361D"/>
    <w:rsid w:val="00CD40A4"/>
    <w:rsid w:val="00CD5F06"/>
    <w:rsid w:val="00CD7356"/>
    <w:rsid w:val="00CD77F5"/>
    <w:rsid w:val="00CE04AB"/>
    <w:rsid w:val="00CE0F83"/>
    <w:rsid w:val="00CE1745"/>
    <w:rsid w:val="00CE228A"/>
    <w:rsid w:val="00CE2D69"/>
    <w:rsid w:val="00CE4D64"/>
    <w:rsid w:val="00CE54F0"/>
    <w:rsid w:val="00CE5B40"/>
    <w:rsid w:val="00CE5BDF"/>
    <w:rsid w:val="00CF0110"/>
    <w:rsid w:val="00CF136E"/>
    <w:rsid w:val="00CF199B"/>
    <w:rsid w:val="00CF2554"/>
    <w:rsid w:val="00CF26E4"/>
    <w:rsid w:val="00CF2CC9"/>
    <w:rsid w:val="00CF31FE"/>
    <w:rsid w:val="00CF3FB3"/>
    <w:rsid w:val="00CF41BA"/>
    <w:rsid w:val="00CF441D"/>
    <w:rsid w:val="00CF5549"/>
    <w:rsid w:val="00CF5A0D"/>
    <w:rsid w:val="00CF5F04"/>
    <w:rsid w:val="00CF7C77"/>
    <w:rsid w:val="00CF7F1B"/>
    <w:rsid w:val="00D01FD1"/>
    <w:rsid w:val="00D020BC"/>
    <w:rsid w:val="00D032EF"/>
    <w:rsid w:val="00D03B62"/>
    <w:rsid w:val="00D0477A"/>
    <w:rsid w:val="00D05168"/>
    <w:rsid w:val="00D05446"/>
    <w:rsid w:val="00D114E7"/>
    <w:rsid w:val="00D1234A"/>
    <w:rsid w:val="00D124DA"/>
    <w:rsid w:val="00D15DBF"/>
    <w:rsid w:val="00D15EBB"/>
    <w:rsid w:val="00D1718D"/>
    <w:rsid w:val="00D1746F"/>
    <w:rsid w:val="00D21BC7"/>
    <w:rsid w:val="00D21EA6"/>
    <w:rsid w:val="00D220A4"/>
    <w:rsid w:val="00D23958"/>
    <w:rsid w:val="00D23EF0"/>
    <w:rsid w:val="00D24C87"/>
    <w:rsid w:val="00D26B1F"/>
    <w:rsid w:val="00D26D28"/>
    <w:rsid w:val="00D26E6D"/>
    <w:rsid w:val="00D27B28"/>
    <w:rsid w:val="00D30A2A"/>
    <w:rsid w:val="00D30E5E"/>
    <w:rsid w:val="00D31F7E"/>
    <w:rsid w:val="00D33C1D"/>
    <w:rsid w:val="00D3439D"/>
    <w:rsid w:val="00D35A44"/>
    <w:rsid w:val="00D36007"/>
    <w:rsid w:val="00D36B28"/>
    <w:rsid w:val="00D40E06"/>
    <w:rsid w:val="00D416CC"/>
    <w:rsid w:val="00D425B4"/>
    <w:rsid w:val="00D427AC"/>
    <w:rsid w:val="00D43763"/>
    <w:rsid w:val="00D45F54"/>
    <w:rsid w:val="00D4695A"/>
    <w:rsid w:val="00D50346"/>
    <w:rsid w:val="00D50772"/>
    <w:rsid w:val="00D50CA9"/>
    <w:rsid w:val="00D5152F"/>
    <w:rsid w:val="00D51C56"/>
    <w:rsid w:val="00D51E8B"/>
    <w:rsid w:val="00D52627"/>
    <w:rsid w:val="00D54D0D"/>
    <w:rsid w:val="00D55278"/>
    <w:rsid w:val="00D5774D"/>
    <w:rsid w:val="00D57E3F"/>
    <w:rsid w:val="00D61333"/>
    <w:rsid w:val="00D6152F"/>
    <w:rsid w:val="00D622D7"/>
    <w:rsid w:val="00D625DD"/>
    <w:rsid w:val="00D63B49"/>
    <w:rsid w:val="00D63DAC"/>
    <w:rsid w:val="00D650CD"/>
    <w:rsid w:val="00D6524C"/>
    <w:rsid w:val="00D6577B"/>
    <w:rsid w:val="00D66550"/>
    <w:rsid w:val="00D66808"/>
    <w:rsid w:val="00D67C27"/>
    <w:rsid w:val="00D7077E"/>
    <w:rsid w:val="00D71EE9"/>
    <w:rsid w:val="00D721A9"/>
    <w:rsid w:val="00D730C2"/>
    <w:rsid w:val="00D74171"/>
    <w:rsid w:val="00D74AE6"/>
    <w:rsid w:val="00D74B51"/>
    <w:rsid w:val="00D74DAE"/>
    <w:rsid w:val="00D75008"/>
    <w:rsid w:val="00D759BC"/>
    <w:rsid w:val="00D75ABD"/>
    <w:rsid w:val="00D77CFD"/>
    <w:rsid w:val="00D802D2"/>
    <w:rsid w:val="00D80417"/>
    <w:rsid w:val="00D811F6"/>
    <w:rsid w:val="00D818D0"/>
    <w:rsid w:val="00D83CBC"/>
    <w:rsid w:val="00D84EB3"/>
    <w:rsid w:val="00D85444"/>
    <w:rsid w:val="00D85F85"/>
    <w:rsid w:val="00D87179"/>
    <w:rsid w:val="00D90135"/>
    <w:rsid w:val="00D90151"/>
    <w:rsid w:val="00D91334"/>
    <w:rsid w:val="00D9289B"/>
    <w:rsid w:val="00D92CDB"/>
    <w:rsid w:val="00D97B19"/>
    <w:rsid w:val="00DA0448"/>
    <w:rsid w:val="00DA0D78"/>
    <w:rsid w:val="00DA0D92"/>
    <w:rsid w:val="00DA1E3F"/>
    <w:rsid w:val="00DA25FF"/>
    <w:rsid w:val="00DA2906"/>
    <w:rsid w:val="00DA2F56"/>
    <w:rsid w:val="00DA31F2"/>
    <w:rsid w:val="00DA337C"/>
    <w:rsid w:val="00DA3B70"/>
    <w:rsid w:val="00DA4BDB"/>
    <w:rsid w:val="00DA514C"/>
    <w:rsid w:val="00DA60CF"/>
    <w:rsid w:val="00DA734A"/>
    <w:rsid w:val="00DA7F52"/>
    <w:rsid w:val="00DB4959"/>
    <w:rsid w:val="00DB54EF"/>
    <w:rsid w:val="00DB5591"/>
    <w:rsid w:val="00DB62B6"/>
    <w:rsid w:val="00DB6405"/>
    <w:rsid w:val="00DB77B8"/>
    <w:rsid w:val="00DB7A91"/>
    <w:rsid w:val="00DB7D20"/>
    <w:rsid w:val="00DC0734"/>
    <w:rsid w:val="00DC0CBA"/>
    <w:rsid w:val="00DC3310"/>
    <w:rsid w:val="00DC3412"/>
    <w:rsid w:val="00DC5559"/>
    <w:rsid w:val="00DC55D6"/>
    <w:rsid w:val="00DD0C71"/>
    <w:rsid w:val="00DD1AA7"/>
    <w:rsid w:val="00DD3690"/>
    <w:rsid w:val="00DD459B"/>
    <w:rsid w:val="00DD727B"/>
    <w:rsid w:val="00DD7366"/>
    <w:rsid w:val="00DE0AB8"/>
    <w:rsid w:val="00DE129C"/>
    <w:rsid w:val="00DE2115"/>
    <w:rsid w:val="00DE2FEB"/>
    <w:rsid w:val="00DE439D"/>
    <w:rsid w:val="00DE4500"/>
    <w:rsid w:val="00DE4A65"/>
    <w:rsid w:val="00DE5116"/>
    <w:rsid w:val="00DE6BDD"/>
    <w:rsid w:val="00DE73ED"/>
    <w:rsid w:val="00DF051B"/>
    <w:rsid w:val="00DF09FC"/>
    <w:rsid w:val="00DF1B43"/>
    <w:rsid w:val="00DF34C9"/>
    <w:rsid w:val="00DF3512"/>
    <w:rsid w:val="00DF3AB0"/>
    <w:rsid w:val="00DF3DBF"/>
    <w:rsid w:val="00DF4AAD"/>
    <w:rsid w:val="00DF6D80"/>
    <w:rsid w:val="00DF70DA"/>
    <w:rsid w:val="00DF7192"/>
    <w:rsid w:val="00DF7EDE"/>
    <w:rsid w:val="00E00106"/>
    <w:rsid w:val="00E01A04"/>
    <w:rsid w:val="00E045D6"/>
    <w:rsid w:val="00E04F00"/>
    <w:rsid w:val="00E0539F"/>
    <w:rsid w:val="00E054BF"/>
    <w:rsid w:val="00E057E3"/>
    <w:rsid w:val="00E10CA2"/>
    <w:rsid w:val="00E114EE"/>
    <w:rsid w:val="00E15157"/>
    <w:rsid w:val="00E1525A"/>
    <w:rsid w:val="00E15CC5"/>
    <w:rsid w:val="00E2070B"/>
    <w:rsid w:val="00E21C99"/>
    <w:rsid w:val="00E229E0"/>
    <w:rsid w:val="00E24849"/>
    <w:rsid w:val="00E26230"/>
    <w:rsid w:val="00E271EE"/>
    <w:rsid w:val="00E27AB5"/>
    <w:rsid w:val="00E322E1"/>
    <w:rsid w:val="00E333D4"/>
    <w:rsid w:val="00E33ED1"/>
    <w:rsid w:val="00E340E7"/>
    <w:rsid w:val="00E35707"/>
    <w:rsid w:val="00E35F05"/>
    <w:rsid w:val="00E36AD0"/>
    <w:rsid w:val="00E37D01"/>
    <w:rsid w:val="00E400B5"/>
    <w:rsid w:val="00E40D20"/>
    <w:rsid w:val="00E41129"/>
    <w:rsid w:val="00E41E5E"/>
    <w:rsid w:val="00E429B8"/>
    <w:rsid w:val="00E42D97"/>
    <w:rsid w:val="00E4302A"/>
    <w:rsid w:val="00E436B0"/>
    <w:rsid w:val="00E4466A"/>
    <w:rsid w:val="00E465D4"/>
    <w:rsid w:val="00E47A1E"/>
    <w:rsid w:val="00E50751"/>
    <w:rsid w:val="00E50F6B"/>
    <w:rsid w:val="00E52834"/>
    <w:rsid w:val="00E53CE0"/>
    <w:rsid w:val="00E5572C"/>
    <w:rsid w:val="00E56EF7"/>
    <w:rsid w:val="00E56F1A"/>
    <w:rsid w:val="00E60B8C"/>
    <w:rsid w:val="00E61595"/>
    <w:rsid w:val="00E63509"/>
    <w:rsid w:val="00E64F37"/>
    <w:rsid w:val="00E65435"/>
    <w:rsid w:val="00E654AB"/>
    <w:rsid w:val="00E66939"/>
    <w:rsid w:val="00E66DC4"/>
    <w:rsid w:val="00E700D0"/>
    <w:rsid w:val="00E70FBC"/>
    <w:rsid w:val="00E713DE"/>
    <w:rsid w:val="00E72A59"/>
    <w:rsid w:val="00E72AED"/>
    <w:rsid w:val="00E72AF3"/>
    <w:rsid w:val="00E7329D"/>
    <w:rsid w:val="00E73E47"/>
    <w:rsid w:val="00E74190"/>
    <w:rsid w:val="00E74A4D"/>
    <w:rsid w:val="00E75724"/>
    <w:rsid w:val="00E757D3"/>
    <w:rsid w:val="00E7776E"/>
    <w:rsid w:val="00E80AB4"/>
    <w:rsid w:val="00E81B6D"/>
    <w:rsid w:val="00E826F3"/>
    <w:rsid w:val="00E82762"/>
    <w:rsid w:val="00E837F8"/>
    <w:rsid w:val="00E84518"/>
    <w:rsid w:val="00E84999"/>
    <w:rsid w:val="00E84D28"/>
    <w:rsid w:val="00E84D8D"/>
    <w:rsid w:val="00E867CE"/>
    <w:rsid w:val="00E86DD7"/>
    <w:rsid w:val="00E87F2B"/>
    <w:rsid w:val="00E90436"/>
    <w:rsid w:val="00E90E27"/>
    <w:rsid w:val="00E91716"/>
    <w:rsid w:val="00E91A08"/>
    <w:rsid w:val="00E91AA9"/>
    <w:rsid w:val="00E922E7"/>
    <w:rsid w:val="00E92619"/>
    <w:rsid w:val="00E929AC"/>
    <w:rsid w:val="00E92AD7"/>
    <w:rsid w:val="00E93122"/>
    <w:rsid w:val="00E9665F"/>
    <w:rsid w:val="00E966F4"/>
    <w:rsid w:val="00E97905"/>
    <w:rsid w:val="00EA03C8"/>
    <w:rsid w:val="00EA14FC"/>
    <w:rsid w:val="00EA1945"/>
    <w:rsid w:val="00EA2779"/>
    <w:rsid w:val="00EA2B1E"/>
    <w:rsid w:val="00EA3183"/>
    <w:rsid w:val="00EA47A2"/>
    <w:rsid w:val="00EA6508"/>
    <w:rsid w:val="00EA6F85"/>
    <w:rsid w:val="00EB0A97"/>
    <w:rsid w:val="00EB13B5"/>
    <w:rsid w:val="00EB1EC9"/>
    <w:rsid w:val="00EB2189"/>
    <w:rsid w:val="00EB2422"/>
    <w:rsid w:val="00EB256A"/>
    <w:rsid w:val="00EB3845"/>
    <w:rsid w:val="00EB3C3E"/>
    <w:rsid w:val="00EB4720"/>
    <w:rsid w:val="00EB55AD"/>
    <w:rsid w:val="00EB62F0"/>
    <w:rsid w:val="00EB6578"/>
    <w:rsid w:val="00EB716C"/>
    <w:rsid w:val="00EC0747"/>
    <w:rsid w:val="00EC108B"/>
    <w:rsid w:val="00EC1350"/>
    <w:rsid w:val="00EC15D9"/>
    <w:rsid w:val="00EC1CF6"/>
    <w:rsid w:val="00EC3090"/>
    <w:rsid w:val="00EC4876"/>
    <w:rsid w:val="00EC4F65"/>
    <w:rsid w:val="00EC4F6B"/>
    <w:rsid w:val="00EC5100"/>
    <w:rsid w:val="00EC554B"/>
    <w:rsid w:val="00EC571D"/>
    <w:rsid w:val="00EC5CB8"/>
    <w:rsid w:val="00EC6DF2"/>
    <w:rsid w:val="00EC7BFD"/>
    <w:rsid w:val="00ED0356"/>
    <w:rsid w:val="00ED1985"/>
    <w:rsid w:val="00ED2366"/>
    <w:rsid w:val="00ED23BC"/>
    <w:rsid w:val="00ED3BE0"/>
    <w:rsid w:val="00ED665E"/>
    <w:rsid w:val="00ED7A54"/>
    <w:rsid w:val="00ED7D5B"/>
    <w:rsid w:val="00EE08D5"/>
    <w:rsid w:val="00EE1342"/>
    <w:rsid w:val="00EE3A3D"/>
    <w:rsid w:val="00EE43D1"/>
    <w:rsid w:val="00EE5D64"/>
    <w:rsid w:val="00EE72ED"/>
    <w:rsid w:val="00EF0CFD"/>
    <w:rsid w:val="00EF1689"/>
    <w:rsid w:val="00EF1936"/>
    <w:rsid w:val="00EF31D2"/>
    <w:rsid w:val="00EF3FEF"/>
    <w:rsid w:val="00EF4145"/>
    <w:rsid w:val="00EF47FE"/>
    <w:rsid w:val="00EF48F0"/>
    <w:rsid w:val="00EF4C45"/>
    <w:rsid w:val="00EF4ED7"/>
    <w:rsid w:val="00EF7E0F"/>
    <w:rsid w:val="00F00298"/>
    <w:rsid w:val="00F00FF2"/>
    <w:rsid w:val="00F022E5"/>
    <w:rsid w:val="00F0236E"/>
    <w:rsid w:val="00F03272"/>
    <w:rsid w:val="00F033A4"/>
    <w:rsid w:val="00F03D1C"/>
    <w:rsid w:val="00F03F77"/>
    <w:rsid w:val="00F05941"/>
    <w:rsid w:val="00F05A8F"/>
    <w:rsid w:val="00F062DD"/>
    <w:rsid w:val="00F066A7"/>
    <w:rsid w:val="00F07E66"/>
    <w:rsid w:val="00F1062D"/>
    <w:rsid w:val="00F1188C"/>
    <w:rsid w:val="00F15D65"/>
    <w:rsid w:val="00F163CC"/>
    <w:rsid w:val="00F168CC"/>
    <w:rsid w:val="00F17218"/>
    <w:rsid w:val="00F200EB"/>
    <w:rsid w:val="00F22343"/>
    <w:rsid w:val="00F22850"/>
    <w:rsid w:val="00F22E36"/>
    <w:rsid w:val="00F239B7"/>
    <w:rsid w:val="00F24A52"/>
    <w:rsid w:val="00F24BB2"/>
    <w:rsid w:val="00F24CA5"/>
    <w:rsid w:val="00F263BA"/>
    <w:rsid w:val="00F26FFD"/>
    <w:rsid w:val="00F2789B"/>
    <w:rsid w:val="00F302B3"/>
    <w:rsid w:val="00F345D3"/>
    <w:rsid w:val="00F34917"/>
    <w:rsid w:val="00F355E4"/>
    <w:rsid w:val="00F35E3F"/>
    <w:rsid w:val="00F372F6"/>
    <w:rsid w:val="00F377AE"/>
    <w:rsid w:val="00F379A3"/>
    <w:rsid w:val="00F37C64"/>
    <w:rsid w:val="00F402A6"/>
    <w:rsid w:val="00F40BD8"/>
    <w:rsid w:val="00F41060"/>
    <w:rsid w:val="00F4190A"/>
    <w:rsid w:val="00F432BA"/>
    <w:rsid w:val="00F4371C"/>
    <w:rsid w:val="00F43CD5"/>
    <w:rsid w:val="00F443A1"/>
    <w:rsid w:val="00F46104"/>
    <w:rsid w:val="00F50536"/>
    <w:rsid w:val="00F51572"/>
    <w:rsid w:val="00F55166"/>
    <w:rsid w:val="00F55FFF"/>
    <w:rsid w:val="00F5630D"/>
    <w:rsid w:val="00F571D1"/>
    <w:rsid w:val="00F578C5"/>
    <w:rsid w:val="00F6036B"/>
    <w:rsid w:val="00F60E7D"/>
    <w:rsid w:val="00F60F65"/>
    <w:rsid w:val="00F6105E"/>
    <w:rsid w:val="00F6331D"/>
    <w:rsid w:val="00F634F6"/>
    <w:rsid w:val="00F677D2"/>
    <w:rsid w:val="00F73C89"/>
    <w:rsid w:val="00F74203"/>
    <w:rsid w:val="00F753FD"/>
    <w:rsid w:val="00F76F53"/>
    <w:rsid w:val="00F80F92"/>
    <w:rsid w:val="00F8149D"/>
    <w:rsid w:val="00F81519"/>
    <w:rsid w:val="00F82A12"/>
    <w:rsid w:val="00F85087"/>
    <w:rsid w:val="00F850F9"/>
    <w:rsid w:val="00F85214"/>
    <w:rsid w:val="00F854FD"/>
    <w:rsid w:val="00F85895"/>
    <w:rsid w:val="00F87064"/>
    <w:rsid w:val="00F87293"/>
    <w:rsid w:val="00F877A9"/>
    <w:rsid w:val="00F909D7"/>
    <w:rsid w:val="00F90C4C"/>
    <w:rsid w:val="00F91544"/>
    <w:rsid w:val="00F919FF"/>
    <w:rsid w:val="00F91AB1"/>
    <w:rsid w:val="00F922FC"/>
    <w:rsid w:val="00F92D00"/>
    <w:rsid w:val="00F92F8E"/>
    <w:rsid w:val="00F93F3B"/>
    <w:rsid w:val="00F94063"/>
    <w:rsid w:val="00F94E99"/>
    <w:rsid w:val="00F94F61"/>
    <w:rsid w:val="00F95979"/>
    <w:rsid w:val="00F969A5"/>
    <w:rsid w:val="00F96BBB"/>
    <w:rsid w:val="00F9782C"/>
    <w:rsid w:val="00F97C68"/>
    <w:rsid w:val="00FA1AB2"/>
    <w:rsid w:val="00FA1E6E"/>
    <w:rsid w:val="00FA3510"/>
    <w:rsid w:val="00FA3650"/>
    <w:rsid w:val="00FA4780"/>
    <w:rsid w:val="00FA4C8B"/>
    <w:rsid w:val="00FA6233"/>
    <w:rsid w:val="00FA6F85"/>
    <w:rsid w:val="00FA7CA3"/>
    <w:rsid w:val="00FB0138"/>
    <w:rsid w:val="00FB0350"/>
    <w:rsid w:val="00FB1217"/>
    <w:rsid w:val="00FB1690"/>
    <w:rsid w:val="00FB24A3"/>
    <w:rsid w:val="00FB2E47"/>
    <w:rsid w:val="00FB33B0"/>
    <w:rsid w:val="00FB6D7E"/>
    <w:rsid w:val="00FB73F2"/>
    <w:rsid w:val="00FB7B37"/>
    <w:rsid w:val="00FB7C84"/>
    <w:rsid w:val="00FC0BB7"/>
    <w:rsid w:val="00FC13A3"/>
    <w:rsid w:val="00FC1B5A"/>
    <w:rsid w:val="00FC30FE"/>
    <w:rsid w:val="00FC4678"/>
    <w:rsid w:val="00FC51DD"/>
    <w:rsid w:val="00FC52E9"/>
    <w:rsid w:val="00FC5C46"/>
    <w:rsid w:val="00FC63B4"/>
    <w:rsid w:val="00FC676D"/>
    <w:rsid w:val="00FC6AD5"/>
    <w:rsid w:val="00FC7EB5"/>
    <w:rsid w:val="00FD12C0"/>
    <w:rsid w:val="00FD19CA"/>
    <w:rsid w:val="00FD1A8D"/>
    <w:rsid w:val="00FD409C"/>
    <w:rsid w:val="00FD5AC0"/>
    <w:rsid w:val="00FD5D16"/>
    <w:rsid w:val="00FD5FE9"/>
    <w:rsid w:val="00FE005A"/>
    <w:rsid w:val="00FE0144"/>
    <w:rsid w:val="00FE051A"/>
    <w:rsid w:val="00FE0D1F"/>
    <w:rsid w:val="00FE0EF1"/>
    <w:rsid w:val="00FE18C8"/>
    <w:rsid w:val="00FE25DA"/>
    <w:rsid w:val="00FE30F8"/>
    <w:rsid w:val="00FE6F87"/>
    <w:rsid w:val="00FE7B1C"/>
    <w:rsid w:val="00FF012A"/>
    <w:rsid w:val="00FF32C6"/>
    <w:rsid w:val="00FF3E9D"/>
    <w:rsid w:val="00FF4325"/>
    <w:rsid w:val="00FF5B24"/>
    <w:rsid w:val="00FF6FD9"/>
    <w:rsid w:val="00FF7048"/>
    <w:rsid w:val="00FF77C8"/>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9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11A"/>
    <w:pPr>
      <w:spacing w:before="120" w:after="120"/>
    </w:pPr>
  </w:style>
  <w:style w:type="paragraph" w:styleId="Heading1">
    <w:name w:val="heading 1"/>
    <w:basedOn w:val="Normal"/>
    <w:next w:val="Normal"/>
    <w:link w:val="Heading1Char"/>
    <w:uiPriority w:val="9"/>
    <w:qFormat/>
    <w:rsid w:val="001E099A"/>
    <w:pPr>
      <w:numPr>
        <w:numId w:val="47"/>
      </w:numPr>
      <w:tabs>
        <w:tab w:val="left" w:pos="851"/>
      </w:tabs>
      <w:outlineLvl w:val="0"/>
    </w:pPr>
    <w:rPr>
      <w:b/>
      <w:color w:val="4E1A74" w:themeColor="accent2"/>
      <w:sz w:val="44"/>
      <w:szCs w:val="44"/>
    </w:rPr>
  </w:style>
  <w:style w:type="paragraph" w:styleId="Heading2">
    <w:name w:val="heading 2"/>
    <w:basedOn w:val="Normal"/>
    <w:next w:val="Normal"/>
    <w:link w:val="Heading2Char"/>
    <w:uiPriority w:val="9"/>
    <w:unhideWhenUsed/>
    <w:qFormat/>
    <w:rsid w:val="00D66550"/>
    <w:pPr>
      <w:keepNext/>
      <w:keepLines/>
      <w:numPr>
        <w:ilvl w:val="1"/>
        <w:numId w:val="62"/>
      </w:numPr>
      <w:tabs>
        <w:tab w:val="left" w:pos="851"/>
      </w:tabs>
      <w:spacing w:after="0"/>
      <w:outlineLvl w:val="1"/>
    </w:pPr>
    <w:rPr>
      <w:rFonts w:ascii="Calibri" w:eastAsia="Calibri" w:hAnsi="Calibri" w:cstheme="majorBidi"/>
      <w:b/>
      <w:bCs/>
      <w:snapToGrid w:val="0"/>
      <w:color w:val="4E1A74"/>
      <w:sz w:val="26"/>
      <w:szCs w:val="26"/>
      <w:lang w:eastAsia="en-AU"/>
    </w:rPr>
  </w:style>
  <w:style w:type="paragraph" w:styleId="Heading3">
    <w:name w:val="heading 3"/>
    <w:basedOn w:val="Heading2"/>
    <w:next w:val="Normal"/>
    <w:link w:val="Heading3Char"/>
    <w:uiPriority w:val="9"/>
    <w:unhideWhenUsed/>
    <w:qFormat/>
    <w:rsid w:val="00617A95"/>
    <w:pPr>
      <w:ind w:left="360"/>
      <w:outlineLvl w:val="2"/>
    </w:pPr>
    <w:rPr>
      <w:i/>
      <w:sz w:val="22"/>
      <w:szCs w:val="22"/>
    </w:rPr>
  </w:style>
  <w:style w:type="paragraph" w:styleId="Heading4">
    <w:name w:val="heading 4"/>
    <w:basedOn w:val="Normal"/>
    <w:next w:val="Normal"/>
    <w:link w:val="Heading4Char"/>
    <w:uiPriority w:val="9"/>
    <w:unhideWhenUsed/>
    <w:qFormat/>
    <w:rsid w:val="006801F3"/>
    <w:pPr>
      <w:pBdr>
        <w:top w:val="dotted" w:sz="6" w:space="2" w:color="2B992B" w:themeColor="accent1"/>
        <w:left w:val="dotted" w:sz="6" w:space="2" w:color="2B992B" w:themeColor="accent1"/>
      </w:pBdr>
      <w:spacing w:before="300" w:after="0"/>
      <w:outlineLvl w:val="3"/>
    </w:pPr>
    <w:rPr>
      <w:caps/>
      <w:color w:val="207220" w:themeColor="accent1" w:themeShade="BF"/>
      <w:spacing w:val="10"/>
    </w:rPr>
  </w:style>
  <w:style w:type="paragraph" w:styleId="Heading5">
    <w:name w:val="heading 5"/>
    <w:basedOn w:val="Normal"/>
    <w:next w:val="Normal"/>
    <w:link w:val="Heading5Char"/>
    <w:uiPriority w:val="9"/>
    <w:unhideWhenUsed/>
    <w:qFormat/>
    <w:rsid w:val="006801F3"/>
    <w:pPr>
      <w:pBdr>
        <w:bottom w:val="single" w:sz="6" w:space="1" w:color="2B992B" w:themeColor="accent1"/>
      </w:pBdr>
      <w:spacing w:before="300" w:after="0"/>
      <w:outlineLvl w:val="4"/>
    </w:pPr>
    <w:rPr>
      <w:caps/>
      <w:color w:val="207220" w:themeColor="accent1" w:themeShade="BF"/>
      <w:spacing w:val="10"/>
    </w:rPr>
  </w:style>
  <w:style w:type="paragraph" w:styleId="Heading6">
    <w:name w:val="heading 6"/>
    <w:basedOn w:val="Normal"/>
    <w:next w:val="Normal"/>
    <w:link w:val="Heading6Char"/>
    <w:uiPriority w:val="9"/>
    <w:semiHidden/>
    <w:unhideWhenUsed/>
    <w:qFormat/>
    <w:rsid w:val="006801F3"/>
    <w:pPr>
      <w:pBdr>
        <w:bottom w:val="dotted" w:sz="6" w:space="1" w:color="2B992B" w:themeColor="accent1"/>
      </w:pBdr>
      <w:spacing w:before="300" w:after="0"/>
      <w:outlineLvl w:val="5"/>
    </w:pPr>
    <w:rPr>
      <w:caps/>
      <w:color w:val="207220" w:themeColor="accent1" w:themeShade="BF"/>
      <w:spacing w:val="10"/>
    </w:rPr>
  </w:style>
  <w:style w:type="paragraph" w:styleId="Heading7">
    <w:name w:val="heading 7"/>
    <w:basedOn w:val="Normal"/>
    <w:next w:val="Normal"/>
    <w:link w:val="Heading7Char"/>
    <w:uiPriority w:val="9"/>
    <w:semiHidden/>
    <w:unhideWhenUsed/>
    <w:qFormat/>
    <w:rsid w:val="006801F3"/>
    <w:pPr>
      <w:spacing w:before="300" w:after="0"/>
      <w:outlineLvl w:val="6"/>
    </w:pPr>
    <w:rPr>
      <w:caps/>
      <w:color w:val="207220" w:themeColor="accent1" w:themeShade="BF"/>
      <w:spacing w:val="10"/>
    </w:rPr>
  </w:style>
  <w:style w:type="paragraph" w:styleId="Heading8">
    <w:name w:val="heading 8"/>
    <w:basedOn w:val="Normal"/>
    <w:next w:val="Normal"/>
    <w:link w:val="Heading8Char"/>
    <w:uiPriority w:val="9"/>
    <w:semiHidden/>
    <w:unhideWhenUsed/>
    <w:qFormat/>
    <w:rsid w:val="006801F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01F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9A"/>
    <w:rPr>
      <w:b/>
      <w:color w:val="4E1A74" w:themeColor="accent2"/>
      <w:sz w:val="44"/>
      <w:szCs w:val="44"/>
    </w:rPr>
  </w:style>
  <w:style w:type="character" w:customStyle="1" w:styleId="Heading2Char">
    <w:name w:val="Heading 2 Char"/>
    <w:basedOn w:val="DefaultParagraphFont"/>
    <w:link w:val="Heading2"/>
    <w:uiPriority w:val="9"/>
    <w:rsid w:val="00D66550"/>
    <w:rPr>
      <w:rFonts w:ascii="Calibri" w:eastAsia="Calibri" w:hAnsi="Calibri" w:cstheme="majorBidi"/>
      <w:b/>
      <w:bCs/>
      <w:snapToGrid w:val="0"/>
      <w:color w:val="4E1A74"/>
      <w:sz w:val="26"/>
      <w:szCs w:val="26"/>
      <w:lang w:eastAsia="en-AU"/>
    </w:rPr>
  </w:style>
  <w:style w:type="character" w:customStyle="1" w:styleId="Heading3Char">
    <w:name w:val="Heading 3 Char"/>
    <w:basedOn w:val="DefaultParagraphFont"/>
    <w:link w:val="Heading3"/>
    <w:uiPriority w:val="9"/>
    <w:rsid w:val="00617A95"/>
    <w:rPr>
      <w:rFonts w:ascii="Calibri" w:eastAsia="Calibri" w:hAnsi="Calibri" w:cstheme="majorBidi"/>
      <w:b/>
      <w:bCs/>
      <w:i/>
      <w:snapToGrid w:val="0"/>
      <w:color w:val="4E1A74"/>
      <w:lang w:eastAsia="en-AU"/>
    </w:rPr>
  </w:style>
  <w:style w:type="character" w:customStyle="1" w:styleId="Heading4Char">
    <w:name w:val="Heading 4 Char"/>
    <w:basedOn w:val="DefaultParagraphFont"/>
    <w:link w:val="Heading4"/>
    <w:uiPriority w:val="9"/>
    <w:rsid w:val="006801F3"/>
    <w:rPr>
      <w:caps/>
      <w:color w:val="207220" w:themeColor="accent1" w:themeShade="BF"/>
      <w:spacing w:val="10"/>
    </w:rPr>
  </w:style>
  <w:style w:type="character" w:customStyle="1" w:styleId="Heading5Char">
    <w:name w:val="Heading 5 Char"/>
    <w:basedOn w:val="DefaultParagraphFont"/>
    <w:link w:val="Heading5"/>
    <w:uiPriority w:val="9"/>
    <w:rsid w:val="006801F3"/>
    <w:rPr>
      <w:caps/>
      <w:color w:val="207220" w:themeColor="accent1" w:themeShade="BF"/>
      <w:spacing w:val="10"/>
    </w:rPr>
  </w:style>
  <w:style w:type="character" w:customStyle="1" w:styleId="Heading6Char">
    <w:name w:val="Heading 6 Char"/>
    <w:basedOn w:val="DefaultParagraphFont"/>
    <w:link w:val="Heading6"/>
    <w:uiPriority w:val="9"/>
    <w:semiHidden/>
    <w:rsid w:val="006801F3"/>
    <w:rPr>
      <w:caps/>
      <w:color w:val="207220" w:themeColor="accent1" w:themeShade="BF"/>
      <w:spacing w:val="10"/>
    </w:rPr>
  </w:style>
  <w:style w:type="character" w:customStyle="1" w:styleId="Heading7Char">
    <w:name w:val="Heading 7 Char"/>
    <w:basedOn w:val="DefaultParagraphFont"/>
    <w:link w:val="Heading7"/>
    <w:uiPriority w:val="9"/>
    <w:semiHidden/>
    <w:rsid w:val="006801F3"/>
    <w:rPr>
      <w:caps/>
      <w:color w:val="207220" w:themeColor="accent1" w:themeShade="BF"/>
      <w:spacing w:val="10"/>
    </w:rPr>
  </w:style>
  <w:style w:type="character" w:customStyle="1" w:styleId="Heading8Char">
    <w:name w:val="Heading 8 Char"/>
    <w:basedOn w:val="DefaultParagraphFont"/>
    <w:link w:val="Heading8"/>
    <w:uiPriority w:val="9"/>
    <w:semiHidden/>
    <w:rsid w:val="006801F3"/>
    <w:rPr>
      <w:caps/>
      <w:spacing w:val="10"/>
      <w:sz w:val="18"/>
      <w:szCs w:val="18"/>
    </w:rPr>
  </w:style>
  <w:style w:type="character" w:customStyle="1" w:styleId="Heading9Char">
    <w:name w:val="Heading 9 Char"/>
    <w:basedOn w:val="DefaultParagraphFont"/>
    <w:link w:val="Heading9"/>
    <w:uiPriority w:val="9"/>
    <w:semiHidden/>
    <w:rsid w:val="006801F3"/>
    <w:rPr>
      <w:i/>
      <w:caps/>
      <w:spacing w:val="10"/>
      <w:sz w:val="18"/>
      <w:szCs w:val="18"/>
    </w:rPr>
  </w:style>
  <w:style w:type="paragraph" w:styleId="Title">
    <w:name w:val="Title"/>
    <w:basedOn w:val="Normal"/>
    <w:next w:val="Normal"/>
    <w:link w:val="TitleChar"/>
    <w:uiPriority w:val="10"/>
    <w:qFormat/>
    <w:rsid w:val="00936571"/>
    <w:pPr>
      <w:spacing w:before="720"/>
    </w:pPr>
    <w:rPr>
      <w:caps/>
      <w:color w:val="2B992B" w:themeColor="accent1"/>
      <w:spacing w:val="10"/>
      <w:kern w:val="28"/>
      <w:sz w:val="52"/>
      <w:szCs w:val="52"/>
    </w:rPr>
  </w:style>
  <w:style w:type="character" w:customStyle="1" w:styleId="TitleChar">
    <w:name w:val="Title Char"/>
    <w:basedOn w:val="DefaultParagraphFont"/>
    <w:link w:val="Title"/>
    <w:uiPriority w:val="10"/>
    <w:rsid w:val="00936571"/>
    <w:rPr>
      <w:caps/>
      <w:color w:val="2B992B" w:themeColor="accent1"/>
      <w:spacing w:val="10"/>
      <w:kern w:val="28"/>
      <w:sz w:val="52"/>
      <w:szCs w:val="52"/>
    </w:rPr>
  </w:style>
  <w:style w:type="paragraph" w:styleId="Header">
    <w:name w:val="header"/>
    <w:basedOn w:val="Normal"/>
    <w:link w:val="HeaderChar"/>
    <w:unhideWhenUsed/>
    <w:rsid w:val="00E929AC"/>
    <w:pPr>
      <w:tabs>
        <w:tab w:val="center" w:pos="4513"/>
        <w:tab w:val="right" w:pos="9026"/>
      </w:tabs>
      <w:spacing w:after="0" w:line="240" w:lineRule="auto"/>
    </w:pPr>
  </w:style>
  <w:style w:type="character" w:customStyle="1" w:styleId="HeaderChar">
    <w:name w:val="Header Char"/>
    <w:basedOn w:val="DefaultParagraphFont"/>
    <w:link w:val="Header"/>
    <w:rsid w:val="00E929AC"/>
  </w:style>
  <w:style w:type="paragraph" w:styleId="Footer">
    <w:name w:val="footer"/>
    <w:basedOn w:val="Normal"/>
    <w:link w:val="FooterChar"/>
    <w:uiPriority w:val="99"/>
    <w:unhideWhenUsed/>
    <w:rsid w:val="00E92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9AC"/>
  </w:style>
  <w:style w:type="character" w:styleId="Hyperlink">
    <w:name w:val="Hyperlink"/>
    <w:basedOn w:val="DefaultParagraphFont"/>
    <w:uiPriority w:val="99"/>
    <w:unhideWhenUsed/>
    <w:rsid w:val="006023FF"/>
    <w:rPr>
      <w:color w:val="0000FF" w:themeColor="hyperlink"/>
      <w:u w:val="single"/>
    </w:rPr>
  </w:style>
  <w:style w:type="paragraph" w:customStyle="1" w:styleId="H11">
    <w:name w:val="H1(1)"/>
    <w:basedOn w:val="Normal"/>
    <w:qFormat/>
    <w:rsid w:val="006B558F"/>
    <w:rPr>
      <w:rFonts w:asciiTheme="majorHAnsi" w:hAnsiTheme="majorHAnsi"/>
      <w:b/>
      <w:color w:val="207220" w:themeColor="accent1" w:themeShade="BF"/>
      <w:sz w:val="28"/>
      <w:szCs w:val="28"/>
      <w:lang w:eastAsia="en-AU"/>
    </w:rPr>
  </w:style>
  <w:style w:type="character" w:styleId="FollowedHyperlink">
    <w:name w:val="FollowedHyperlink"/>
    <w:basedOn w:val="DefaultParagraphFont"/>
    <w:uiPriority w:val="99"/>
    <w:semiHidden/>
    <w:unhideWhenUsed/>
    <w:rsid w:val="00A76B39"/>
    <w:rPr>
      <w:color w:val="800080" w:themeColor="followedHyperlink"/>
      <w:u w:val="single"/>
    </w:rPr>
  </w:style>
  <w:style w:type="paragraph" w:styleId="TOC1">
    <w:name w:val="toc 1"/>
    <w:basedOn w:val="Normal"/>
    <w:next w:val="Normal"/>
    <w:autoRedefine/>
    <w:uiPriority w:val="39"/>
    <w:unhideWhenUsed/>
    <w:qFormat/>
    <w:rsid w:val="007A120A"/>
    <w:pPr>
      <w:tabs>
        <w:tab w:val="right" w:leader="dot" w:pos="9016"/>
      </w:tabs>
      <w:spacing w:after="100"/>
    </w:pPr>
    <w:rPr>
      <w:b/>
      <w:noProof/>
    </w:rPr>
  </w:style>
  <w:style w:type="paragraph" w:styleId="ListParagraph">
    <w:name w:val="List Paragraph"/>
    <w:basedOn w:val="Normal"/>
    <w:uiPriority w:val="34"/>
    <w:qFormat/>
    <w:rsid w:val="006801F3"/>
    <w:pPr>
      <w:ind w:left="720"/>
      <w:contextualSpacing/>
    </w:pPr>
  </w:style>
  <w:style w:type="paragraph" w:styleId="BodyTextIndent">
    <w:name w:val="Body Text Indent"/>
    <w:basedOn w:val="Normal"/>
    <w:link w:val="BodyTextIndentChar"/>
    <w:uiPriority w:val="99"/>
    <w:unhideWhenUsed/>
    <w:rsid w:val="00FB0138"/>
    <w:pPr>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B0138"/>
    <w:rPr>
      <w:rFonts w:ascii="Calibri" w:eastAsia="Calibri" w:hAnsi="Calibri" w:cs="Times New Roman"/>
    </w:rPr>
  </w:style>
  <w:style w:type="character" w:styleId="FootnoteReference">
    <w:name w:val="footnote reference"/>
    <w:basedOn w:val="DefaultParagraphFont"/>
    <w:uiPriority w:val="99"/>
    <w:unhideWhenUsed/>
    <w:rsid w:val="00FB0138"/>
    <w:rPr>
      <w:vertAlign w:val="superscript"/>
    </w:rPr>
  </w:style>
  <w:style w:type="paragraph" w:styleId="TOCHeading">
    <w:name w:val="TOC Heading"/>
    <w:basedOn w:val="Heading1"/>
    <w:next w:val="Normal"/>
    <w:uiPriority w:val="39"/>
    <w:unhideWhenUsed/>
    <w:qFormat/>
    <w:rsid w:val="006801F3"/>
    <w:pPr>
      <w:outlineLvl w:val="9"/>
    </w:pPr>
    <w:rPr>
      <w:lang w:bidi="en-US"/>
    </w:rPr>
  </w:style>
  <w:style w:type="paragraph" w:styleId="TOC2">
    <w:name w:val="toc 2"/>
    <w:basedOn w:val="Normal"/>
    <w:next w:val="Normal"/>
    <w:autoRedefine/>
    <w:uiPriority w:val="39"/>
    <w:unhideWhenUsed/>
    <w:qFormat/>
    <w:rsid w:val="00251E5D"/>
    <w:pPr>
      <w:tabs>
        <w:tab w:val="right" w:leader="dot" w:pos="9016"/>
      </w:tabs>
      <w:spacing w:after="100"/>
      <w:ind w:left="220"/>
    </w:pPr>
    <w:rPr>
      <w:b/>
      <w:noProof/>
    </w:rPr>
  </w:style>
  <w:style w:type="paragraph" w:styleId="BalloonText">
    <w:name w:val="Balloon Text"/>
    <w:basedOn w:val="Normal"/>
    <w:link w:val="BalloonTextChar"/>
    <w:uiPriority w:val="99"/>
    <w:semiHidden/>
    <w:unhideWhenUsed/>
    <w:rsid w:val="0038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F8"/>
    <w:rPr>
      <w:rFonts w:ascii="Tahoma" w:hAnsi="Tahoma" w:cs="Tahoma"/>
      <w:sz w:val="16"/>
      <w:szCs w:val="16"/>
    </w:rPr>
  </w:style>
  <w:style w:type="paragraph" w:styleId="TOC3">
    <w:name w:val="toc 3"/>
    <w:basedOn w:val="Normal"/>
    <w:next w:val="Normal"/>
    <w:autoRedefine/>
    <w:uiPriority w:val="39"/>
    <w:unhideWhenUsed/>
    <w:qFormat/>
    <w:rsid w:val="003854F8"/>
    <w:pPr>
      <w:spacing w:after="100"/>
      <w:ind w:left="440"/>
    </w:pPr>
    <w:rPr>
      <w:lang w:val="en-US" w:eastAsia="ja-JP"/>
    </w:rPr>
  </w:style>
  <w:style w:type="paragraph" w:customStyle="1" w:styleId="TITLE2">
    <w:name w:val="TITLE2"/>
    <w:basedOn w:val="Title"/>
    <w:qFormat/>
    <w:rsid w:val="009879D8"/>
    <w:rPr>
      <w:lang w:eastAsia="en-AU"/>
    </w:rPr>
  </w:style>
  <w:style w:type="paragraph" w:customStyle="1" w:styleId="Heading3list">
    <w:name w:val="Heading3list"/>
    <w:basedOn w:val="Normal"/>
    <w:rsid w:val="009879D8"/>
    <w:rPr>
      <w:rFonts w:asciiTheme="majorHAnsi" w:hAnsiTheme="majorHAnsi"/>
      <w:b/>
      <w:color w:val="8C8C93" w:themeColor="text2" w:themeTint="99"/>
      <w:sz w:val="24"/>
      <w:szCs w:val="24"/>
      <w:lang w:eastAsia="en-AU"/>
    </w:rPr>
  </w:style>
  <w:style w:type="table" w:styleId="TableGrid">
    <w:name w:val="Table Grid"/>
    <w:basedOn w:val="TableNormal"/>
    <w:uiPriority w:val="39"/>
    <w:rsid w:val="0098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64280"/>
    <w:pPr>
      <w:spacing w:line="480" w:lineRule="auto"/>
      <w:ind w:left="283"/>
    </w:pPr>
  </w:style>
  <w:style w:type="character" w:customStyle="1" w:styleId="BodyTextIndent2Char">
    <w:name w:val="Body Text Indent 2 Char"/>
    <w:basedOn w:val="DefaultParagraphFont"/>
    <w:link w:val="BodyTextIndent2"/>
    <w:uiPriority w:val="99"/>
    <w:semiHidden/>
    <w:rsid w:val="00364280"/>
  </w:style>
  <w:style w:type="paragraph" w:customStyle="1" w:styleId="DepartmentalNormal">
    <w:name w:val="Departmental Normal"/>
    <w:basedOn w:val="Normal"/>
    <w:rsid w:val="0078572E"/>
    <w:rPr>
      <w:rFonts w:ascii="Calibri" w:eastAsia="Calibri" w:hAnsi="Calibri" w:cs="Times New Roman"/>
      <w:sz w:val="24"/>
    </w:rPr>
  </w:style>
  <w:style w:type="table" w:styleId="ColorfulGrid-Accent1">
    <w:name w:val="Colorful Grid Accent 1"/>
    <w:basedOn w:val="TableNormal"/>
    <w:uiPriority w:val="73"/>
    <w:rsid w:val="008C5D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F1CD" w:themeFill="accent1" w:themeFillTint="33"/>
    </w:tcPr>
    <w:tblStylePr w:type="firstRow">
      <w:rPr>
        <w:b/>
        <w:bCs/>
      </w:rPr>
      <w:tblPr/>
      <w:tcPr>
        <w:shd w:val="clear" w:color="auto" w:fill="9CE39C" w:themeFill="accent1" w:themeFillTint="66"/>
      </w:tcPr>
    </w:tblStylePr>
    <w:tblStylePr w:type="lastRow">
      <w:rPr>
        <w:b/>
        <w:bCs/>
        <w:color w:val="000000" w:themeColor="text1"/>
      </w:rPr>
      <w:tblPr/>
      <w:tcPr>
        <w:shd w:val="clear" w:color="auto" w:fill="9CE39C" w:themeFill="accent1" w:themeFillTint="66"/>
      </w:tcPr>
    </w:tblStylePr>
    <w:tblStylePr w:type="firstCol">
      <w:rPr>
        <w:color w:val="FFFFFF" w:themeColor="background1"/>
      </w:rPr>
      <w:tblPr/>
      <w:tcPr>
        <w:shd w:val="clear" w:color="auto" w:fill="207220" w:themeFill="accent1" w:themeFillShade="BF"/>
      </w:tcPr>
    </w:tblStylePr>
    <w:tblStylePr w:type="lastCol">
      <w:rPr>
        <w:color w:val="FFFFFF" w:themeColor="background1"/>
      </w:rPr>
      <w:tblPr/>
      <w:tcPr>
        <w:shd w:val="clear" w:color="auto" w:fill="207220" w:themeFill="accent1" w:themeFillShade="BF"/>
      </w:tcPr>
    </w:tblStylePr>
    <w:tblStylePr w:type="band1Vert">
      <w:tblPr/>
      <w:tcPr>
        <w:shd w:val="clear" w:color="auto" w:fill="84DC84" w:themeFill="accent1" w:themeFillTint="7F"/>
      </w:tcPr>
    </w:tblStylePr>
    <w:tblStylePr w:type="band1Horz">
      <w:tblPr/>
      <w:tcPr>
        <w:shd w:val="clear" w:color="auto" w:fill="84DC84" w:themeFill="accent1" w:themeFillTint="7F"/>
      </w:tcPr>
    </w:tblStylePr>
  </w:style>
  <w:style w:type="character" w:styleId="CommentReference">
    <w:name w:val="annotation reference"/>
    <w:basedOn w:val="DefaultParagraphFont"/>
    <w:uiPriority w:val="99"/>
    <w:semiHidden/>
    <w:unhideWhenUsed/>
    <w:rsid w:val="00261EDD"/>
    <w:rPr>
      <w:sz w:val="16"/>
      <w:szCs w:val="16"/>
    </w:rPr>
  </w:style>
  <w:style w:type="paragraph" w:styleId="CommentText">
    <w:name w:val="annotation text"/>
    <w:basedOn w:val="Normal"/>
    <w:link w:val="CommentTextChar"/>
    <w:uiPriority w:val="99"/>
    <w:unhideWhenUsed/>
    <w:rsid w:val="00261EDD"/>
    <w:pPr>
      <w:spacing w:line="240" w:lineRule="auto"/>
    </w:pPr>
  </w:style>
  <w:style w:type="character" w:customStyle="1" w:styleId="CommentTextChar">
    <w:name w:val="Comment Text Char"/>
    <w:basedOn w:val="DefaultParagraphFont"/>
    <w:link w:val="CommentText"/>
    <w:uiPriority w:val="99"/>
    <w:rsid w:val="00261EDD"/>
    <w:rPr>
      <w:sz w:val="20"/>
      <w:szCs w:val="20"/>
    </w:rPr>
  </w:style>
  <w:style w:type="paragraph" w:styleId="CommentSubject">
    <w:name w:val="annotation subject"/>
    <w:basedOn w:val="CommentText"/>
    <w:next w:val="CommentText"/>
    <w:link w:val="CommentSubjectChar"/>
    <w:uiPriority w:val="99"/>
    <w:semiHidden/>
    <w:unhideWhenUsed/>
    <w:rsid w:val="00261EDD"/>
    <w:rPr>
      <w:b/>
      <w:bCs/>
    </w:rPr>
  </w:style>
  <w:style w:type="character" w:customStyle="1" w:styleId="CommentSubjectChar">
    <w:name w:val="Comment Subject Char"/>
    <w:basedOn w:val="CommentTextChar"/>
    <w:link w:val="CommentSubject"/>
    <w:uiPriority w:val="99"/>
    <w:semiHidden/>
    <w:rsid w:val="00261EDD"/>
    <w:rPr>
      <w:b/>
      <w:bCs/>
      <w:sz w:val="20"/>
      <w:szCs w:val="20"/>
    </w:rPr>
  </w:style>
  <w:style w:type="table" w:customStyle="1" w:styleId="TableGrid1">
    <w:name w:val="Table Grid1"/>
    <w:basedOn w:val="TableNormal"/>
    <w:next w:val="TableGrid"/>
    <w:uiPriority w:val="59"/>
    <w:rsid w:val="0082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6801F3"/>
    <w:pPr>
      <w:spacing w:before="0" w:after="0" w:line="240" w:lineRule="auto"/>
    </w:pPr>
  </w:style>
  <w:style w:type="character" w:customStyle="1" w:styleId="NoSpacingChar">
    <w:name w:val="No Spacing Char"/>
    <w:basedOn w:val="DefaultParagraphFont"/>
    <w:link w:val="NoSpacing"/>
    <w:uiPriority w:val="1"/>
    <w:rsid w:val="006801F3"/>
    <w:rPr>
      <w:sz w:val="20"/>
      <w:szCs w:val="20"/>
    </w:rPr>
  </w:style>
  <w:style w:type="paragraph" w:styleId="FootnoteText">
    <w:name w:val="footnote text"/>
    <w:basedOn w:val="Normal"/>
    <w:link w:val="FootnoteTextChar"/>
    <w:uiPriority w:val="99"/>
    <w:unhideWhenUsed/>
    <w:qFormat/>
    <w:rsid w:val="00F168CC"/>
    <w:pPr>
      <w:spacing w:after="0" w:line="240" w:lineRule="auto"/>
    </w:pPr>
  </w:style>
  <w:style w:type="character" w:customStyle="1" w:styleId="FootnoteTextChar">
    <w:name w:val="Footnote Text Char"/>
    <w:basedOn w:val="DefaultParagraphFont"/>
    <w:link w:val="FootnoteText"/>
    <w:uiPriority w:val="99"/>
    <w:rsid w:val="00F168CC"/>
    <w:rPr>
      <w:sz w:val="20"/>
      <w:szCs w:val="20"/>
    </w:rPr>
  </w:style>
  <w:style w:type="table" w:styleId="MediumGrid1-Accent1">
    <w:name w:val="Medium Grid 1 Accent 1"/>
    <w:basedOn w:val="TableNormal"/>
    <w:uiPriority w:val="67"/>
    <w:rsid w:val="000B295A"/>
    <w:pPr>
      <w:spacing w:after="0" w:line="240" w:lineRule="auto"/>
    </w:pPr>
    <w:tblPr>
      <w:tblStyleRowBandSize w:val="1"/>
      <w:tblStyleColBandSize w:val="1"/>
      <w:tblBorders>
        <w:top w:val="single" w:sz="8" w:space="0" w:color="47CB47" w:themeColor="accent1" w:themeTint="BF"/>
        <w:left w:val="single" w:sz="8" w:space="0" w:color="47CB47" w:themeColor="accent1" w:themeTint="BF"/>
        <w:bottom w:val="single" w:sz="8" w:space="0" w:color="47CB47" w:themeColor="accent1" w:themeTint="BF"/>
        <w:right w:val="single" w:sz="8" w:space="0" w:color="47CB47" w:themeColor="accent1" w:themeTint="BF"/>
        <w:insideH w:val="single" w:sz="8" w:space="0" w:color="47CB47" w:themeColor="accent1" w:themeTint="BF"/>
        <w:insideV w:val="single" w:sz="8" w:space="0" w:color="47CB47" w:themeColor="accent1" w:themeTint="BF"/>
      </w:tblBorders>
    </w:tblPr>
    <w:tcPr>
      <w:shd w:val="clear" w:color="auto" w:fill="C2EEC2" w:themeFill="accent1" w:themeFillTint="3F"/>
    </w:tcPr>
    <w:tblStylePr w:type="firstRow">
      <w:rPr>
        <w:b/>
        <w:bCs/>
      </w:rPr>
    </w:tblStylePr>
    <w:tblStylePr w:type="lastRow">
      <w:rPr>
        <w:b/>
        <w:bCs/>
      </w:rPr>
      <w:tblPr/>
      <w:tcPr>
        <w:tcBorders>
          <w:top w:val="single" w:sz="18" w:space="0" w:color="47CB47" w:themeColor="accent1" w:themeTint="BF"/>
        </w:tcBorders>
      </w:tcPr>
    </w:tblStylePr>
    <w:tblStylePr w:type="firstCol">
      <w:rPr>
        <w:b/>
        <w:bCs/>
      </w:rPr>
    </w:tblStylePr>
    <w:tblStylePr w:type="lastCol">
      <w:rPr>
        <w:b/>
        <w:bCs/>
      </w:rPr>
    </w:tblStylePr>
    <w:tblStylePr w:type="band1Vert">
      <w:tblPr/>
      <w:tcPr>
        <w:shd w:val="clear" w:color="auto" w:fill="84DC84" w:themeFill="accent1" w:themeFillTint="7F"/>
      </w:tcPr>
    </w:tblStylePr>
    <w:tblStylePr w:type="band1Horz">
      <w:tblPr/>
      <w:tcPr>
        <w:shd w:val="clear" w:color="auto" w:fill="84DC84" w:themeFill="accent1" w:themeFillTint="7F"/>
      </w:tcPr>
    </w:tblStylePr>
  </w:style>
  <w:style w:type="table" w:styleId="MediumGrid3-Accent1">
    <w:name w:val="Medium Grid 3 Accent 1"/>
    <w:basedOn w:val="TableNormal"/>
    <w:uiPriority w:val="69"/>
    <w:rsid w:val="000B29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E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99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99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99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99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DC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DC84" w:themeFill="accent1" w:themeFillTint="7F"/>
      </w:tcPr>
    </w:tblStylePr>
  </w:style>
  <w:style w:type="paragraph" w:customStyle="1" w:styleId="definitionacronyms">
    <w:name w:val="definition+acronyms"/>
    <w:basedOn w:val="Heading1"/>
    <w:rsid w:val="00C4184E"/>
    <w:pPr>
      <w:spacing w:after="600"/>
      <w:jc w:val="center"/>
    </w:pPr>
    <w:rPr>
      <w:b w:val="0"/>
      <w:bCs/>
      <w:color w:val="207220" w:themeColor="accent1" w:themeShade="BF"/>
      <w:sz w:val="28"/>
    </w:rPr>
  </w:style>
  <w:style w:type="table" w:customStyle="1" w:styleId="LightShading-Accent11">
    <w:name w:val="Light Shading - Accent 11"/>
    <w:basedOn w:val="TableNormal"/>
    <w:uiPriority w:val="60"/>
    <w:rsid w:val="00C4184E"/>
    <w:pPr>
      <w:spacing w:after="0" w:line="240" w:lineRule="auto"/>
    </w:pPr>
    <w:rPr>
      <w:color w:val="207220" w:themeColor="accent1" w:themeShade="BF"/>
    </w:rPr>
    <w:tblPr>
      <w:tblStyleRowBandSize w:val="1"/>
      <w:tblStyleColBandSize w:val="1"/>
      <w:tblBorders>
        <w:top w:val="single" w:sz="8" w:space="0" w:color="2B992B" w:themeColor="accent1"/>
        <w:bottom w:val="single" w:sz="8" w:space="0" w:color="2B992B" w:themeColor="accent1"/>
      </w:tblBorders>
    </w:tblPr>
    <w:tblStylePr w:type="fir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la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1" w:themeFillTint="3F"/>
      </w:tcPr>
    </w:tblStylePr>
    <w:tblStylePr w:type="band1Horz">
      <w:tblPr/>
      <w:tcPr>
        <w:tcBorders>
          <w:left w:val="nil"/>
          <w:right w:val="nil"/>
          <w:insideH w:val="nil"/>
          <w:insideV w:val="nil"/>
        </w:tcBorders>
        <w:shd w:val="clear" w:color="auto" w:fill="C2EEC2" w:themeFill="accent1" w:themeFillTint="3F"/>
      </w:tcPr>
    </w:tblStylePr>
  </w:style>
  <w:style w:type="paragraph" w:styleId="BodyText">
    <w:name w:val="Body Text"/>
    <w:basedOn w:val="Normal"/>
    <w:link w:val="BodyTextChar"/>
    <w:uiPriority w:val="99"/>
    <w:semiHidden/>
    <w:unhideWhenUsed/>
    <w:rsid w:val="006801F3"/>
  </w:style>
  <w:style w:type="character" w:customStyle="1" w:styleId="BodyTextChar">
    <w:name w:val="Body Text Char"/>
    <w:basedOn w:val="DefaultParagraphFont"/>
    <w:link w:val="BodyText"/>
    <w:uiPriority w:val="99"/>
    <w:semiHidden/>
    <w:rsid w:val="006801F3"/>
  </w:style>
  <w:style w:type="paragraph" w:styleId="Caption">
    <w:name w:val="caption"/>
    <w:basedOn w:val="Normal"/>
    <w:next w:val="Normal"/>
    <w:uiPriority w:val="35"/>
    <w:unhideWhenUsed/>
    <w:qFormat/>
    <w:rsid w:val="006801F3"/>
    <w:rPr>
      <w:b/>
      <w:bCs/>
      <w:color w:val="207220" w:themeColor="accent1" w:themeShade="BF"/>
      <w:sz w:val="16"/>
      <w:szCs w:val="16"/>
    </w:rPr>
  </w:style>
  <w:style w:type="paragraph" w:styleId="Subtitle">
    <w:name w:val="Subtitle"/>
    <w:basedOn w:val="Normal"/>
    <w:next w:val="Normal"/>
    <w:link w:val="SubtitleChar"/>
    <w:uiPriority w:val="11"/>
    <w:qFormat/>
    <w:rsid w:val="006801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01F3"/>
    <w:rPr>
      <w:caps/>
      <w:color w:val="595959" w:themeColor="text1" w:themeTint="A6"/>
      <w:spacing w:val="10"/>
      <w:sz w:val="24"/>
      <w:szCs w:val="24"/>
    </w:rPr>
  </w:style>
  <w:style w:type="character" w:styleId="Strong">
    <w:name w:val="Strong"/>
    <w:uiPriority w:val="22"/>
    <w:qFormat/>
    <w:rsid w:val="006801F3"/>
    <w:rPr>
      <w:b/>
      <w:bCs/>
    </w:rPr>
  </w:style>
  <w:style w:type="character" w:styleId="Emphasis">
    <w:name w:val="Emphasis"/>
    <w:uiPriority w:val="20"/>
    <w:qFormat/>
    <w:rsid w:val="006801F3"/>
    <w:rPr>
      <w:caps/>
      <w:color w:val="154B15" w:themeColor="accent1" w:themeShade="7F"/>
      <w:spacing w:val="5"/>
    </w:rPr>
  </w:style>
  <w:style w:type="paragraph" w:styleId="Quote">
    <w:name w:val="Quote"/>
    <w:basedOn w:val="Normal"/>
    <w:next w:val="Normal"/>
    <w:link w:val="QuoteChar"/>
    <w:uiPriority w:val="29"/>
    <w:qFormat/>
    <w:rsid w:val="006801F3"/>
    <w:rPr>
      <w:i/>
      <w:iCs/>
    </w:rPr>
  </w:style>
  <w:style w:type="character" w:customStyle="1" w:styleId="QuoteChar">
    <w:name w:val="Quote Char"/>
    <w:basedOn w:val="DefaultParagraphFont"/>
    <w:link w:val="Quote"/>
    <w:uiPriority w:val="29"/>
    <w:rsid w:val="006801F3"/>
    <w:rPr>
      <w:i/>
      <w:iCs/>
      <w:sz w:val="20"/>
      <w:szCs w:val="20"/>
    </w:rPr>
  </w:style>
  <w:style w:type="paragraph" w:styleId="IntenseQuote">
    <w:name w:val="Intense Quote"/>
    <w:basedOn w:val="Normal"/>
    <w:next w:val="Normal"/>
    <w:link w:val="IntenseQuoteChar"/>
    <w:uiPriority w:val="30"/>
    <w:qFormat/>
    <w:rsid w:val="006801F3"/>
    <w:pPr>
      <w:pBdr>
        <w:top w:val="single" w:sz="4" w:space="10" w:color="2B992B" w:themeColor="accent1"/>
        <w:left w:val="single" w:sz="4" w:space="10" w:color="2B992B" w:themeColor="accent1"/>
      </w:pBdr>
      <w:spacing w:after="0"/>
      <w:ind w:left="1296" w:right="1152"/>
    </w:pPr>
    <w:rPr>
      <w:i/>
      <w:iCs/>
      <w:color w:val="2B992B" w:themeColor="accent1"/>
    </w:rPr>
  </w:style>
  <w:style w:type="character" w:customStyle="1" w:styleId="IntenseQuoteChar">
    <w:name w:val="Intense Quote Char"/>
    <w:basedOn w:val="DefaultParagraphFont"/>
    <w:link w:val="IntenseQuote"/>
    <w:uiPriority w:val="30"/>
    <w:rsid w:val="006801F3"/>
    <w:rPr>
      <w:i/>
      <w:iCs/>
      <w:color w:val="2B992B" w:themeColor="accent1"/>
      <w:sz w:val="20"/>
      <w:szCs w:val="20"/>
    </w:rPr>
  </w:style>
  <w:style w:type="character" w:styleId="SubtleEmphasis">
    <w:name w:val="Subtle Emphasis"/>
    <w:uiPriority w:val="19"/>
    <w:qFormat/>
    <w:rsid w:val="006801F3"/>
    <w:rPr>
      <w:i/>
      <w:iCs/>
      <w:color w:val="154B15" w:themeColor="accent1" w:themeShade="7F"/>
    </w:rPr>
  </w:style>
  <w:style w:type="character" w:styleId="IntenseEmphasis">
    <w:name w:val="Intense Emphasis"/>
    <w:uiPriority w:val="21"/>
    <w:qFormat/>
    <w:rsid w:val="006801F3"/>
    <w:rPr>
      <w:b/>
      <w:bCs/>
      <w:caps/>
      <w:color w:val="154B15" w:themeColor="accent1" w:themeShade="7F"/>
      <w:spacing w:val="10"/>
    </w:rPr>
  </w:style>
  <w:style w:type="character" w:styleId="SubtleReference">
    <w:name w:val="Subtle Reference"/>
    <w:uiPriority w:val="31"/>
    <w:qFormat/>
    <w:rsid w:val="006801F3"/>
    <w:rPr>
      <w:b/>
      <w:bCs/>
      <w:color w:val="2B992B" w:themeColor="accent1"/>
    </w:rPr>
  </w:style>
  <w:style w:type="character" w:styleId="IntenseReference">
    <w:name w:val="Intense Reference"/>
    <w:uiPriority w:val="32"/>
    <w:qFormat/>
    <w:rsid w:val="006801F3"/>
    <w:rPr>
      <w:b/>
      <w:bCs/>
      <w:i/>
      <w:iCs/>
      <w:caps/>
      <w:color w:val="2B992B" w:themeColor="accent1"/>
    </w:rPr>
  </w:style>
  <w:style w:type="character" w:styleId="BookTitle">
    <w:name w:val="Book Title"/>
    <w:uiPriority w:val="33"/>
    <w:qFormat/>
    <w:rsid w:val="006801F3"/>
    <w:rPr>
      <w:b/>
      <w:bCs/>
      <w:i/>
      <w:iCs/>
      <w:spacing w:val="9"/>
    </w:rPr>
  </w:style>
  <w:style w:type="table" w:customStyle="1" w:styleId="TableGrid2">
    <w:name w:val="Table Grid2"/>
    <w:basedOn w:val="TableNormal"/>
    <w:next w:val="TableGrid"/>
    <w:uiPriority w:val="59"/>
    <w:rsid w:val="006774D6"/>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71B5B"/>
    <w:pPr>
      <w:spacing w:before="0" w:after="0" w:line="240" w:lineRule="auto"/>
    </w:pPr>
    <w:tblPr>
      <w:tblStyleRowBandSize w:val="1"/>
      <w:tblStyleColBandSize w:val="1"/>
      <w:tblBorders>
        <w:top w:val="single" w:sz="8" w:space="0" w:color="2B992B" w:themeColor="accent1"/>
        <w:left w:val="single" w:sz="8" w:space="0" w:color="2B992B" w:themeColor="accent1"/>
        <w:bottom w:val="single" w:sz="8" w:space="0" w:color="2B992B" w:themeColor="accent1"/>
        <w:right w:val="single" w:sz="8" w:space="0" w:color="2B992B" w:themeColor="accent1"/>
      </w:tblBorders>
    </w:tblPr>
    <w:tblStylePr w:type="firstRow">
      <w:pPr>
        <w:spacing w:before="0" w:after="0" w:line="240" w:lineRule="auto"/>
      </w:pPr>
      <w:rPr>
        <w:b/>
        <w:bCs/>
        <w:color w:val="FFFFFF" w:themeColor="background1"/>
      </w:rPr>
      <w:tblPr/>
      <w:tcPr>
        <w:shd w:val="clear" w:color="auto" w:fill="2B992B" w:themeFill="accent1"/>
      </w:tcPr>
    </w:tblStylePr>
    <w:tblStylePr w:type="lastRow">
      <w:pPr>
        <w:spacing w:before="0" w:after="0" w:line="240" w:lineRule="auto"/>
      </w:pPr>
      <w:rPr>
        <w:b/>
        <w:bCs/>
      </w:rPr>
      <w:tblPr/>
      <w:tcPr>
        <w:tcBorders>
          <w:top w:val="double" w:sz="6" w:space="0" w:color="2B992B" w:themeColor="accent1"/>
          <w:left w:val="single" w:sz="8" w:space="0" w:color="2B992B" w:themeColor="accent1"/>
          <w:bottom w:val="single" w:sz="8" w:space="0" w:color="2B992B" w:themeColor="accent1"/>
          <w:right w:val="single" w:sz="8" w:space="0" w:color="2B992B" w:themeColor="accent1"/>
        </w:tcBorders>
      </w:tcPr>
    </w:tblStylePr>
    <w:tblStylePr w:type="firstCol">
      <w:rPr>
        <w:b/>
        <w:bCs/>
      </w:rPr>
    </w:tblStylePr>
    <w:tblStylePr w:type="lastCol">
      <w:rPr>
        <w:b/>
        <w:bCs/>
      </w:rPr>
    </w:tblStylePr>
    <w:tblStylePr w:type="band1Vert">
      <w:tblPr/>
      <w:tcPr>
        <w:tcBorders>
          <w:top w:val="single" w:sz="8" w:space="0" w:color="2B992B" w:themeColor="accent1"/>
          <w:left w:val="single" w:sz="8" w:space="0" w:color="2B992B" w:themeColor="accent1"/>
          <w:bottom w:val="single" w:sz="8" w:space="0" w:color="2B992B" w:themeColor="accent1"/>
          <w:right w:val="single" w:sz="8" w:space="0" w:color="2B992B" w:themeColor="accent1"/>
        </w:tcBorders>
      </w:tcPr>
    </w:tblStylePr>
    <w:tblStylePr w:type="band1Horz">
      <w:tblPr/>
      <w:tcPr>
        <w:tcBorders>
          <w:top w:val="single" w:sz="8" w:space="0" w:color="2B992B" w:themeColor="accent1"/>
          <w:left w:val="single" w:sz="8" w:space="0" w:color="2B992B" w:themeColor="accent1"/>
          <w:bottom w:val="single" w:sz="8" w:space="0" w:color="2B992B" w:themeColor="accent1"/>
          <w:right w:val="single" w:sz="8" w:space="0" w:color="2B992B" w:themeColor="accent1"/>
        </w:tcBorders>
      </w:tcPr>
    </w:tblStylePr>
  </w:style>
  <w:style w:type="table" w:styleId="LightShading-Accent1">
    <w:name w:val="Light Shading Accent 1"/>
    <w:basedOn w:val="TableNormal"/>
    <w:uiPriority w:val="60"/>
    <w:rsid w:val="00271B5B"/>
    <w:pPr>
      <w:spacing w:before="0" w:after="0" w:line="240" w:lineRule="auto"/>
    </w:pPr>
    <w:rPr>
      <w:color w:val="207220" w:themeColor="accent1" w:themeShade="BF"/>
    </w:rPr>
    <w:tblPr>
      <w:tblStyleRowBandSize w:val="1"/>
      <w:tblStyleColBandSize w:val="1"/>
      <w:tblBorders>
        <w:top w:val="single" w:sz="8" w:space="0" w:color="2B992B" w:themeColor="accent1"/>
        <w:bottom w:val="single" w:sz="8" w:space="0" w:color="2B992B" w:themeColor="accent1"/>
      </w:tblBorders>
    </w:tblPr>
    <w:tblStylePr w:type="fir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la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1" w:themeFillTint="3F"/>
      </w:tcPr>
    </w:tblStylePr>
    <w:tblStylePr w:type="band1Horz">
      <w:tblPr/>
      <w:tcPr>
        <w:tcBorders>
          <w:left w:val="nil"/>
          <w:right w:val="nil"/>
          <w:insideH w:val="nil"/>
          <w:insideV w:val="nil"/>
        </w:tcBorders>
        <w:shd w:val="clear" w:color="auto" w:fill="C2EEC2" w:themeFill="accent1" w:themeFillTint="3F"/>
      </w:tcPr>
    </w:tblStylePr>
  </w:style>
  <w:style w:type="paragraph" w:customStyle="1" w:styleId="Default">
    <w:name w:val="Default"/>
    <w:rsid w:val="00016F90"/>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Revision">
    <w:name w:val="Revision"/>
    <w:hidden/>
    <w:uiPriority w:val="99"/>
    <w:semiHidden/>
    <w:rsid w:val="003C7C88"/>
    <w:pPr>
      <w:spacing w:before="0" w:after="0" w:line="240" w:lineRule="auto"/>
    </w:pPr>
    <w:rPr>
      <w:sz w:val="20"/>
      <w:szCs w:val="20"/>
    </w:rPr>
  </w:style>
  <w:style w:type="table" w:customStyle="1" w:styleId="TableGrid3">
    <w:name w:val="Table Grid3"/>
    <w:basedOn w:val="TableNormal"/>
    <w:next w:val="TableGrid"/>
    <w:uiPriority w:val="59"/>
    <w:rsid w:val="00B11AAC"/>
    <w:pPr>
      <w:spacing w:after="0"/>
    </w:pPr>
    <w:rPr>
      <w:lang w:eastAsia="en-AU"/>
    </w:rPr>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
  </w:style>
  <w:style w:type="table" w:styleId="LightShading-Accent4">
    <w:name w:val="Light Shading Accent 4"/>
    <w:basedOn w:val="TableNormal"/>
    <w:uiPriority w:val="60"/>
    <w:rsid w:val="006D4272"/>
    <w:pPr>
      <w:spacing w:before="0" w:after="0" w:line="240" w:lineRule="auto"/>
    </w:pPr>
    <w:rPr>
      <w:color w:val="D4A102" w:themeColor="accent4" w:themeShade="BF"/>
    </w:rPr>
    <w:tblPr>
      <w:tblStyleRowBandSize w:val="1"/>
      <w:tblStyleColBandSize w:val="1"/>
      <w:tblBorders>
        <w:top w:val="single" w:sz="8" w:space="0" w:color="FDC822" w:themeColor="accent4"/>
        <w:bottom w:val="single" w:sz="8" w:space="0" w:color="FDC822" w:themeColor="accent4"/>
      </w:tblBorders>
    </w:tblPr>
    <w:tblStylePr w:type="firstRow">
      <w:pPr>
        <w:spacing w:before="0" w:after="0" w:line="240" w:lineRule="auto"/>
      </w:pPr>
      <w:rPr>
        <w:b/>
        <w:bCs/>
      </w:rPr>
      <w:tblPr/>
      <w:tcPr>
        <w:tcBorders>
          <w:top w:val="single" w:sz="8" w:space="0" w:color="FDC822" w:themeColor="accent4"/>
          <w:left w:val="nil"/>
          <w:bottom w:val="single" w:sz="8" w:space="0" w:color="FDC822" w:themeColor="accent4"/>
          <w:right w:val="nil"/>
          <w:insideH w:val="nil"/>
          <w:insideV w:val="nil"/>
        </w:tcBorders>
      </w:tcPr>
    </w:tblStylePr>
    <w:tblStylePr w:type="lastRow">
      <w:pPr>
        <w:spacing w:before="0" w:after="0" w:line="240" w:lineRule="auto"/>
      </w:pPr>
      <w:rPr>
        <w:b/>
        <w:bCs/>
      </w:rPr>
      <w:tblPr/>
      <w:tcPr>
        <w:tcBorders>
          <w:top w:val="single" w:sz="8" w:space="0" w:color="FDC822" w:themeColor="accent4"/>
          <w:left w:val="nil"/>
          <w:bottom w:val="single" w:sz="8" w:space="0" w:color="FDC8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8" w:themeFill="accent4" w:themeFillTint="3F"/>
      </w:tcPr>
    </w:tblStylePr>
    <w:tblStylePr w:type="band1Horz">
      <w:tblPr/>
      <w:tcPr>
        <w:tcBorders>
          <w:left w:val="nil"/>
          <w:right w:val="nil"/>
          <w:insideH w:val="nil"/>
          <w:insideV w:val="nil"/>
        </w:tcBorders>
        <w:shd w:val="clear" w:color="auto" w:fill="FEF1C8" w:themeFill="accent4" w:themeFillTint="3F"/>
      </w:tcPr>
    </w:tblStylePr>
  </w:style>
  <w:style w:type="paragraph" w:customStyle="1" w:styleId="Style1">
    <w:name w:val="Style1"/>
    <w:basedOn w:val="Title"/>
    <w:qFormat/>
    <w:rsid w:val="007774AB"/>
    <w:pPr>
      <w:numPr>
        <w:numId w:val="14"/>
      </w:numPr>
      <w:spacing w:before="0"/>
      <w:outlineLvl w:val="0"/>
    </w:pPr>
    <w:rPr>
      <w:color w:val="9B4AD6" w:themeColor="accent2" w:themeTint="99"/>
    </w:rPr>
  </w:style>
  <w:style w:type="table" w:styleId="MediumGrid2-Accent4">
    <w:name w:val="Medium Grid 2 Accent 4"/>
    <w:basedOn w:val="TableNormal"/>
    <w:uiPriority w:val="68"/>
    <w:rsid w:val="00961141"/>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insideH w:val="single" w:sz="8" w:space="0" w:color="FDC822" w:themeColor="accent4"/>
        <w:insideV w:val="single" w:sz="8" w:space="0" w:color="FDC822" w:themeColor="accent4"/>
      </w:tblBorders>
    </w:tblPr>
    <w:tcPr>
      <w:shd w:val="clear" w:color="auto" w:fill="FEF1C8" w:themeFill="accent4" w:themeFillTint="3F"/>
    </w:tcPr>
    <w:tblStylePr w:type="firstRow">
      <w:rPr>
        <w:b/>
        <w:bCs/>
        <w:color w:val="000000" w:themeColor="text1"/>
      </w:rPr>
      <w:tblPr/>
      <w:tcPr>
        <w:shd w:val="clear" w:color="auto" w:fill="FEF9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2" w:themeFill="accent4" w:themeFillTint="33"/>
      </w:tcPr>
    </w:tblStylePr>
    <w:tblStylePr w:type="band1Vert">
      <w:tblPr/>
      <w:tcPr>
        <w:shd w:val="clear" w:color="auto" w:fill="FEE390" w:themeFill="accent4" w:themeFillTint="7F"/>
      </w:tcPr>
    </w:tblStylePr>
    <w:tblStylePr w:type="band1Horz">
      <w:tblPr/>
      <w:tcPr>
        <w:tcBorders>
          <w:insideH w:val="single" w:sz="6" w:space="0" w:color="FDC822" w:themeColor="accent4"/>
          <w:insideV w:val="single" w:sz="6" w:space="0" w:color="FDC822" w:themeColor="accent4"/>
        </w:tcBorders>
        <w:shd w:val="clear" w:color="auto" w:fill="FEE390" w:themeFill="accent4" w:themeFillTint="7F"/>
      </w:tcPr>
    </w:tblStylePr>
    <w:tblStylePr w:type="nwCell">
      <w:tblPr/>
      <w:tcPr>
        <w:shd w:val="clear" w:color="auto" w:fill="FFFFFF" w:themeFill="background1"/>
      </w:tcPr>
    </w:tblStylePr>
  </w:style>
  <w:style w:type="table" w:styleId="MediumShading1-Accent4">
    <w:name w:val="Medium Shading 1 Accent 4"/>
    <w:basedOn w:val="TableNormal"/>
    <w:uiPriority w:val="63"/>
    <w:rsid w:val="00D36B28"/>
    <w:pPr>
      <w:spacing w:before="0" w:after="0" w:line="240" w:lineRule="auto"/>
    </w:pPr>
    <w:tblPr>
      <w:tblStyleRowBandSize w:val="1"/>
      <w:tblStyleColBandSize w:val="1"/>
      <w:tblBorders>
        <w:top w:val="single" w:sz="8"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single" w:sz="8" w:space="0" w:color="FDD559" w:themeColor="accent4" w:themeTint="BF"/>
      </w:tblBorders>
    </w:tblPr>
    <w:tblStylePr w:type="firstRow">
      <w:pPr>
        <w:spacing w:before="0" w:after="0" w:line="240" w:lineRule="auto"/>
      </w:pPr>
      <w:rPr>
        <w:b/>
        <w:bCs/>
        <w:color w:val="FFFFFF" w:themeColor="background1"/>
      </w:rPr>
      <w:tblPr/>
      <w:tcPr>
        <w:tcBorders>
          <w:top w:val="single" w:sz="8"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nil"/>
          <w:insideV w:val="nil"/>
        </w:tcBorders>
        <w:shd w:val="clear" w:color="auto" w:fill="FDC822" w:themeFill="accent4"/>
      </w:tcPr>
    </w:tblStylePr>
    <w:tblStylePr w:type="lastRow">
      <w:pPr>
        <w:spacing w:before="0" w:after="0" w:line="240" w:lineRule="auto"/>
      </w:pPr>
      <w:rPr>
        <w:b/>
        <w:bCs/>
      </w:rPr>
      <w:tblPr/>
      <w:tcPr>
        <w:tcBorders>
          <w:top w:val="double" w:sz="6"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1C8" w:themeFill="accent4" w:themeFillTint="3F"/>
      </w:tcPr>
    </w:tblStylePr>
    <w:tblStylePr w:type="band1Horz">
      <w:tblPr/>
      <w:tcPr>
        <w:tcBorders>
          <w:insideH w:val="nil"/>
          <w:insideV w:val="nil"/>
        </w:tcBorders>
        <w:shd w:val="clear" w:color="auto" w:fill="FEF1C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D36B28"/>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C8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C822" w:themeFill="accent4"/>
      </w:tcPr>
    </w:tblStylePr>
    <w:tblStylePr w:type="lastCol">
      <w:rPr>
        <w:b/>
        <w:bCs/>
        <w:color w:val="FFFFFF" w:themeColor="background1"/>
      </w:rPr>
      <w:tblPr/>
      <w:tcPr>
        <w:tcBorders>
          <w:left w:val="nil"/>
          <w:right w:val="nil"/>
          <w:insideH w:val="nil"/>
          <w:insideV w:val="nil"/>
        </w:tcBorders>
        <w:shd w:val="clear" w:color="auto" w:fill="FDC8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bold">
    <w:name w:val="Normal (bold)"/>
    <w:uiPriority w:val="1"/>
    <w:qFormat/>
    <w:rsid w:val="00617A95"/>
    <w:rPr>
      <w:rFonts w:eastAsia="Calibri"/>
      <w:sz w:val="22"/>
      <w:szCs w:val="22"/>
    </w:rPr>
  </w:style>
  <w:style w:type="table" w:customStyle="1" w:styleId="ARPANSA">
    <w:name w:val="ARPANSA"/>
    <w:basedOn w:val="TableNormal"/>
    <w:uiPriority w:val="99"/>
    <w:rsid w:val="007660FF"/>
    <w:pPr>
      <w:spacing w:before="60" w:after="60" w:line="240" w:lineRule="auto"/>
    </w:pPr>
    <w:rPr>
      <w:rFonts w:eastAsiaTheme="minorHAnsi"/>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character" w:styleId="PlaceholderText">
    <w:name w:val="Placeholder Text"/>
    <w:basedOn w:val="DefaultParagraphFont"/>
    <w:uiPriority w:val="99"/>
    <w:semiHidden/>
    <w:rsid w:val="007660FF"/>
    <w:rPr>
      <w:rFonts w:cs="Times New Roman"/>
      <w:color w:val="808080"/>
    </w:rPr>
  </w:style>
  <w:style w:type="table" w:styleId="LightList">
    <w:name w:val="Light List"/>
    <w:basedOn w:val="TableNormal"/>
    <w:uiPriority w:val="61"/>
    <w:rsid w:val="006B4A61"/>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6B4A61"/>
    <w:pPr>
      <w:spacing w:before="0" w:after="0" w:line="240" w:lineRule="auto"/>
    </w:p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tblBorders>
    </w:tblPr>
    <w:tblStylePr w:type="firstRow">
      <w:pPr>
        <w:spacing w:before="0" w:after="0" w:line="240" w:lineRule="auto"/>
      </w:pPr>
      <w:rPr>
        <w:b/>
        <w:bCs/>
        <w:color w:val="FFFFFF" w:themeColor="background1"/>
      </w:rPr>
      <w:tblPr/>
      <w:tcPr>
        <w:shd w:val="clear" w:color="auto" w:fill="FDC822" w:themeFill="accent4"/>
      </w:tcPr>
    </w:tblStylePr>
    <w:tblStylePr w:type="lastRow">
      <w:pPr>
        <w:spacing w:before="0" w:after="0" w:line="240" w:lineRule="auto"/>
      </w:pPr>
      <w:rPr>
        <w:b/>
        <w:bCs/>
      </w:rPr>
      <w:tblPr/>
      <w:tcPr>
        <w:tcBorders>
          <w:top w:val="double" w:sz="6" w:space="0" w:color="FDC822" w:themeColor="accent4"/>
          <w:left w:val="single" w:sz="8" w:space="0" w:color="FDC822" w:themeColor="accent4"/>
          <w:bottom w:val="single" w:sz="8" w:space="0" w:color="FDC822" w:themeColor="accent4"/>
          <w:right w:val="single" w:sz="8" w:space="0" w:color="FDC822" w:themeColor="accent4"/>
        </w:tcBorders>
      </w:tcPr>
    </w:tblStylePr>
    <w:tblStylePr w:type="firstCol">
      <w:rPr>
        <w:b/>
        <w:bCs/>
      </w:rPr>
    </w:tblStylePr>
    <w:tblStylePr w:type="lastCol">
      <w:rPr>
        <w:b/>
        <w:bCs/>
      </w:rPr>
    </w:tblStylePr>
    <w:tblStylePr w:type="band1Vert">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tblStylePr w:type="band1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style>
  <w:style w:type="table" w:styleId="LightGrid-Accent4">
    <w:name w:val="Light Grid Accent 4"/>
    <w:basedOn w:val="TableNormal"/>
    <w:uiPriority w:val="62"/>
    <w:rsid w:val="006B4A61"/>
    <w:pPr>
      <w:spacing w:before="0" w:after="0" w:line="240" w:lineRule="auto"/>
    </w:p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insideH w:val="single" w:sz="8" w:space="0" w:color="FDC822" w:themeColor="accent4"/>
        <w:insideV w:val="single" w:sz="8" w:space="0" w:color="FDC8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822" w:themeColor="accent4"/>
          <w:left w:val="single" w:sz="8" w:space="0" w:color="FDC822" w:themeColor="accent4"/>
          <w:bottom w:val="single" w:sz="18" w:space="0" w:color="FDC822" w:themeColor="accent4"/>
          <w:right w:val="single" w:sz="8" w:space="0" w:color="FDC822" w:themeColor="accent4"/>
          <w:insideH w:val="nil"/>
          <w:insideV w:val="single" w:sz="8" w:space="0" w:color="FDC8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822" w:themeColor="accent4"/>
          <w:left w:val="single" w:sz="8" w:space="0" w:color="FDC822" w:themeColor="accent4"/>
          <w:bottom w:val="single" w:sz="8" w:space="0" w:color="FDC822" w:themeColor="accent4"/>
          <w:right w:val="single" w:sz="8" w:space="0" w:color="FDC822" w:themeColor="accent4"/>
          <w:insideH w:val="nil"/>
          <w:insideV w:val="single" w:sz="8" w:space="0" w:color="FDC8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tblStylePr w:type="band1Vert">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shd w:val="clear" w:color="auto" w:fill="FEF1C8" w:themeFill="accent4" w:themeFillTint="3F"/>
      </w:tcPr>
    </w:tblStylePr>
    <w:tblStylePr w:type="band1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insideV w:val="single" w:sz="8" w:space="0" w:color="FDC822" w:themeColor="accent4"/>
        </w:tcBorders>
        <w:shd w:val="clear" w:color="auto" w:fill="FEF1C8" w:themeFill="accent4" w:themeFillTint="3F"/>
      </w:tcPr>
    </w:tblStylePr>
    <w:tblStylePr w:type="band2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insideV w:val="single" w:sz="8" w:space="0" w:color="FDC822" w:themeColor="accent4"/>
        </w:tcBorders>
      </w:tcPr>
    </w:tblStylePr>
  </w:style>
  <w:style w:type="table" w:styleId="MediumGrid2-Accent2">
    <w:name w:val="Medium Grid 2 Accent 2"/>
    <w:basedOn w:val="TableNormal"/>
    <w:uiPriority w:val="68"/>
    <w:rsid w:val="008A475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A74" w:themeColor="accent2"/>
        <w:left w:val="single" w:sz="8" w:space="0" w:color="4E1A74" w:themeColor="accent2"/>
        <w:bottom w:val="single" w:sz="8" w:space="0" w:color="4E1A74" w:themeColor="accent2"/>
        <w:right w:val="single" w:sz="8" w:space="0" w:color="4E1A74" w:themeColor="accent2"/>
        <w:insideH w:val="single" w:sz="8" w:space="0" w:color="4E1A74" w:themeColor="accent2"/>
        <w:insideV w:val="single" w:sz="8" w:space="0" w:color="4E1A74" w:themeColor="accent2"/>
      </w:tblBorders>
    </w:tblPr>
    <w:tcPr>
      <w:shd w:val="clear" w:color="auto" w:fill="D5B4EE" w:themeFill="accent2" w:themeFillTint="3F"/>
    </w:tcPr>
    <w:tblStylePr w:type="firstRow">
      <w:rPr>
        <w:b/>
        <w:bCs/>
        <w:color w:val="000000" w:themeColor="text1"/>
      </w:rPr>
      <w:tblPr/>
      <w:tcPr>
        <w:shd w:val="clear" w:color="auto" w:fill="EEE1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2F1" w:themeFill="accent2" w:themeFillTint="33"/>
      </w:tcPr>
    </w:tblStylePr>
    <w:tblStylePr w:type="band1Vert">
      <w:tblPr/>
      <w:tcPr>
        <w:shd w:val="clear" w:color="auto" w:fill="AC69DD" w:themeFill="accent2" w:themeFillTint="7F"/>
      </w:tcPr>
    </w:tblStylePr>
    <w:tblStylePr w:type="band1Horz">
      <w:tblPr/>
      <w:tcPr>
        <w:tcBorders>
          <w:insideH w:val="single" w:sz="6" w:space="0" w:color="4E1A74" w:themeColor="accent2"/>
          <w:insideV w:val="single" w:sz="6" w:space="0" w:color="4E1A74" w:themeColor="accent2"/>
        </w:tcBorders>
        <w:shd w:val="clear" w:color="auto" w:fill="AC69DD" w:themeFill="accent2" w:themeFillTint="7F"/>
      </w:tcPr>
    </w:tblStylePr>
    <w:tblStylePr w:type="nwCell">
      <w:tblPr/>
      <w:tcPr>
        <w:shd w:val="clear" w:color="auto" w:fill="FFFFFF" w:themeFill="background1"/>
      </w:tcPr>
    </w:tblStylePr>
  </w:style>
  <w:style w:type="table" w:styleId="LightShading-Accent2">
    <w:name w:val="Light Shading Accent 2"/>
    <w:basedOn w:val="TableNormal"/>
    <w:uiPriority w:val="60"/>
    <w:rsid w:val="0019743A"/>
    <w:pPr>
      <w:spacing w:before="0" w:after="0" w:line="240" w:lineRule="auto"/>
    </w:pPr>
    <w:rPr>
      <w:color w:val="3A1356" w:themeColor="accent2" w:themeShade="BF"/>
    </w:rPr>
    <w:tblPr>
      <w:tblStyleRowBandSize w:val="1"/>
      <w:tblStyleColBandSize w:val="1"/>
      <w:tblBorders>
        <w:top w:val="single" w:sz="8" w:space="0" w:color="4E1A74" w:themeColor="accent2"/>
        <w:bottom w:val="single" w:sz="8" w:space="0" w:color="4E1A74" w:themeColor="accent2"/>
      </w:tblBorders>
    </w:tblPr>
    <w:tblStylePr w:type="firstRow">
      <w:pPr>
        <w:spacing w:before="0" w:after="0" w:line="240" w:lineRule="auto"/>
      </w:pPr>
      <w:rPr>
        <w:b/>
        <w:bCs/>
      </w:rPr>
      <w:tblPr/>
      <w:tcPr>
        <w:tcBorders>
          <w:top w:val="single" w:sz="8" w:space="0" w:color="4E1A74" w:themeColor="accent2"/>
          <w:left w:val="nil"/>
          <w:bottom w:val="single" w:sz="8" w:space="0" w:color="4E1A74" w:themeColor="accent2"/>
          <w:right w:val="nil"/>
          <w:insideH w:val="nil"/>
          <w:insideV w:val="nil"/>
        </w:tcBorders>
      </w:tcPr>
    </w:tblStylePr>
    <w:tblStylePr w:type="lastRow">
      <w:pPr>
        <w:spacing w:before="0" w:after="0" w:line="240" w:lineRule="auto"/>
      </w:pPr>
      <w:rPr>
        <w:b/>
        <w:bCs/>
      </w:rPr>
      <w:tblPr/>
      <w:tcPr>
        <w:tcBorders>
          <w:top w:val="single" w:sz="8" w:space="0" w:color="4E1A74" w:themeColor="accent2"/>
          <w:left w:val="nil"/>
          <w:bottom w:val="single" w:sz="8" w:space="0" w:color="4E1A7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4EE" w:themeFill="accent2" w:themeFillTint="3F"/>
      </w:tcPr>
    </w:tblStylePr>
    <w:tblStylePr w:type="band1Horz">
      <w:tblPr/>
      <w:tcPr>
        <w:tcBorders>
          <w:left w:val="nil"/>
          <w:right w:val="nil"/>
          <w:insideH w:val="nil"/>
          <w:insideV w:val="nil"/>
        </w:tcBorders>
        <w:shd w:val="clear" w:color="auto" w:fill="D5B4EE" w:themeFill="accent2" w:themeFillTint="3F"/>
      </w:tcPr>
    </w:tblStylePr>
  </w:style>
  <w:style w:type="table" w:styleId="LightGrid-Accent5">
    <w:name w:val="Light Grid Accent 5"/>
    <w:basedOn w:val="TableNormal"/>
    <w:uiPriority w:val="62"/>
    <w:rsid w:val="00EE08D5"/>
    <w:pPr>
      <w:spacing w:before="0" w:after="0" w:line="240" w:lineRule="auto"/>
    </w:pPr>
    <w:tblPr>
      <w:tblStyleRowBandSize w:val="1"/>
      <w:tblStyleColBandSize w:val="1"/>
      <w:tblBorders>
        <w:top w:val="single" w:sz="8" w:space="0" w:color="CDACD2" w:themeColor="accent5"/>
        <w:left w:val="single" w:sz="8" w:space="0" w:color="CDACD2" w:themeColor="accent5"/>
        <w:bottom w:val="single" w:sz="8" w:space="0" w:color="CDACD2" w:themeColor="accent5"/>
        <w:right w:val="single" w:sz="8" w:space="0" w:color="CDACD2" w:themeColor="accent5"/>
        <w:insideH w:val="single" w:sz="8" w:space="0" w:color="CDACD2" w:themeColor="accent5"/>
        <w:insideV w:val="single" w:sz="8" w:space="0" w:color="CDAC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ACD2" w:themeColor="accent5"/>
          <w:left w:val="single" w:sz="8" w:space="0" w:color="CDACD2" w:themeColor="accent5"/>
          <w:bottom w:val="single" w:sz="18" w:space="0" w:color="CDACD2" w:themeColor="accent5"/>
          <w:right w:val="single" w:sz="8" w:space="0" w:color="CDACD2" w:themeColor="accent5"/>
          <w:insideH w:val="nil"/>
          <w:insideV w:val="single" w:sz="8" w:space="0" w:color="CDACD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ACD2" w:themeColor="accent5"/>
          <w:left w:val="single" w:sz="8" w:space="0" w:color="CDACD2" w:themeColor="accent5"/>
          <w:bottom w:val="single" w:sz="8" w:space="0" w:color="CDACD2" w:themeColor="accent5"/>
          <w:right w:val="single" w:sz="8" w:space="0" w:color="CDACD2" w:themeColor="accent5"/>
          <w:insideH w:val="nil"/>
          <w:insideV w:val="single" w:sz="8" w:space="0" w:color="CDACD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ACD2" w:themeColor="accent5"/>
          <w:left w:val="single" w:sz="8" w:space="0" w:color="CDACD2" w:themeColor="accent5"/>
          <w:bottom w:val="single" w:sz="8" w:space="0" w:color="CDACD2" w:themeColor="accent5"/>
          <w:right w:val="single" w:sz="8" w:space="0" w:color="CDACD2" w:themeColor="accent5"/>
        </w:tcBorders>
      </w:tcPr>
    </w:tblStylePr>
    <w:tblStylePr w:type="band1Vert">
      <w:tblPr/>
      <w:tcPr>
        <w:tcBorders>
          <w:top w:val="single" w:sz="8" w:space="0" w:color="CDACD2" w:themeColor="accent5"/>
          <w:left w:val="single" w:sz="8" w:space="0" w:color="CDACD2" w:themeColor="accent5"/>
          <w:bottom w:val="single" w:sz="8" w:space="0" w:color="CDACD2" w:themeColor="accent5"/>
          <w:right w:val="single" w:sz="8" w:space="0" w:color="CDACD2" w:themeColor="accent5"/>
        </w:tcBorders>
        <w:shd w:val="clear" w:color="auto" w:fill="F2EAF4" w:themeFill="accent5" w:themeFillTint="3F"/>
      </w:tcPr>
    </w:tblStylePr>
    <w:tblStylePr w:type="band1Horz">
      <w:tblPr/>
      <w:tcPr>
        <w:tcBorders>
          <w:top w:val="single" w:sz="8" w:space="0" w:color="CDACD2" w:themeColor="accent5"/>
          <w:left w:val="single" w:sz="8" w:space="0" w:color="CDACD2" w:themeColor="accent5"/>
          <w:bottom w:val="single" w:sz="8" w:space="0" w:color="CDACD2" w:themeColor="accent5"/>
          <w:right w:val="single" w:sz="8" w:space="0" w:color="CDACD2" w:themeColor="accent5"/>
          <w:insideV w:val="single" w:sz="8" w:space="0" w:color="CDACD2" w:themeColor="accent5"/>
        </w:tcBorders>
        <w:shd w:val="clear" w:color="auto" w:fill="F2EAF4" w:themeFill="accent5" w:themeFillTint="3F"/>
      </w:tcPr>
    </w:tblStylePr>
    <w:tblStylePr w:type="band2Horz">
      <w:tblPr/>
      <w:tcPr>
        <w:tcBorders>
          <w:top w:val="single" w:sz="8" w:space="0" w:color="CDACD2" w:themeColor="accent5"/>
          <w:left w:val="single" w:sz="8" w:space="0" w:color="CDACD2" w:themeColor="accent5"/>
          <w:bottom w:val="single" w:sz="8" w:space="0" w:color="CDACD2" w:themeColor="accent5"/>
          <w:right w:val="single" w:sz="8" w:space="0" w:color="CDACD2" w:themeColor="accent5"/>
          <w:insideV w:val="single" w:sz="8" w:space="0" w:color="CDACD2" w:themeColor="accent5"/>
        </w:tcBorders>
      </w:tcPr>
    </w:tblStylePr>
  </w:style>
  <w:style w:type="table" w:styleId="GridTable4-Accent2">
    <w:name w:val="Grid Table 4 Accent 2"/>
    <w:basedOn w:val="TableNormal"/>
    <w:uiPriority w:val="49"/>
    <w:rsid w:val="00325DCE"/>
    <w:pPr>
      <w:spacing w:after="0" w:line="240" w:lineRule="auto"/>
    </w:p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insideV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insideV w:val="nil"/>
        </w:tcBorders>
        <w:shd w:val="clear" w:color="auto" w:fill="4E1A74" w:themeFill="accent2"/>
      </w:tcPr>
    </w:tblStylePr>
    <w:tblStylePr w:type="lastRow">
      <w:rPr>
        <w:b/>
        <w:bCs/>
      </w:rPr>
      <w:tblPr/>
      <w:tcPr>
        <w:tcBorders>
          <w:top w:val="double" w:sz="4" w:space="0" w:color="4E1A74" w:themeColor="accent2"/>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styleId="ListTable4-Accent2">
    <w:name w:val="List Table 4 Accent 2"/>
    <w:basedOn w:val="TableNormal"/>
    <w:uiPriority w:val="49"/>
    <w:rsid w:val="00FA6233"/>
    <w:pPr>
      <w:spacing w:after="0" w:line="240" w:lineRule="auto"/>
    </w:p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tcBorders>
        <w:shd w:val="clear" w:color="auto" w:fill="4E1A74" w:themeFill="accent2"/>
      </w:tcPr>
    </w:tblStylePr>
    <w:tblStylePr w:type="lastRow">
      <w:rPr>
        <w:b/>
        <w:bCs/>
      </w:rPr>
      <w:tblPr/>
      <w:tcPr>
        <w:tcBorders>
          <w:top w:val="double" w:sz="4" w:space="0" w:color="9B4AD6" w:themeColor="accent2" w:themeTint="99"/>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customStyle="1" w:styleId="TableGrid21">
    <w:name w:val="Table Grid21"/>
    <w:basedOn w:val="TableNormal"/>
    <w:next w:val="TableGrid"/>
    <w:rsid w:val="00A90C9F"/>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level1">
    <w:name w:val="Heading numbered level 1"/>
    <w:basedOn w:val="Heading2"/>
    <w:qFormat/>
    <w:rsid w:val="0015028E"/>
    <w:pPr>
      <w:pBdr>
        <w:bottom w:val="single" w:sz="4" w:space="1" w:color="auto"/>
      </w:pBdr>
      <w:tabs>
        <w:tab w:val="clear" w:pos="851"/>
        <w:tab w:val="num" w:pos="737"/>
      </w:tabs>
      <w:spacing w:before="480" w:after="240" w:line="264" w:lineRule="auto"/>
      <w:ind w:left="737" w:hanging="737"/>
    </w:pPr>
    <w:rPr>
      <w:rFonts w:eastAsiaTheme="majorEastAsia"/>
      <w:snapToGrid/>
      <w:szCs w:val="24"/>
    </w:rPr>
  </w:style>
  <w:style w:type="paragraph" w:styleId="NormalWeb">
    <w:name w:val="Normal (Web)"/>
    <w:basedOn w:val="Normal"/>
    <w:uiPriority w:val="99"/>
    <w:semiHidden/>
    <w:unhideWhenUsed/>
    <w:rsid w:val="00CD361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enericARPANSA41">
    <w:name w:val="Generic ARPANSA 41"/>
    <w:basedOn w:val="TableNormal"/>
    <w:uiPriority w:val="99"/>
    <w:rsid w:val="00182FFE"/>
    <w:pPr>
      <w:spacing w:before="0" w:after="60" w:line="240" w:lineRule="auto"/>
      <w:jc w:val="center"/>
    </w:pPr>
    <w:rPr>
      <w:rFonts w:eastAsiaTheme="minorHAnsi"/>
      <w:color w:val="444444"/>
    </w:rPr>
    <w:tblPr>
      <w:tblStyleRowBandSize w:val="1"/>
      <w:tblStyleCol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styleId="PlainText">
    <w:name w:val="Plain Text"/>
    <w:basedOn w:val="Normal"/>
    <w:link w:val="PlainTextChar"/>
    <w:uiPriority w:val="99"/>
    <w:unhideWhenUsed/>
    <w:rsid w:val="00EF4C45"/>
    <w:pPr>
      <w:spacing w:before="0" w:after="0" w:line="240" w:lineRule="auto"/>
    </w:pPr>
    <w:rPr>
      <w:rFonts w:ascii="Courier New" w:eastAsiaTheme="minorHAnsi" w:hAnsi="Courier New" w:cs="Courier New"/>
      <w:lang w:eastAsia="en-AU"/>
    </w:rPr>
  </w:style>
  <w:style w:type="character" w:customStyle="1" w:styleId="PlainTextChar">
    <w:name w:val="Plain Text Char"/>
    <w:basedOn w:val="DefaultParagraphFont"/>
    <w:link w:val="PlainText"/>
    <w:uiPriority w:val="99"/>
    <w:rsid w:val="00EF4C45"/>
    <w:rPr>
      <w:rFonts w:ascii="Courier New" w:eastAsiaTheme="minorHAnsi" w:hAnsi="Courier New" w:cs="Courier New"/>
      <w:sz w:val="20"/>
      <w:szCs w:val="20"/>
      <w:lang w:eastAsia="en-AU"/>
    </w:rPr>
  </w:style>
  <w:style w:type="paragraph" w:customStyle="1" w:styleId="IAEATableHeading">
    <w:name w:val="IAEA Table Heading"/>
    <w:basedOn w:val="BodyText"/>
    <w:next w:val="BodyText"/>
    <w:rsid w:val="004C0AAC"/>
    <w:pPr>
      <w:keepNext/>
      <w:keepLines/>
      <w:spacing w:before="0" w:line="240" w:lineRule="auto"/>
    </w:pPr>
    <w:rPr>
      <w:rFonts w:ascii="Times New Roman" w:eastAsia="Times New Roman" w:hAnsi="Times New Roman" w:cs="Times New Roman"/>
      <w:sz w:val="24"/>
      <w:szCs w:val="20"/>
      <w:lang w:val="en-US"/>
    </w:rPr>
  </w:style>
  <w:style w:type="paragraph" w:customStyle="1" w:styleId="BodyTextList">
    <w:name w:val="Body Text List"/>
    <w:basedOn w:val="BodyText"/>
    <w:rsid w:val="004C0AAC"/>
    <w:pPr>
      <w:overflowPunct w:val="0"/>
      <w:autoSpaceDE w:val="0"/>
      <w:autoSpaceDN w:val="0"/>
      <w:adjustRightInd w:val="0"/>
      <w:spacing w:before="0" w:after="0" w:line="240" w:lineRule="auto"/>
      <w:ind w:left="567"/>
      <w:jc w:val="both"/>
      <w:textAlignment w:val="baseline"/>
    </w:pPr>
    <w:rPr>
      <w:rFonts w:ascii="Times New Roman" w:eastAsia="Times New Roman" w:hAnsi="Times New Roman" w:cs="Times New Roman"/>
      <w:noProof/>
      <w:sz w:val="24"/>
      <w:szCs w:val="20"/>
      <w:lang w:val="en-GB"/>
    </w:rPr>
  </w:style>
  <w:style w:type="table" w:customStyle="1" w:styleId="TableGrid4">
    <w:name w:val="Table Grid4"/>
    <w:basedOn w:val="TableNormal"/>
    <w:next w:val="TableGrid"/>
    <w:rsid w:val="004C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2">
    <w:name w:val="List Table 2 Accent 2"/>
    <w:basedOn w:val="TableNormal"/>
    <w:uiPriority w:val="47"/>
    <w:rsid w:val="006946FF"/>
    <w:pPr>
      <w:spacing w:after="0" w:line="240" w:lineRule="auto"/>
    </w:pPr>
    <w:tblPr>
      <w:tblStyleRowBandSize w:val="1"/>
      <w:tblStyleColBandSize w:val="1"/>
      <w:tblBorders>
        <w:top w:val="single" w:sz="4" w:space="0" w:color="9B4AD6" w:themeColor="accent2" w:themeTint="99"/>
        <w:bottom w:val="single" w:sz="4" w:space="0" w:color="9B4AD6" w:themeColor="accent2" w:themeTint="99"/>
        <w:insideH w:val="single" w:sz="4" w:space="0" w:color="9B4A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customStyle="1" w:styleId="GenericARPANSA3">
    <w:name w:val="Generic ARPANSA 3"/>
    <w:basedOn w:val="TableNormal"/>
    <w:uiPriority w:val="99"/>
    <w:rsid w:val="00001DE3"/>
    <w:pPr>
      <w:spacing w:before="0" w:after="60" w:line="240" w:lineRule="auto"/>
      <w:jc w:val="center"/>
    </w:pPr>
    <w:rPr>
      <w:rFonts w:eastAsiaTheme="minorHAnsi"/>
      <w:color w:val="444444"/>
    </w:rPr>
    <w:tblPr>
      <w:tblStyleRowBandSize w:val="1"/>
      <w:tblBorders>
        <w:top w:val="single" w:sz="4" w:space="0" w:color="444448" w:themeColor="text2"/>
        <w:left w:val="single" w:sz="4" w:space="0" w:color="444448" w:themeColor="text2"/>
        <w:bottom w:val="single" w:sz="4" w:space="0" w:color="444448" w:themeColor="text2"/>
        <w:right w:val="single" w:sz="4" w:space="0" w:color="444448" w:themeColor="text2"/>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44448" w:themeColor="text2"/>
          <w:left w:val="single" w:sz="4" w:space="0" w:color="444448" w:themeColor="text2"/>
          <w:bottom w:val="single" w:sz="4" w:space="0" w:color="444448" w:themeColor="text2"/>
          <w:right w:val="single" w:sz="4" w:space="0" w:color="444448"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ListTable2-Accent21">
    <w:name w:val="List Table 2 - Accent 21"/>
    <w:basedOn w:val="TableNormal"/>
    <w:next w:val="ListTable2-Accent2"/>
    <w:uiPriority w:val="47"/>
    <w:rsid w:val="00D1746F"/>
    <w:pPr>
      <w:spacing w:after="0" w:line="240" w:lineRule="auto"/>
    </w:pPr>
    <w:tblPr>
      <w:tblStyleRowBandSize w:val="1"/>
      <w:tblStyleColBandSize w:val="1"/>
      <w:tblBorders>
        <w:top w:val="single" w:sz="4" w:space="0" w:color="9B4AD6" w:themeColor="accent2" w:themeTint="99"/>
        <w:bottom w:val="single" w:sz="4" w:space="0" w:color="9B4AD6" w:themeColor="accent2" w:themeTint="99"/>
        <w:insideH w:val="single" w:sz="4" w:space="0" w:color="9B4A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customStyle="1" w:styleId="ListTable2-Accent211">
    <w:name w:val="List Table 2 - Accent 211"/>
    <w:basedOn w:val="TableNormal"/>
    <w:next w:val="ListTable2-Accent2"/>
    <w:uiPriority w:val="47"/>
    <w:rsid w:val="000D7046"/>
    <w:pPr>
      <w:spacing w:after="0" w:line="240" w:lineRule="auto"/>
    </w:pPr>
    <w:tblPr>
      <w:tblStyleRowBandSize w:val="1"/>
      <w:tblStyleColBandSize w:val="1"/>
      <w:tblBorders>
        <w:top w:val="single" w:sz="4" w:space="0" w:color="9B4AD6" w:themeColor="accent2" w:themeTint="99"/>
        <w:bottom w:val="single" w:sz="4" w:space="0" w:color="9B4AD6" w:themeColor="accent2" w:themeTint="99"/>
        <w:insideH w:val="single" w:sz="4" w:space="0" w:color="9B4A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customStyle="1" w:styleId="ListTable2-Accent2111">
    <w:name w:val="List Table 2 - Accent 2111"/>
    <w:basedOn w:val="TableNormal"/>
    <w:next w:val="ListTable2-Accent2"/>
    <w:uiPriority w:val="47"/>
    <w:rsid w:val="00EF1689"/>
    <w:pPr>
      <w:spacing w:after="0" w:line="240" w:lineRule="auto"/>
    </w:pPr>
    <w:tblPr>
      <w:tblStyleRowBandSize w:val="1"/>
      <w:tblStyleColBandSize w:val="1"/>
      <w:tblBorders>
        <w:top w:val="single" w:sz="4" w:space="0" w:color="9B4AD6" w:themeColor="accent2" w:themeTint="99"/>
        <w:bottom w:val="single" w:sz="4" w:space="0" w:color="9B4AD6" w:themeColor="accent2" w:themeTint="99"/>
        <w:insideH w:val="single" w:sz="4" w:space="0" w:color="9B4A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paragraph" w:styleId="EndnoteText">
    <w:name w:val="endnote text"/>
    <w:basedOn w:val="Normal"/>
    <w:link w:val="EndnoteTextChar"/>
    <w:uiPriority w:val="99"/>
    <w:semiHidden/>
    <w:unhideWhenUsed/>
    <w:rsid w:val="00BF642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F642C"/>
    <w:rPr>
      <w:sz w:val="20"/>
      <w:szCs w:val="20"/>
    </w:rPr>
  </w:style>
  <w:style w:type="character" w:styleId="EndnoteReference">
    <w:name w:val="endnote reference"/>
    <w:basedOn w:val="DefaultParagraphFont"/>
    <w:uiPriority w:val="99"/>
    <w:semiHidden/>
    <w:unhideWhenUsed/>
    <w:rsid w:val="00BF642C"/>
    <w:rPr>
      <w:vertAlign w:val="superscript"/>
    </w:rPr>
  </w:style>
  <w:style w:type="character" w:styleId="UnresolvedMention">
    <w:name w:val="Unresolved Mention"/>
    <w:basedOn w:val="DefaultParagraphFont"/>
    <w:uiPriority w:val="99"/>
    <w:semiHidden/>
    <w:unhideWhenUsed/>
    <w:rsid w:val="00BB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4331">
      <w:bodyDiv w:val="1"/>
      <w:marLeft w:val="0"/>
      <w:marRight w:val="0"/>
      <w:marTop w:val="0"/>
      <w:marBottom w:val="0"/>
      <w:divBdr>
        <w:top w:val="none" w:sz="0" w:space="0" w:color="auto"/>
        <w:left w:val="none" w:sz="0" w:space="0" w:color="auto"/>
        <w:bottom w:val="none" w:sz="0" w:space="0" w:color="auto"/>
        <w:right w:val="none" w:sz="0" w:space="0" w:color="auto"/>
      </w:divBdr>
    </w:div>
    <w:div w:id="334114711">
      <w:bodyDiv w:val="1"/>
      <w:marLeft w:val="0"/>
      <w:marRight w:val="0"/>
      <w:marTop w:val="0"/>
      <w:marBottom w:val="0"/>
      <w:divBdr>
        <w:top w:val="none" w:sz="0" w:space="0" w:color="auto"/>
        <w:left w:val="none" w:sz="0" w:space="0" w:color="auto"/>
        <w:bottom w:val="none" w:sz="0" w:space="0" w:color="auto"/>
        <w:right w:val="none" w:sz="0" w:space="0" w:color="auto"/>
      </w:divBdr>
    </w:div>
    <w:div w:id="560096847">
      <w:bodyDiv w:val="1"/>
      <w:marLeft w:val="0"/>
      <w:marRight w:val="0"/>
      <w:marTop w:val="0"/>
      <w:marBottom w:val="0"/>
      <w:divBdr>
        <w:top w:val="none" w:sz="0" w:space="0" w:color="auto"/>
        <w:left w:val="none" w:sz="0" w:space="0" w:color="auto"/>
        <w:bottom w:val="none" w:sz="0" w:space="0" w:color="auto"/>
        <w:right w:val="none" w:sz="0" w:space="0" w:color="auto"/>
      </w:divBdr>
    </w:div>
    <w:div w:id="587885064">
      <w:bodyDiv w:val="1"/>
      <w:marLeft w:val="0"/>
      <w:marRight w:val="0"/>
      <w:marTop w:val="0"/>
      <w:marBottom w:val="0"/>
      <w:divBdr>
        <w:top w:val="none" w:sz="0" w:space="0" w:color="auto"/>
        <w:left w:val="none" w:sz="0" w:space="0" w:color="auto"/>
        <w:bottom w:val="none" w:sz="0" w:space="0" w:color="auto"/>
        <w:right w:val="none" w:sz="0" w:space="0" w:color="auto"/>
      </w:divBdr>
    </w:div>
    <w:div w:id="1118765895">
      <w:bodyDiv w:val="1"/>
      <w:marLeft w:val="0"/>
      <w:marRight w:val="0"/>
      <w:marTop w:val="0"/>
      <w:marBottom w:val="0"/>
      <w:divBdr>
        <w:top w:val="none" w:sz="0" w:space="0" w:color="auto"/>
        <w:left w:val="none" w:sz="0" w:space="0" w:color="auto"/>
        <w:bottom w:val="none" w:sz="0" w:space="0" w:color="auto"/>
        <w:right w:val="none" w:sz="0" w:space="0" w:color="auto"/>
      </w:divBdr>
    </w:div>
    <w:div w:id="1585529920">
      <w:bodyDiv w:val="1"/>
      <w:marLeft w:val="0"/>
      <w:marRight w:val="0"/>
      <w:marTop w:val="0"/>
      <w:marBottom w:val="0"/>
      <w:divBdr>
        <w:top w:val="none" w:sz="0" w:space="0" w:color="auto"/>
        <w:left w:val="none" w:sz="0" w:space="0" w:color="auto"/>
        <w:bottom w:val="none" w:sz="0" w:space="0" w:color="auto"/>
        <w:right w:val="none" w:sz="0" w:space="0" w:color="auto"/>
      </w:divBdr>
    </w:div>
    <w:div w:id="1761683741">
      <w:bodyDiv w:val="1"/>
      <w:marLeft w:val="0"/>
      <w:marRight w:val="0"/>
      <w:marTop w:val="0"/>
      <w:marBottom w:val="0"/>
      <w:divBdr>
        <w:top w:val="none" w:sz="0" w:space="0" w:color="auto"/>
        <w:left w:val="none" w:sz="0" w:space="0" w:color="auto"/>
        <w:bottom w:val="none" w:sz="0" w:space="0" w:color="auto"/>
        <w:right w:val="none" w:sz="0" w:space="0" w:color="auto"/>
      </w:divBdr>
    </w:div>
    <w:div w:id="1833136849">
      <w:bodyDiv w:val="1"/>
      <w:marLeft w:val="0"/>
      <w:marRight w:val="0"/>
      <w:marTop w:val="0"/>
      <w:marBottom w:val="0"/>
      <w:divBdr>
        <w:top w:val="none" w:sz="0" w:space="0" w:color="auto"/>
        <w:left w:val="none" w:sz="0" w:space="0" w:color="auto"/>
        <w:bottom w:val="none" w:sz="0" w:space="0" w:color="auto"/>
        <w:right w:val="none" w:sz="0" w:space="0" w:color="auto"/>
      </w:divBdr>
    </w:div>
    <w:div w:id="1946422485">
      <w:bodyDiv w:val="1"/>
      <w:marLeft w:val="0"/>
      <w:marRight w:val="0"/>
      <w:marTop w:val="0"/>
      <w:marBottom w:val="0"/>
      <w:divBdr>
        <w:top w:val="none" w:sz="0" w:space="0" w:color="auto"/>
        <w:left w:val="none" w:sz="0" w:space="0" w:color="auto"/>
        <w:bottom w:val="none" w:sz="0" w:space="0" w:color="auto"/>
        <w:right w:val="none" w:sz="0" w:space="0" w:color="auto"/>
      </w:divBdr>
    </w:div>
    <w:div w:id="1961953096">
      <w:bodyDiv w:val="1"/>
      <w:marLeft w:val="0"/>
      <w:marRight w:val="0"/>
      <w:marTop w:val="0"/>
      <w:marBottom w:val="0"/>
      <w:divBdr>
        <w:top w:val="none" w:sz="0" w:space="0" w:color="auto"/>
        <w:left w:val="none" w:sz="0" w:space="0" w:color="auto"/>
        <w:bottom w:val="none" w:sz="0" w:space="0" w:color="auto"/>
        <w:right w:val="none" w:sz="0" w:space="0" w:color="auto"/>
      </w:divBdr>
    </w:div>
    <w:div w:id="19883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iaea.org/MTCD/publications/PDF/Pub1713web-70795870.pdf" TargetMode="External"/><Relationship Id="rId18" Type="http://schemas.openxmlformats.org/officeDocument/2006/relationships/hyperlink" Target="http://isaac.arpansa.local/Governance/Accountable_Authority_Instructions/Pages/Conflicts-Of-Interest.aspx" TargetMode="External"/><Relationship Id="rId26" Type="http://schemas.openxmlformats.org/officeDocument/2006/relationships/hyperlink" Target="file:///C:\Users\harrid\OneDrive%20-%20ARPANSA\Desktop\IAEA%20publications\GSR%20Part%202.pdf" TargetMode="External"/><Relationship Id="rId39" Type="http://schemas.openxmlformats.org/officeDocument/2006/relationships/hyperlink" Target="http://isaac.arpansa.local/InternalServices/OHS/Pages/default.aspx" TargetMode="External"/><Relationship Id="rId21" Type="http://schemas.openxmlformats.org/officeDocument/2006/relationships/hyperlink" Target="https://www.arpansa.gov.au/sites/default/files/arpansa-gde-1735web.pdf" TargetMode="External"/><Relationship Id="rId34" Type="http://schemas.openxmlformats.org/officeDocument/2006/relationships/hyperlink" Target="trim://R08%2f13570?db=VP&amp;edit" TargetMode="External"/><Relationship Id="rId42" Type="http://schemas.openxmlformats.org/officeDocument/2006/relationships/hyperlink" Target="https://www.safeworkaustralia.gov.au/remote-wo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ic-hprm01/EasyLink/?ARPANSA-GDE-1765%3fdb%3dVP%26view" TargetMode="External"/><Relationship Id="rId29" Type="http://schemas.openxmlformats.org/officeDocument/2006/relationships/hyperlink" Target="http://www.onr.org.uk/operational/tech_asst_guide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sites/default/files/arpansa-reg-com-man-270w_compliance_enforcement_manual.pdf" TargetMode="External"/><Relationship Id="rId24" Type="http://schemas.openxmlformats.org/officeDocument/2006/relationships/hyperlink" Target="https://www-pub.iaea.org/MTCD/Publications/PDF/P1804_web.pdf" TargetMode="External"/><Relationship Id="rId32" Type="http://schemas.openxmlformats.org/officeDocument/2006/relationships/footer" Target="footer3.xml"/><Relationship Id="rId37" Type="http://schemas.openxmlformats.org/officeDocument/2006/relationships/hyperlink" Target="trim://R15%2f08485?db=VP&amp;edit" TargetMode="External"/><Relationship Id="rId40" Type="http://schemas.openxmlformats.org/officeDocument/2006/relationships/hyperlink" Target="http://isaac.arpansa.local/DocumentCentre/ARPANSADocuments/WHS%20Travel%20Procedure.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ub.iaea.org/MTCD/Publications/PDF/P1804_web.pdf" TargetMode="External"/><Relationship Id="rId23" Type="http://schemas.openxmlformats.org/officeDocument/2006/relationships/hyperlink" Target="https://www-pub.iaea.org/MTCD/Publications/PDF/P1801_web.pdf" TargetMode="External"/><Relationship Id="rId28" Type="http://schemas.openxmlformats.org/officeDocument/2006/relationships/hyperlink" Target="https://www-pub.iaea.org/MTCD/Publications/PDF/te_1526_web.pdf" TargetMode="External"/><Relationship Id="rId36" Type="http://schemas.openxmlformats.org/officeDocument/2006/relationships/hyperlink" Target="trim://R08%2f13571?db=VP&amp;edit" TargetMode="External"/><Relationship Id="rId10" Type="http://schemas.openxmlformats.org/officeDocument/2006/relationships/hyperlink" Target="https://www.arpansa.gov.au/sites/default/files/arpansa-gde-1118web.pdf" TargetMode="External"/><Relationship Id="rId19" Type="http://schemas.openxmlformats.org/officeDocument/2006/relationships/hyperlink" Target="https://www.arpansa.gov.au/regulation-and-licensing/licensing/information-for-licence-holders/regulatory-guides" TargetMode="External"/><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arpansa.gov.au/about-us/our-policies/regulatory-activity-policies" TargetMode="External"/><Relationship Id="rId14" Type="http://schemas.openxmlformats.org/officeDocument/2006/relationships/hyperlink" Target="https://www-pub.iaea.org/MTCD/Publications/PDF/Pub1578_web-57265295.pdf" TargetMode="External"/><Relationship Id="rId22" Type="http://schemas.openxmlformats.org/officeDocument/2006/relationships/hyperlink" Target="trim://R10%2f05424?db=VP&amp;edit" TargetMode="External"/><Relationship Id="rId27" Type="http://schemas.openxmlformats.org/officeDocument/2006/relationships/hyperlink" Target="https://www.iaea.org/publications/14779/notification-authorization-inspection-and-enforcement-for-the-safety-and-security-of-radiation-sources" TargetMode="External"/><Relationship Id="rId30" Type="http://schemas.openxmlformats.org/officeDocument/2006/relationships/footer" Target="footer1.xml"/><Relationship Id="rId35" Type="http://schemas.openxmlformats.org/officeDocument/2006/relationships/hyperlink" Target="el://ARPANSA-GDE-1117?db=VP&amp;view" TargetMode="External"/><Relationship Id="rId43" Type="http://schemas.openxmlformats.org/officeDocument/2006/relationships/hyperlink" Target="https://www.arpansa.gov.au/sites/default/files/arpansa-reg-com-man-270w_compliance_enforcement_manual.pdf" TargetMode="Externa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s://www.arpansa.gov.au/regulation-and-licensing/regulation/regulatory-integrity/policy-arpansas-regulatory-activities" TargetMode="External"/><Relationship Id="rId17" Type="http://schemas.openxmlformats.org/officeDocument/2006/relationships/hyperlink" Target="http://www.apsc.gov.au/publications-and-media/current-publications/aps-values-and-code-of-conduct-in-practice" TargetMode="External"/><Relationship Id="rId25" Type="http://schemas.openxmlformats.org/officeDocument/2006/relationships/hyperlink" Target="https://www-pub.iaea.org/MTCD/Publications/PDF/Pub1750web.pdf" TargetMode="External"/><Relationship Id="rId33" Type="http://schemas.openxmlformats.org/officeDocument/2006/relationships/hyperlink" Target="mailto:$ARPANSARecords@arpansa.gov.au" TargetMode="External"/><Relationship Id="rId38" Type="http://schemas.openxmlformats.org/officeDocument/2006/relationships/hyperlink" Target="https://isaac-arpansaonline.msappproxy.net/sites/teams/Arpansa_Integrated_Management_System/Lists/Issue%20Manangement%20Register/AllItems.aspx" TargetMode="External"/><Relationship Id="rId46" Type="http://schemas.openxmlformats.org/officeDocument/2006/relationships/theme" Target="theme/theme1.xml"/><Relationship Id="rId20" Type="http://schemas.openxmlformats.org/officeDocument/2006/relationships/hyperlink" Target="https://www.arpansa.gov.au/regulation-and-licensing/licensing/information-for-licence-holders/regulatory-guides" TargetMode="External"/><Relationship Id="rId41" Type="http://schemas.openxmlformats.org/officeDocument/2006/relationships/hyperlink" Target="https://www.comcare.gov.au/Forms_and_Publications/publications/services/safety_and_prevention/safety_and_prevention/guide_to_remote_or_isolated_work"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RPANSA Brand">
      <a:dk1>
        <a:sysClr val="windowText" lastClr="000000"/>
      </a:dk1>
      <a:lt1>
        <a:sysClr val="window" lastClr="FFFFFF"/>
      </a:lt1>
      <a:dk2>
        <a:srgbClr val="444448"/>
      </a:dk2>
      <a:lt2>
        <a:srgbClr val="EEECE1"/>
      </a:lt2>
      <a:accent1>
        <a:srgbClr val="2B992B"/>
      </a:accent1>
      <a:accent2>
        <a:srgbClr val="4E1A74"/>
      </a:accent2>
      <a:accent3>
        <a:srgbClr val="B6C900"/>
      </a:accent3>
      <a:accent4>
        <a:srgbClr val="FDC822"/>
      </a:accent4>
      <a:accent5>
        <a:srgbClr val="CDACD2"/>
      </a:accent5>
      <a:accent6>
        <a:srgbClr val="EE743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FE4-AA9A-46D7-8DD1-229F29F3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9541</Words>
  <Characters>54385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2023-05-05T04:38:00Z</dcterms:created>
  <dcterms:modified xsi:type="dcterms:W3CDTF">2023-05-05T04:38:00Z</dcterms:modified>
</cp:coreProperties>
</file>