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5F1B" w14:textId="77777777" w:rsidR="000824BA" w:rsidRDefault="000824BA" w:rsidP="0054455D"/>
    <w:p w14:paraId="19EE6C79" w14:textId="77777777" w:rsidR="000824BA" w:rsidRDefault="000824BA" w:rsidP="000824BA">
      <w:pPr>
        <w:pStyle w:val="Title"/>
      </w:pPr>
      <w:r>
        <w:t>Cost Recovery Implementation Statement</w:t>
      </w:r>
    </w:p>
    <w:p w14:paraId="6AC41361" w14:textId="77777777" w:rsidR="000824BA" w:rsidRDefault="00CD41F0" w:rsidP="00C12DAC">
      <w:pPr>
        <w:pStyle w:val="Heading1"/>
        <w:jc w:val="center"/>
      </w:pPr>
      <w:r>
        <w:t xml:space="preserve">Activity: </w:t>
      </w:r>
      <w:r w:rsidRPr="00CD41F0">
        <w:t>Import and export permits for medical and non-medical radioactive sources</w:t>
      </w:r>
    </w:p>
    <w:p w14:paraId="7F285DA1" w14:textId="1A8BEEDC" w:rsidR="000824BA" w:rsidRPr="00B45D3E" w:rsidRDefault="005530FC" w:rsidP="00C12DAC">
      <w:pPr>
        <w:pStyle w:val="Heading1"/>
        <w:jc w:val="center"/>
        <w:rPr>
          <w:sz w:val="52"/>
          <w:szCs w:val="52"/>
        </w:rPr>
      </w:pPr>
      <w:r>
        <w:rPr>
          <w:sz w:val="52"/>
          <w:szCs w:val="52"/>
        </w:rPr>
        <w:t>202</w:t>
      </w:r>
      <w:r w:rsidR="0072541A">
        <w:rPr>
          <w:sz w:val="52"/>
          <w:szCs w:val="52"/>
        </w:rPr>
        <w:t>3</w:t>
      </w:r>
      <w:r>
        <w:rPr>
          <w:sz w:val="52"/>
          <w:szCs w:val="52"/>
        </w:rPr>
        <w:t>-2</w:t>
      </w:r>
      <w:r w:rsidR="0072541A">
        <w:rPr>
          <w:sz w:val="52"/>
          <w:szCs w:val="52"/>
        </w:rPr>
        <w:t>4</w:t>
      </w:r>
    </w:p>
    <w:p w14:paraId="399771F5" w14:textId="531C7E80" w:rsidR="00603AA9" w:rsidRPr="007F19AC" w:rsidRDefault="00603AA9" w:rsidP="00842DD6">
      <w:r w:rsidRPr="007F19AC">
        <w:t xml:space="preserve">Cost </w:t>
      </w:r>
      <w:r>
        <w:t>r</w:t>
      </w:r>
      <w:r w:rsidRPr="007F19AC">
        <w:t xml:space="preserve">ecovery involves government entities charging individuals or non-government organisations some or </w:t>
      </w:r>
      <w:r w:rsidR="00554D96" w:rsidRPr="007F19AC">
        <w:t>all</w:t>
      </w:r>
      <w:r w:rsidRPr="007F19AC">
        <w:t xml:space="preserve"> the efficient costs of a specific government activity. This may include goods, services or regu</w:t>
      </w:r>
      <w:r>
        <w:t>lation, or a combination of these</w:t>
      </w:r>
      <w:r w:rsidRPr="007F19AC">
        <w:t>. The Australian Government Cost Recovery Guidelines (the CRGs)</w:t>
      </w:r>
      <w:r w:rsidRPr="007F19AC">
        <w:rPr>
          <w:rStyle w:val="FootnoteReference"/>
          <w:rFonts w:cs="Arial"/>
        </w:rPr>
        <w:footnoteReference w:id="1"/>
      </w:r>
      <w:r w:rsidRPr="007F19AC">
        <w:rPr>
          <w:vertAlign w:val="superscript"/>
        </w:rPr>
        <w:t xml:space="preserve"> </w:t>
      </w:r>
      <w:r w:rsidRPr="007F19AC">
        <w:t>set out the overarching framework under which government entities design, implement and review cost</w:t>
      </w:r>
      <w:r>
        <w:t>-</w:t>
      </w:r>
      <w:r w:rsidRPr="007F19AC">
        <w:t>recovered activities.</w:t>
      </w:r>
    </w:p>
    <w:p w14:paraId="160C03A5" w14:textId="67871A66" w:rsidR="00603AA9" w:rsidRDefault="00603AA9"/>
    <w:p w14:paraId="450C97D1" w14:textId="0D0E8335" w:rsidR="00603AA9" w:rsidRDefault="00603AA9">
      <w:r>
        <w:br w:type="page"/>
      </w:r>
    </w:p>
    <w:p w14:paraId="33E35744" w14:textId="77777777" w:rsidR="00CD41F0" w:rsidRPr="005C24C6" w:rsidRDefault="00CD41F0" w:rsidP="00AB0D38">
      <w:pPr>
        <w:pStyle w:val="Heading2"/>
        <w:numPr>
          <w:ilvl w:val="0"/>
          <w:numId w:val="4"/>
        </w:numPr>
      </w:pPr>
      <w:r w:rsidRPr="005C24C6">
        <w:lastRenderedPageBreak/>
        <w:t>Introduction</w:t>
      </w:r>
    </w:p>
    <w:p w14:paraId="3397A372" w14:textId="77777777" w:rsidR="005C24C6" w:rsidRDefault="005C24C6" w:rsidP="00A6180F">
      <w:pPr>
        <w:pStyle w:val="Heading3"/>
        <w:numPr>
          <w:ilvl w:val="1"/>
          <w:numId w:val="5"/>
        </w:numPr>
        <w:ind w:left="426"/>
      </w:pPr>
      <w:r>
        <w:t>Purpose</w:t>
      </w:r>
    </w:p>
    <w:p w14:paraId="5B661ACA" w14:textId="39967850" w:rsidR="00CD41F0" w:rsidRDefault="00CD41F0" w:rsidP="00CD41F0">
      <w:pPr>
        <w:rPr>
          <w:rFonts w:cs="Times New Roman"/>
          <w:iCs/>
        </w:rPr>
      </w:pPr>
      <w:r>
        <w:t xml:space="preserve">This Cost Recovery Implementation Statement (CRIS) provides information </w:t>
      </w:r>
      <w:r w:rsidRPr="00AB20F0">
        <w:rPr>
          <w:rFonts w:cs="Times New Roman"/>
          <w:iCs/>
        </w:rPr>
        <w:t xml:space="preserve">on how </w:t>
      </w:r>
      <w:r>
        <w:rPr>
          <w:rFonts w:cs="Times New Roman"/>
        </w:rPr>
        <w:t>the Australian Radiation Protection and Nuclear Safety Agency (ARPANSA)</w:t>
      </w:r>
      <w:r w:rsidRPr="00AB20F0">
        <w:rPr>
          <w:rFonts w:cs="Times New Roman"/>
          <w:iCs/>
        </w:rPr>
        <w:t xml:space="preserve"> implements cost recovery for </w:t>
      </w:r>
      <w:r w:rsidR="00275CBA">
        <w:rPr>
          <w:rFonts w:cs="Times New Roman"/>
          <w:iCs/>
        </w:rPr>
        <w:t>i</w:t>
      </w:r>
      <w:r w:rsidR="005C24C6">
        <w:rPr>
          <w:rFonts w:cs="Times New Roman"/>
          <w:iCs/>
        </w:rPr>
        <w:t>mport and export permits of</w:t>
      </w:r>
      <w:r w:rsidR="00275CBA" w:rsidRPr="00275CBA">
        <w:rPr>
          <w:rFonts w:cs="Times New Roman"/>
          <w:iCs/>
        </w:rPr>
        <w:t xml:space="preserve"> medical and non-medical radioactive sources</w:t>
      </w:r>
      <w:r w:rsidR="00275CBA">
        <w:rPr>
          <w:rFonts w:cs="Times New Roman"/>
          <w:iCs/>
        </w:rPr>
        <w:t xml:space="preserve"> (permits)</w:t>
      </w:r>
      <w:r w:rsidRPr="00AB20F0">
        <w:rPr>
          <w:rFonts w:cs="Times New Roman"/>
          <w:iCs/>
        </w:rPr>
        <w:t>. It also reports financial and non-financial performance</w:t>
      </w:r>
      <w:r>
        <w:rPr>
          <w:rFonts w:cs="Times New Roman"/>
          <w:iCs/>
        </w:rPr>
        <w:t xml:space="preserve"> information</w:t>
      </w:r>
      <w:r w:rsidRPr="00AB20F0">
        <w:rPr>
          <w:rFonts w:cs="Times New Roman"/>
          <w:iCs/>
        </w:rPr>
        <w:t xml:space="preserve"> for </w:t>
      </w:r>
      <w:r w:rsidR="00275CBA">
        <w:rPr>
          <w:rFonts w:cs="Times New Roman"/>
          <w:iCs/>
        </w:rPr>
        <w:t>permits</w:t>
      </w:r>
      <w:r w:rsidRPr="00AB20F0">
        <w:rPr>
          <w:rFonts w:cs="Times New Roman"/>
          <w:i/>
          <w:color w:val="3275CB" w:themeColor="text1" w:themeTint="A6"/>
        </w:rPr>
        <w:t xml:space="preserve"> </w:t>
      </w:r>
      <w:r w:rsidRPr="00AB20F0">
        <w:rPr>
          <w:rFonts w:cs="Times New Roman"/>
          <w:iCs/>
        </w:rPr>
        <w:t xml:space="preserve">and contains financial forecasts for </w:t>
      </w:r>
      <w:r w:rsidR="00DC3AD0">
        <w:rPr>
          <w:rFonts w:cs="Times New Roman"/>
        </w:rPr>
        <w:t>20</w:t>
      </w:r>
      <w:r w:rsidR="009F3DCE">
        <w:rPr>
          <w:rFonts w:cs="Times New Roman"/>
        </w:rPr>
        <w:t>2</w:t>
      </w:r>
      <w:r w:rsidR="004231FA">
        <w:rPr>
          <w:rFonts w:cs="Times New Roman"/>
        </w:rPr>
        <w:t>3</w:t>
      </w:r>
      <w:r w:rsidR="00DC3AD0">
        <w:rPr>
          <w:rFonts w:cs="Times New Roman"/>
        </w:rPr>
        <w:t>-</w:t>
      </w:r>
      <w:r w:rsidR="009F3DCE">
        <w:rPr>
          <w:rFonts w:cs="Times New Roman"/>
        </w:rPr>
        <w:t>2</w:t>
      </w:r>
      <w:r w:rsidR="004231FA">
        <w:rPr>
          <w:rFonts w:cs="Times New Roman"/>
        </w:rPr>
        <w:t>4</w:t>
      </w:r>
      <w:r w:rsidRPr="00AB20F0">
        <w:rPr>
          <w:rFonts w:cs="Times New Roman"/>
          <w:iCs/>
        </w:rPr>
        <w:t xml:space="preserve"> and </w:t>
      </w:r>
      <w:r w:rsidR="00DC3AD0">
        <w:rPr>
          <w:rFonts w:cs="Times New Roman"/>
          <w:iCs/>
        </w:rPr>
        <w:t xml:space="preserve">three </w:t>
      </w:r>
      <w:r w:rsidRPr="00AB20F0">
        <w:rPr>
          <w:rFonts w:cs="Times New Roman"/>
          <w:iCs/>
        </w:rPr>
        <w:t xml:space="preserve">forward years. </w:t>
      </w:r>
      <w:r w:rsidR="00275CBA">
        <w:rPr>
          <w:rFonts w:cs="Times New Roman"/>
          <w:iCs/>
        </w:rPr>
        <w:t>ARPANSA</w:t>
      </w:r>
      <w:r w:rsidRPr="00AB20F0">
        <w:rPr>
          <w:rFonts w:cs="Times New Roman"/>
          <w:iCs/>
        </w:rPr>
        <w:t xml:space="preserve"> will maintain the CRIS until the activity or cost recovery for the activity has been discontinued.</w:t>
      </w:r>
    </w:p>
    <w:p w14:paraId="771E9112" w14:textId="77777777" w:rsidR="005C24C6" w:rsidRDefault="005C24C6" w:rsidP="00A6180F">
      <w:pPr>
        <w:pStyle w:val="Heading3"/>
        <w:numPr>
          <w:ilvl w:val="1"/>
          <w:numId w:val="5"/>
        </w:numPr>
        <w:ind w:left="426"/>
      </w:pPr>
      <w:r>
        <w:t>Description of regulatory charging activity</w:t>
      </w:r>
    </w:p>
    <w:p w14:paraId="6AB049A3" w14:textId="77777777" w:rsidR="006319FF" w:rsidRPr="006319FF" w:rsidRDefault="006E6FA8" w:rsidP="006319FF">
      <w:r>
        <w:t>ARPANSA is the Australian Government’s primary authority on radiation protection and nuclear safety. Our purpose is to protect the Australian people and the environment from the harmful effects of radiation, through understanding risks, best practice regulation, research, policy, services, partnerships and engaging with the community.</w:t>
      </w:r>
    </w:p>
    <w:p w14:paraId="0805D3DA" w14:textId="77777777" w:rsidR="006319FF" w:rsidRDefault="006319FF" w:rsidP="006319FF">
      <w:r w:rsidRPr="0058089F">
        <w:t>A permit issued by ARPANSA is required to import radioactive substances into Australia and to export high acti</w:t>
      </w:r>
      <w:r>
        <w:t>v</w:t>
      </w:r>
      <w:r w:rsidRPr="0058089F">
        <w:t>ity radioactive sources out of Australia.</w:t>
      </w:r>
      <w:r>
        <w:t xml:space="preserve"> ARPANSA charges customers for </w:t>
      </w:r>
      <w:r w:rsidR="007C05CA">
        <w:t xml:space="preserve">both </w:t>
      </w:r>
      <w:r>
        <w:t>import</w:t>
      </w:r>
      <w:r w:rsidR="007C05CA">
        <w:t xml:space="preserve"> and export</w:t>
      </w:r>
      <w:r>
        <w:t xml:space="preserve"> permits</w:t>
      </w:r>
      <w:r w:rsidR="006E6FA8">
        <w:t xml:space="preserve"> to recover the costs associated with processing these applications.</w:t>
      </w:r>
    </w:p>
    <w:p w14:paraId="629CF94E" w14:textId="77777777" w:rsidR="006319FF" w:rsidRDefault="006E6FA8" w:rsidP="006319FF">
      <w:r>
        <w:t>The payers of these charges are:</w:t>
      </w:r>
    </w:p>
    <w:p w14:paraId="3B151E7F" w14:textId="5F22C026" w:rsidR="006E6FA8" w:rsidRDefault="006E6FA8" w:rsidP="00AB0D38">
      <w:pPr>
        <w:pStyle w:val="ListParagraph"/>
        <w:numPr>
          <w:ilvl w:val="0"/>
          <w:numId w:val="3"/>
        </w:numPr>
      </w:pPr>
      <w:r>
        <w:t>medical industry with flow on effects to the healthcare system in general</w:t>
      </w:r>
    </w:p>
    <w:p w14:paraId="343FBCF6" w14:textId="66FFCF67" w:rsidR="006E6FA8" w:rsidRDefault="006E6FA8" w:rsidP="00AB0D38">
      <w:pPr>
        <w:pStyle w:val="ListParagraph"/>
        <w:numPr>
          <w:ilvl w:val="0"/>
          <w:numId w:val="3"/>
        </w:numPr>
      </w:pPr>
      <w:r>
        <w:t>non-medical industries such as oil, gas, non-destructive testing, education and research</w:t>
      </w:r>
      <w:r w:rsidR="00AF3634">
        <w:t>.</w:t>
      </w:r>
    </w:p>
    <w:p w14:paraId="0C410682" w14:textId="77777777" w:rsidR="006E6FA8" w:rsidRDefault="006E6FA8" w:rsidP="00AB0D38">
      <w:pPr>
        <w:pStyle w:val="Heading2"/>
        <w:numPr>
          <w:ilvl w:val="0"/>
          <w:numId w:val="5"/>
        </w:numPr>
      </w:pPr>
      <w:r>
        <w:t xml:space="preserve">Policy and statutory authority to cost </w:t>
      </w:r>
      <w:proofErr w:type="gramStart"/>
      <w:r>
        <w:t>recover</w:t>
      </w:r>
      <w:proofErr w:type="gramEnd"/>
    </w:p>
    <w:p w14:paraId="35A3543D" w14:textId="77777777" w:rsidR="006E6FA8" w:rsidRDefault="006E6FA8" w:rsidP="00A6180F">
      <w:pPr>
        <w:pStyle w:val="Heading3"/>
        <w:numPr>
          <w:ilvl w:val="1"/>
          <w:numId w:val="5"/>
        </w:numPr>
        <w:ind w:left="426"/>
      </w:pPr>
      <w:r>
        <w:t xml:space="preserve">Government policy approval to cost recover the regulatory </w:t>
      </w:r>
      <w:proofErr w:type="gramStart"/>
      <w:r>
        <w:t>activity</w:t>
      </w:r>
      <w:proofErr w:type="gramEnd"/>
    </w:p>
    <w:p w14:paraId="55E365AD" w14:textId="2BBF688E" w:rsidR="00426351" w:rsidRDefault="00DC3AD0" w:rsidP="00426351">
      <w:r>
        <w:t xml:space="preserve">When </w:t>
      </w:r>
      <w:r w:rsidR="00426351">
        <w:t xml:space="preserve">ARPANSA was established in 1998 under the </w:t>
      </w:r>
      <w:r w:rsidR="00426351" w:rsidRPr="00426351">
        <w:rPr>
          <w:i/>
        </w:rPr>
        <w:t xml:space="preserve">Australian Radiation Protection and Nuclear Safety Act 1998 </w:t>
      </w:r>
      <w:r w:rsidR="00426351">
        <w:t>(ARPANS Act)</w:t>
      </w:r>
      <w:r>
        <w:t xml:space="preserve"> the Government required cost recovery arrangements to be established </w:t>
      </w:r>
      <w:r w:rsidR="00E2491C">
        <w:t>regarding</w:t>
      </w:r>
      <w:r>
        <w:t xml:space="preserve"> regulatory costs</w:t>
      </w:r>
      <w:r w:rsidR="00AE200A">
        <w:t>.</w:t>
      </w:r>
      <w:r w:rsidR="00AE261E" w:rsidRPr="00AE261E">
        <w:t xml:space="preserve"> </w:t>
      </w:r>
      <w:r w:rsidR="00AE261E">
        <w:t>Cost recovery for import permits continued, having been established by ARPANSA’s predecessor the Australian Radiation Laboratory and for export permits, commenced in 2017.</w:t>
      </w:r>
    </w:p>
    <w:p w14:paraId="6974845E" w14:textId="77777777" w:rsidR="000F6BD7" w:rsidRDefault="000F6BD7" w:rsidP="00A6180F">
      <w:pPr>
        <w:pStyle w:val="Heading3"/>
        <w:numPr>
          <w:ilvl w:val="1"/>
          <w:numId w:val="5"/>
        </w:numPr>
        <w:ind w:left="426"/>
      </w:pPr>
      <w:r>
        <w:t>Statutory authority to charge</w:t>
      </w:r>
    </w:p>
    <w:p w14:paraId="3606FFDD" w14:textId="1C8E264C" w:rsidR="00555AE0" w:rsidRDefault="00555AE0" w:rsidP="00555AE0">
      <w:r>
        <w:t>At the International Atomic Energy Agency (IAEA) General Conference</w:t>
      </w:r>
      <w:r w:rsidR="0025274B">
        <w:t xml:space="preserve"> in May 2004</w:t>
      </w:r>
      <w:r w:rsidR="00F71079">
        <w:t>,</w:t>
      </w:r>
      <w:r>
        <w:t xml:space="preserve"> </w:t>
      </w:r>
      <w:r w:rsidR="0025274B">
        <w:t xml:space="preserve">the </w:t>
      </w:r>
      <w:r>
        <w:t>Australia</w:t>
      </w:r>
      <w:r w:rsidR="0025274B">
        <w:t>n Government</w:t>
      </w:r>
      <w:r>
        <w:t xml:space="preserve"> gave a commitment to work towards implementing the guidance contained within the IAEA Code of Conduct on the Safety and Security of Radioactive Sources (consistent with the terms of </w:t>
      </w:r>
      <w:r w:rsidR="00E2491C">
        <w:t>GC (</w:t>
      </w:r>
      <w:r>
        <w:t>47)/Res/</w:t>
      </w:r>
      <w:r w:rsidR="00E2491C">
        <w:t>7.B</w:t>
      </w:r>
      <w:r>
        <w:t>)</w:t>
      </w:r>
      <w:r w:rsidR="00AE200A">
        <w:t xml:space="preserve">. </w:t>
      </w:r>
      <w:r w:rsidR="0025274B">
        <w:t xml:space="preserve">In November 2004 the Australian Government </w:t>
      </w:r>
      <w:r>
        <w:t>notified the IAEA Director General of its intention to act in accordance with the IAEA Guidance on the Import and Export of Radioactive Sources (consistent with the terms of GC</w:t>
      </w:r>
      <w:r w:rsidR="00E2491C">
        <w:t xml:space="preserve"> </w:t>
      </w:r>
      <w:r>
        <w:t xml:space="preserve">(48)/Res/10.D). </w:t>
      </w:r>
    </w:p>
    <w:p w14:paraId="0640BB99" w14:textId="77777777" w:rsidR="00CB0A53" w:rsidRDefault="00CB0A53" w:rsidP="00555AE0"/>
    <w:p w14:paraId="3D646050" w14:textId="1648A769" w:rsidR="00CB0A53" w:rsidRDefault="00CB0A53" w:rsidP="00555AE0"/>
    <w:p w14:paraId="7C4B3285" w14:textId="77777777" w:rsidR="00842DD6" w:rsidRDefault="00842DD6" w:rsidP="00555AE0"/>
    <w:p w14:paraId="45928279" w14:textId="2421BD35" w:rsidR="00555AE0" w:rsidRDefault="00F71079" w:rsidP="00555AE0">
      <w:r>
        <w:lastRenderedPageBreak/>
        <w:t>P</w:t>
      </w:r>
      <w:r w:rsidR="00555AE0">
        <w:t>art of these commitments is the requirement for the regulatory body to establish procedures for the authorisation and control of imports of radioactive substances and the exports of high activity radioactive sources. The Customs (Prohibited Exports) Regulations 1958 and Customs (Prohibited Imports) Regulations 1956 were amended to give legal effect to Australia’s international obligations to control the import of radioactive substances and the export of high activity radioactive sources.</w:t>
      </w:r>
    </w:p>
    <w:p w14:paraId="20A436D9" w14:textId="77777777" w:rsidR="00555AE0" w:rsidRDefault="00CA4C08" w:rsidP="0061125A">
      <w:r>
        <w:t>The statutory authority for ARPANSA’s charges is provided in the following Acts and Regulations:</w:t>
      </w:r>
    </w:p>
    <w:p w14:paraId="56D8E2F8" w14:textId="77777777" w:rsidR="00897B3B" w:rsidRDefault="00897B3B" w:rsidP="0061125A"/>
    <w:tbl>
      <w:tblPr>
        <w:tblStyle w:val="GenericARPANSA"/>
        <w:tblW w:w="5000" w:type="pct"/>
        <w:tblInd w:w="0" w:type="dxa"/>
        <w:tblLook w:val="04A0" w:firstRow="1" w:lastRow="0" w:firstColumn="1" w:lastColumn="0" w:noHBand="0" w:noVBand="1"/>
      </w:tblPr>
      <w:tblGrid>
        <w:gridCol w:w="3213"/>
        <w:gridCol w:w="6415"/>
      </w:tblGrid>
      <w:tr w:rsidR="00EF0AA3" w14:paraId="74551568" w14:textId="77777777" w:rsidTr="00842DD6">
        <w:trPr>
          <w:cnfStyle w:val="100000000000" w:firstRow="1" w:lastRow="0" w:firstColumn="0" w:lastColumn="0" w:oddVBand="0" w:evenVBand="0" w:oddHBand="0" w:evenHBand="0" w:firstRowFirstColumn="0" w:firstRowLastColumn="0" w:lastRowFirstColumn="0" w:lastRowLastColumn="0"/>
        </w:trPr>
        <w:tc>
          <w:tcPr>
            <w:tcW w:w="3260" w:type="dxa"/>
            <w:vAlign w:val="top"/>
          </w:tcPr>
          <w:p w14:paraId="59883084" w14:textId="77777777" w:rsidR="00EF0AA3" w:rsidRDefault="00EF0AA3" w:rsidP="003D6B98">
            <w:r>
              <w:t>Legislation</w:t>
            </w:r>
          </w:p>
        </w:tc>
        <w:tc>
          <w:tcPr>
            <w:tcW w:w="6521" w:type="dxa"/>
            <w:vAlign w:val="top"/>
          </w:tcPr>
          <w:p w14:paraId="58BA0B6C" w14:textId="77777777" w:rsidR="00EF0AA3" w:rsidRPr="003F69D5" w:rsidRDefault="00EF0AA3" w:rsidP="00EF0AA3">
            <w:r>
              <w:t>Section</w:t>
            </w:r>
          </w:p>
        </w:tc>
      </w:tr>
      <w:tr w:rsidR="00EF0AA3" w14:paraId="3FB82AC3" w14:textId="77777777" w:rsidTr="00842DD6">
        <w:tc>
          <w:tcPr>
            <w:tcW w:w="3260" w:type="dxa"/>
            <w:vAlign w:val="top"/>
          </w:tcPr>
          <w:p w14:paraId="7F233B8D" w14:textId="77777777" w:rsidR="00EF0AA3" w:rsidRDefault="00EF0AA3" w:rsidP="003F69D5">
            <w:pPr>
              <w:jc w:val="left"/>
            </w:pPr>
            <w:r w:rsidRPr="003F69D5">
              <w:rPr>
                <w:i/>
              </w:rPr>
              <w:t>Australian Radiation Protection and Nuclear Safety Act 1998</w:t>
            </w:r>
            <w:r w:rsidRPr="003F69D5">
              <w:t xml:space="preserve"> (ARPANS Act)</w:t>
            </w:r>
          </w:p>
        </w:tc>
        <w:tc>
          <w:tcPr>
            <w:tcW w:w="6521" w:type="dxa"/>
            <w:vAlign w:val="top"/>
          </w:tcPr>
          <w:p w14:paraId="05B08B55" w14:textId="77777777" w:rsidR="00EF0AA3" w:rsidRDefault="00EF0AA3" w:rsidP="00EF0AA3">
            <w:pPr>
              <w:jc w:val="left"/>
            </w:pPr>
            <w:r>
              <w:t>Section 54 (ARPANS Act):</w:t>
            </w:r>
          </w:p>
          <w:p w14:paraId="60DE0023" w14:textId="77777777" w:rsidR="00EF0AA3" w:rsidRDefault="00EF0AA3" w:rsidP="003F69D5">
            <w:pPr>
              <w:jc w:val="left"/>
            </w:pPr>
            <w:r w:rsidRPr="00EF0AA3">
              <w:rPr>
                <w:i/>
              </w:rPr>
              <w:t>The CEO may charge for services provided by the CEO in the performance of the CEO’s functions</w:t>
            </w:r>
            <w:r>
              <w:t>.</w:t>
            </w:r>
          </w:p>
        </w:tc>
      </w:tr>
      <w:tr w:rsidR="00B3136F" w14:paraId="050BFB27" w14:textId="77777777" w:rsidTr="00842DD6">
        <w:trPr>
          <w:cnfStyle w:val="000000010000" w:firstRow="0" w:lastRow="0" w:firstColumn="0" w:lastColumn="0" w:oddVBand="0" w:evenVBand="0" w:oddHBand="0" w:evenHBand="1" w:firstRowFirstColumn="0" w:firstRowLastColumn="0" w:lastRowFirstColumn="0" w:lastRowLastColumn="0"/>
        </w:trPr>
        <w:tc>
          <w:tcPr>
            <w:tcW w:w="3260" w:type="dxa"/>
            <w:vAlign w:val="top"/>
          </w:tcPr>
          <w:p w14:paraId="174D51D6" w14:textId="50C3E268" w:rsidR="00B3136F" w:rsidRPr="00B3136F" w:rsidRDefault="00B3136F" w:rsidP="008877BA">
            <w:pPr>
              <w:jc w:val="left"/>
            </w:pPr>
            <w:r w:rsidRPr="00B3136F">
              <w:rPr>
                <w:i/>
              </w:rPr>
              <w:t>Australian Radiation Protection and Nuclear Safety Regulations 1999</w:t>
            </w:r>
            <w:r>
              <w:rPr>
                <w:i/>
              </w:rPr>
              <w:t xml:space="preserve"> </w:t>
            </w:r>
            <w:r>
              <w:t>(ARPANS Reg</w:t>
            </w:r>
            <w:r w:rsidR="008877BA">
              <w:t>s</w:t>
            </w:r>
            <w:r>
              <w:t>)</w:t>
            </w:r>
          </w:p>
        </w:tc>
        <w:tc>
          <w:tcPr>
            <w:tcW w:w="6521" w:type="dxa"/>
            <w:vAlign w:val="top"/>
          </w:tcPr>
          <w:p w14:paraId="0C492DCD" w14:textId="77777777" w:rsidR="00B3136F" w:rsidRDefault="00B3136F" w:rsidP="00B3136F">
            <w:pPr>
              <w:jc w:val="left"/>
            </w:pPr>
            <w:r>
              <w:t>Section 3B (ARPANSA Regs):</w:t>
            </w:r>
          </w:p>
          <w:p w14:paraId="6E6EC7A5" w14:textId="77777777" w:rsidR="00B3136F" w:rsidRPr="00B3136F" w:rsidRDefault="00B3136F" w:rsidP="00B3136F">
            <w:pPr>
              <w:jc w:val="left"/>
              <w:rPr>
                <w:i/>
              </w:rPr>
            </w:pPr>
            <w:r w:rsidRPr="00B3136F">
              <w:rPr>
                <w:i/>
              </w:rPr>
              <w:t>Functions of the CEO</w:t>
            </w:r>
          </w:p>
          <w:p w14:paraId="2AEDEB4C" w14:textId="77777777" w:rsidR="00B3136F" w:rsidRPr="00B3136F" w:rsidRDefault="00B3136F" w:rsidP="00B3136F">
            <w:pPr>
              <w:jc w:val="left"/>
              <w:rPr>
                <w:i/>
              </w:rPr>
            </w:pPr>
            <w:r w:rsidRPr="00B3136F">
              <w:rPr>
                <w:i/>
              </w:rPr>
              <w:t>For the purposes of paragraph 15(1)(i) of the Act, the following are functions of the CEO:</w:t>
            </w:r>
          </w:p>
          <w:p w14:paraId="04687AE2" w14:textId="267CFC56" w:rsidR="00B3136F" w:rsidRPr="00A85C75" w:rsidRDefault="00B3136F" w:rsidP="00A85C75">
            <w:pPr>
              <w:pStyle w:val="ListParagraph"/>
              <w:numPr>
                <w:ilvl w:val="0"/>
                <w:numId w:val="10"/>
              </w:numPr>
              <w:spacing w:before="60"/>
              <w:jc w:val="left"/>
              <w:rPr>
                <w:i/>
              </w:rPr>
            </w:pPr>
            <w:r w:rsidRPr="00A85C75">
              <w:rPr>
                <w:i/>
              </w:rPr>
              <w:t>to grant permissions to export from Australia high activity radioactive sources under regulation 9AD of the Customs (Prohibited Exports) Regulations 1958</w:t>
            </w:r>
          </w:p>
          <w:p w14:paraId="373EF363" w14:textId="3F835CDF" w:rsidR="00B3136F" w:rsidRPr="00A85C75" w:rsidRDefault="00B3136F" w:rsidP="00A85C75">
            <w:pPr>
              <w:pStyle w:val="ListParagraph"/>
              <w:numPr>
                <w:ilvl w:val="0"/>
                <w:numId w:val="10"/>
              </w:numPr>
              <w:spacing w:before="60"/>
              <w:jc w:val="left"/>
              <w:rPr>
                <w:i/>
              </w:rPr>
            </w:pPr>
            <w:r w:rsidRPr="00A85C75">
              <w:rPr>
                <w:i/>
              </w:rPr>
              <w:t>to grant permissions to import into Australia radioactive substances under regulation 4R of the Customs (Prohibited Imports) Regulations 1956.</w:t>
            </w:r>
          </w:p>
        </w:tc>
      </w:tr>
      <w:tr w:rsidR="00EF0AA3" w14:paraId="72A67AD5" w14:textId="77777777" w:rsidTr="00842DD6">
        <w:tc>
          <w:tcPr>
            <w:tcW w:w="3260" w:type="dxa"/>
            <w:vAlign w:val="top"/>
          </w:tcPr>
          <w:p w14:paraId="37AEC702" w14:textId="77777777" w:rsidR="00EF0AA3" w:rsidRPr="00EF0AA3" w:rsidRDefault="00EF0AA3" w:rsidP="003D6B98">
            <w:pPr>
              <w:jc w:val="left"/>
              <w:rPr>
                <w:i/>
              </w:rPr>
            </w:pPr>
            <w:r w:rsidRPr="00EF0AA3">
              <w:rPr>
                <w:i/>
              </w:rPr>
              <w:t>Customs (Prohibited Imports) Regulations 1956</w:t>
            </w:r>
          </w:p>
        </w:tc>
        <w:tc>
          <w:tcPr>
            <w:tcW w:w="6521" w:type="dxa"/>
            <w:vAlign w:val="top"/>
          </w:tcPr>
          <w:p w14:paraId="47156846" w14:textId="77777777" w:rsidR="00EF0AA3" w:rsidRDefault="00EF0AA3" w:rsidP="00EF0AA3">
            <w:pPr>
              <w:jc w:val="left"/>
            </w:pPr>
            <w:r>
              <w:t>Section 4R of the Customs (Prohibited Imports) Regulations 1956:</w:t>
            </w:r>
          </w:p>
          <w:p w14:paraId="1B4E2963" w14:textId="1533BF1D" w:rsidR="00EF0AA3" w:rsidRPr="00A85C75" w:rsidRDefault="00EF0AA3" w:rsidP="00A85C75">
            <w:pPr>
              <w:pStyle w:val="ListParagraph"/>
              <w:numPr>
                <w:ilvl w:val="0"/>
                <w:numId w:val="12"/>
              </w:numPr>
              <w:spacing w:before="60"/>
              <w:ind w:left="349"/>
              <w:rPr>
                <w:i/>
              </w:rPr>
            </w:pPr>
            <w:r w:rsidRPr="00A85C75">
              <w:rPr>
                <w:i/>
              </w:rPr>
              <w:t>The importation into Australia of a radioactive substance is prohibited unless:</w:t>
            </w:r>
          </w:p>
          <w:p w14:paraId="20967A48" w14:textId="60069FDC" w:rsidR="00EF0AA3" w:rsidRPr="00A85C75" w:rsidRDefault="00EF0AA3" w:rsidP="00A85C75">
            <w:pPr>
              <w:pStyle w:val="ListParagraph"/>
              <w:numPr>
                <w:ilvl w:val="0"/>
                <w:numId w:val="13"/>
              </w:numPr>
              <w:spacing w:before="60"/>
              <w:jc w:val="left"/>
              <w:rPr>
                <w:i/>
              </w:rPr>
            </w:pPr>
            <w:r w:rsidRPr="00A85C75">
              <w:rPr>
                <w:i/>
              </w:rPr>
              <w:t>a permission in writing to import the substance has been granted by the Minister or an authorised officer; and</w:t>
            </w:r>
          </w:p>
          <w:p w14:paraId="47DDE24A" w14:textId="1E5CE000" w:rsidR="00EF0AA3" w:rsidRPr="00A85C75" w:rsidRDefault="00EF0AA3" w:rsidP="00A85C75">
            <w:pPr>
              <w:pStyle w:val="ListParagraph"/>
              <w:numPr>
                <w:ilvl w:val="0"/>
                <w:numId w:val="13"/>
              </w:numPr>
              <w:spacing w:before="60"/>
              <w:jc w:val="left"/>
              <w:rPr>
                <w:i/>
              </w:rPr>
            </w:pPr>
            <w:r w:rsidRPr="00A85C75">
              <w:rPr>
                <w:i/>
              </w:rPr>
              <w:t>the permission is produced to a Collector.</w:t>
            </w:r>
          </w:p>
          <w:p w14:paraId="263F0B53" w14:textId="77777777" w:rsidR="00EF0AA3" w:rsidRDefault="00365B4A" w:rsidP="00EF0AA3">
            <w:pPr>
              <w:jc w:val="left"/>
            </w:pPr>
            <w:r w:rsidRPr="00365B4A">
              <w:rPr>
                <w:b/>
              </w:rPr>
              <w:t>A</w:t>
            </w:r>
            <w:r w:rsidR="00EF0AA3" w:rsidRPr="00365B4A">
              <w:rPr>
                <w:b/>
              </w:rPr>
              <w:t>uthorised officer</w:t>
            </w:r>
            <w:r w:rsidR="00EF0AA3">
              <w:t xml:space="preserve"> means:</w:t>
            </w:r>
          </w:p>
          <w:p w14:paraId="5BA22BD8" w14:textId="36486C6E" w:rsidR="00EF0AA3" w:rsidRPr="00A85C75" w:rsidRDefault="00EF0AA3" w:rsidP="00A85C75">
            <w:pPr>
              <w:pStyle w:val="ListParagraph"/>
              <w:numPr>
                <w:ilvl w:val="0"/>
                <w:numId w:val="15"/>
              </w:numPr>
              <w:spacing w:before="60"/>
              <w:jc w:val="left"/>
              <w:rPr>
                <w:i/>
              </w:rPr>
            </w:pPr>
            <w:r w:rsidRPr="00A85C75">
              <w:rPr>
                <w:i/>
              </w:rPr>
              <w:t>the CEO of ARPANSA, within the meaning of section 14 of the Australian Radiation Protection and Nuclear Safety Act 1998, appointed in writing by the Minister as an authorised officer for this regulation; or</w:t>
            </w:r>
          </w:p>
          <w:p w14:paraId="7778DC40" w14:textId="098A06D5" w:rsidR="00EF0AA3" w:rsidRPr="00BB48DD" w:rsidRDefault="00EF0AA3" w:rsidP="00A85C75">
            <w:pPr>
              <w:pStyle w:val="ListParagraph"/>
              <w:numPr>
                <w:ilvl w:val="0"/>
                <w:numId w:val="15"/>
              </w:numPr>
              <w:spacing w:before="60"/>
              <w:jc w:val="left"/>
            </w:pPr>
            <w:r w:rsidRPr="00A85C75">
              <w:rPr>
                <w:i/>
              </w:rPr>
              <w:t>an APS employee assisting the CEO in accordance with section 58 of that Act appointed in writing by the Minister as an authorised officer for this regulation</w:t>
            </w:r>
            <w:r w:rsidR="00AF3634">
              <w:rPr>
                <w:i/>
              </w:rPr>
              <w:t>.</w:t>
            </w:r>
          </w:p>
        </w:tc>
      </w:tr>
      <w:tr w:rsidR="00EF0AA3" w14:paraId="65B301D2" w14:textId="77777777" w:rsidTr="00842DD6">
        <w:trPr>
          <w:cnfStyle w:val="000000010000" w:firstRow="0" w:lastRow="0" w:firstColumn="0" w:lastColumn="0" w:oddVBand="0" w:evenVBand="0" w:oddHBand="0" w:evenHBand="1" w:firstRowFirstColumn="0" w:firstRowLastColumn="0" w:lastRowFirstColumn="0" w:lastRowLastColumn="0"/>
        </w:trPr>
        <w:tc>
          <w:tcPr>
            <w:tcW w:w="3260" w:type="dxa"/>
            <w:vAlign w:val="top"/>
          </w:tcPr>
          <w:p w14:paraId="77C339AF" w14:textId="77777777" w:rsidR="00EF0AA3" w:rsidRPr="00EF0AA3" w:rsidRDefault="00EF0AA3" w:rsidP="003D6B98">
            <w:pPr>
              <w:jc w:val="left"/>
              <w:rPr>
                <w:i/>
              </w:rPr>
            </w:pPr>
            <w:r w:rsidRPr="00EF0AA3">
              <w:rPr>
                <w:i/>
              </w:rPr>
              <w:t>Customs (Prohibited Exports) Regulations 1958</w:t>
            </w:r>
          </w:p>
        </w:tc>
        <w:tc>
          <w:tcPr>
            <w:tcW w:w="6521" w:type="dxa"/>
            <w:vAlign w:val="top"/>
          </w:tcPr>
          <w:p w14:paraId="1788D59A" w14:textId="77777777" w:rsidR="00EF0AA3" w:rsidRDefault="00EF0AA3" w:rsidP="00EF0AA3">
            <w:pPr>
              <w:jc w:val="left"/>
            </w:pPr>
            <w:r w:rsidRPr="00EF0AA3">
              <w:t>Section 9AD of the Customs (Prohibited Exports) Regulations 1958</w:t>
            </w:r>
          </w:p>
          <w:p w14:paraId="7777457D" w14:textId="23FA40C4" w:rsidR="00EF0AA3" w:rsidRPr="00A85C75" w:rsidRDefault="00EF0AA3" w:rsidP="00A85C75">
            <w:pPr>
              <w:pStyle w:val="ListParagraph"/>
              <w:numPr>
                <w:ilvl w:val="0"/>
                <w:numId w:val="17"/>
              </w:numPr>
              <w:spacing w:before="60"/>
              <w:ind w:left="349"/>
              <w:rPr>
                <w:i/>
              </w:rPr>
            </w:pPr>
            <w:r w:rsidRPr="00A85C75">
              <w:rPr>
                <w:i/>
              </w:rPr>
              <w:t>The exportation from Australia of a high activity radioactive source is prohibited unless:</w:t>
            </w:r>
          </w:p>
          <w:p w14:paraId="35B1D6BB" w14:textId="77777777" w:rsidR="00EF0AA3" w:rsidRPr="00EF0AA3" w:rsidRDefault="00EF0AA3" w:rsidP="00A85C75">
            <w:pPr>
              <w:pStyle w:val="ListParagraph"/>
              <w:numPr>
                <w:ilvl w:val="0"/>
                <w:numId w:val="18"/>
              </w:numPr>
              <w:ind w:left="774" w:hanging="425"/>
              <w:jc w:val="left"/>
              <w:rPr>
                <w:i/>
              </w:rPr>
            </w:pPr>
            <w:r w:rsidRPr="00EF0AA3">
              <w:rPr>
                <w:i/>
              </w:rPr>
              <w:t>a permission in writing to export the radioactive source has been granted by the Minister or an authorised officer; and</w:t>
            </w:r>
          </w:p>
          <w:p w14:paraId="02878367" w14:textId="77777777" w:rsidR="00EF0AA3" w:rsidRPr="00EF3219" w:rsidRDefault="00EF0AA3" w:rsidP="00A85C75">
            <w:pPr>
              <w:pStyle w:val="ListParagraph"/>
              <w:numPr>
                <w:ilvl w:val="0"/>
                <w:numId w:val="18"/>
              </w:numPr>
              <w:ind w:left="774" w:hanging="425"/>
              <w:jc w:val="left"/>
            </w:pPr>
            <w:r w:rsidRPr="00EF0AA3">
              <w:rPr>
                <w:i/>
              </w:rPr>
              <w:t>the permission is shown to a Collector.</w:t>
            </w:r>
          </w:p>
          <w:p w14:paraId="23C8B420" w14:textId="77777777" w:rsidR="00EF3219" w:rsidRPr="00BB48DD" w:rsidRDefault="00EF3219" w:rsidP="00EF3219">
            <w:pPr>
              <w:jc w:val="left"/>
            </w:pPr>
            <w:r w:rsidRPr="00365B4A">
              <w:rPr>
                <w:b/>
              </w:rPr>
              <w:t>Authorised officer</w:t>
            </w:r>
            <w:r>
              <w:t xml:space="preserve"> has the same meaning as under</w:t>
            </w:r>
            <w:r w:rsidR="00365B4A">
              <w:t xml:space="preserve"> the</w:t>
            </w:r>
            <w:r>
              <w:t xml:space="preserve"> </w:t>
            </w:r>
            <w:r w:rsidRPr="00EF0AA3">
              <w:rPr>
                <w:i/>
              </w:rPr>
              <w:t>Customs (Prohibited Imports) Regulations 1956</w:t>
            </w:r>
            <w:r>
              <w:rPr>
                <w:i/>
              </w:rPr>
              <w:t>.</w:t>
            </w:r>
          </w:p>
        </w:tc>
      </w:tr>
    </w:tbl>
    <w:p w14:paraId="1F59D019" w14:textId="77777777" w:rsidR="00EF0CDA" w:rsidRDefault="00931480" w:rsidP="00AB0D38">
      <w:pPr>
        <w:pStyle w:val="Heading2"/>
        <w:numPr>
          <w:ilvl w:val="0"/>
          <w:numId w:val="5"/>
        </w:numPr>
      </w:pPr>
      <w:r>
        <w:lastRenderedPageBreak/>
        <w:t>Cost recovery model</w:t>
      </w:r>
    </w:p>
    <w:p w14:paraId="53911DC2" w14:textId="6F9CD716" w:rsidR="00504D6A" w:rsidRDefault="00504D6A" w:rsidP="00A6180F">
      <w:pPr>
        <w:pStyle w:val="Heading3"/>
        <w:numPr>
          <w:ilvl w:val="1"/>
          <w:numId w:val="5"/>
        </w:numPr>
        <w:ind w:left="426"/>
      </w:pPr>
      <w:r>
        <w:t>Outputs and business processes of the regulatory charging activity</w:t>
      </w:r>
    </w:p>
    <w:p w14:paraId="131C4877" w14:textId="35DBFE5B" w:rsidR="00EF0CDA" w:rsidRDefault="00EF0CDA" w:rsidP="00EF0CDA">
      <w:r>
        <w:t xml:space="preserve">The </w:t>
      </w:r>
      <w:r w:rsidR="007B5622">
        <w:t>assessment of permit applications and the subsequent issuing of permits</w:t>
      </w:r>
      <w:r>
        <w:t xml:space="preserve"> </w:t>
      </w:r>
      <w:r w:rsidR="007B5622">
        <w:t>are</w:t>
      </w:r>
      <w:r>
        <w:t xml:space="preserve"> ARPANSA’s primary control mechanism</w:t>
      </w:r>
      <w:r w:rsidR="007563B2">
        <w:t>s</w:t>
      </w:r>
      <w:r>
        <w:t xml:space="preserve"> to monitor the movement of </w:t>
      </w:r>
      <w:r w:rsidRPr="0058089F">
        <w:t xml:space="preserve">radioactive substances into Australia </w:t>
      </w:r>
      <w:r>
        <w:t xml:space="preserve">and </w:t>
      </w:r>
      <w:r w:rsidRPr="0058089F">
        <w:t>high acti</w:t>
      </w:r>
      <w:r>
        <w:t>v</w:t>
      </w:r>
      <w:r w:rsidRPr="0058089F">
        <w:t>ity radioactive sources out of Australia</w:t>
      </w:r>
      <w:r>
        <w:t xml:space="preserve">. This process provides ARPANSA with assurance that the activity is controlled. All permit applications are subject to a detailed assessment as well as the payment of </w:t>
      </w:r>
      <w:r w:rsidR="00402557">
        <w:t>a</w:t>
      </w:r>
      <w:r>
        <w:t xml:space="preserve"> charge.</w:t>
      </w:r>
    </w:p>
    <w:p w14:paraId="3F14BA00" w14:textId="2B771912" w:rsidR="00421FEC" w:rsidRDefault="00EF0CDA" w:rsidP="00EF0CDA">
      <w:r>
        <w:t xml:space="preserve">The underlying processes involved in the </w:t>
      </w:r>
      <w:r w:rsidR="00F71079">
        <w:t xml:space="preserve">assessment </w:t>
      </w:r>
      <w:r>
        <w:t xml:space="preserve">of these permit applications </w:t>
      </w:r>
      <w:r w:rsidR="00B519AE">
        <w:t>do not vary from one application to the next</w:t>
      </w:r>
      <w:r w:rsidR="00F71079">
        <w:t>;</w:t>
      </w:r>
      <w:r w:rsidR="00B519AE">
        <w:t xml:space="preserve"> however, </w:t>
      </w:r>
      <w:r w:rsidR="00402557">
        <w:t>the time taken to reach a conclusion on an application will vary depending on the complexity of th</w:t>
      </w:r>
      <w:r w:rsidR="00F71079">
        <w:t>at</w:t>
      </w:r>
      <w:r w:rsidR="00402557">
        <w:t xml:space="preserve"> application.</w:t>
      </w:r>
      <w:r w:rsidR="007B5622">
        <w:t xml:space="preserve"> For the purposes of this CRIS, an average permit assessment is used as the basis for the cost recovery of regulatory effort.</w:t>
      </w:r>
    </w:p>
    <w:p w14:paraId="1F2DE8A1" w14:textId="3BD38CB0" w:rsidR="00DC3AD0" w:rsidRDefault="00DC3AD0" w:rsidP="00297B35">
      <w:r>
        <w:t>The fee</w:t>
      </w:r>
      <w:r w:rsidR="009372EE">
        <w:t>s</w:t>
      </w:r>
      <w:r>
        <w:t xml:space="preserve"> for import and export permits </w:t>
      </w:r>
      <w:r w:rsidR="009372EE">
        <w:t>are specified</w:t>
      </w:r>
      <w:r>
        <w:t xml:space="preserve"> in the table below.  Each fee is made of up both direct and indirect costs as outlined in the following sections.  </w:t>
      </w:r>
    </w:p>
    <w:p w14:paraId="45857387" w14:textId="77777777" w:rsidR="00297B35" w:rsidRDefault="00297B35" w:rsidP="00297B35"/>
    <w:tbl>
      <w:tblPr>
        <w:tblStyle w:val="GenericARPANSA"/>
        <w:tblW w:w="5000" w:type="pct"/>
        <w:tblInd w:w="0" w:type="dxa"/>
        <w:tblLook w:val="04A0" w:firstRow="1" w:lastRow="0" w:firstColumn="1" w:lastColumn="0" w:noHBand="0" w:noVBand="1"/>
      </w:tblPr>
      <w:tblGrid>
        <w:gridCol w:w="4816"/>
        <w:gridCol w:w="4812"/>
      </w:tblGrid>
      <w:tr w:rsidR="00DC3AD0" w14:paraId="329363C1" w14:textId="77777777" w:rsidTr="00842DD6">
        <w:trPr>
          <w:cnfStyle w:val="100000000000" w:firstRow="1" w:lastRow="0" w:firstColumn="0" w:lastColumn="0" w:oddVBand="0" w:evenVBand="0" w:oddHBand="0" w:evenHBand="0" w:firstRowFirstColumn="0" w:firstRowLastColumn="0" w:lastRowFirstColumn="0" w:lastRowLastColumn="0"/>
        </w:trPr>
        <w:tc>
          <w:tcPr>
            <w:tcW w:w="4890" w:type="dxa"/>
            <w:vAlign w:val="top"/>
          </w:tcPr>
          <w:p w14:paraId="3F4227A7" w14:textId="77777777" w:rsidR="00DC3AD0" w:rsidRDefault="00DC3AD0" w:rsidP="0092271F">
            <w:r>
              <w:t>Type of permit</w:t>
            </w:r>
          </w:p>
        </w:tc>
        <w:tc>
          <w:tcPr>
            <w:tcW w:w="4891" w:type="dxa"/>
            <w:vAlign w:val="top"/>
          </w:tcPr>
          <w:p w14:paraId="67F8103A" w14:textId="772734DC" w:rsidR="00DC3AD0" w:rsidRDefault="00DC3AD0" w:rsidP="00297B35">
            <w:r>
              <w:t xml:space="preserve">Fees </w:t>
            </w:r>
          </w:p>
        </w:tc>
      </w:tr>
      <w:tr w:rsidR="00BA34D4" w14:paraId="514C0214" w14:textId="77777777" w:rsidTr="00842DD6">
        <w:tc>
          <w:tcPr>
            <w:tcW w:w="4890" w:type="dxa"/>
            <w:vAlign w:val="top"/>
          </w:tcPr>
          <w:p w14:paraId="5B669F0E" w14:textId="2C3BE7AA" w:rsidR="00BA34D4" w:rsidRDefault="00BA34D4" w:rsidP="00BA34D4">
            <w:pPr>
              <w:jc w:val="left"/>
            </w:pPr>
            <w:r w:rsidRPr="00EF16D6">
              <w:rPr>
                <w:rFonts w:ascii="Calibri" w:hAnsi="Calibri" w:cs="Calibri"/>
                <w:color w:val="000000"/>
              </w:rPr>
              <w:t xml:space="preserve">Medical </w:t>
            </w:r>
            <w:r w:rsidR="00AF3634">
              <w:rPr>
                <w:rFonts w:ascii="Calibri" w:hAnsi="Calibri" w:cs="Calibri"/>
                <w:color w:val="000000"/>
              </w:rPr>
              <w:t>i</w:t>
            </w:r>
            <w:r w:rsidRPr="00EF16D6">
              <w:rPr>
                <w:rFonts w:ascii="Calibri" w:hAnsi="Calibri" w:cs="Calibri"/>
                <w:color w:val="000000"/>
              </w:rPr>
              <w:t xml:space="preserve">mport </w:t>
            </w:r>
            <w:r w:rsidR="00AF3634">
              <w:rPr>
                <w:rFonts w:ascii="Calibri" w:hAnsi="Calibri" w:cs="Calibri"/>
                <w:color w:val="000000"/>
              </w:rPr>
              <w:t>p</w:t>
            </w:r>
            <w:r w:rsidRPr="00EF16D6">
              <w:rPr>
                <w:rFonts w:ascii="Calibri" w:hAnsi="Calibri" w:cs="Calibri"/>
                <w:color w:val="000000"/>
              </w:rPr>
              <w:t>ermits</w:t>
            </w:r>
          </w:p>
        </w:tc>
        <w:tc>
          <w:tcPr>
            <w:tcW w:w="4891" w:type="dxa"/>
            <w:vAlign w:val="top"/>
          </w:tcPr>
          <w:p w14:paraId="0AF0C1EB" w14:textId="18E6FCEF" w:rsidR="00BA34D4" w:rsidRDefault="00AD0D50" w:rsidP="00BA34D4">
            <w:r>
              <w:t>$180</w:t>
            </w:r>
          </w:p>
        </w:tc>
      </w:tr>
      <w:tr w:rsidR="00BA34D4" w14:paraId="78B1CB39" w14:textId="77777777" w:rsidTr="00842DD6">
        <w:trPr>
          <w:cnfStyle w:val="000000010000" w:firstRow="0" w:lastRow="0" w:firstColumn="0" w:lastColumn="0" w:oddVBand="0" w:evenVBand="0" w:oddHBand="0" w:evenHBand="1" w:firstRowFirstColumn="0" w:firstRowLastColumn="0" w:lastRowFirstColumn="0" w:lastRowLastColumn="0"/>
        </w:trPr>
        <w:tc>
          <w:tcPr>
            <w:tcW w:w="4890" w:type="dxa"/>
            <w:vAlign w:val="top"/>
          </w:tcPr>
          <w:p w14:paraId="6BF88B76" w14:textId="2BE6630F" w:rsidR="00BA34D4" w:rsidRDefault="00BA34D4" w:rsidP="00AF3634">
            <w:pPr>
              <w:jc w:val="left"/>
            </w:pPr>
            <w:r w:rsidRPr="00EF16D6">
              <w:rPr>
                <w:rFonts w:ascii="Calibri" w:hAnsi="Calibri" w:cs="Calibri"/>
                <w:color w:val="000000"/>
              </w:rPr>
              <w:t>Non-</w:t>
            </w:r>
            <w:r w:rsidR="00AF3634">
              <w:rPr>
                <w:rFonts w:ascii="Calibri" w:hAnsi="Calibri" w:cs="Calibri"/>
                <w:color w:val="000000"/>
              </w:rPr>
              <w:t>m</w:t>
            </w:r>
            <w:r w:rsidRPr="00EF16D6">
              <w:rPr>
                <w:rFonts w:ascii="Calibri" w:hAnsi="Calibri" w:cs="Calibri"/>
                <w:color w:val="000000"/>
              </w:rPr>
              <w:t xml:space="preserve">edical </w:t>
            </w:r>
            <w:r w:rsidR="00AF3634">
              <w:rPr>
                <w:rFonts w:ascii="Calibri" w:hAnsi="Calibri" w:cs="Calibri"/>
                <w:color w:val="000000"/>
              </w:rPr>
              <w:t>i</w:t>
            </w:r>
            <w:r w:rsidRPr="00EF16D6">
              <w:rPr>
                <w:rFonts w:ascii="Calibri" w:hAnsi="Calibri" w:cs="Calibri"/>
                <w:color w:val="000000"/>
              </w:rPr>
              <w:t xml:space="preserve">mport </w:t>
            </w:r>
            <w:r w:rsidR="00AF3634">
              <w:rPr>
                <w:rFonts w:ascii="Calibri" w:hAnsi="Calibri" w:cs="Calibri"/>
                <w:color w:val="000000"/>
              </w:rPr>
              <w:t>p</w:t>
            </w:r>
            <w:r w:rsidRPr="00EF16D6">
              <w:rPr>
                <w:rFonts w:ascii="Calibri" w:hAnsi="Calibri" w:cs="Calibri"/>
                <w:color w:val="000000"/>
              </w:rPr>
              <w:t>ermits</w:t>
            </w:r>
          </w:p>
        </w:tc>
        <w:tc>
          <w:tcPr>
            <w:tcW w:w="4891" w:type="dxa"/>
            <w:vAlign w:val="top"/>
          </w:tcPr>
          <w:p w14:paraId="390B11AC" w14:textId="1241EA1E" w:rsidR="00BA34D4" w:rsidRPr="00BB48DD" w:rsidRDefault="00AD0D50" w:rsidP="00BA34D4">
            <w:r>
              <w:t>$180</w:t>
            </w:r>
          </w:p>
        </w:tc>
      </w:tr>
      <w:tr w:rsidR="00BA34D4" w14:paraId="5D251049" w14:textId="77777777" w:rsidTr="00842DD6">
        <w:tc>
          <w:tcPr>
            <w:tcW w:w="4890" w:type="dxa"/>
            <w:vAlign w:val="top"/>
          </w:tcPr>
          <w:p w14:paraId="57CE3E72" w14:textId="626BE884" w:rsidR="00BA34D4" w:rsidRDefault="004D2E52" w:rsidP="00AF3634">
            <w:pPr>
              <w:jc w:val="left"/>
            </w:pPr>
            <w:r>
              <w:rPr>
                <w:rFonts w:ascii="Calibri" w:hAnsi="Calibri" w:cs="Calibri"/>
                <w:color w:val="000000"/>
              </w:rPr>
              <w:t>E</w:t>
            </w:r>
            <w:r w:rsidR="00BA34D4" w:rsidRPr="00EF16D6">
              <w:rPr>
                <w:rFonts w:ascii="Calibri" w:hAnsi="Calibri" w:cs="Calibri"/>
                <w:color w:val="000000"/>
              </w:rPr>
              <w:t xml:space="preserve">xport </w:t>
            </w:r>
            <w:r w:rsidR="00AF3634">
              <w:rPr>
                <w:rFonts w:ascii="Calibri" w:hAnsi="Calibri" w:cs="Calibri"/>
                <w:color w:val="000000"/>
              </w:rPr>
              <w:t>p</w:t>
            </w:r>
            <w:r w:rsidR="00BA34D4" w:rsidRPr="00EF16D6">
              <w:rPr>
                <w:rFonts w:ascii="Calibri" w:hAnsi="Calibri" w:cs="Calibri"/>
                <w:color w:val="000000"/>
              </w:rPr>
              <w:t>ermits</w:t>
            </w:r>
          </w:p>
        </w:tc>
        <w:tc>
          <w:tcPr>
            <w:tcW w:w="4891" w:type="dxa"/>
            <w:vAlign w:val="top"/>
          </w:tcPr>
          <w:p w14:paraId="1E3E7541" w14:textId="7C9DDCF9" w:rsidR="00BA34D4" w:rsidRPr="00BB48DD" w:rsidRDefault="00AD0D50" w:rsidP="00BA34D4">
            <w:r>
              <w:t>$306</w:t>
            </w:r>
          </w:p>
        </w:tc>
      </w:tr>
    </w:tbl>
    <w:p w14:paraId="735AE571" w14:textId="0A5E213C" w:rsidR="005E0FD4" w:rsidRDefault="005E0FD4" w:rsidP="00A6180F">
      <w:pPr>
        <w:pStyle w:val="Heading3"/>
        <w:numPr>
          <w:ilvl w:val="1"/>
          <w:numId w:val="5"/>
        </w:numPr>
        <w:ind w:left="426" w:hanging="426"/>
      </w:pPr>
      <w:r>
        <w:t>Cost of the regulatory charging activity</w:t>
      </w:r>
    </w:p>
    <w:p w14:paraId="05B45601" w14:textId="3210760A" w:rsidR="00673FBF" w:rsidRDefault="00673FBF" w:rsidP="00B85DA0">
      <w:r>
        <w:t>The</w:t>
      </w:r>
      <w:r w:rsidR="009372EE">
        <w:t xml:space="preserve"> fees for import and export permits </w:t>
      </w:r>
      <w:r w:rsidR="00322906">
        <w:t>include the</w:t>
      </w:r>
      <w:r>
        <w:t xml:space="preserve"> direct costs associated with issuing permits and </w:t>
      </w:r>
      <w:r w:rsidR="00AF3634">
        <w:t xml:space="preserve">an </w:t>
      </w:r>
      <w:r>
        <w:t>appropriate portion of corporate ove</w:t>
      </w:r>
      <w:r w:rsidR="001266C4">
        <w:t>rheads</w:t>
      </w:r>
      <w:r w:rsidR="007E19EE">
        <w:t xml:space="preserve"> (indirect costs)</w:t>
      </w:r>
      <w:r w:rsidR="001266C4">
        <w:t xml:space="preserve"> to support the function. ARPANSA aims to align the revenue and expenses as required for regulatory charging activities under the Australian Government’s Charging Framework.</w:t>
      </w:r>
    </w:p>
    <w:p w14:paraId="2AD70F8C" w14:textId="1CB5E874" w:rsidR="009B31B4" w:rsidRDefault="00055167" w:rsidP="006202D6">
      <w:r>
        <w:t>E</w:t>
      </w:r>
      <w:r w:rsidR="0046298C">
        <w:t xml:space="preserve">ach fee is made up of both direct </w:t>
      </w:r>
      <w:r>
        <w:t xml:space="preserve">and </w:t>
      </w:r>
      <w:r w:rsidR="0046298C">
        <w:t xml:space="preserve">indirect costs. </w:t>
      </w:r>
    </w:p>
    <w:tbl>
      <w:tblPr>
        <w:tblStyle w:val="ARPANSA1"/>
        <w:tblW w:w="5000" w:type="pct"/>
        <w:tblLook w:val="04A0" w:firstRow="1" w:lastRow="0" w:firstColumn="1" w:lastColumn="0" w:noHBand="0" w:noVBand="1"/>
      </w:tblPr>
      <w:tblGrid>
        <w:gridCol w:w="4798"/>
        <w:gridCol w:w="1609"/>
        <w:gridCol w:w="1612"/>
        <w:gridCol w:w="1609"/>
      </w:tblGrid>
      <w:tr w:rsidR="009B31B4" w:rsidRPr="009B31B4" w14:paraId="7DD61FE0" w14:textId="77777777" w:rsidTr="00842DD6">
        <w:trPr>
          <w:cnfStyle w:val="100000000000" w:firstRow="1" w:lastRow="0" w:firstColumn="0" w:lastColumn="0" w:oddVBand="0" w:evenVBand="0" w:oddHBand="0" w:evenHBand="0" w:firstRowFirstColumn="0" w:firstRowLastColumn="0" w:lastRowFirstColumn="0" w:lastRowLastColumn="0"/>
        </w:trPr>
        <w:tc>
          <w:tcPr>
            <w:tcW w:w="4890" w:type="dxa"/>
            <w:tcBorders>
              <w:left w:val="single" w:sz="4" w:space="0" w:color="4E1A74" w:themeColor="text2"/>
              <w:bottom w:val="single" w:sz="4" w:space="0" w:color="4E1A74"/>
              <w:right w:val="single" w:sz="4" w:space="0" w:color="FFFFFF" w:themeColor="background1"/>
            </w:tcBorders>
          </w:tcPr>
          <w:p w14:paraId="3B96759C" w14:textId="3747993D" w:rsidR="009B31B4" w:rsidRPr="00842DD6" w:rsidRDefault="009B31B4" w:rsidP="00CB4ED0">
            <w:pPr>
              <w:rPr>
                <w:b/>
              </w:rPr>
            </w:pPr>
            <w:r w:rsidRPr="00842DD6">
              <w:rPr>
                <w:b/>
              </w:rPr>
              <w:t>Output</w:t>
            </w:r>
          </w:p>
        </w:tc>
        <w:tc>
          <w:tcPr>
            <w:tcW w:w="1630" w:type="dxa"/>
            <w:tcBorders>
              <w:left w:val="single" w:sz="4" w:space="0" w:color="FFFFFF" w:themeColor="background1"/>
              <w:bottom w:val="single" w:sz="4" w:space="0" w:color="4E1A74"/>
              <w:right w:val="single" w:sz="4" w:space="0" w:color="FFFFFF" w:themeColor="background1"/>
            </w:tcBorders>
          </w:tcPr>
          <w:p w14:paraId="0C05C308" w14:textId="251A884D" w:rsidR="009B31B4" w:rsidRPr="00842DD6" w:rsidRDefault="009B31B4" w:rsidP="00CB4ED0">
            <w:pPr>
              <w:rPr>
                <w:b/>
              </w:rPr>
            </w:pPr>
            <w:r w:rsidRPr="00842DD6">
              <w:rPr>
                <w:b/>
              </w:rPr>
              <w:t>Direct costs</w:t>
            </w:r>
          </w:p>
        </w:tc>
        <w:tc>
          <w:tcPr>
            <w:tcW w:w="1630" w:type="dxa"/>
            <w:tcBorders>
              <w:left w:val="single" w:sz="4" w:space="0" w:color="FFFFFF" w:themeColor="background1"/>
              <w:bottom w:val="single" w:sz="4" w:space="0" w:color="4E1A74"/>
              <w:right w:val="single" w:sz="4" w:space="0" w:color="FFFFFF" w:themeColor="background1"/>
            </w:tcBorders>
          </w:tcPr>
          <w:p w14:paraId="5417C40D" w14:textId="10F599B8" w:rsidR="009B31B4" w:rsidRPr="00842DD6" w:rsidRDefault="009B31B4" w:rsidP="00CB4ED0">
            <w:pPr>
              <w:rPr>
                <w:b/>
              </w:rPr>
            </w:pPr>
            <w:r w:rsidRPr="00842DD6">
              <w:rPr>
                <w:b/>
              </w:rPr>
              <w:t>Indirect costs</w:t>
            </w:r>
          </w:p>
        </w:tc>
        <w:tc>
          <w:tcPr>
            <w:tcW w:w="1631" w:type="dxa"/>
            <w:tcBorders>
              <w:top w:val="single" w:sz="4" w:space="0" w:color="4E1A74" w:themeColor="text2"/>
              <w:left w:val="single" w:sz="4" w:space="0" w:color="FFFFFF" w:themeColor="background1"/>
              <w:bottom w:val="single" w:sz="4" w:space="0" w:color="4E1A74"/>
              <w:right w:val="single" w:sz="4" w:space="0" w:color="4E1A74" w:themeColor="text2"/>
            </w:tcBorders>
          </w:tcPr>
          <w:p w14:paraId="162AAA5B" w14:textId="503B8B04" w:rsidR="009B31B4" w:rsidRPr="00842DD6" w:rsidRDefault="009B31B4" w:rsidP="00CB4ED0">
            <w:pPr>
              <w:rPr>
                <w:b/>
              </w:rPr>
            </w:pPr>
            <w:r w:rsidRPr="00842DD6">
              <w:rPr>
                <w:b/>
              </w:rPr>
              <w:t>Total</w:t>
            </w:r>
          </w:p>
        </w:tc>
      </w:tr>
      <w:tr w:rsidR="009B31B4" w14:paraId="76A87225" w14:textId="77777777" w:rsidTr="00842DD6">
        <w:tc>
          <w:tcPr>
            <w:tcW w:w="4890" w:type="dxa"/>
            <w:tcBorders>
              <w:top w:val="single" w:sz="4" w:space="0" w:color="4E1A74"/>
            </w:tcBorders>
          </w:tcPr>
          <w:p w14:paraId="1A91C4C5" w14:textId="55DBD0E0" w:rsidR="009B31B4" w:rsidRPr="00EF16D6" w:rsidRDefault="00BB5500" w:rsidP="00AF3634">
            <w:pPr>
              <w:rPr>
                <w:rFonts w:ascii="Calibri" w:hAnsi="Calibri" w:cs="Calibri"/>
                <w:color w:val="000000"/>
                <w:sz w:val="22"/>
              </w:rPr>
            </w:pPr>
            <w:r w:rsidRPr="00EF16D6">
              <w:rPr>
                <w:rFonts w:ascii="Calibri" w:hAnsi="Calibri" w:cs="Calibri"/>
                <w:color w:val="000000"/>
                <w:sz w:val="22"/>
              </w:rPr>
              <w:t xml:space="preserve">Medical </w:t>
            </w:r>
            <w:r w:rsidR="00AF3634">
              <w:rPr>
                <w:rFonts w:ascii="Calibri" w:hAnsi="Calibri" w:cs="Calibri"/>
                <w:color w:val="000000"/>
                <w:sz w:val="22"/>
              </w:rPr>
              <w:t>i</w:t>
            </w:r>
            <w:r w:rsidR="00AF3634" w:rsidRPr="00EF16D6">
              <w:rPr>
                <w:rFonts w:ascii="Calibri" w:hAnsi="Calibri" w:cs="Calibri"/>
                <w:color w:val="000000"/>
                <w:sz w:val="22"/>
              </w:rPr>
              <w:t xml:space="preserve">mport </w:t>
            </w:r>
            <w:r w:rsidR="00AF3634">
              <w:rPr>
                <w:rFonts w:ascii="Calibri" w:hAnsi="Calibri" w:cs="Calibri"/>
                <w:color w:val="000000"/>
                <w:sz w:val="22"/>
              </w:rPr>
              <w:t>p</w:t>
            </w:r>
            <w:r w:rsidR="00AF3634" w:rsidRPr="00EF16D6">
              <w:rPr>
                <w:rFonts w:ascii="Calibri" w:hAnsi="Calibri" w:cs="Calibri"/>
                <w:color w:val="000000"/>
                <w:sz w:val="22"/>
              </w:rPr>
              <w:t>ermits</w:t>
            </w:r>
          </w:p>
        </w:tc>
        <w:tc>
          <w:tcPr>
            <w:tcW w:w="1630" w:type="dxa"/>
            <w:tcBorders>
              <w:top w:val="single" w:sz="4" w:space="0" w:color="4E1A74"/>
            </w:tcBorders>
          </w:tcPr>
          <w:p w14:paraId="376A7B42" w14:textId="44684C98" w:rsidR="009C14B4" w:rsidRPr="00EF16D6" w:rsidRDefault="00AD0D50" w:rsidP="00A47C10">
            <w:pPr>
              <w:jc w:val="center"/>
              <w:rPr>
                <w:rFonts w:ascii="Calibri" w:hAnsi="Calibri" w:cs="Calibri"/>
                <w:color w:val="000000"/>
                <w:sz w:val="22"/>
              </w:rPr>
            </w:pPr>
            <w:r>
              <w:rPr>
                <w:rFonts w:ascii="Calibri" w:hAnsi="Calibri" w:cs="Calibri"/>
                <w:color w:val="000000"/>
                <w:sz w:val="22"/>
              </w:rPr>
              <w:t>$107</w:t>
            </w:r>
          </w:p>
        </w:tc>
        <w:tc>
          <w:tcPr>
            <w:tcW w:w="1630" w:type="dxa"/>
            <w:tcBorders>
              <w:top w:val="single" w:sz="4" w:space="0" w:color="4E1A74"/>
            </w:tcBorders>
          </w:tcPr>
          <w:p w14:paraId="0B076121" w14:textId="7AD25139" w:rsidR="009B31B4" w:rsidRPr="00EF16D6" w:rsidRDefault="00AD0D50" w:rsidP="00A47C10">
            <w:pPr>
              <w:jc w:val="center"/>
              <w:rPr>
                <w:rFonts w:ascii="Calibri" w:hAnsi="Calibri" w:cs="Calibri"/>
                <w:color w:val="000000"/>
                <w:sz w:val="22"/>
              </w:rPr>
            </w:pPr>
            <w:r>
              <w:rPr>
                <w:rFonts w:ascii="Calibri" w:hAnsi="Calibri" w:cs="Calibri"/>
                <w:color w:val="000000"/>
                <w:sz w:val="22"/>
              </w:rPr>
              <w:t>$73</w:t>
            </w:r>
          </w:p>
        </w:tc>
        <w:tc>
          <w:tcPr>
            <w:tcW w:w="1631" w:type="dxa"/>
            <w:tcBorders>
              <w:top w:val="single" w:sz="4" w:space="0" w:color="4E1A74"/>
            </w:tcBorders>
          </w:tcPr>
          <w:p w14:paraId="65367EB9" w14:textId="7E1651FD" w:rsidR="009B31B4" w:rsidRPr="00EF16D6" w:rsidRDefault="00AD0D50" w:rsidP="00A47C10">
            <w:pPr>
              <w:jc w:val="center"/>
              <w:rPr>
                <w:rFonts w:ascii="Calibri" w:hAnsi="Calibri" w:cs="Calibri"/>
                <w:color w:val="000000"/>
                <w:sz w:val="22"/>
              </w:rPr>
            </w:pPr>
            <w:r>
              <w:rPr>
                <w:rFonts w:ascii="Calibri" w:hAnsi="Calibri" w:cs="Calibri"/>
                <w:color w:val="000000"/>
                <w:sz w:val="22"/>
              </w:rPr>
              <w:t>$180</w:t>
            </w:r>
          </w:p>
        </w:tc>
      </w:tr>
      <w:tr w:rsidR="00EF16D6" w14:paraId="4A067E7D" w14:textId="77777777" w:rsidTr="00842DD6">
        <w:tc>
          <w:tcPr>
            <w:tcW w:w="4890" w:type="dxa"/>
          </w:tcPr>
          <w:p w14:paraId="4238FB79" w14:textId="3BB7C226" w:rsidR="00EF16D6" w:rsidRPr="00EF16D6" w:rsidRDefault="00EF16D6" w:rsidP="00AF3634">
            <w:pPr>
              <w:rPr>
                <w:rFonts w:ascii="Calibri" w:hAnsi="Calibri" w:cs="Calibri"/>
                <w:color w:val="000000"/>
                <w:sz w:val="22"/>
              </w:rPr>
            </w:pPr>
            <w:r w:rsidRPr="00EF16D6">
              <w:rPr>
                <w:rFonts w:ascii="Calibri" w:hAnsi="Calibri" w:cs="Calibri"/>
                <w:color w:val="000000"/>
                <w:sz w:val="22"/>
              </w:rPr>
              <w:t>Non-</w:t>
            </w:r>
            <w:r w:rsidR="00AF3634">
              <w:rPr>
                <w:rFonts w:ascii="Calibri" w:hAnsi="Calibri" w:cs="Calibri"/>
                <w:color w:val="000000"/>
                <w:sz w:val="22"/>
              </w:rPr>
              <w:t>m</w:t>
            </w:r>
            <w:r w:rsidR="00AF3634" w:rsidRPr="00EF16D6">
              <w:rPr>
                <w:rFonts w:ascii="Calibri" w:hAnsi="Calibri" w:cs="Calibri"/>
                <w:color w:val="000000"/>
                <w:sz w:val="22"/>
              </w:rPr>
              <w:t xml:space="preserve">edical </w:t>
            </w:r>
            <w:r w:rsidR="00AF3634">
              <w:rPr>
                <w:rFonts w:ascii="Calibri" w:hAnsi="Calibri" w:cs="Calibri"/>
                <w:color w:val="000000"/>
                <w:sz w:val="22"/>
              </w:rPr>
              <w:t>i</w:t>
            </w:r>
            <w:r w:rsidR="00AF3634" w:rsidRPr="00EF16D6">
              <w:rPr>
                <w:rFonts w:ascii="Calibri" w:hAnsi="Calibri" w:cs="Calibri"/>
                <w:color w:val="000000"/>
                <w:sz w:val="22"/>
              </w:rPr>
              <w:t xml:space="preserve">mport </w:t>
            </w:r>
            <w:r w:rsidR="00AF3634">
              <w:rPr>
                <w:rFonts w:ascii="Calibri" w:hAnsi="Calibri" w:cs="Calibri"/>
                <w:color w:val="000000"/>
                <w:sz w:val="22"/>
              </w:rPr>
              <w:t>p</w:t>
            </w:r>
            <w:r w:rsidR="00AF3634" w:rsidRPr="00EF16D6">
              <w:rPr>
                <w:rFonts w:ascii="Calibri" w:hAnsi="Calibri" w:cs="Calibri"/>
                <w:color w:val="000000"/>
                <w:sz w:val="22"/>
              </w:rPr>
              <w:t>ermits</w:t>
            </w:r>
          </w:p>
        </w:tc>
        <w:tc>
          <w:tcPr>
            <w:tcW w:w="1630" w:type="dxa"/>
          </w:tcPr>
          <w:p w14:paraId="1F1417EB" w14:textId="61622D7A" w:rsidR="00EF16D6" w:rsidRPr="00EF16D6" w:rsidRDefault="00AD0D50" w:rsidP="00A47C10">
            <w:pPr>
              <w:jc w:val="center"/>
              <w:rPr>
                <w:rFonts w:ascii="Calibri" w:hAnsi="Calibri" w:cs="Calibri"/>
                <w:color w:val="000000"/>
                <w:sz w:val="22"/>
              </w:rPr>
            </w:pPr>
            <w:r>
              <w:rPr>
                <w:rFonts w:ascii="Calibri" w:hAnsi="Calibri" w:cs="Calibri"/>
                <w:color w:val="000000"/>
                <w:sz w:val="22"/>
              </w:rPr>
              <w:t>$108</w:t>
            </w:r>
          </w:p>
        </w:tc>
        <w:tc>
          <w:tcPr>
            <w:tcW w:w="1630" w:type="dxa"/>
          </w:tcPr>
          <w:p w14:paraId="60E6465F" w14:textId="0C506121" w:rsidR="00EF16D6" w:rsidRPr="00EF16D6" w:rsidRDefault="00AD0D50" w:rsidP="00A47C10">
            <w:pPr>
              <w:jc w:val="center"/>
              <w:rPr>
                <w:rFonts w:ascii="Calibri" w:hAnsi="Calibri" w:cs="Calibri"/>
                <w:color w:val="000000"/>
                <w:sz w:val="22"/>
              </w:rPr>
            </w:pPr>
            <w:r>
              <w:rPr>
                <w:rFonts w:ascii="Calibri" w:hAnsi="Calibri" w:cs="Calibri"/>
                <w:color w:val="000000"/>
                <w:sz w:val="22"/>
              </w:rPr>
              <w:t>$72</w:t>
            </w:r>
          </w:p>
        </w:tc>
        <w:tc>
          <w:tcPr>
            <w:tcW w:w="1631" w:type="dxa"/>
          </w:tcPr>
          <w:p w14:paraId="7D268698" w14:textId="70790C73" w:rsidR="00EF16D6" w:rsidRPr="00EF16D6" w:rsidRDefault="00AD0D50" w:rsidP="00A47C10">
            <w:pPr>
              <w:jc w:val="center"/>
              <w:rPr>
                <w:rFonts w:ascii="Calibri" w:hAnsi="Calibri" w:cs="Calibri"/>
                <w:color w:val="000000"/>
                <w:sz w:val="22"/>
              </w:rPr>
            </w:pPr>
            <w:r>
              <w:rPr>
                <w:rFonts w:ascii="Calibri" w:hAnsi="Calibri" w:cs="Calibri"/>
                <w:color w:val="000000"/>
                <w:sz w:val="22"/>
              </w:rPr>
              <w:t>$180</w:t>
            </w:r>
          </w:p>
        </w:tc>
      </w:tr>
      <w:tr w:rsidR="009B31B4" w14:paraId="72CC2CA1" w14:textId="77777777" w:rsidTr="00842DD6">
        <w:tc>
          <w:tcPr>
            <w:tcW w:w="4890" w:type="dxa"/>
          </w:tcPr>
          <w:p w14:paraId="372FE7B5" w14:textId="344BD271" w:rsidR="009B31B4" w:rsidRPr="00EF16D6" w:rsidRDefault="004D2E52" w:rsidP="00AF3634">
            <w:pPr>
              <w:rPr>
                <w:rFonts w:ascii="Calibri" w:hAnsi="Calibri" w:cs="Calibri"/>
                <w:color w:val="000000"/>
                <w:sz w:val="22"/>
              </w:rPr>
            </w:pPr>
            <w:r>
              <w:rPr>
                <w:rFonts w:ascii="Calibri" w:hAnsi="Calibri" w:cs="Calibri"/>
                <w:color w:val="000000"/>
                <w:sz w:val="22"/>
              </w:rPr>
              <w:t>E</w:t>
            </w:r>
            <w:r w:rsidR="00AF3634" w:rsidRPr="00EF16D6">
              <w:rPr>
                <w:rFonts w:ascii="Calibri" w:hAnsi="Calibri" w:cs="Calibri"/>
                <w:color w:val="000000"/>
                <w:sz w:val="22"/>
              </w:rPr>
              <w:t xml:space="preserve">xport </w:t>
            </w:r>
            <w:r w:rsidR="00AF3634">
              <w:rPr>
                <w:rFonts w:ascii="Calibri" w:hAnsi="Calibri" w:cs="Calibri"/>
                <w:color w:val="000000"/>
                <w:sz w:val="22"/>
              </w:rPr>
              <w:t>p</w:t>
            </w:r>
            <w:r w:rsidR="00AF3634" w:rsidRPr="00EF16D6">
              <w:rPr>
                <w:rFonts w:ascii="Calibri" w:hAnsi="Calibri" w:cs="Calibri"/>
                <w:color w:val="000000"/>
                <w:sz w:val="22"/>
              </w:rPr>
              <w:t>ermits</w:t>
            </w:r>
          </w:p>
        </w:tc>
        <w:tc>
          <w:tcPr>
            <w:tcW w:w="1630" w:type="dxa"/>
          </w:tcPr>
          <w:p w14:paraId="0C4694F3" w14:textId="46C3B0A9" w:rsidR="009B31B4" w:rsidRPr="00EF16D6" w:rsidRDefault="00AD0D50" w:rsidP="00A47C10">
            <w:pPr>
              <w:jc w:val="center"/>
              <w:rPr>
                <w:rFonts w:ascii="Calibri" w:hAnsi="Calibri" w:cs="Calibri"/>
                <w:color w:val="000000"/>
                <w:sz w:val="22"/>
              </w:rPr>
            </w:pPr>
            <w:r>
              <w:rPr>
                <w:rFonts w:ascii="Calibri" w:hAnsi="Calibri" w:cs="Calibri"/>
                <w:color w:val="000000"/>
                <w:sz w:val="22"/>
              </w:rPr>
              <w:t>$184</w:t>
            </w:r>
          </w:p>
        </w:tc>
        <w:tc>
          <w:tcPr>
            <w:tcW w:w="1630" w:type="dxa"/>
          </w:tcPr>
          <w:p w14:paraId="0ACCE966" w14:textId="11D6B9BF" w:rsidR="009B31B4" w:rsidRPr="00EF16D6" w:rsidRDefault="00AD0D50" w:rsidP="00A47C10">
            <w:pPr>
              <w:jc w:val="center"/>
              <w:rPr>
                <w:rFonts w:ascii="Calibri" w:hAnsi="Calibri" w:cs="Calibri"/>
                <w:color w:val="000000"/>
                <w:sz w:val="22"/>
              </w:rPr>
            </w:pPr>
            <w:r>
              <w:rPr>
                <w:rFonts w:ascii="Calibri" w:hAnsi="Calibri" w:cs="Calibri"/>
                <w:color w:val="000000"/>
                <w:sz w:val="22"/>
              </w:rPr>
              <w:t>$12</w:t>
            </w:r>
            <w:r w:rsidR="00453BFA">
              <w:rPr>
                <w:rFonts w:ascii="Calibri" w:hAnsi="Calibri" w:cs="Calibri"/>
                <w:color w:val="000000"/>
                <w:sz w:val="22"/>
              </w:rPr>
              <w:t>2</w:t>
            </w:r>
          </w:p>
        </w:tc>
        <w:tc>
          <w:tcPr>
            <w:tcW w:w="1631" w:type="dxa"/>
          </w:tcPr>
          <w:p w14:paraId="43D8E4BE" w14:textId="4AD8846A" w:rsidR="009B31B4" w:rsidRPr="00EF16D6" w:rsidRDefault="00AD0D50" w:rsidP="00A47C10">
            <w:pPr>
              <w:jc w:val="center"/>
              <w:rPr>
                <w:rFonts w:ascii="Calibri" w:hAnsi="Calibri" w:cs="Calibri"/>
                <w:color w:val="000000"/>
                <w:sz w:val="22"/>
              </w:rPr>
            </w:pPr>
            <w:r>
              <w:rPr>
                <w:rFonts w:ascii="Calibri" w:hAnsi="Calibri" w:cs="Calibri"/>
                <w:color w:val="000000"/>
                <w:sz w:val="22"/>
              </w:rPr>
              <w:t>$30</w:t>
            </w:r>
            <w:r w:rsidR="00453BFA">
              <w:rPr>
                <w:rFonts w:ascii="Calibri" w:hAnsi="Calibri" w:cs="Calibri"/>
                <w:color w:val="000000"/>
                <w:sz w:val="22"/>
              </w:rPr>
              <w:t>6</w:t>
            </w:r>
          </w:p>
        </w:tc>
      </w:tr>
    </w:tbl>
    <w:p w14:paraId="6F347D15" w14:textId="140DE788" w:rsidR="009372EE" w:rsidRDefault="009372EE" w:rsidP="006202D6"/>
    <w:p w14:paraId="39FD9808" w14:textId="77777777" w:rsidR="00F134C1" w:rsidRDefault="00F134C1" w:rsidP="006202D6"/>
    <w:p w14:paraId="5B41FAE0" w14:textId="2FBC28F6" w:rsidR="00F134C1" w:rsidRDefault="00F134C1" w:rsidP="006202D6"/>
    <w:p w14:paraId="607C26DA" w14:textId="3FA49462" w:rsidR="00322906" w:rsidRDefault="00322906" w:rsidP="006202D6"/>
    <w:p w14:paraId="27DD39A9" w14:textId="77777777" w:rsidR="00322906" w:rsidRDefault="00322906" w:rsidP="006202D6"/>
    <w:p w14:paraId="5341F17D" w14:textId="77777777" w:rsidR="00F134C1" w:rsidRDefault="00F134C1" w:rsidP="006202D6"/>
    <w:p w14:paraId="0EE83F77" w14:textId="4010779E" w:rsidR="00453BFA" w:rsidRDefault="00F134C1" w:rsidP="006202D6">
      <w:pPr>
        <w:rPr>
          <w:rFonts w:eastAsiaTheme="majorEastAsia" w:cstheme="majorBidi"/>
          <w:b/>
          <w:bCs/>
          <w:i/>
          <w:color w:val="4E1A74"/>
          <w:sz w:val="24"/>
        </w:rPr>
      </w:pPr>
      <w:r w:rsidRPr="00F134C1">
        <w:rPr>
          <w:rFonts w:eastAsiaTheme="majorEastAsia" w:cstheme="majorBidi"/>
          <w:b/>
          <w:bCs/>
          <w:i/>
          <w:color w:val="4E1A74"/>
          <w:sz w:val="24"/>
        </w:rPr>
        <w:lastRenderedPageBreak/>
        <w:t>Composition of direct and indirect cost</w:t>
      </w:r>
      <w:r w:rsidR="004D2E52" w:rsidRPr="004D2E52">
        <w:drawing>
          <wp:inline distT="0" distB="0" distL="0" distR="0" wp14:anchorId="0D70879D" wp14:editId="7734F147">
            <wp:extent cx="6120130" cy="2737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737485"/>
                    </a:xfrm>
                    <a:prstGeom prst="rect">
                      <a:avLst/>
                    </a:prstGeom>
                    <a:noFill/>
                    <a:ln>
                      <a:noFill/>
                    </a:ln>
                  </pic:spPr>
                </pic:pic>
              </a:graphicData>
            </a:graphic>
          </wp:inline>
        </w:drawing>
      </w:r>
    </w:p>
    <w:p w14:paraId="24A9EF0E" w14:textId="12415EBF" w:rsidR="00415EE2" w:rsidRDefault="00FC736F" w:rsidP="006202D6">
      <w:r>
        <w:t>Direct costs are those costs that</w:t>
      </w:r>
      <w:r w:rsidR="0025274B">
        <w:t xml:space="preserve"> are</w:t>
      </w:r>
      <w:r>
        <w:t xml:space="preserve"> </w:t>
      </w:r>
      <w:r w:rsidR="00055167">
        <w:t xml:space="preserve">directly </w:t>
      </w:r>
      <w:r w:rsidR="00164188">
        <w:t>attributed to</w:t>
      </w:r>
      <w:r>
        <w:t xml:space="preserve"> the </w:t>
      </w:r>
      <w:r w:rsidR="00055167">
        <w:t xml:space="preserve">charging </w:t>
      </w:r>
      <w:r w:rsidR="00322906">
        <w:t>activity,</w:t>
      </w:r>
      <w:r>
        <w:t xml:space="preserve"> in this case the processing of import and ex</w:t>
      </w:r>
      <w:r w:rsidR="00D64EC5">
        <w:t>port permit applications</w:t>
      </w:r>
      <w:r>
        <w:t xml:space="preserve">. The direct costs associated with import export permits consist solely of the staff time taken to </w:t>
      </w:r>
      <w:r w:rsidR="00055167">
        <w:t xml:space="preserve">assess, approve and </w:t>
      </w:r>
      <w:r>
        <w:t>process</w:t>
      </w:r>
      <w:r w:rsidR="00FC3FBC">
        <w:t xml:space="preserve"> </w:t>
      </w:r>
      <w:r w:rsidR="00055167">
        <w:t xml:space="preserve">the </w:t>
      </w:r>
      <w:r>
        <w:t>permit</w:t>
      </w:r>
      <w:r w:rsidR="007D26B4">
        <w:t xml:space="preserve"> application</w:t>
      </w:r>
      <w:r>
        <w:t>.</w:t>
      </w:r>
    </w:p>
    <w:p w14:paraId="0C928695" w14:textId="77777777" w:rsidR="00B10645" w:rsidRDefault="005C4F59" w:rsidP="006202D6">
      <w:r>
        <w:t xml:space="preserve">The direct costs associated with the processing of each permit application represent the most efficient cost of </w:t>
      </w:r>
      <w:r w:rsidR="00FC3FBC">
        <w:t>performing that task</w:t>
      </w:r>
      <w:r>
        <w:t>, with tasks being undertaken by staff at the appropriate level.</w:t>
      </w:r>
    </w:p>
    <w:p w14:paraId="33075622" w14:textId="77BE9FFC" w:rsidR="00421FEC" w:rsidRDefault="000802D2" w:rsidP="00421FEC">
      <w:r w:rsidRPr="00430768">
        <w:t>Indirect costs represent all costs that cannot be directly at</w:t>
      </w:r>
      <w:r w:rsidR="00B85DA0">
        <w:t>tributed to a specific activity.</w:t>
      </w:r>
      <w:r w:rsidR="00421FEC">
        <w:t xml:space="preserve"> </w:t>
      </w:r>
    </w:p>
    <w:p w14:paraId="430B8581" w14:textId="4D15CDD3" w:rsidR="00DE21E1" w:rsidRDefault="00DE21E1" w:rsidP="00A6180F">
      <w:pPr>
        <w:pStyle w:val="Heading3"/>
        <w:numPr>
          <w:ilvl w:val="1"/>
          <w:numId w:val="5"/>
        </w:numPr>
        <w:ind w:left="426"/>
      </w:pPr>
      <w:r w:rsidRPr="00C56F45">
        <w:t>Design of regulatory charges</w:t>
      </w:r>
    </w:p>
    <w:p w14:paraId="2C0D8878" w14:textId="48B2A929" w:rsidR="00DE21E1" w:rsidRDefault="00C215C4" w:rsidP="005026E3">
      <w:r w:rsidRPr="00347DBE">
        <w:t>ARPANSA</w:t>
      </w:r>
      <w:r w:rsidR="00B72146" w:rsidRPr="00347DBE">
        <w:t xml:space="preserve">’s import and export permit charges </w:t>
      </w:r>
      <w:r w:rsidR="0024505E" w:rsidRPr="00347DBE">
        <w:t>are</w:t>
      </w:r>
      <w:r w:rsidR="00B72146" w:rsidRPr="00347DBE">
        <w:t xml:space="preserve"> </w:t>
      </w:r>
      <w:r w:rsidR="0024505E" w:rsidRPr="00347DBE">
        <w:t xml:space="preserve">calculated </w:t>
      </w:r>
      <w:r w:rsidR="00AE1D1F" w:rsidRPr="00347DBE">
        <w:t>based on</w:t>
      </w:r>
      <w:r w:rsidR="00B72146" w:rsidRPr="00347DBE">
        <w:t xml:space="preserve"> the </w:t>
      </w:r>
      <w:r w:rsidR="0021775D" w:rsidRPr="00347DBE">
        <w:t>time</w:t>
      </w:r>
      <w:r w:rsidR="0024505E" w:rsidRPr="00347DBE">
        <w:t xml:space="preserve"> and associated costs allocated to </w:t>
      </w:r>
      <w:r w:rsidR="00B72146" w:rsidRPr="00347DBE">
        <w:t>each stage of the permit assessment and issuance process</w:t>
      </w:r>
      <w:r w:rsidRPr="00347DBE">
        <w:t xml:space="preserve">. </w:t>
      </w:r>
      <w:r w:rsidR="0021775D" w:rsidRPr="00347DBE">
        <w:t xml:space="preserve">The </w:t>
      </w:r>
      <w:r w:rsidRPr="00347DBE">
        <w:t xml:space="preserve">fee represents </w:t>
      </w:r>
      <w:r w:rsidR="00B72146" w:rsidRPr="00347DBE">
        <w:t>a</w:t>
      </w:r>
      <w:r w:rsidRPr="00347DBE">
        <w:t xml:space="preserve"> simple and </w:t>
      </w:r>
      <w:r w:rsidR="00BF10A6" w:rsidRPr="00347DBE">
        <w:t>cost-</w:t>
      </w:r>
      <w:r w:rsidRPr="00347DBE">
        <w:t>effective way of passing on the cost of regulation</w:t>
      </w:r>
      <w:r w:rsidR="00BA34D4" w:rsidRPr="00347DBE">
        <w:t>.</w:t>
      </w:r>
      <w:r w:rsidR="00BA34D4">
        <w:t xml:space="preserve"> </w:t>
      </w:r>
      <w:r w:rsidR="00B72146">
        <w:t xml:space="preserve"> </w:t>
      </w:r>
    </w:p>
    <w:p w14:paraId="5611FA79" w14:textId="77777777" w:rsidR="00BF5066" w:rsidRDefault="00BF5066" w:rsidP="005026E3"/>
    <w:tbl>
      <w:tblPr>
        <w:tblStyle w:val="GenericARPANSA"/>
        <w:tblW w:w="5000" w:type="pct"/>
        <w:tblInd w:w="0" w:type="dxa"/>
        <w:tblLook w:val="04A0" w:firstRow="1" w:lastRow="0" w:firstColumn="1" w:lastColumn="0" w:noHBand="0" w:noVBand="1"/>
      </w:tblPr>
      <w:tblGrid>
        <w:gridCol w:w="4049"/>
        <w:gridCol w:w="1394"/>
        <w:gridCol w:w="1394"/>
        <w:gridCol w:w="1376"/>
        <w:gridCol w:w="1415"/>
      </w:tblGrid>
      <w:tr w:rsidR="002D5478" w:rsidRPr="00C215C4" w14:paraId="41DF95C9" w14:textId="77777777" w:rsidTr="00842DD6">
        <w:trPr>
          <w:cnfStyle w:val="100000000000" w:firstRow="1" w:lastRow="0" w:firstColumn="0" w:lastColumn="0" w:oddVBand="0" w:evenVBand="0" w:oddHBand="0" w:evenHBand="0" w:firstRowFirstColumn="0" w:firstRowLastColumn="0" w:lastRowFirstColumn="0" w:lastRowLastColumn="0"/>
        </w:trPr>
        <w:tc>
          <w:tcPr>
            <w:tcW w:w="4004" w:type="dxa"/>
            <w:vAlign w:val="top"/>
          </w:tcPr>
          <w:p w14:paraId="49F2FB11" w14:textId="77777777" w:rsidR="002D5478" w:rsidRPr="00C215C4" w:rsidRDefault="002D5478" w:rsidP="00CB4ED0">
            <w:pPr>
              <w:jc w:val="left"/>
            </w:pPr>
            <w:r w:rsidRPr="00C215C4">
              <w:t>Output</w:t>
            </w:r>
          </w:p>
        </w:tc>
        <w:tc>
          <w:tcPr>
            <w:tcW w:w="1378" w:type="dxa"/>
            <w:vAlign w:val="top"/>
          </w:tcPr>
          <w:p w14:paraId="09969B50" w14:textId="1B6D108D" w:rsidR="002D5478" w:rsidRPr="00C215C4" w:rsidRDefault="002D5478" w:rsidP="00CB4ED0">
            <w:r w:rsidRPr="00C215C4">
              <w:t>Type</w:t>
            </w:r>
          </w:p>
        </w:tc>
        <w:tc>
          <w:tcPr>
            <w:tcW w:w="1378" w:type="dxa"/>
            <w:vAlign w:val="top"/>
          </w:tcPr>
          <w:p w14:paraId="71D10142" w14:textId="69CA2658" w:rsidR="002D5478" w:rsidRPr="00C215C4" w:rsidRDefault="002D5478" w:rsidP="002D5478">
            <w:r w:rsidRPr="00C215C4">
              <w:t>Rate</w:t>
            </w:r>
            <w:r>
              <w:t xml:space="preserve"> </w:t>
            </w:r>
          </w:p>
        </w:tc>
        <w:tc>
          <w:tcPr>
            <w:tcW w:w="1361" w:type="dxa"/>
          </w:tcPr>
          <w:p w14:paraId="75FD203B" w14:textId="48C5640D" w:rsidR="002D5478" w:rsidRPr="00C215C4" w:rsidRDefault="002D5478" w:rsidP="00CB4ED0">
            <w:r>
              <w:t>Estimated volume</w:t>
            </w:r>
          </w:p>
        </w:tc>
        <w:tc>
          <w:tcPr>
            <w:tcW w:w="1399" w:type="dxa"/>
            <w:vAlign w:val="top"/>
          </w:tcPr>
          <w:p w14:paraId="7A2A3FD4" w14:textId="3EF5F5A3" w:rsidR="002D5478" w:rsidRPr="00C215C4" w:rsidRDefault="002D5478" w:rsidP="002D5478">
            <w:r w:rsidRPr="00C215C4">
              <w:t>Estimated total revenue</w:t>
            </w:r>
            <w:r>
              <w:t xml:space="preserve"> for </w:t>
            </w:r>
            <w:r w:rsidR="003424DE">
              <w:t>202</w:t>
            </w:r>
            <w:r w:rsidR="0072541A">
              <w:t>3</w:t>
            </w:r>
            <w:r w:rsidR="003424DE">
              <w:t>-2</w:t>
            </w:r>
            <w:r w:rsidR="0072541A">
              <w:t>4</w:t>
            </w:r>
            <w:r>
              <w:t xml:space="preserve"> </w:t>
            </w:r>
          </w:p>
        </w:tc>
      </w:tr>
      <w:tr w:rsidR="00BA34D4" w14:paraId="1B605D3C" w14:textId="77777777" w:rsidTr="00842DD6">
        <w:tc>
          <w:tcPr>
            <w:tcW w:w="4004" w:type="dxa"/>
            <w:vAlign w:val="top"/>
          </w:tcPr>
          <w:p w14:paraId="39821DE8" w14:textId="4CAB31A7" w:rsidR="00BA34D4" w:rsidRDefault="00BA34D4" w:rsidP="00BF10A6">
            <w:pPr>
              <w:jc w:val="left"/>
            </w:pPr>
            <w:r w:rsidRPr="00EF16D6">
              <w:rPr>
                <w:rFonts w:ascii="Calibri" w:hAnsi="Calibri" w:cs="Calibri"/>
                <w:color w:val="000000"/>
              </w:rPr>
              <w:t xml:space="preserve">Medical </w:t>
            </w:r>
            <w:r w:rsidR="00BF10A6">
              <w:rPr>
                <w:rFonts w:ascii="Calibri" w:hAnsi="Calibri" w:cs="Calibri"/>
                <w:color w:val="000000"/>
              </w:rPr>
              <w:t>i</w:t>
            </w:r>
            <w:r w:rsidR="00BF10A6" w:rsidRPr="00EF16D6">
              <w:rPr>
                <w:rFonts w:ascii="Calibri" w:hAnsi="Calibri" w:cs="Calibri"/>
                <w:color w:val="000000"/>
              </w:rPr>
              <w:t xml:space="preserve">mport </w:t>
            </w:r>
            <w:r w:rsidR="00BF10A6">
              <w:rPr>
                <w:rFonts w:ascii="Calibri" w:hAnsi="Calibri" w:cs="Calibri"/>
                <w:color w:val="000000"/>
              </w:rPr>
              <w:t>p</w:t>
            </w:r>
            <w:r w:rsidR="00BF10A6" w:rsidRPr="00EF16D6">
              <w:rPr>
                <w:rFonts w:ascii="Calibri" w:hAnsi="Calibri" w:cs="Calibri"/>
                <w:color w:val="000000"/>
              </w:rPr>
              <w:t>ermits</w:t>
            </w:r>
          </w:p>
        </w:tc>
        <w:tc>
          <w:tcPr>
            <w:tcW w:w="1378" w:type="dxa"/>
            <w:vAlign w:val="top"/>
          </w:tcPr>
          <w:p w14:paraId="4FC2179C" w14:textId="152CB3A8" w:rsidR="00BA34D4" w:rsidRPr="00BB48DD" w:rsidRDefault="00BA34D4" w:rsidP="00BA34D4">
            <w:r>
              <w:t>Fee</w:t>
            </w:r>
          </w:p>
        </w:tc>
        <w:tc>
          <w:tcPr>
            <w:tcW w:w="1378" w:type="dxa"/>
          </w:tcPr>
          <w:p w14:paraId="64109CB4" w14:textId="00BEE7E5" w:rsidR="00BA34D4" w:rsidRPr="00BB48DD" w:rsidRDefault="00AD0D50" w:rsidP="00BA34D4">
            <w:r>
              <w:t>$180</w:t>
            </w:r>
          </w:p>
        </w:tc>
        <w:tc>
          <w:tcPr>
            <w:tcW w:w="1361" w:type="dxa"/>
          </w:tcPr>
          <w:p w14:paraId="133D06E6" w14:textId="2AD62427" w:rsidR="00BA34D4" w:rsidRDefault="00A47C10" w:rsidP="00BA34D4">
            <w:r>
              <w:t>775</w:t>
            </w:r>
          </w:p>
        </w:tc>
        <w:tc>
          <w:tcPr>
            <w:tcW w:w="1399" w:type="dxa"/>
          </w:tcPr>
          <w:p w14:paraId="6C5887D8" w14:textId="3E5CF14A" w:rsidR="00BA34D4" w:rsidRPr="00BB48DD" w:rsidRDefault="00AD0D50" w:rsidP="00BA34D4">
            <w:r>
              <w:t>$</w:t>
            </w:r>
            <w:r w:rsidR="00A47C10">
              <w:t>139,500</w:t>
            </w:r>
          </w:p>
        </w:tc>
      </w:tr>
      <w:tr w:rsidR="00BA34D4" w14:paraId="58E777D1" w14:textId="77777777" w:rsidTr="00842DD6">
        <w:trPr>
          <w:cnfStyle w:val="000000010000" w:firstRow="0" w:lastRow="0" w:firstColumn="0" w:lastColumn="0" w:oddVBand="0" w:evenVBand="0" w:oddHBand="0" w:evenHBand="1" w:firstRowFirstColumn="0" w:firstRowLastColumn="0" w:lastRowFirstColumn="0" w:lastRowLastColumn="0"/>
        </w:trPr>
        <w:tc>
          <w:tcPr>
            <w:tcW w:w="4004" w:type="dxa"/>
            <w:vAlign w:val="top"/>
          </w:tcPr>
          <w:p w14:paraId="661212DB" w14:textId="0708A0FC" w:rsidR="00BA34D4" w:rsidRDefault="00BA34D4" w:rsidP="00BF10A6">
            <w:pPr>
              <w:jc w:val="left"/>
            </w:pPr>
            <w:r w:rsidRPr="00EF16D6">
              <w:rPr>
                <w:rFonts w:ascii="Calibri" w:hAnsi="Calibri" w:cs="Calibri"/>
                <w:color w:val="000000"/>
              </w:rPr>
              <w:t>Non-</w:t>
            </w:r>
            <w:r w:rsidR="00BF10A6">
              <w:rPr>
                <w:rFonts w:ascii="Calibri" w:hAnsi="Calibri" w:cs="Calibri"/>
                <w:color w:val="000000"/>
              </w:rPr>
              <w:t>m</w:t>
            </w:r>
            <w:r w:rsidR="00BF10A6" w:rsidRPr="00EF16D6">
              <w:rPr>
                <w:rFonts w:ascii="Calibri" w:hAnsi="Calibri" w:cs="Calibri"/>
                <w:color w:val="000000"/>
              </w:rPr>
              <w:t xml:space="preserve">edical </w:t>
            </w:r>
            <w:r w:rsidR="00BF10A6">
              <w:rPr>
                <w:rFonts w:ascii="Calibri" w:hAnsi="Calibri" w:cs="Calibri"/>
                <w:color w:val="000000"/>
              </w:rPr>
              <w:t>i</w:t>
            </w:r>
            <w:r w:rsidR="00BF10A6" w:rsidRPr="00EF16D6">
              <w:rPr>
                <w:rFonts w:ascii="Calibri" w:hAnsi="Calibri" w:cs="Calibri"/>
                <w:color w:val="000000"/>
              </w:rPr>
              <w:t xml:space="preserve">mport </w:t>
            </w:r>
            <w:r w:rsidR="00BF10A6">
              <w:rPr>
                <w:rFonts w:ascii="Calibri" w:hAnsi="Calibri" w:cs="Calibri"/>
                <w:color w:val="000000"/>
              </w:rPr>
              <w:t>p</w:t>
            </w:r>
            <w:r w:rsidR="00BF10A6" w:rsidRPr="00EF16D6">
              <w:rPr>
                <w:rFonts w:ascii="Calibri" w:hAnsi="Calibri" w:cs="Calibri"/>
                <w:color w:val="000000"/>
              </w:rPr>
              <w:t>ermits</w:t>
            </w:r>
          </w:p>
        </w:tc>
        <w:tc>
          <w:tcPr>
            <w:tcW w:w="1378" w:type="dxa"/>
            <w:vAlign w:val="top"/>
          </w:tcPr>
          <w:p w14:paraId="5E6A43C8" w14:textId="2645D5B9" w:rsidR="00BA34D4" w:rsidRDefault="00BA34D4" w:rsidP="00BA34D4">
            <w:r>
              <w:t>Fee</w:t>
            </w:r>
          </w:p>
        </w:tc>
        <w:tc>
          <w:tcPr>
            <w:tcW w:w="1378" w:type="dxa"/>
          </w:tcPr>
          <w:p w14:paraId="2DB742E6" w14:textId="33826B20" w:rsidR="00BA34D4" w:rsidRDefault="00AD0D50" w:rsidP="00BA34D4">
            <w:r>
              <w:t>$180</w:t>
            </w:r>
          </w:p>
        </w:tc>
        <w:tc>
          <w:tcPr>
            <w:tcW w:w="1361" w:type="dxa"/>
          </w:tcPr>
          <w:p w14:paraId="6A8E32F7" w14:textId="161284B5" w:rsidR="00BA34D4" w:rsidRDefault="00A47C10" w:rsidP="00BA34D4">
            <w:r>
              <w:t>600</w:t>
            </w:r>
          </w:p>
        </w:tc>
        <w:tc>
          <w:tcPr>
            <w:tcW w:w="1399" w:type="dxa"/>
          </w:tcPr>
          <w:p w14:paraId="6C461D85" w14:textId="4466E03C" w:rsidR="00BA34D4" w:rsidRDefault="00A47C10" w:rsidP="00BA34D4">
            <w:r>
              <w:t>$108,000</w:t>
            </w:r>
          </w:p>
        </w:tc>
      </w:tr>
      <w:tr w:rsidR="00BA34D4" w14:paraId="16718E24" w14:textId="77777777" w:rsidTr="00842DD6">
        <w:tc>
          <w:tcPr>
            <w:tcW w:w="4004" w:type="dxa"/>
            <w:vAlign w:val="top"/>
          </w:tcPr>
          <w:p w14:paraId="5AE592B3" w14:textId="496261DE" w:rsidR="00BA34D4" w:rsidRDefault="004D2E52" w:rsidP="00BF10A6">
            <w:pPr>
              <w:jc w:val="left"/>
            </w:pPr>
            <w:r>
              <w:rPr>
                <w:rFonts w:ascii="Calibri" w:hAnsi="Calibri" w:cs="Calibri"/>
                <w:color w:val="000000"/>
              </w:rPr>
              <w:t>E</w:t>
            </w:r>
            <w:r w:rsidR="00BF10A6" w:rsidRPr="00EF16D6">
              <w:rPr>
                <w:rFonts w:ascii="Calibri" w:hAnsi="Calibri" w:cs="Calibri"/>
                <w:color w:val="000000"/>
              </w:rPr>
              <w:t xml:space="preserve">xport </w:t>
            </w:r>
            <w:r w:rsidR="00BF10A6">
              <w:rPr>
                <w:rFonts w:ascii="Calibri" w:hAnsi="Calibri" w:cs="Calibri"/>
                <w:color w:val="000000"/>
              </w:rPr>
              <w:t>p</w:t>
            </w:r>
            <w:r w:rsidR="00BF10A6" w:rsidRPr="00EF16D6">
              <w:rPr>
                <w:rFonts w:ascii="Calibri" w:hAnsi="Calibri" w:cs="Calibri"/>
                <w:color w:val="000000"/>
              </w:rPr>
              <w:t>ermits</w:t>
            </w:r>
          </w:p>
        </w:tc>
        <w:tc>
          <w:tcPr>
            <w:tcW w:w="1378" w:type="dxa"/>
            <w:vAlign w:val="top"/>
          </w:tcPr>
          <w:p w14:paraId="3439B6F1" w14:textId="2CE80F18" w:rsidR="00BA34D4" w:rsidRPr="00BB48DD" w:rsidRDefault="00BA34D4" w:rsidP="00BA34D4">
            <w:r>
              <w:t>Fee</w:t>
            </w:r>
          </w:p>
        </w:tc>
        <w:tc>
          <w:tcPr>
            <w:tcW w:w="1378" w:type="dxa"/>
          </w:tcPr>
          <w:p w14:paraId="252C1431" w14:textId="0AE01F13" w:rsidR="00BA34D4" w:rsidRPr="00BB48DD" w:rsidRDefault="00AD0D50" w:rsidP="00BA34D4">
            <w:r>
              <w:t>$306</w:t>
            </w:r>
          </w:p>
        </w:tc>
        <w:tc>
          <w:tcPr>
            <w:tcW w:w="1361" w:type="dxa"/>
          </w:tcPr>
          <w:p w14:paraId="1D68FF66" w14:textId="4F9CC12B" w:rsidR="00BA34D4" w:rsidRDefault="00A47C10" w:rsidP="00BA34D4">
            <w:r>
              <w:t>35</w:t>
            </w:r>
          </w:p>
        </w:tc>
        <w:tc>
          <w:tcPr>
            <w:tcW w:w="1399" w:type="dxa"/>
          </w:tcPr>
          <w:p w14:paraId="270F7112" w14:textId="055D167F" w:rsidR="00BA34D4" w:rsidRPr="00BB48DD" w:rsidRDefault="00A47C10" w:rsidP="00BA34D4">
            <w:r>
              <w:t>$10,710</w:t>
            </w:r>
          </w:p>
        </w:tc>
      </w:tr>
    </w:tbl>
    <w:p w14:paraId="1E393EEF" w14:textId="77777777" w:rsidR="00931480" w:rsidRDefault="00931480" w:rsidP="00AB0D38">
      <w:pPr>
        <w:pStyle w:val="Heading2"/>
        <w:numPr>
          <w:ilvl w:val="0"/>
          <w:numId w:val="5"/>
        </w:numPr>
      </w:pPr>
      <w:r>
        <w:t>Risk assessment</w:t>
      </w:r>
    </w:p>
    <w:p w14:paraId="590843BB" w14:textId="36BACA0A" w:rsidR="00661828" w:rsidRDefault="001F7EC5" w:rsidP="009D012B">
      <w:r>
        <w:t>The objectives of ARPANSA’s risk management policy</w:t>
      </w:r>
      <w:r w:rsidR="000A47C3">
        <w:t xml:space="preserve"> are to:</w:t>
      </w:r>
    </w:p>
    <w:p w14:paraId="0AAB291B" w14:textId="2A6CD8D5" w:rsidR="000A47C3" w:rsidRDefault="00072485" w:rsidP="00AB0D38">
      <w:pPr>
        <w:pStyle w:val="ListParagraph"/>
        <w:numPr>
          <w:ilvl w:val="0"/>
          <w:numId w:val="8"/>
        </w:numPr>
      </w:pPr>
      <w:r>
        <w:t>S</w:t>
      </w:r>
      <w:r w:rsidR="000A47C3">
        <w:t>upport organisation-wide strategic risk review annually</w:t>
      </w:r>
      <w:r w:rsidR="00BF10A6">
        <w:t>,</w:t>
      </w:r>
      <w:r w:rsidR="000A47C3">
        <w:t xml:space="preserve"> involving </w:t>
      </w:r>
      <w:r w:rsidR="00BF10A6">
        <w:t xml:space="preserve">branch </w:t>
      </w:r>
      <w:r w:rsidR="000A47C3">
        <w:t xml:space="preserve">and </w:t>
      </w:r>
      <w:r w:rsidR="00BF10A6">
        <w:t xml:space="preserve">office heads </w:t>
      </w:r>
      <w:r w:rsidR="000A47C3">
        <w:t xml:space="preserve">and their </w:t>
      </w:r>
      <w:r w:rsidR="00BF10A6">
        <w:t>functional leaders</w:t>
      </w:r>
      <w:r w:rsidR="00AE200A">
        <w:t>.</w:t>
      </w:r>
    </w:p>
    <w:p w14:paraId="63549E83" w14:textId="07D4F261" w:rsidR="000A47C3" w:rsidRDefault="00072485" w:rsidP="00AB0D38">
      <w:pPr>
        <w:pStyle w:val="ListParagraph"/>
        <w:numPr>
          <w:ilvl w:val="0"/>
          <w:numId w:val="8"/>
        </w:numPr>
      </w:pPr>
      <w:r>
        <w:lastRenderedPageBreak/>
        <w:t>P</w:t>
      </w:r>
      <w:r w:rsidR="000A47C3">
        <w:t xml:space="preserve">rovide guidance as required to support integration of risk management in the business plans for the </w:t>
      </w:r>
      <w:r w:rsidR="00BF10A6">
        <w:t xml:space="preserve">branch </w:t>
      </w:r>
      <w:r w:rsidR="000A47C3">
        <w:t xml:space="preserve">and </w:t>
      </w:r>
      <w:r w:rsidR="00BF10A6">
        <w:t>office</w:t>
      </w:r>
      <w:r w:rsidR="00AE200A">
        <w:t>.</w:t>
      </w:r>
    </w:p>
    <w:p w14:paraId="40520026" w14:textId="143A38DC" w:rsidR="000A47C3" w:rsidRDefault="00072485" w:rsidP="00AB0D38">
      <w:pPr>
        <w:pStyle w:val="ListParagraph"/>
        <w:numPr>
          <w:ilvl w:val="0"/>
          <w:numId w:val="8"/>
        </w:numPr>
      </w:pPr>
      <w:r>
        <w:t>P</w:t>
      </w:r>
      <w:r w:rsidR="000A47C3">
        <w:t>romote a risk aware organisational culture through sound risk management practices throughout ARPANSA</w:t>
      </w:r>
      <w:r w:rsidR="00AE200A">
        <w:t>.</w:t>
      </w:r>
    </w:p>
    <w:p w14:paraId="24DC959C" w14:textId="7B23B346" w:rsidR="000A47C3" w:rsidRDefault="00072485" w:rsidP="00AB0D38">
      <w:pPr>
        <w:pStyle w:val="ListParagraph"/>
        <w:numPr>
          <w:ilvl w:val="0"/>
          <w:numId w:val="8"/>
        </w:numPr>
      </w:pPr>
      <w:r>
        <w:t>M</w:t>
      </w:r>
      <w:r w:rsidR="000A47C3">
        <w:t>aintain records of the status of the implementation of risk controls</w:t>
      </w:r>
      <w:r w:rsidR="00AE200A">
        <w:t>.</w:t>
      </w:r>
    </w:p>
    <w:p w14:paraId="3D64596A" w14:textId="04F55AFD" w:rsidR="000A47C3" w:rsidRDefault="00072485" w:rsidP="00AB0D38">
      <w:pPr>
        <w:pStyle w:val="ListParagraph"/>
        <w:numPr>
          <w:ilvl w:val="0"/>
          <w:numId w:val="8"/>
        </w:numPr>
      </w:pPr>
      <w:r>
        <w:t>F</w:t>
      </w:r>
      <w:r w:rsidR="000A47C3">
        <w:t>acilitate a periodic assessment of risk management status, and review and adjustment of the control measures as required</w:t>
      </w:r>
      <w:r w:rsidR="00AE200A">
        <w:t>.</w:t>
      </w:r>
    </w:p>
    <w:p w14:paraId="36E5BF85" w14:textId="071F60AC" w:rsidR="000A47C3" w:rsidRDefault="00072485" w:rsidP="00AB0D38">
      <w:pPr>
        <w:pStyle w:val="ListParagraph"/>
        <w:numPr>
          <w:ilvl w:val="0"/>
          <w:numId w:val="8"/>
        </w:numPr>
      </w:pPr>
      <w:r>
        <w:t>M</w:t>
      </w:r>
      <w:r w:rsidR="000A47C3">
        <w:t xml:space="preserve">aintain and continuously improve the </w:t>
      </w:r>
      <w:r w:rsidR="00BF10A6">
        <w:t xml:space="preserve">risk management policy </w:t>
      </w:r>
      <w:r w:rsidR="000A47C3">
        <w:t xml:space="preserve">and </w:t>
      </w:r>
      <w:r w:rsidR="00BF10A6">
        <w:t>framework</w:t>
      </w:r>
      <w:r w:rsidR="005E0FD4">
        <w:t>.</w:t>
      </w:r>
    </w:p>
    <w:p w14:paraId="0141B52F" w14:textId="1933A833" w:rsidR="00072485" w:rsidRPr="00AB0D38" w:rsidRDefault="00072485" w:rsidP="00072485">
      <w:pPr>
        <w:rPr>
          <w:b/>
        </w:rPr>
      </w:pPr>
      <w:r w:rsidRPr="00AB0D38">
        <w:rPr>
          <w:b/>
        </w:rPr>
        <w:t>Analysis of issues and risks</w:t>
      </w:r>
    </w:p>
    <w:p w14:paraId="1CDB9176" w14:textId="77777777" w:rsidR="00072485" w:rsidRPr="00072485" w:rsidRDefault="00072485" w:rsidP="00AB0D38">
      <w:pPr>
        <w:pStyle w:val="ListParagraph"/>
        <w:numPr>
          <w:ilvl w:val="0"/>
          <w:numId w:val="8"/>
        </w:numPr>
      </w:pPr>
      <w:r w:rsidRPr="00072485">
        <w:t xml:space="preserve">Failure to adequately regulate the import and export of radioactive materials poses significant safety and security risks to Australia and any other nation, particularly if radioactive material falls out of regulatory control. </w:t>
      </w:r>
    </w:p>
    <w:p w14:paraId="2E682466" w14:textId="2A322E02" w:rsidR="00072485" w:rsidRPr="00072485" w:rsidRDefault="00322906" w:rsidP="00AB0D38">
      <w:pPr>
        <w:pStyle w:val="ListParagraph"/>
        <w:numPr>
          <w:ilvl w:val="0"/>
          <w:numId w:val="8"/>
        </w:numPr>
      </w:pPr>
      <w:r w:rsidRPr="00072485">
        <w:t>Several</w:t>
      </w:r>
      <w:r w:rsidR="00072485" w:rsidRPr="00072485">
        <w:t xml:space="preserve"> incidents have occurred nationally and internationally where radioactive material that is out of regulatory control has entered countries without regulation. (This has included radiologically contaminated semi-finished products, which have been subsequently sold to the community in the form of bowls, spoons and other products whilst contaminated). In these circumstances the public have been exposed to ionising radiation without knowledge. From a security perspective, if radioactive materials are brought into Australia and sold to persons or individuals outside regulation, the consequences of a malicious act could be </w:t>
      </w:r>
      <w:r w:rsidR="00A85C75">
        <w:t>very damaging</w:t>
      </w:r>
      <w:r w:rsidR="00072485" w:rsidRPr="00072485">
        <w:t xml:space="preserve">. </w:t>
      </w:r>
    </w:p>
    <w:p w14:paraId="6C49304C" w14:textId="7E22E3C6" w:rsidR="00072485" w:rsidRPr="00072485" w:rsidRDefault="00072485" w:rsidP="00AB0D38">
      <w:pPr>
        <w:pStyle w:val="ListParagraph"/>
        <w:numPr>
          <w:ilvl w:val="0"/>
          <w:numId w:val="8"/>
        </w:numPr>
      </w:pPr>
      <w:r w:rsidRPr="00072485">
        <w:t xml:space="preserve">State and </w:t>
      </w:r>
      <w:r w:rsidR="00FB3FDB">
        <w:t>t</w:t>
      </w:r>
      <w:r w:rsidR="00FB3FDB" w:rsidRPr="00072485">
        <w:t xml:space="preserve">erritory </w:t>
      </w:r>
      <w:r w:rsidR="00FB3FDB">
        <w:t>r</w:t>
      </w:r>
      <w:r w:rsidR="00FB3FDB" w:rsidRPr="00072485">
        <w:t xml:space="preserve">adiation </w:t>
      </w:r>
      <w:r w:rsidR="00FB3FDB">
        <w:t>r</w:t>
      </w:r>
      <w:r w:rsidR="00FB3FDB" w:rsidRPr="00072485">
        <w:t xml:space="preserve">egulators </w:t>
      </w:r>
      <w:r w:rsidRPr="00072485">
        <w:t xml:space="preserve">within Australia rely heavily upon ARPANSA’s ability to monitor and control the import and export of radioactive material. This information provides jurisdictional regulators with confidence that entities </w:t>
      </w:r>
      <w:r w:rsidR="00322906" w:rsidRPr="00072485">
        <w:t>importing,</w:t>
      </w:r>
      <w:r w:rsidRPr="00072485">
        <w:t xml:space="preserve"> and exporting are adequately licenced to perform their activities. </w:t>
      </w:r>
    </w:p>
    <w:p w14:paraId="5DA62D8F" w14:textId="1802C47F" w:rsidR="00B97DB7" w:rsidRDefault="00B97DB7" w:rsidP="00B97DB7">
      <w:r>
        <w:t xml:space="preserve">In accordance with the </w:t>
      </w:r>
      <w:r w:rsidR="00FB3FDB">
        <w:t xml:space="preserve">cost recovery guidelines </w:t>
      </w:r>
      <w:r>
        <w:t xml:space="preserve">and as required by the Department of Finance, ARPANSA </w:t>
      </w:r>
      <w:r w:rsidR="00B45CBB">
        <w:t xml:space="preserve">has </w:t>
      </w:r>
      <w:r>
        <w:t xml:space="preserve">also undertaken a </w:t>
      </w:r>
      <w:r w:rsidR="00FB3FDB">
        <w:t xml:space="preserve">charging risk assessment </w:t>
      </w:r>
      <w:r>
        <w:t>(CRA) that included consideration of the ARPANSA operating environment, including its</w:t>
      </w:r>
      <w:r w:rsidR="0067707A">
        <w:t>:</w:t>
      </w:r>
    </w:p>
    <w:p w14:paraId="66216558" w14:textId="5F74203B" w:rsidR="00B97DB7" w:rsidRDefault="00FB3FDB" w:rsidP="00A85C75">
      <w:pPr>
        <w:pStyle w:val="ListParagraph"/>
        <w:numPr>
          <w:ilvl w:val="0"/>
          <w:numId w:val="19"/>
        </w:numPr>
      </w:pPr>
      <w:r>
        <w:t>complexity</w:t>
      </w:r>
      <w:r w:rsidR="00B97DB7">
        <w:t xml:space="preserve">: structure, </w:t>
      </w:r>
      <w:r w:rsidR="00322906">
        <w:t>processes,</w:t>
      </w:r>
      <w:r w:rsidR="00B97DB7">
        <w:t xml:space="preserve"> and implementation of cost recovery activities</w:t>
      </w:r>
    </w:p>
    <w:p w14:paraId="46885F76" w14:textId="690FE77D" w:rsidR="00B97DB7" w:rsidRDefault="00FB3FDB" w:rsidP="00A85C75">
      <w:pPr>
        <w:pStyle w:val="ListParagraph"/>
        <w:numPr>
          <w:ilvl w:val="0"/>
          <w:numId w:val="19"/>
        </w:numPr>
      </w:pPr>
      <w:r>
        <w:t>materiality</w:t>
      </w:r>
      <w:r w:rsidR="00B97DB7">
        <w:t>: financial value of the cost recovery activities</w:t>
      </w:r>
    </w:p>
    <w:p w14:paraId="4ED8618C" w14:textId="1CF23F8D" w:rsidR="00B97DB7" w:rsidRDefault="00FB3FDB" w:rsidP="00A85C75">
      <w:pPr>
        <w:pStyle w:val="ListParagraph"/>
        <w:numPr>
          <w:ilvl w:val="0"/>
          <w:numId w:val="19"/>
        </w:numPr>
      </w:pPr>
      <w:r>
        <w:t>sensitivity</w:t>
      </w:r>
      <w:r w:rsidR="00B97DB7">
        <w:t>: level of interest from key stakeholders in the cost recovery activities.</w:t>
      </w:r>
    </w:p>
    <w:p w14:paraId="1FD6D614" w14:textId="6F293C72" w:rsidR="00322906" w:rsidRDefault="00B97DB7" w:rsidP="00B97DB7">
      <w:r>
        <w:t>Using criteria established in the CRA template, a cost recovery risk rating for 2018-19 resulted in an overall rating of medium risk</w:t>
      </w:r>
      <w:r w:rsidR="00322906">
        <w:t>, and to date there has been no change to this rating.</w:t>
      </w:r>
    </w:p>
    <w:p w14:paraId="7C12303A" w14:textId="653863D1" w:rsidR="00B97DB7" w:rsidRDefault="00B97DB7" w:rsidP="00B97DB7">
      <w:r>
        <w:t>The key</w:t>
      </w:r>
      <w:r w:rsidR="00A85C75">
        <w:t xml:space="preserve"> attributes leading to the rating of</w:t>
      </w:r>
      <w:r>
        <w:t xml:space="preserve"> medium risks for costs recovery are</w:t>
      </w:r>
      <w:r w:rsidR="00B45CBB">
        <w:t>:</w:t>
      </w:r>
    </w:p>
    <w:p w14:paraId="00A3C75F" w14:textId="306D6B4E" w:rsidR="00B97DB7" w:rsidRDefault="00B45CBB" w:rsidP="00A85C75">
      <w:pPr>
        <w:pStyle w:val="ListParagraph"/>
        <w:numPr>
          <w:ilvl w:val="0"/>
          <w:numId w:val="20"/>
        </w:numPr>
      </w:pPr>
      <w:r>
        <w:t xml:space="preserve">level </w:t>
      </w:r>
      <w:r w:rsidR="00B97DB7">
        <w:t>of cost recovery revenue being less than $10 million</w:t>
      </w:r>
    </w:p>
    <w:p w14:paraId="7A01A62C" w14:textId="3F9C4CEE" w:rsidR="00B97DB7" w:rsidRDefault="00B45CBB" w:rsidP="00A85C75">
      <w:pPr>
        <w:pStyle w:val="ListParagraph"/>
        <w:numPr>
          <w:ilvl w:val="0"/>
          <w:numId w:val="20"/>
        </w:numPr>
      </w:pPr>
      <w:r>
        <w:t xml:space="preserve">complexity </w:t>
      </w:r>
      <w:r w:rsidR="00B97DB7">
        <w:t xml:space="preserve">in the type of cost recovery charges used, being </w:t>
      </w:r>
      <w:r>
        <w:t xml:space="preserve">fees </w:t>
      </w:r>
      <w:proofErr w:type="gramStart"/>
      <w:r w:rsidR="00B97DB7">
        <w:t>only</w:t>
      </w:r>
      <w:proofErr w:type="gramEnd"/>
    </w:p>
    <w:p w14:paraId="7D9A2674" w14:textId="6A401462" w:rsidR="00B97DB7" w:rsidRDefault="00B45CBB" w:rsidP="00A85C75">
      <w:pPr>
        <w:pStyle w:val="ListParagraph"/>
        <w:numPr>
          <w:ilvl w:val="0"/>
          <w:numId w:val="20"/>
        </w:numPr>
      </w:pPr>
      <w:r>
        <w:t xml:space="preserve">level </w:t>
      </w:r>
      <w:r w:rsidR="00B97DB7">
        <w:t>of impact of cost recovery on payers assessed as low.</w:t>
      </w:r>
    </w:p>
    <w:p w14:paraId="598E1895" w14:textId="58333F08" w:rsidR="00B97DB7" w:rsidRPr="00072485" w:rsidRDefault="00767406" w:rsidP="00B97DB7">
      <w:r>
        <w:t>ARPANSA will address relevant risks</w:t>
      </w:r>
      <w:r w:rsidR="00B97DB7">
        <w:t xml:space="preserve"> b</w:t>
      </w:r>
      <w:r w:rsidR="001D7351">
        <w:t>y continued improvements in regulatory functions and ensuring charging practices are transparent and aligned to services provided.</w:t>
      </w:r>
    </w:p>
    <w:p w14:paraId="2D1B3BB8" w14:textId="77777777" w:rsidR="00CA4C08" w:rsidRDefault="00931480" w:rsidP="00AB0D38">
      <w:pPr>
        <w:pStyle w:val="Heading2"/>
        <w:numPr>
          <w:ilvl w:val="0"/>
          <w:numId w:val="5"/>
        </w:numPr>
      </w:pPr>
      <w:r>
        <w:lastRenderedPageBreak/>
        <w:t>Stakeholder engagement</w:t>
      </w:r>
    </w:p>
    <w:p w14:paraId="7891CA81" w14:textId="22FBFF29" w:rsidR="0021775D" w:rsidRDefault="00A260C4" w:rsidP="00DC7768">
      <w:r>
        <w:t xml:space="preserve">The issuance of permits is not a new initiative </w:t>
      </w:r>
      <w:r w:rsidR="00A04901">
        <w:t>for</w:t>
      </w:r>
      <w:r>
        <w:t xml:space="preserve"> ARPANSA </w:t>
      </w:r>
      <w:r w:rsidR="001D56CE">
        <w:t xml:space="preserve">as the cost recovery for import permits continued, having been established by ARPANSA’s predecessor the Australian Radiation Laboratory and for export permits, commenced in 2017. </w:t>
      </w:r>
      <w:r w:rsidR="00322906">
        <w:t>Several</w:t>
      </w:r>
      <w:r>
        <w:t xml:space="preserve"> consultations have occurred with the customers/stakeholders over the years (</w:t>
      </w:r>
      <w:r w:rsidR="00B45CBB">
        <w:t>most recently</w:t>
      </w:r>
      <w:r>
        <w:t xml:space="preserve"> in 2017). </w:t>
      </w:r>
      <w:r w:rsidR="00322906">
        <w:t>Overall,</w:t>
      </w:r>
      <w:r>
        <w:t xml:space="preserve"> the feedback has been </w:t>
      </w:r>
      <w:r w:rsidR="00AE200A">
        <w:t>positive</w:t>
      </w:r>
      <w:r>
        <w:t xml:space="preserve"> with regards to the service. </w:t>
      </w:r>
    </w:p>
    <w:p w14:paraId="0184091F" w14:textId="77777777" w:rsidR="00931480" w:rsidRDefault="00931480" w:rsidP="00AB0D38">
      <w:pPr>
        <w:pStyle w:val="Heading2"/>
        <w:numPr>
          <w:ilvl w:val="0"/>
          <w:numId w:val="5"/>
        </w:numPr>
      </w:pPr>
      <w:r>
        <w:t>Financial estimates</w:t>
      </w:r>
    </w:p>
    <w:tbl>
      <w:tblPr>
        <w:tblStyle w:val="GenericARPANSA"/>
        <w:tblW w:w="5000" w:type="pct"/>
        <w:tblInd w:w="0" w:type="dxa"/>
        <w:tblLook w:val="04A0" w:firstRow="1" w:lastRow="0" w:firstColumn="1" w:lastColumn="0" w:noHBand="0" w:noVBand="1"/>
      </w:tblPr>
      <w:tblGrid>
        <w:gridCol w:w="3187"/>
        <w:gridCol w:w="1611"/>
        <w:gridCol w:w="1610"/>
        <w:gridCol w:w="1610"/>
        <w:gridCol w:w="1610"/>
      </w:tblGrid>
      <w:tr w:rsidR="00A47C10" w14:paraId="21B5A324" w14:textId="77777777" w:rsidTr="00A47C10">
        <w:trPr>
          <w:cnfStyle w:val="100000000000" w:firstRow="1" w:lastRow="0" w:firstColumn="0" w:lastColumn="0" w:oddVBand="0" w:evenVBand="0" w:oddHBand="0" w:evenHBand="0" w:firstRowFirstColumn="0" w:firstRowLastColumn="0" w:lastRowFirstColumn="0" w:lastRowLastColumn="0"/>
          <w:trHeight w:val="777"/>
        </w:trPr>
        <w:tc>
          <w:tcPr>
            <w:tcW w:w="3187" w:type="dxa"/>
          </w:tcPr>
          <w:p w14:paraId="415EAADA" w14:textId="77777777" w:rsidR="00A47C10" w:rsidRDefault="00A47C10" w:rsidP="00A47C10"/>
        </w:tc>
        <w:tc>
          <w:tcPr>
            <w:tcW w:w="1611" w:type="dxa"/>
          </w:tcPr>
          <w:p w14:paraId="4E32A3D8" w14:textId="7DE86660" w:rsidR="00A47C10" w:rsidRDefault="00A47C10" w:rsidP="00A47C10">
            <w:r>
              <w:t xml:space="preserve">2024-25 estimate </w:t>
            </w:r>
          </w:p>
        </w:tc>
        <w:tc>
          <w:tcPr>
            <w:tcW w:w="1610" w:type="dxa"/>
          </w:tcPr>
          <w:p w14:paraId="07C474A2" w14:textId="52746F87" w:rsidR="00A47C10" w:rsidRDefault="00A47C10" w:rsidP="00A47C10">
            <w:r>
              <w:t>2025-26 estimate</w:t>
            </w:r>
          </w:p>
        </w:tc>
        <w:tc>
          <w:tcPr>
            <w:tcW w:w="1610" w:type="dxa"/>
          </w:tcPr>
          <w:p w14:paraId="37EE01C5" w14:textId="522443C0" w:rsidR="00A47C10" w:rsidDel="005530FC" w:rsidRDefault="00A47C10" w:rsidP="00A47C10">
            <w:r>
              <w:t xml:space="preserve">2026-27 estimate </w:t>
            </w:r>
          </w:p>
        </w:tc>
        <w:tc>
          <w:tcPr>
            <w:tcW w:w="1610" w:type="dxa"/>
          </w:tcPr>
          <w:p w14:paraId="16BB1231" w14:textId="6E49EA81" w:rsidR="00A47C10" w:rsidRDefault="00A47C10" w:rsidP="00A47C10">
            <w:r>
              <w:t xml:space="preserve">2027-28 estimate </w:t>
            </w:r>
          </w:p>
        </w:tc>
      </w:tr>
      <w:tr w:rsidR="00A47C10" w14:paraId="5F490890" w14:textId="77777777" w:rsidTr="00A47C10">
        <w:trPr>
          <w:trHeight w:val="416"/>
        </w:trPr>
        <w:tc>
          <w:tcPr>
            <w:tcW w:w="3187" w:type="dxa"/>
            <w:vAlign w:val="top"/>
          </w:tcPr>
          <w:p w14:paraId="50405E8A" w14:textId="77777777" w:rsidR="00A47C10" w:rsidRDefault="00A47C10" w:rsidP="00A47C10">
            <w:pPr>
              <w:jc w:val="left"/>
            </w:pPr>
            <w:r>
              <w:t>Expenses</w:t>
            </w:r>
          </w:p>
        </w:tc>
        <w:tc>
          <w:tcPr>
            <w:tcW w:w="1611" w:type="dxa"/>
            <w:vAlign w:val="top"/>
          </w:tcPr>
          <w:p w14:paraId="3B3FA56D" w14:textId="5A936D2E" w:rsidR="00A47C10" w:rsidRDefault="00A47C10" w:rsidP="00A47C10">
            <w:r>
              <w:t>$26</w:t>
            </w:r>
            <w:r w:rsidR="00AE200A">
              <w:t>6</w:t>
            </w:r>
            <w:r>
              <w:t>,000</w:t>
            </w:r>
          </w:p>
        </w:tc>
        <w:tc>
          <w:tcPr>
            <w:tcW w:w="1610" w:type="dxa"/>
            <w:vAlign w:val="top"/>
          </w:tcPr>
          <w:p w14:paraId="13BA28D5" w14:textId="7F7A1729" w:rsidR="00A47C10" w:rsidRPr="00BB48DD" w:rsidRDefault="00A47C10" w:rsidP="00A47C10">
            <w:r>
              <w:t>$27</w:t>
            </w:r>
            <w:r w:rsidR="00AE200A">
              <w:t>4</w:t>
            </w:r>
            <w:r>
              <w:t xml:space="preserve"> 000</w:t>
            </w:r>
          </w:p>
        </w:tc>
        <w:tc>
          <w:tcPr>
            <w:tcW w:w="1610" w:type="dxa"/>
          </w:tcPr>
          <w:p w14:paraId="2478A4F8" w14:textId="3F05B78E" w:rsidR="00A47C10" w:rsidRDefault="00AE200A" w:rsidP="00A47C10">
            <w:r>
              <w:t>$282,000</w:t>
            </w:r>
          </w:p>
        </w:tc>
        <w:tc>
          <w:tcPr>
            <w:tcW w:w="1610" w:type="dxa"/>
            <w:vAlign w:val="top"/>
          </w:tcPr>
          <w:p w14:paraId="67BD2BDF" w14:textId="62BA6FF0" w:rsidR="00A47C10" w:rsidRPr="00BB48DD" w:rsidRDefault="00AE200A" w:rsidP="00A47C10">
            <w:r>
              <w:t>$291,000</w:t>
            </w:r>
          </w:p>
        </w:tc>
      </w:tr>
      <w:tr w:rsidR="00A47C10" w14:paraId="1D0829AB" w14:textId="77777777" w:rsidTr="00A47C10">
        <w:trPr>
          <w:cnfStyle w:val="000000010000" w:firstRow="0" w:lastRow="0" w:firstColumn="0" w:lastColumn="0" w:oddVBand="0" w:evenVBand="0" w:oddHBand="0" w:evenHBand="1" w:firstRowFirstColumn="0" w:firstRowLastColumn="0" w:lastRowFirstColumn="0" w:lastRowLastColumn="0"/>
          <w:trHeight w:val="483"/>
        </w:trPr>
        <w:tc>
          <w:tcPr>
            <w:tcW w:w="3187" w:type="dxa"/>
            <w:vAlign w:val="top"/>
          </w:tcPr>
          <w:p w14:paraId="0FDA7480" w14:textId="77777777" w:rsidR="00A47C10" w:rsidRDefault="00A47C10" w:rsidP="00A47C10">
            <w:pPr>
              <w:jc w:val="left"/>
            </w:pPr>
            <w:r>
              <w:t>Revenue</w:t>
            </w:r>
          </w:p>
        </w:tc>
        <w:tc>
          <w:tcPr>
            <w:tcW w:w="1611" w:type="dxa"/>
            <w:vAlign w:val="top"/>
          </w:tcPr>
          <w:p w14:paraId="67130E0E" w14:textId="514758B2" w:rsidR="00A47C10" w:rsidRDefault="00AE200A" w:rsidP="00A47C10">
            <w:r>
              <w:t>$266,000</w:t>
            </w:r>
          </w:p>
        </w:tc>
        <w:tc>
          <w:tcPr>
            <w:tcW w:w="1610" w:type="dxa"/>
            <w:vAlign w:val="top"/>
          </w:tcPr>
          <w:p w14:paraId="610F1416" w14:textId="7EC5488D" w:rsidR="00A47C10" w:rsidRPr="00BB48DD" w:rsidRDefault="00AE200A" w:rsidP="00A47C10">
            <w:r>
              <w:t>$274,000</w:t>
            </w:r>
          </w:p>
        </w:tc>
        <w:tc>
          <w:tcPr>
            <w:tcW w:w="1610" w:type="dxa"/>
          </w:tcPr>
          <w:p w14:paraId="785B4057" w14:textId="7FD35E04" w:rsidR="00A47C10" w:rsidRDefault="00AE200A" w:rsidP="00A47C10">
            <w:r>
              <w:t>$282,000</w:t>
            </w:r>
          </w:p>
        </w:tc>
        <w:tc>
          <w:tcPr>
            <w:tcW w:w="1610" w:type="dxa"/>
            <w:vAlign w:val="top"/>
          </w:tcPr>
          <w:p w14:paraId="1A828A81" w14:textId="67BDCE24" w:rsidR="00A47C10" w:rsidRPr="00BB48DD" w:rsidRDefault="00AE200A" w:rsidP="00A47C10">
            <w:r>
              <w:t>$291,000</w:t>
            </w:r>
          </w:p>
        </w:tc>
      </w:tr>
      <w:tr w:rsidR="00A47C10" w14:paraId="682822D9" w14:textId="77777777" w:rsidTr="00A47C10">
        <w:trPr>
          <w:trHeight w:val="485"/>
        </w:trPr>
        <w:tc>
          <w:tcPr>
            <w:tcW w:w="3187" w:type="dxa"/>
            <w:vAlign w:val="top"/>
          </w:tcPr>
          <w:p w14:paraId="5D333E71" w14:textId="7A966853" w:rsidR="00A47C10" w:rsidRDefault="00A47C10" w:rsidP="00A47C10">
            <w:pPr>
              <w:jc w:val="left"/>
            </w:pPr>
            <w:r>
              <w:t>Surplus/(Deficit)</w:t>
            </w:r>
          </w:p>
        </w:tc>
        <w:tc>
          <w:tcPr>
            <w:tcW w:w="1611" w:type="dxa"/>
            <w:vAlign w:val="top"/>
          </w:tcPr>
          <w:p w14:paraId="0F8CB165" w14:textId="58C51AE0" w:rsidR="00A47C10" w:rsidRDefault="00A47C10" w:rsidP="00A47C10">
            <w:r>
              <w:t>0</w:t>
            </w:r>
          </w:p>
        </w:tc>
        <w:tc>
          <w:tcPr>
            <w:tcW w:w="1610" w:type="dxa"/>
            <w:vAlign w:val="top"/>
          </w:tcPr>
          <w:p w14:paraId="237E196E" w14:textId="03DE6320" w:rsidR="00A47C10" w:rsidRPr="00BB48DD" w:rsidRDefault="00A47C10" w:rsidP="00A47C10">
            <w:r>
              <w:t>0</w:t>
            </w:r>
          </w:p>
        </w:tc>
        <w:tc>
          <w:tcPr>
            <w:tcW w:w="1610" w:type="dxa"/>
          </w:tcPr>
          <w:p w14:paraId="6B2206E1" w14:textId="57419C12" w:rsidR="00A47C10" w:rsidRDefault="00A47C10" w:rsidP="00A47C10">
            <w:r>
              <w:t>0</w:t>
            </w:r>
          </w:p>
        </w:tc>
        <w:tc>
          <w:tcPr>
            <w:tcW w:w="1610" w:type="dxa"/>
            <w:vAlign w:val="top"/>
          </w:tcPr>
          <w:p w14:paraId="37A24B1B" w14:textId="5FC030EE" w:rsidR="00A47C10" w:rsidRPr="00BB48DD" w:rsidRDefault="00A47C10" w:rsidP="00A47C10">
            <w:r>
              <w:t>0</w:t>
            </w:r>
          </w:p>
        </w:tc>
      </w:tr>
      <w:tr w:rsidR="00A47C10" w14:paraId="5D3655AC" w14:textId="77777777" w:rsidTr="00A47C10">
        <w:trPr>
          <w:cnfStyle w:val="000000010000" w:firstRow="0" w:lastRow="0" w:firstColumn="0" w:lastColumn="0" w:oddVBand="0" w:evenVBand="0" w:oddHBand="0" w:evenHBand="1" w:firstRowFirstColumn="0" w:firstRowLastColumn="0" w:lastRowFirstColumn="0" w:lastRowLastColumn="0"/>
          <w:trHeight w:val="560"/>
        </w:trPr>
        <w:tc>
          <w:tcPr>
            <w:tcW w:w="3187" w:type="dxa"/>
            <w:vAlign w:val="top"/>
          </w:tcPr>
          <w:p w14:paraId="66CDC914" w14:textId="77777777" w:rsidR="00A47C10" w:rsidRDefault="00A47C10" w:rsidP="00A47C10">
            <w:pPr>
              <w:jc w:val="left"/>
            </w:pPr>
            <w:r>
              <w:t>Cumulative balance</w:t>
            </w:r>
          </w:p>
        </w:tc>
        <w:tc>
          <w:tcPr>
            <w:tcW w:w="1611" w:type="dxa"/>
            <w:vAlign w:val="top"/>
          </w:tcPr>
          <w:p w14:paraId="0AAD84EF" w14:textId="4EB78237" w:rsidR="00A47C10" w:rsidRDefault="00A47C10" w:rsidP="00A47C10">
            <w:r>
              <w:t>0</w:t>
            </w:r>
          </w:p>
        </w:tc>
        <w:tc>
          <w:tcPr>
            <w:tcW w:w="1610" w:type="dxa"/>
            <w:vAlign w:val="top"/>
          </w:tcPr>
          <w:p w14:paraId="3DD178C0" w14:textId="1D1452CA" w:rsidR="00A47C10" w:rsidRPr="00BB48DD" w:rsidRDefault="00A47C10" w:rsidP="00A47C10">
            <w:r>
              <w:t>0</w:t>
            </w:r>
          </w:p>
        </w:tc>
        <w:tc>
          <w:tcPr>
            <w:tcW w:w="1610" w:type="dxa"/>
          </w:tcPr>
          <w:p w14:paraId="1F83CB5E" w14:textId="0B0D49EA" w:rsidR="00A47C10" w:rsidRDefault="00A47C10" w:rsidP="00A47C10">
            <w:r>
              <w:t>0</w:t>
            </w:r>
          </w:p>
        </w:tc>
        <w:tc>
          <w:tcPr>
            <w:tcW w:w="1610" w:type="dxa"/>
            <w:vAlign w:val="top"/>
          </w:tcPr>
          <w:p w14:paraId="281232DF" w14:textId="136EDF93" w:rsidR="00A47C10" w:rsidRPr="00BB48DD" w:rsidRDefault="00A47C10" w:rsidP="00A47C10">
            <w:r>
              <w:t>0</w:t>
            </w:r>
          </w:p>
        </w:tc>
      </w:tr>
    </w:tbl>
    <w:p w14:paraId="6FA38CC6" w14:textId="71D47C4F" w:rsidR="00196871" w:rsidRPr="00C14195" w:rsidRDefault="00196871" w:rsidP="0037626E">
      <w:r>
        <w:t>Actual financial performance, including any</w:t>
      </w:r>
      <w:r w:rsidRPr="00C14195">
        <w:t xml:space="preserve"> material</w:t>
      </w:r>
      <w:r>
        <w:rPr>
          <w:rStyle w:val="FootnoteReference"/>
        </w:rPr>
        <w:footnoteReference w:id="2"/>
      </w:r>
      <w:r w:rsidRPr="00C14195">
        <w:t xml:space="preserve"> variance</w:t>
      </w:r>
      <w:r>
        <w:t xml:space="preserve">, will be explained in updates to this CRIS each financial year, along with an explanation of how </w:t>
      </w:r>
      <w:r w:rsidR="0037626E">
        <w:t>ARPANSA</w:t>
      </w:r>
      <w:r w:rsidR="0021775D">
        <w:t xml:space="preserve"> will balance the variance, if any.</w:t>
      </w:r>
    </w:p>
    <w:p w14:paraId="2583D8B2" w14:textId="242406CB" w:rsidR="00931480" w:rsidRDefault="00931480" w:rsidP="00AB0D38">
      <w:pPr>
        <w:pStyle w:val="Heading2"/>
        <w:numPr>
          <w:ilvl w:val="0"/>
          <w:numId w:val="5"/>
        </w:numPr>
      </w:pPr>
      <w:r>
        <w:t>Financial performance</w:t>
      </w:r>
    </w:p>
    <w:p w14:paraId="6DD32F6F" w14:textId="00AB9628" w:rsidR="009F6BF4" w:rsidRDefault="00C71EDC" w:rsidP="00F134E6">
      <w:r>
        <w:t>ARPANSA will provide financial performance</w:t>
      </w:r>
      <w:r w:rsidR="00B45CBB">
        <w:t xml:space="preserve"> updates</w:t>
      </w:r>
      <w:r w:rsidR="002D5478">
        <w:t>,</w:t>
      </w:r>
      <w:r>
        <w:t xml:space="preserve"> including details of revenue and expenses relating to the import and export permits</w:t>
      </w:r>
      <w:r w:rsidR="002D5478">
        <w:t>,</w:t>
      </w:r>
      <w:r>
        <w:t xml:space="preserve"> on an annual basis </w:t>
      </w:r>
      <w:r w:rsidR="002D5478">
        <w:t>following the end of each financial year.</w:t>
      </w:r>
    </w:p>
    <w:p w14:paraId="55899E97" w14:textId="77777777" w:rsidR="00931480" w:rsidRDefault="00931480" w:rsidP="00AB0D38">
      <w:pPr>
        <w:pStyle w:val="Heading2"/>
        <w:numPr>
          <w:ilvl w:val="0"/>
          <w:numId w:val="5"/>
        </w:numPr>
      </w:pPr>
      <w:r>
        <w:t>Non-financial performance</w:t>
      </w:r>
    </w:p>
    <w:p w14:paraId="1B95EE7C" w14:textId="58B74DE9" w:rsidR="003F458E" w:rsidRDefault="00D50DCF" w:rsidP="003F458E">
      <w:r>
        <w:t xml:space="preserve">ARPANSA measures non-financial performance by reporting against measures published on the </w:t>
      </w:r>
      <w:hyperlink r:id="rId9" w:history="1">
        <w:r w:rsidRPr="00D50DCF">
          <w:rPr>
            <w:rStyle w:val="Hyperlink"/>
          </w:rPr>
          <w:t>ARPANSA website</w:t>
        </w:r>
      </w:hyperlink>
      <w:r>
        <w:t xml:space="preserve"> in the </w:t>
      </w:r>
      <w:hyperlink r:id="rId10" w:history="1">
        <w:r w:rsidRPr="00496196">
          <w:rPr>
            <w:rStyle w:val="Hyperlink"/>
          </w:rPr>
          <w:t>Corporate Plan</w:t>
        </w:r>
      </w:hyperlink>
      <w:r>
        <w:t xml:space="preserve">. These measures are reported annually in the </w:t>
      </w:r>
      <w:r w:rsidR="00B45CBB">
        <w:t xml:space="preserve">annual performance statement, </w:t>
      </w:r>
      <w:r>
        <w:t xml:space="preserve">which is published as part of the </w:t>
      </w:r>
      <w:hyperlink r:id="rId11" w:history="1">
        <w:r w:rsidRPr="00D50DCF">
          <w:rPr>
            <w:rStyle w:val="Hyperlink"/>
          </w:rPr>
          <w:t>Annual Report</w:t>
        </w:r>
      </w:hyperlink>
      <w:r>
        <w:t>.</w:t>
      </w:r>
    </w:p>
    <w:p w14:paraId="1A050110" w14:textId="6EA0E2E2" w:rsidR="000421BD" w:rsidRDefault="003F458E" w:rsidP="000421BD">
      <w:r>
        <w:t xml:space="preserve">ARPANSA </w:t>
      </w:r>
      <w:r w:rsidR="00AB0D38">
        <w:t xml:space="preserve">has worked </w:t>
      </w:r>
      <w:r w:rsidR="009278FB">
        <w:t>with</w:t>
      </w:r>
      <w:r>
        <w:t xml:space="preserve"> the Australian Bureau of Statistics (ABS) and the Department of Immigration and Border Protection (DIBP) </w:t>
      </w:r>
      <w:r w:rsidR="009D1D6C">
        <w:t>to</w:t>
      </w:r>
      <w:r>
        <w:t xml:space="preserve"> harmonise the </w:t>
      </w:r>
      <w:r w:rsidR="00997DFE">
        <w:t>I</w:t>
      </w:r>
      <w:r>
        <w:t xml:space="preserve">ntegrated Cargo System used to manage </w:t>
      </w:r>
      <w:r w:rsidR="000421BD">
        <w:t xml:space="preserve">the import and export of </w:t>
      </w:r>
      <w:r w:rsidR="000421BD" w:rsidRPr="00275CBA">
        <w:rPr>
          <w:rFonts w:cs="Times New Roman"/>
          <w:iCs/>
        </w:rPr>
        <w:t>medical and non-medical radioactive sources</w:t>
      </w:r>
      <w:r w:rsidR="000421BD">
        <w:rPr>
          <w:rFonts w:cs="Times New Roman"/>
          <w:iCs/>
        </w:rPr>
        <w:t xml:space="preserve"> at the border.</w:t>
      </w:r>
    </w:p>
    <w:p w14:paraId="2B8DAF11" w14:textId="29538DE9" w:rsidR="00BE4F91" w:rsidRDefault="003F458E" w:rsidP="00340F31">
      <w:r>
        <w:t>Stakeholder engagement is measured through feedback</w:t>
      </w:r>
      <w:r w:rsidR="00B45CBB">
        <w:t xml:space="preserve">, </w:t>
      </w:r>
      <w:r>
        <w:t xml:space="preserve">which </w:t>
      </w:r>
      <w:r w:rsidR="00AE200A">
        <w:t xml:space="preserve">generally </w:t>
      </w:r>
      <w:r w:rsidR="00B45CBB">
        <w:t xml:space="preserve">has been </w:t>
      </w:r>
      <w:r w:rsidR="00AE200A">
        <w:t>positive</w:t>
      </w:r>
      <w:r>
        <w:t xml:space="preserve"> </w:t>
      </w:r>
      <w:r w:rsidR="00997DFE">
        <w:t xml:space="preserve">both </w:t>
      </w:r>
      <w:r>
        <w:t>about the helpfulness of staff and the timeliness of approvals.</w:t>
      </w:r>
    </w:p>
    <w:p w14:paraId="7581DC9D" w14:textId="77777777" w:rsidR="00931480" w:rsidRDefault="00931480" w:rsidP="00AB0D38">
      <w:pPr>
        <w:pStyle w:val="Heading2"/>
        <w:numPr>
          <w:ilvl w:val="0"/>
          <w:numId w:val="5"/>
        </w:numPr>
      </w:pPr>
      <w:r>
        <w:t>Key forward dates and events</w:t>
      </w:r>
    </w:p>
    <w:p w14:paraId="36A9BEB9" w14:textId="2705C24E" w:rsidR="003851CC" w:rsidRDefault="00BB5F10" w:rsidP="00BB5F10">
      <w:r>
        <w:t>This CRIS will</w:t>
      </w:r>
      <w:r w:rsidR="008F7D0E">
        <w:t xml:space="preserve"> </w:t>
      </w:r>
      <w:r w:rsidR="00F50048">
        <w:t>be reviewed</w:t>
      </w:r>
      <w:r w:rsidR="00347DBE">
        <w:t xml:space="preserve"> periodically</w:t>
      </w:r>
      <w:r w:rsidR="00EB19A1">
        <w:t xml:space="preserve">, and </w:t>
      </w:r>
      <w:r w:rsidR="001D4555">
        <w:t xml:space="preserve"> updated and available on </w:t>
      </w:r>
      <w:r w:rsidR="000421BD">
        <w:t>ARPANSA’s website</w:t>
      </w:r>
      <w:r w:rsidR="00B449EF">
        <w:t xml:space="preserve"> following any pricing review or any other material changes</w:t>
      </w:r>
      <w:r w:rsidR="001D4555">
        <w:t>.</w:t>
      </w:r>
    </w:p>
    <w:p w14:paraId="67A317C8" w14:textId="77777777" w:rsidR="00C12DAC" w:rsidRDefault="00931480" w:rsidP="00AB0D38">
      <w:pPr>
        <w:pStyle w:val="Heading2"/>
        <w:numPr>
          <w:ilvl w:val="0"/>
          <w:numId w:val="5"/>
        </w:numPr>
      </w:pPr>
      <w:r>
        <w:lastRenderedPageBreak/>
        <w:t>CRIS approval and change register</w:t>
      </w:r>
    </w:p>
    <w:tbl>
      <w:tblPr>
        <w:tblStyle w:val="GenericARPANSA"/>
        <w:tblW w:w="5000" w:type="pct"/>
        <w:tblInd w:w="0" w:type="dxa"/>
        <w:tblLook w:val="04A0" w:firstRow="1" w:lastRow="0" w:firstColumn="1" w:lastColumn="0" w:noHBand="0" w:noVBand="1"/>
      </w:tblPr>
      <w:tblGrid>
        <w:gridCol w:w="2400"/>
        <w:gridCol w:w="2407"/>
        <w:gridCol w:w="2414"/>
        <w:gridCol w:w="2407"/>
      </w:tblGrid>
      <w:tr w:rsidR="00E04155" w14:paraId="284F4518" w14:textId="77777777" w:rsidTr="00005B34">
        <w:trPr>
          <w:cnfStyle w:val="100000000000" w:firstRow="1" w:lastRow="0" w:firstColumn="0" w:lastColumn="0" w:oddVBand="0" w:evenVBand="0" w:oddHBand="0" w:evenHBand="0" w:firstRowFirstColumn="0" w:firstRowLastColumn="0" w:lastRowFirstColumn="0" w:lastRowLastColumn="0"/>
        </w:trPr>
        <w:tc>
          <w:tcPr>
            <w:tcW w:w="2400" w:type="dxa"/>
          </w:tcPr>
          <w:p w14:paraId="4943405F" w14:textId="77777777" w:rsidR="00E04155" w:rsidRDefault="00E04155" w:rsidP="004E3BB8">
            <w:r>
              <w:t>Date</w:t>
            </w:r>
          </w:p>
        </w:tc>
        <w:tc>
          <w:tcPr>
            <w:tcW w:w="2407" w:type="dxa"/>
          </w:tcPr>
          <w:p w14:paraId="340959F3" w14:textId="77777777" w:rsidR="00E04155" w:rsidRDefault="00E04155" w:rsidP="004E3BB8">
            <w:r>
              <w:t>Change</w:t>
            </w:r>
          </w:p>
        </w:tc>
        <w:tc>
          <w:tcPr>
            <w:tcW w:w="2414" w:type="dxa"/>
          </w:tcPr>
          <w:p w14:paraId="65CC8628" w14:textId="77777777" w:rsidR="00E04155" w:rsidRDefault="00E04155" w:rsidP="004E3BB8">
            <w:r>
              <w:t>Approver</w:t>
            </w:r>
          </w:p>
        </w:tc>
        <w:tc>
          <w:tcPr>
            <w:tcW w:w="2407" w:type="dxa"/>
          </w:tcPr>
          <w:p w14:paraId="7243A649" w14:textId="77777777" w:rsidR="00E04155" w:rsidRDefault="00E04155" w:rsidP="004E3BB8">
            <w:r>
              <w:t>Reason</w:t>
            </w:r>
          </w:p>
        </w:tc>
      </w:tr>
      <w:tr w:rsidR="0072541A" w14:paraId="6654B1AF" w14:textId="77777777" w:rsidTr="00347DBE">
        <w:tc>
          <w:tcPr>
            <w:tcW w:w="2400" w:type="dxa"/>
          </w:tcPr>
          <w:p w14:paraId="6AB42004" w14:textId="3C2BA089" w:rsidR="0072541A" w:rsidRDefault="0072541A" w:rsidP="00AE200A">
            <w:pPr>
              <w:jc w:val="left"/>
            </w:pPr>
            <w:r>
              <w:t>30 June 2023</w:t>
            </w:r>
          </w:p>
        </w:tc>
        <w:tc>
          <w:tcPr>
            <w:tcW w:w="2407" w:type="dxa"/>
            <w:vAlign w:val="top"/>
          </w:tcPr>
          <w:p w14:paraId="1B3D2427" w14:textId="7E455577" w:rsidR="0072541A" w:rsidRDefault="0072541A" w:rsidP="00AE200A">
            <w:pPr>
              <w:jc w:val="left"/>
            </w:pPr>
            <w:r>
              <w:t>Financial Estimates,  and Fees</w:t>
            </w:r>
          </w:p>
        </w:tc>
        <w:tc>
          <w:tcPr>
            <w:tcW w:w="2414" w:type="dxa"/>
            <w:vAlign w:val="top"/>
          </w:tcPr>
          <w:p w14:paraId="13A0B8D3" w14:textId="1B7755A2" w:rsidR="0072541A" w:rsidRDefault="004231FA" w:rsidP="00AE200A">
            <w:pPr>
              <w:jc w:val="left"/>
            </w:pPr>
            <w:r>
              <w:t>Chief Financial Officer</w:t>
            </w:r>
          </w:p>
        </w:tc>
        <w:tc>
          <w:tcPr>
            <w:tcW w:w="2407" w:type="dxa"/>
            <w:vAlign w:val="top"/>
          </w:tcPr>
          <w:p w14:paraId="17DF232A" w14:textId="38E6BA7F" w:rsidR="0072541A" w:rsidRDefault="0072541A" w:rsidP="00AE200A">
            <w:pPr>
              <w:jc w:val="left"/>
            </w:pPr>
            <w:r>
              <w:t>Periodic review</w:t>
            </w:r>
          </w:p>
        </w:tc>
      </w:tr>
      <w:tr w:rsidR="00AE1D1F" w14:paraId="1F2DBF12" w14:textId="77777777" w:rsidTr="00347DBE">
        <w:trPr>
          <w:cnfStyle w:val="000000010000" w:firstRow="0" w:lastRow="0" w:firstColumn="0" w:lastColumn="0" w:oddVBand="0" w:evenVBand="0" w:oddHBand="0" w:evenHBand="1" w:firstRowFirstColumn="0" w:firstRowLastColumn="0" w:lastRowFirstColumn="0" w:lastRowLastColumn="0"/>
        </w:trPr>
        <w:tc>
          <w:tcPr>
            <w:tcW w:w="2400" w:type="dxa"/>
          </w:tcPr>
          <w:p w14:paraId="53A4981B" w14:textId="06128232" w:rsidR="00AE1D1F" w:rsidRDefault="00D52070" w:rsidP="00347DBE">
            <w:pPr>
              <w:jc w:val="left"/>
            </w:pPr>
            <w:r>
              <w:t>1</w:t>
            </w:r>
            <w:r w:rsidR="00AE1D1F">
              <w:t xml:space="preserve"> </w:t>
            </w:r>
            <w:r>
              <w:t>August</w:t>
            </w:r>
            <w:r w:rsidR="00AE1D1F">
              <w:t xml:space="preserve"> 2022</w:t>
            </w:r>
          </w:p>
        </w:tc>
        <w:tc>
          <w:tcPr>
            <w:tcW w:w="2407" w:type="dxa"/>
            <w:vAlign w:val="top"/>
          </w:tcPr>
          <w:p w14:paraId="6C6C292F" w14:textId="7DF7391D" w:rsidR="00AE1D1F" w:rsidRDefault="00AE1D1F" w:rsidP="00AE200A">
            <w:pPr>
              <w:jc w:val="left"/>
            </w:pPr>
            <w:r>
              <w:t>Financial Estimates,  and Fee</w:t>
            </w:r>
            <w:r w:rsidR="00347DBE">
              <w:t>s</w:t>
            </w:r>
          </w:p>
        </w:tc>
        <w:tc>
          <w:tcPr>
            <w:tcW w:w="2414" w:type="dxa"/>
            <w:vAlign w:val="top"/>
          </w:tcPr>
          <w:p w14:paraId="0C74E710" w14:textId="5C162849" w:rsidR="00AE1D1F" w:rsidRDefault="00AE1D1F" w:rsidP="00347DBE">
            <w:pPr>
              <w:jc w:val="left"/>
            </w:pPr>
            <w:r>
              <w:t>Accountable authority</w:t>
            </w:r>
          </w:p>
        </w:tc>
        <w:tc>
          <w:tcPr>
            <w:tcW w:w="2407" w:type="dxa"/>
            <w:vAlign w:val="top"/>
          </w:tcPr>
          <w:p w14:paraId="7BD1155E" w14:textId="4B42E5DF" w:rsidR="00AE1D1F" w:rsidRDefault="00AE1D1F" w:rsidP="00347DBE">
            <w:pPr>
              <w:jc w:val="left"/>
            </w:pPr>
            <w:r>
              <w:t xml:space="preserve">Periodic review </w:t>
            </w:r>
          </w:p>
        </w:tc>
      </w:tr>
      <w:tr w:rsidR="00AE1D1F" w14:paraId="5E1BA96E" w14:textId="77777777" w:rsidTr="00005B34">
        <w:tc>
          <w:tcPr>
            <w:tcW w:w="2400" w:type="dxa"/>
          </w:tcPr>
          <w:p w14:paraId="2F8A7BD4" w14:textId="77777777" w:rsidR="00AE1D1F" w:rsidRDefault="00AE1D1F" w:rsidP="00AE1D1F">
            <w:pPr>
              <w:jc w:val="left"/>
            </w:pPr>
            <w:r>
              <w:t>20 August 2019</w:t>
            </w:r>
          </w:p>
        </w:tc>
        <w:tc>
          <w:tcPr>
            <w:tcW w:w="2407" w:type="dxa"/>
          </w:tcPr>
          <w:p w14:paraId="6EBD4E14" w14:textId="77777777" w:rsidR="00AE1D1F" w:rsidDel="0025274B" w:rsidRDefault="00AE1D1F" w:rsidP="00AE1D1F">
            <w:pPr>
              <w:jc w:val="left"/>
            </w:pPr>
            <w:r>
              <w:t>Agreement to the CRIS</w:t>
            </w:r>
          </w:p>
        </w:tc>
        <w:tc>
          <w:tcPr>
            <w:tcW w:w="2414" w:type="dxa"/>
          </w:tcPr>
          <w:p w14:paraId="6F693BD7" w14:textId="77777777" w:rsidR="00AE1D1F" w:rsidDel="0025274B" w:rsidRDefault="00AE1D1F" w:rsidP="00AE1D1F">
            <w:pPr>
              <w:jc w:val="left"/>
            </w:pPr>
            <w:r>
              <w:t>Responsible Minister</w:t>
            </w:r>
          </w:p>
        </w:tc>
        <w:tc>
          <w:tcPr>
            <w:tcW w:w="2407" w:type="dxa"/>
          </w:tcPr>
          <w:p w14:paraId="33299A92" w14:textId="77777777" w:rsidR="00AE1D1F" w:rsidDel="0025274B" w:rsidRDefault="00AE1D1F" w:rsidP="00AE1D1F">
            <w:pPr>
              <w:jc w:val="left"/>
            </w:pPr>
            <w:r>
              <w:t>Portfolio charging review recommendation</w:t>
            </w:r>
          </w:p>
        </w:tc>
      </w:tr>
      <w:tr w:rsidR="00AE1D1F" w14:paraId="057B1953" w14:textId="77777777" w:rsidTr="00005B34">
        <w:trPr>
          <w:cnfStyle w:val="000000010000" w:firstRow="0" w:lastRow="0" w:firstColumn="0" w:lastColumn="0" w:oddVBand="0" w:evenVBand="0" w:oddHBand="0" w:evenHBand="1" w:firstRowFirstColumn="0" w:firstRowLastColumn="0" w:lastRowFirstColumn="0" w:lastRowLastColumn="0"/>
        </w:trPr>
        <w:tc>
          <w:tcPr>
            <w:tcW w:w="2400" w:type="dxa"/>
            <w:vAlign w:val="top"/>
          </w:tcPr>
          <w:p w14:paraId="041A65E4" w14:textId="790ED1B3" w:rsidR="00AE1D1F" w:rsidRDefault="00AE1D1F" w:rsidP="00AE1D1F">
            <w:pPr>
              <w:jc w:val="left"/>
            </w:pPr>
            <w:r>
              <w:t>23 July 2019</w:t>
            </w:r>
          </w:p>
        </w:tc>
        <w:tc>
          <w:tcPr>
            <w:tcW w:w="2407" w:type="dxa"/>
            <w:vAlign w:val="top"/>
          </w:tcPr>
          <w:p w14:paraId="03C389D7" w14:textId="6163D498" w:rsidR="00AE1D1F" w:rsidRDefault="00AE1D1F" w:rsidP="00AE1D1F">
            <w:pPr>
              <w:jc w:val="left"/>
            </w:pPr>
            <w:r>
              <w:t>Certification of the CRIS</w:t>
            </w:r>
          </w:p>
        </w:tc>
        <w:tc>
          <w:tcPr>
            <w:tcW w:w="2414" w:type="dxa"/>
            <w:vAlign w:val="top"/>
          </w:tcPr>
          <w:p w14:paraId="7F8B9E72" w14:textId="06566C07" w:rsidR="00AE1D1F" w:rsidRDefault="00AE1D1F" w:rsidP="00AE1D1F">
            <w:pPr>
              <w:jc w:val="left"/>
            </w:pPr>
            <w:r>
              <w:t>Accountable authority</w:t>
            </w:r>
          </w:p>
        </w:tc>
        <w:tc>
          <w:tcPr>
            <w:tcW w:w="2407" w:type="dxa"/>
            <w:vAlign w:val="top"/>
          </w:tcPr>
          <w:p w14:paraId="2A4A7519" w14:textId="3856DEAE" w:rsidR="00AE1D1F" w:rsidRDefault="00AE1D1F" w:rsidP="00AE1D1F">
            <w:pPr>
              <w:jc w:val="left"/>
            </w:pPr>
            <w:r>
              <w:t>Portfolio charging review recommendation</w:t>
            </w:r>
          </w:p>
        </w:tc>
      </w:tr>
    </w:tbl>
    <w:p w14:paraId="631D93EC" w14:textId="77777777" w:rsidR="00CA4C08" w:rsidRDefault="00CA4C08" w:rsidP="009D1D6C"/>
    <w:sectPr w:rsidR="00CA4C08" w:rsidSect="002356D6">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8838" w14:textId="77777777" w:rsidR="008551D3" w:rsidRDefault="008551D3" w:rsidP="00037687">
      <w:r>
        <w:separator/>
      </w:r>
    </w:p>
  </w:endnote>
  <w:endnote w:type="continuationSeparator" w:id="0">
    <w:p w14:paraId="3394E983" w14:textId="77777777" w:rsidR="008551D3" w:rsidRDefault="008551D3"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0DB1" w14:textId="56A1BCD0" w:rsidR="004E3BB8" w:rsidRPr="00FF6AB9" w:rsidRDefault="004E3BB8" w:rsidP="00842DD6">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33D3F0B1" wp14:editId="64C581AD">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B10645" w:rsidRPr="00B10645">
      <w:rPr>
        <w:noProof/>
        <w:sz w:val="18"/>
        <w:lang w:eastAsia="en-AU"/>
      </w:rPr>
      <w:t>Cost Recovery Implementation Statement</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842DD6">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842DD6">
      <w:rPr>
        <w:noProof/>
        <w:sz w:val="18"/>
      </w:rPr>
      <w:t>8</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F0FA" w14:textId="2A4E1E99" w:rsidR="004E3BB8" w:rsidRPr="002356D6" w:rsidRDefault="004E3BB8" w:rsidP="00842DD6">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59DB19F2" wp14:editId="457F4543">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r>
    <w:r w:rsidR="00842DD6">
      <w:rPr>
        <w:sz w:val="16"/>
      </w:rPr>
      <w:t>PO Box 655, Miranda NSW 1490</w:t>
    </w:r>
    <w:r w:rsidRPr="002356D6">
      <w:rPr>
        <w:sz w:val="16"/>
      </w:rPr>
      <w:tab/>
      <w:t>info@arpansa.gov.au</w:t>
    </w:r>
    <w:r w:rsidRPr="002356D6">
      <w:rPr>
        <w:sz w:val="16"/>
      </w:rPr>
      <w:br/>
      <w:t>+61 3 94</w:t>
    </w:r>
    <w:r>
      <w:rPr>
        <w:sz w:val="16"/>
      </w:rPr>
      <w:t>33 2211</w:t>
    </w:r>
    <w:r>
      <w:rPr>
        <w:sz w:val="16"/>
      </w:rPr>
      <w:tab/>
    </w:r>
    <w:r w:rsidR="00842DD6" w:rsidRPr="002356D6">
      <w:rPr>
        <w:sz w:val="16"/>
      </w:rPr>
      <w:t>+61 2 9541 8333</w:t>
    </w:r>
    <w:r w:rsidR="00842DD6">
      <w:rPr>
        <w:sz w:val="16"/>
      </w:rPr>
      <w:tab/>
      <w:t>arpansa.gov.au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F48C" w14:textId="77777777" w:rsidR="008551D3" w:rsidRDefault="008551D3" w:rsidP="00037687">
      <w:r>
        <w:separator/>
      </w:r>
    </w:p>
  </w:footnote>
  <w:footnote w:type="continuationSeparator" w:id="0">
    <w:p w14:paraId="4E8696E1" w14:textId="77777777" w:rsidR="008551D3" w:rsidRDefault="008551D3" w:rsidP="00037687">
      <w:r>
        <w:continuationSeparator/>
      </w:r>
    </w:p>
  </w:footnote>
  <w:footnote w:id="1">
    <w:p w14:paraId="01FB935B" w14:textId="213CE7D1" w:rsidR="00603AA9" w:rsidRDefault="00603AA9" w:rsidP="00603AA9">
      <w:pPr>
        <w:rPr>
          <w:sz w:val="20"/>
          <w:szCs w:val="20"/>
        </w:rPr>
      </w:pPr>
      <w:r>
        <w:rPr>
          <w:rStyle w:val="FootnoteReference"/>
        </w:rPr>
        <w:footnoteRef/>
      </w:r>
      <w:r>
        <w:t xml:space="preserve"> </w:t>
      </w:r>
      <w:r w:rsidRPr="00852E1E">
        <w:rPr>
          <w:sz w:val="20"/>
          <w:szCs w:val="20"/>
        </w:rPr>
        <w:t>The CRGs are available on</w:t>
      </w:r>
      <w:r>
        <w:rPr>
          <w:sz w:val="20"/>
          <w:szCs w:val="20"/>
        </w:rPr>
        <w:t xml:space="preserve"> the</w:t>
      </w:r>
      <w:r w:rsidRPr="00852E1E">
        <w:rPr>
          <w:sz w:val="20"/>
          <w:szCs w:val="20"/>
        </w:rPr>
        <w:t xml:space="preserve"> </w:t>
      </w:r>
      <w:hyperlink r:id="rId1" w:history="1">
        <w:r>
          <w:rPr>
            <w:rStyle w:val="Hyperlink"/>
            <w:sz w:val="20"/>
            <w:szCs w:val="20"/>
          </w:rPr>
          <w:t>Department of Finance website</w:t>
        </w:r>
      </w:hyperlink>
      <w:r>
        <w:rPr>
          <w:sz w:val="20"/>
          <w:szCs w:val="20"/>
        </w:rPr>
        <w:t>.</w:t>
      </w:r>
    </w:p>
    <w:p w14:paraId="2B50CB3F" w14:textId="77777777" w:rsidR="00603AA9" w:rsidRDefault="00603AA9" w:rsidP="00603AA9">
      <w:pPr>
        <w:pStyle w:val="FootnoteText"/>
      </w:pPr>
    </w:p>
  </w:footnote>
  <w:footnote w:id="2">
    <w:p w14:paraId="3E90E7D8" w14:textId="77777777" w:rsidR="00196871" w:rsidRDefault="00196871" w:rsidP="00196871">
      <w:pPr>
        <w:pStyle w:val="FootnoteText"/>
      </w:pPr>
      <w:r>
        <w:rPr>
          <w:rStyle w:val="FootnoteReference"/>
        </w:rPr>
        <w:footnoteRef/>
      </w:r>
      <w:r>
        <w:t xml:space="preserve"> </w:t>
      </w:r>
      <w:r w:rsidRPr="00956AF8">
        <w:t>As defined by AASB1031 and Division 12 – Materiality and Disclosure of the Finance Minister’s Orders.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C5E4" w14:textId="0A751290" w:rsidR="004E3BB8" w:rsidRDefault="004E3BB8" w:rsidP="003A175E">
    <w:pPr>
      <w:pStyle w:val="Header"/>
      <w:tabs>
        <w:tab w:val="clear" w:pos="4513"/>
        <w:tab w:val="clear" w:pos="9026"/>
        <w:tab w:val="left" w:pos="2189"/>
      </w:tabs>
    </w:pPr>
  </w:p>
  <w:p w14:paraId="6B849058" w14:textId="77777777" w:rsidR="004E3BB8" w:rsidRDefault="004E3BB8">
    <w:pPr>
      <w:pStyle w:val="Header"/>
    </w:pPr>
    <w:r>
      <w:rPr>
        <w:noProof/>
        <w:lang w:eastAsia="en-AU"/>
      </w:rPr>
      <w:drawing>
        <wp:inline distT="0" distB="0" distL="0" distR="0" wp14:anchorId="6C23783D" wp14:editId="27C8B52C">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44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327E36"/>
    <w:multiLevelType w:val="hybridMultilevel"/>
    <w:tmpl w:val="766815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290815"/>
    <w:multiLevelType w:val="hybridMultilevel"/>
    <w:tmpl w:val="A8C87696"/>
    <w:lvl w:ilvl="0" w:tplc="59BC0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EF6029"/>
    <w:multiLevelType w:val="hybridMultilevel"/>
    <w:tmpl w:val="B6FE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55470"/>
    <w:multiLevelType w:val="hybridMultilevel"/>
    <w:tmpl w:val="49884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3693D"/>
    <w:multiLevelType w:val="hybridMultilevel"/>
    <w:tmpl w:val="04824334"/>
    <w:lvl w:ilvl="0" w:tplc="7EB0B1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6B1B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AF41A00"/>
    <w:multiLevelType w:val="hybridMultilevel"/>
    <w:tmpl w:val="662E53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B51F3C"/>
    <w:multiLevelType w:val="hybridMultilevel"/>
    <w:tmpl w:val="C4B01FD2"/>
    <w:lvl w:ilvl="0" w:tplc="4AEA4732">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BF1B6C"/>
    <w:multiLevelType w:val="hybridMultilevel"/>
    <w:tmpl w:val="5EB82A94"/>
    <w:lvl w:ilvl="0" w:tplc="85E4106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966998"/>
    <w:multiLevelType w:val="hybridMultilevel"/>
    <w:tmpl w:val="752E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57547E"/>
    <w:multiLevelType w:val="hybridMultilevel"/>
    <w:tmpl w:val="461E7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8D15C2"/>
    <w:multiLevelType w:val="hybridMultilevel"/>
    <w:tmpl w:val="47CCAED6"/>
    <w:lvl w:ilvl="0" w:tplc="E594DB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6" w15:restartNumberingAfterBreak="0">
    <w:nsid w:val="56B40B58"/>
    <w:multiLevelType w:val="hybridMultilevel"/>
    <w:tmpl w:val="B03809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DA662E"/>
    <w:multiLevelType w:val="hybridMultilevel"/>
    <w:tmpl w:val="94A29572"/>
    <w:lvl w:ilvl="0" w:tplc="08090015">
      <w:start w:val="1"/>
      <w:numFmt w:val="upperLetter"/>
      <w:lvlText w:val="%1."/>
      <w:lvlJc w:val="left"/>
      <w:pPr>
        <w:ind w:left="360" w:hanging="360"/>
      </w:pPr>
    </w:lvl>
    <w:lvl w:ilvl="1" w:tplc="9D88D9B8">
      <w:numFmt w:val="bullet"/>
      <w:lvlText w:val="•"/>
      <w:lvlJc w:val="left"/>
      <w:pPr>
        <w:ind w:left="1440" w:hanging="720"/>
      </w:pPr>
      <w:rPr>
        <w:rFonts w:ascii="Calibri" w:eastAsiaTheme="minorHAnsi"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81D3F26"/>
    <w:multiLevelType w:val="hybridMultilevel"/>
    <w:tmpl w:val="8EA4A632"/>
    <w:lvl w:ilvl="0" w:tplc="0C090019">
      <w:start w:val="1"/>
      <w:numFmt w:val="lowerLetter"/>
      <w:lvlText w:val="%1."/>
      <w:lvlJc w:val="left"/>
      <w:pPr>
        <w:ind w:left="360" w:hanging="360"/>
      </w:pPr>
    </w:lvl>
    <w:lvl w:ilvl="1" w:tplc="9D88D9B8">
      <w:numFmt w:val="bullet"/>
      <w:lvlText w:val="•"/>
      <w:lvlJc w:val="left"/>
      <w:pPr>
        <w:ind w:left="1440" w:hanging="720"/>
      </w:pPr>
      <w:rPr>
        <w:rFonts w:ascii="Calibri" w:eastAsiaTheme="minorHAnsi"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6E641E"/>
    <w:multiLevelType w:val="hybridMultilevel"/>
    <w:tmpl w:val="B5561818"/>
    <w:lvl w:ilvl="0" w:tplc="14541C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2839049">
    <w:abstractNumId w:val="11"/>
  </w:num>
  <w:num w:numId="2" w16cid:durableId="1513761541">
    <w:abstractNumId w:val="15"/>
  </w:num>
  <w:num w:numId="3" w16cid:durableId="1888906885">
    <w:abstractNumId w:val="3"/>
  </w:num>
  <w:num w:numId="4" w16cid:durableId="268506901">
    <w:abstractNumId w:val="6"/>
  </w:num>
  <w:num w:numId="5" w16cid:durableId="1826705980">
    <w:abstractNumId w:val="0"/>
  </w:num>
  <w:num w:numId="6" w16cid:durableId="1460609266">
    <w:abstractNumId w:val="17"/>
  </w:num>
  <w:num w:numId="7" w16cid:durableId="1998996772">
    <w:abstractNumId w:val="7"/>
  </w:num>
  <w:num w:numId="8" w16cid:durableId="84114576">
    <w:abstractNumId w:val="13"/>
  </w:num>
  <w:num w:numId="9" w16cid:durableId="276378296">
    <w:abstractNumId w:val="5"/>
  </w:num>
  <w:num w:numId="10" w16cid:durableId="814689549">
    <w:abstractNumId w:val="8"/>
  </w:num>
  <w:num w:numId="11" w16cid:durableId="535896067">
    <w:abstractNumId w:val="2"/>
  </w:num>
  <w:num w:numId="12" w16cid:durableId="737020478">
    <w:abstractNumId w:val="10"/>
  </w:num>
  <w:num w:numId="13" w16cid:durableId="2073963011">
    <w:abstractNumId w:val="1"/>
  </w:num>
  <w:num w:numId="14" w16cid:durableId="1861701878">
    <w:abstractNumId w:val="9"/>
  </w:num>
  <w:num w:numId="15" w16cid:durableId="1246570327">
    <w:abstractNumId w:val="16"/>
  </w:num>
  <w:num w:numId="16" w16cid:durableId="948003832">
    <w:abstractNumId w:val="19"/>
  </w:num>
  <w:num w:numId="17" w16cid:durableId="1990742954">
    <w:abstractNumId w:val="14"/>
  </w:num>
  <w:num w:numId="18" w16cid:durableId="449710079">
    <w:abstractNumId w:val="18"/>
  </w:num>
  <w:num w:numId="19" w16cid:durableId="1528132222">
    <w:abstractNumId w:val="4"/>
  </w:num>
  <w:num w:numId="20" w16cid:durableId="392199966">
    <w:abstractNumId w:val="12"/>
  </w:num>
  <w:num w:numId="21" w16cid:durableId="1704866333">
    <w:abstractNumId w:val="11"/>
  </w:num>
  <w:num w:numId="22" w16cid:durableId="58827330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28"/>
    <w:rsid w:val="00005B34"/>
    <w:rsid w:val="000142EE"/>
    <w:rsid w:val="000152CA"/>
    <w:rsid w:val="00026282"/>
    <w:rsid w:val="00031D5F"/>
    <w:rsid w:val="00037687"/>
    <w:rsid w:val="00037E63"/>
    <w:rsid w:val="00040C2D"/>
    <w:rsid w:val="000421BD"/>
    <w:rsid w:val="00055167"/>
    <w:rsid w:val="00065154"/>
    <w:rsid w:val="00066B27"/>
    <w:rsid w:val="00071096"/>
    <w:rsid w:val="00071455"/>
    <w:rsid w:val="00072485"/>
    <w:rsid w:val="000802D2"/>
    <w:rsid w:val="000824BA"/>
    <w:rsid w:val="00082E26"/>
    <w:rsid w:val="000917AA"/>
    <w:rsid w:val="000A091F"/>
    <w:rsid w:val="000A2E4E"/>
    <w:rsid w:val="000A47C3"/>
    <w:rsid w:val="000A6DF2"/>
    <w:rsid w:val="000B6427"/>
    <w:rsid w:val="000C3D7B"/>
    <w:rsid w:val="000C4651"/>
    <w:rsid w:val="000D033E"/>
    <w:rsid w:val="000D27C8"/>
    <w:rsid w:val="000D48BB"/>
    <w:rsid w:val="000E67A7"/>
    <w:rsid w:val="000F3AB1"/>
    <w:rsid w:val="000F6BD7"/>
    <w:rsid w:val="000F73FB"/>
    <w:rsid w:val="0010348D"/>
    <w:rsid w:val="001052AE"/>
    <w:rsid w:val="00111D49"/>
    <w:rsid w:val="00116C61"/>
    <w:rsid w:val="00120AFE"/>
    <w:rsid w:val="00123388"/>
    <w:rsid w:val="001266C4"/>
    <w:rsid w:val="00130656"/>
    <w:rsid w:val="00131111"/>
    <w:rsid w:val="001323A6"/>
    <w:rsid w:val="0013330A"/>
    <w:rsid w:val="001357DC"/>
    <w:rsid w:val="0013619C"/>
    <w:rsid w:val="00142CC2"/>
    <w:rsid w:val="00150B70"/>
    <w:rsid w:val="0015161B"/>
    <w:rsid w:val="0015251D"/>
    <w:rsid w:val="00153606"/>
    <w:rsid w:val="00157FDD"/>
    <w:rsid w:val="001611B7"/>
    <w:rsid w:val="00164188"/>
    <w:rsid w:val="00166666"/>
    <w:rsid w:val="00182211"/>
    <w:rsid w:val="00192A8D"/>
    <w:rsid w:val="00196871"/>
    <w:rsid w:val="001A11CB"/>
    <w:rsid w:val="001B1CE1"/>
    <w:rsid w:val="001C1332"/>
    <w:rsid w:val="001D4555"/>
    <w:rsid w:val="001D56CE"/>
    <w:rsid w:val="001D7351"/>
    <w:rsid w:val="001E0C6F"/>
    <w:rsid w:val="001E3845"/>
    <w:rsid w:val="001E549A"/>
    <w:rsid w:val="001F5B95"/>
    <w:rsid w:val="001F7E81"/>
    <w:rsid w:val="001F7EC5"/>
    <w:rsid w:val="00202E81"/>
    <w:rsid w:val="00203E86"/>
    <w:rsid w:val="0020571C"/>
    <w:rsid w:val="002111A5"/>
    <w:rsid w:val="00211B48"/>
    <w:rsid w:val="00215301"/>
    <w:rsid w:val="0021649B"/>
    <w:rsid w:val="0021775D"/>
    <w:rsid w:val="00221072"/>
    <w:rsid w:val="002318E7"/>
    <w:rsid w:val="002356D6"/>
    <w:rsid w:val="0024070D"/>
    <w:rsid w:val="00240E87"/>
    <w:rsid w:val="0024505E"/>
    <w:rsid w:val="002466AB"/>
    <w:rsid w:val="00246735"/>
    <w:rsid w:val="00247635"/>
    <w:rsid w:val="0025274B"/>
    <w:rsid w:val="00255613"/>
    <w:rsid w:val="00260F25"/>
    <w:rsid w:val="002700D9"/>
    <w:rsid w:val="00274567"/>
    <w:rsid w:val="00275CBA"/>
    <w:rsid w:val="00276005"/>
    <w:rsid w:val="0028001C"/>
    <w:rsid w:val="00294E57"/>
    <w:rsid w:val="00295305"/>
    <w:rsid w:val="00297B35"/>
    <w:rsid w:val="002A1C54"/>
    <w:rsid w:val="002C2201"/>
    <w:rsid w:val="002D25C3"/>
    <w:rsid w:val="002D5478"/>
    <w:rsid w:val="002E0DE2"/>
    <w:rsid w:val="002E56FD"/>
    <w:rsid w:val="002F038C"/>
    <w:rsid w:val="003014F6"/>
    <w:rsid w:val="0031017C"/>
    <w:rsid w:val="00311F3B"/>
    <w:rsid w:val="00315C8E"/>
    <w:rsid w:val="00322906"/>
    <w:rsid w:val="003232C6"/>
    <w:rsid w:val="00327077"/>
    <w:rsid w:val="0033778F"/>
    <w:rsid w:val="00340F31"/>
    <w:rsid w:val="003411D1"/>
    <w:rsid w:val="003413BA"/>
    <w:rsid w:val="003424DE"/>
    <w:rsid w:val="00347DBE"/>
    <w:rsid w:val="003541A8"/>
    <w:rsid w:val="00360A2E"/>
    <w:rsid w:val="00363799"/>
    <w:rsid w:val="00365B4A"/>
    <w:rsid w:val="00370113"/>
    <w:rsid w:val="0037626E"/>
    <w:rsid w:val="0037670B"/>
    <w:rsid w:val="0038245B"/>
    <w:rsid w:val="00384BC2"/>
    <w:rsid w:val="003851CC"/>
    <w:rsid w:val="003939E0"/>
    <w:rsid w:val="0039420C"/>
    <w:rsid w:val="003A175E"/>
    <w:rsid w:val="003B0414"/>
    <w:rsid w:val="003B630B"/>
    <w:rsid w:val="003B726E"/>
    <w:rsid w:val="003D2646"/>
    <w:rsid w:val="003D265D"/>
    <w:rsid w:val="003E5C63"/>
    <w:rsid w:val="003F40FA"/>
    <w:rsid w:val="003F458E"/>
    <w:rsid w:val="003F69D5"/>
    <w:rsid w:val="0040029D"/>
    <w:rsid w:val="00402557"/>
    <w:rsid w:val="0040667B"/>
    <w:rsid w:val="00412CF8"/>
    <w:rsid w:val="004131B6"/>
    <w:rsid w:val="0041486A"/>
    <w:rsid w:val="00415EE2"/>
    <w:rsid w:val="00421FEC"/>
    <w:rsid w:val="004231FA"/>
    <w:rsid w:val="004243E8"/>
    <w:rsid w:val="00425B06"/>
    <w:rsid w:val="00426351"/>
    <w:rsid w:val="00430768"/>
    <w:rsid w:val="00434381"/>
    <w:rsid w:val="0043464A"/>
    <w:rsid w:val="0043514D"/>
    <w:rsid w:val="00443001"/>
    <w:rsid w:val="00445060"/>
    <w:rsid w:val="00447D48"/>
    <w:rsid w:val="00450393"/>
    <w:rsid w:val="00453BFA"/>
    <w:rsid w:val="004569DA"/>
    <w:rsid w:val="004577AE"/>
    <w:rsid w:val="0046298C"/>
    <w:rsid w:val="0047465A"/>
    <w:rsid w:val="0047525C"/>
    <w:rsid w:val="00475C69"/>
    <w:rsid w:val="00480DAA"/>
    <w:rsid w:val="00481101"/>
    <w:rsid w:val="0049607A"/>
    <w:rsid w:val="00496196"/>
    <w:rsid w:val="004A51D1"/>
    <w:rsid w:val="004A6B40"/>
    <w:rsid w:val="004A6D88"/>
    <w:rsid w:val="004C6BFE"/>
    <w:rsid w:val="004D2E52"/>
    <w:rsid w:val="004E26CF"/>
    <w:rsid w:val="004E3BB8"/>
    <w:rsid w:val="004E3F37"/>
    <w:rsid w:val="004E4746"/>
    <w:rsid w:val="004F6F94"/>
    <w:rsid w:val="005026E3"/>
    <w:rsid w:val="00503CBD"/>
    <w:rsid w:val="00504D6A"/>
    <w:rsid w:val="0051682D"/>
    <w:rsid w:val="00517DC8"/>
    <w:rsid w:val="005229FE"/>
    <w:rsid w:val="00526081"/>
    <w:rsid w:val="00526750"/>
    <w:rsid w:val="0052743B"/>
    <w:rsid w:val="0054455D"/>
    <w:rsid w:val="00544834"/>
    <w:rsid w:val="00544ED9"/>
    <w:rsid w:val="00547B85"/>
    <w:rsid w:val="00552CE2"/>
    <w:rsid w:val="005530FC"/>
    <w:rsid w:val="0055412A"/>
    <w:rsid w:val="00554D96"/>
    <w:rsid w:val="00555AE0"/>
    <w:rsid w:val="00557858"/>
    <w:rsid w:val="00561136"/>
    <w:rsid w:val="00570B3E"/>
    <w:rsid w:val="0057594B"/>
    <w:rsid w:val="00586DAE"/>
    <w:rsid w:val="00590380"/>
    <w:rsid w:val="00593128"/>
    <w:rsid w:val="005A14DC"/>
    <w:rsid w:val="005A6B1D"/>
    <w:rsid w:val="005B01A7"/>
    <w:rsid w:val="005B28E2"/>
    <w:rsid w:val="005B2D87"/>
    <w:rsid w:val="005B6573"/>
    <w:rsid w:val="005C24C6"/>
    <w:rsid w:val="005C4F59"/>
    <w:rsid w:val="005C6A82"/>
    <w:rsid w:val="005D1563"/>
    <w:rsid w:val="005D17F3"/>
    <w:rsid w:val="005D2355"/>
    <w:rsid w:val="005E0FD4"/>
    <w:rsid w:val="005E6E39"/>
    <w:rsid w:val="005F4EC3"/>
    <w:rsid w:val="006002C1"/>
    <w:rsid w:val="00603AA9"/>
    <w:rsid w:val="0061125A"/>
    <w:rsid w:val="0061184E"/>
    <w:rsid w:val="00611C63"/>
    <w:rsid w:val="006202D6"/>
    <w:rsid w:val="00621F3A"/>
    <w:rsid w:val="006319FF"/>
    <w:rsid w:val="006336C3"/>
    <w:rsid w:val="00647C5F"/>
    <w:rsid w:val="006536CB"/>
    <w:rsid w:val="00661828"/>
    <w:rsid w:val="00663868"/>
    <w:rsid w:val="0067124E"/>
    <w:rsid w:val="00673FBF"/>
    <w:rsid w:val="00675E49"/>
    <w:rsid w:val="0067614F"/>
    <w:rsid w:val="0067707A"/>
    <w:rsid w:val="00677B7D"/>
    <w:rsid w:val="00683D35"/>
    <w:rsid w:val="00695621"/>
    <w:rsid w:val="00695F5C"/>
    <w:rsid w:val="006A3C7D"/>
    <w:rsid w:val="006C197F"/>
    <w:rsid w:val="006C4C50"/>
    <w:rsid w:val="006C52FA"/>
    <w:rsid w:val="006E0A7F"/>
    <w:rsid w:val="006E59E8"/>
    <w:rsid w:val="006E6FA8"/>
    <w:rsid w:val="006E7514"/>
    <w:rsid w:val="006F5F4F"/>
    <w:rsid w:val="00723BA1"/>
    <w:rsid w:val="0072541A"/>
    <w:rsid w:val="00726A25"/>
    <w:rsid w:val="00730272"/>
    <w:rsid w:val="0074150F"/>
    <w:rsid w:val="00751131"/>
    <w:rsid w:val="00755B38"/>
    <w:rsid w:val="007563B2"/>
    <w:rsid w:val="00767406"/>
    <w:rsid w:val="0077771A"/>
    <w:rsid w:val="00787C08"/>
    <w:rsid w:val="007A0333"/>
    <w:rsid w:val="007A0993"/>
    <w:rsid w:val="007A664B"/>
    <w:rsid w:val="007B26C5"/>
    <w:rsid w:val="007B5622"/>
    <w:rsid w:val="007C05CA"/>
    <w:rsid w:val="007C5B5A"/>
    <w:rsid w:val="007C6BA3"/>
    <w:rsid w:val="007D26B4"/>
    <w:rsid w:val="007D6672"/>
    <w:rsid w:val="007E19EE"/>
    <w:rsid w:val="007E1A6E"/>
    <w:rsid w:val="007E7404"/>
    <w:rsid w:val="007F14ED"/>
    <w:rsid w:val="00811437"/>
    <w:rsid w:val="008211A2"/>
    <w:rsid w:val="00826B3E"/>
    <w:rsid w:val="008271A7"/>
    <w:rsid w:val="00827D3C"/>
    <w:rsid w:val="00837EBC"/>
    <w:rsid w:val="00841065"/>
    <w:rsid w:val="00842AC3"/>
    <w:rsid w:val="00842DD6"/>
    <w:rsid w:val="00847188"/>
    <w:rsid w:val="00847345"/>
    <w:rsid w:val="00850D2F"/>
    <w:rsid w:val="00854F44"/>
    <w:rsid w:val="008551D3"/>
    <w:rsid w:val="00856164"/>
    <w:rsid w:val="00861259"/>
    <w:rsid w:val="0087540B"/>
    <w:rsid w:val="008863DC"/>
    <w:rsid w:val="00887139"/>
    <w:rsid w:val="008877BA"/>
    <w:rsid w:val="00887CAD"/>
    <w:rsid w:val="0089066E"/>
    <w:rsid w:val="00897B3B"/>
    <w:rsid w:val="008A1149"/>
    <w:rsid w:val="008A47F8"/>
    <w:rsid w:val="008C2F29"/>
    <w:rsid w:val="008C7F29"/>
    <w:rsid w:val="008D5DBB"/>
    <w:rsid w:val="008F518A"/>
    <w:rsid w:val="008F71D5"/>
    <w:rsid w:val="008F7D0E"/>
    <w:rsid w:val="00903E2A"/>
    <w:rsid w:val="00914A8A"/>
    <w:rsid w:val="0091764E"/>
    <w:rsid w:val="009278FB"/>
    <w:rsid w:val="00931480"/>
    <w:rsid w:val="009372EE"/>
    <w:rsid w:val="00941CA6"/>
    <w:rsid w:val="00947F76"/>
    <w:rsid w:val="00951A63"/>
    <w:rsid w:val="009555D8"/>
    <w:rsid w:val="009711CB"/>
    <w:rsid w:val="00980113"/>
    <w:rsid w:val="0098175B"/>
    <w:rsid w:val="0098666A"/>
    <w:rsid w:val="00997DFE"/>
    <w:rsid w:val="009A0BF3"/>
    <w:rsid w:val="009B1D69"/>
    <w:rsid w:val="009B31B4"/>
    <w:rsid w:val="009B4C6A"/>
    <w:rsid w:val="009B7231"/>
    <w:rsid w:val="009C14B4"/>
    <w:rsid w:val="009C3225"/>
    <w:rsid w:val="009D012B"/>
    <w:rsid w:val="009D1D6C"/>
    <w:rsid w:val="009D3D49"/>
    <w:rsid w:val="009E77E8"/>
    <w:rsid w:val="009F1F43"/>
    <w:rsid w:val="009F34AA"/>
    <w:rsid w:val="009F3DCE"/>
    <w:rsid w:val="009F3F6D"/>
    <w:rsid w:val="009F6BF4"/>
    <w:rsid w:val="00A029E9"/>
    <w:rsid w:val="00A04901"/>
    <w:rsid w:val="00A2224A"/>
    <w:rsid w:val="00A2427C"/>
    <w:rsid w:val="00A2433F"/>
    <w:rsid w:val="00A260C4"/>
    <w:rsid w:val="00A279DC"/>
    <w:rsid w:val="00A42190"/>
    <w:rsid w:val="00A42F27"/>
    <w:rsid w:val="00A46B32"/>
    <w:rsid w:val="00A47C10"/>
    <w:rsid w:val="00A50835"/>
    <w:rsid w:val="00A517EE"/>
    <w:rsid w:val="00A6180F"/>
    <w:rsid w:val="00A64A25"/>
    <w:rsid w:val="00A71D0D"/>
    <w:rsid w:val="00A83509"/>
    <w:rsid w:val="00A847BC"/>
    <w:rsid w:val="00A8520D"/>
    <w:rsid w:val="00A85C75"/>
    <w:rsid w:val="00A87A94"/>
    <w:rsid w:val="00A94793"/>
    <w:rsid w:val="00AB0D38"/>
    <w:rsid w:val="00AB4559"/>
    <w:rsid w:val="00AB6DA9"/>
    <w:rsid w:val="00AB7440"/>
    <w:rsid w:val="00AD0D50"/>
    <w:rsid w:val="00AD2D61"/>
    <w:rsid w:val="00AE1515"/>
    <w:rsid w:val="00AE1D1F"/>
    <w:rsid w:val="00AE200A"/>
    <w:rsid w:val="00AE261E"/>
    <w:rsid w:val="00AE7092"/>
    <w:rsid w:val="00AE75FF"/>
    <w:rsid w:val="00AE778D"/>
    <w:rsid w:val="00AF245E"/>
    <w:rsid w:val="00AF3634"/>
    <w:rsid w:val="00AF54A2"/>
    <w:rsid w:val="00B10645"/>
    <w:rsid w:val="00B10991"/>
    <w:rsid w:val="00B22909"/>
    <w:rsid w:val="00B25769"/>
    <w:rsid w:val="00B26E24"/>
    <w:rsid w:val="00B3136F"/>
    <w:rsid w:val="00B35E4D"/>
    <w:rsid w:val="00B367B1"/>
    <w:rsid w:val="00B405E5"/>
    <w:rsid w:val="00B41A2B"/>
    <w:rsid w:val="00B449EF"/>
    <w:rsid w:val="00B45CBB"/>
    <w:rsid w:val="00B45D3E"/>
    <w:rsid w:val="00B519AE"/>
    <w:rsid w:val="00B51E58"/>
    <w:rsid w:val="00B54750"/>
    <w:rsid w:val="00B62712"/>
    <w:rsid w:val="00B62AD0"/>
    <w:rsid w:val="00B72146"/>
    <w:rsid w:val="00B751F7"/>
    <w:rsid w:val="00B7562D"/>
    <w:rsid w:val="00B804B1"/>
    <w:rsid w:val="00B85DA0"/>
    <w:rsid w:val="00B87FA2"/>
    <w:rsid w:val="00B97DB7"/>
    <w:rsid w:val="00B97F78"/>
    <w:rsid w:val="00BA2F0B"/>
    <w:rsid w:val="00BA30F9"/>
    <w:rsid w:val="00BA34D4"/>
    <w:rsid w:val="00BA3DAC"/>
    <w:rsid w:val="00BA5232"/>
    <w:rsid w:val="00BA5D06"/>
    <w:rsid w:val="00BB5500"/>
    <w:rsid w:val="00BB5F10"/>
    <w:rsid w:val="00BB5F1B"/>
    <w:rsid w:val="00BB66D4"/>
    <w:rsid w:val="00BC2073"/>
    <w:rsid w:val="00BD5B4C"/>
    <w:rsid w:val="00BE4F91"/>
    <w:rsid w:val="00BE6683"/>
    <w:rsid w:val="00BE6FFB"/>
    <w:rsid w:val="00BF10A6"/>
    <w:rsid w:val="00BF5066"/>
    <w:rsid w:val="00C07099"/>
    <w:rsid w:val="00C07D60"/>
    <w:rsid w:val="00C112F7"/>
    <w:rsid w:val="00C12DAC"/>
    <w:rsid w:val="00C17EA7"/>
    <w:rsid w:val="00C20328"/>
    <w:rsid w:val="00C210EF"/>
    <w:rsid w:val="00C215C4"/>
    <w:rsid w:val="00C21978"/>
    <w:rsid w:val="00C220F3"/>
    <w:rsid w:val="00C37351"/>
    <w:rsid w:val="00C37EC5"/>
    <w:rsid w:val="00C45116"/>
    <w:rsid w:val="00C47C76"/>
    <w:rsid w:val="00C56F45"/>
    <w:rsid w:val="00C65FEF"/>
    <w:rsid w:val="00C71EDC"/>
    <w:rsid w:val="00C828E9"/>
    <w:rsid w:val="00C8573E"/>
    <w:rsid w:val="00C90747"/>
    <w:rsid w:val="00C93E3A"/>
    <w:rsid w:val="00CA40FB"/>
    <w:rsid w:val="00CA4C08"/>
    <w:rsid w:val="00CA5851"/>
    <w:rsid w:val="00CB0A53"/>
    <w:rsid w:val="00CC1541"/>
    <w:rsid w:val="00CD36ED"/>
    <w:rsid w:val="00CD41F0"/>
    <w:rsid w:val="00CE15C5"/>
    <w:rsid w:val="00CE5CB1"/>
    <w:rsid w:val="00CF002C"/>
    <w:rsid w:val="00CF1CD9"/>
    <w:rsid w:val="00CF30E5"/>
    <w:rsid w:val="00CF31C0"/>
    <w:rsid w:val="00CF31DA"/>
    <w:rsid w:val="00CF32A6"/>
    <w:rsid w:val="00CF7DAD"/>
    <w:rsid w:val="00D00BC7"/>
    <w:rsid w:val="00D22F8B"/>
    <w:rsid w:val="00D24A37"/>
    <w:rsid w:val="00D30295"/>
    <w:rsid w:val="00D36385"/>
    <w:rsid w:val="00D41CE0"/>
    <w:rsid w:val="00D50DCF"/>
    <w:rsid w:val="00D52070"/>
    <w:rsid w:val="00D570E0"/>
    <w:rsid w:val="00D64EC5"/>
    <w:rsid w:val="00D70D97"/>
    <w:rsid w:val="00D770E7"/>
    <w:rsid w:val="00D87798"/>
    <w:rsid w:val="00DB22F7"/>
    <w:rsid w:val="00DC3AD0"/>
    <w:rsid w:val="00DC7768"/>
    <w:rsid w:val="00DC77D3"/>
    <w:rsid w:val="00DD1881"/>
    <w:rsid w:val="00DE21E1"/>
    <w:rsid w:val="00DE52A9"/>
    <w:rsid w:val="00DF1EE5"/>
    <w:rsid w:val="00E04155"/>
    <w:rsid w:val="00E11073"/>
    <w:rsid w:val="00E16A4A"/>
    <w:rsid w:val="00E2491C"/>
    <w:rsid w:val="00E25BD4"/>
    <w:rsid w:val="00E32A56"/>
    <w:rsid w:val="00E4349A"/>
    <w:rsid w:val="00E54D3A"/>
    <w:rsid w:val="00E57AC7"/>
    <w:rsid w:val="00E73018"/>
    <w:rsid w:val="00E73540"/>
    <w:rsid w:val="00E7382B"/>
    <w:rsid w:val="00E85A9E"/>
    <w:rsid w:val="00E912C7"/>
    <w:rsid w:val="00EB1610"/>
    <w:rsid w:val="00EB19A1"/>
    <w:rsid w:val="00EC1AAD"/>
    <w:rsid w:val="00EC2E3E"/>
    <w:rsid w:val="00ED52FE"/>
    <w:rsid w:val="00EE11A6"/>
    <w:rsid w:val="00EF0AA3"/>
    <w:rsid w:val="00EF0CDA"/>
    <w:rsid w:val="00EF16D6"/>
    <w:rsid w:val="00EF2799"/>
    <w:rsid w:val="00EF2F3E"/>
    <w:rsid w:val="00EF3219"/>
    <w:rsid w:val="00EF576B"/>
    <w:rsid w:val="00F10F4B"/>
    <w:rsid w:val="00F134C1"/>
    <w:rsid w:val="00F134E6"/>
    <w:rsid w:val="00F14907"/>
    <w:rsid w:val="00F30B42"/>
    <w:rsid w:val="00F41CA9"/>
    <w:rsid w:val="00F50048"/>
    <w:rsid w:val="00F50819"/>
    <w:rsid w:val="00F708D2"/>
    <w:rsid w:val="00F71079"/>
    <w:rsid w:val="00F71AB4"/>
    <w:rsid w:val="00F73436"/>
    <w:rsid w:val="00F87EA5"/>
    <w:rsid w:val="00F930C8"/>
    <w:rsid w:val="00FB3FDB"/>
    <w:rsid w:val="00FC3FBC"/>
    <w:rsid w:val="00FC736F"/>
    <w:rsid w:val="00FD2558"/>
    <w:rsid w:val="00FE0EF7"/>
    <w:rsid w:val="00FE5C52"/>
    <w:rsid w:val="00FF0DF4"/>
    <w:rsid w:val="00FF1A9E"/>
    <w:rsid w:val="00FF5936"/>
    <w:rsid w:val="00FF6AB9"/>
    <w:rsid w:val="00FF6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C3B91"/>
  <w15:docId w15:val="{FBE78D61-77EF-4C43-8272-D6C4831B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FC"/>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rsid w:val="00570B3E"/>
    <w:rPr>
      <w:color w:val="444448"/>
      <w:sz w:val="18"/>
      <w:szCs w:val="20"/>
    </w:rPr>
  </w:style>
  <w:style w:type="character" w:styleId="FootnoteReference">
    <w:name w:val="footnote reference"/>
    <w:basedOn w:val="DefaultParagraphFont"/>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2"/>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12DAC"/>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12DAC"/>
    <w:pPr>
      <w:spacing w:before="40" w:after="40"/>
    </w:pPr>
    <w:rPr>
      <w:color w:val="444448"/>
      <w:sz w:val="20"/>
    </w:rPr>
  </w:style>
  <w:style w:type="table" w:customStyle="1" w:styleId="ARPANSA1">
    <w:name w:val="ARPANSA1"/>
    <w:basedOn w:val="TableNormal"/>
    <w:uiPriority w:val="99"/>
    <w:rsid w:val="00C12DAC"/>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bodytext">
    <w:name w:val="Table body text"/>
    <w:qFormat/>
    <w:rsid w:val="000A6DF2"/>
    <w:pPr>
      <w:spacing w:before="0" w:line="240" w:lineRule="auto"/>
    </w:pPr>
    <w:rPr>
      <w:rFonts w:ascii="Arial" w:eastAsia="Times New Roman" w:hAnsi="Arial" w:cs="Times New Roman"/>
      <w:color w:val="auto"/>
      <w:sz w:val="18"/>
      <w:szCs w:val="24"/>
    </w:rPr>
  </w:style>
  <w:style w:type="paragraph" w:customStyle="1" w:styleId="Bullets1stindent">
    <w:name w:val="Bullets (1st indent)"/>
    <w:basedOn w:val="Normal"/>
    <w:rsid w:val="000A6DF2"/>
    <w:pPr>
      <w:numPr>
        <w:numId w:val="7"/>
      </w:numPr>
      <w:spacing w:before="0" w:after="120" w:line="240" w:lineRule="auto"/>
    </w:pPr>
    <w:rPr>
      <w:rFonts w:ascii="Cambria" w:eastAsia="Times New Roman" w:hAnsi="Cambria" w:cs="Times New Roman"/>
      <w:color w:val="auto"/>
      <w:szCs w:val="24"/>
    </w:rPr>
  </w:style>
  <w:style w:type="paragraph" w:customStyle="1" w:styleId="Bullets2ndindent">
    <w:name w:val="Bullets (2nd indent)"/>
    <w:basedOn w:val="Normal"/>
    <w:rsid w:val="000A6DF2"/>
    <w:pPr>
      <w:numPr>
        <w:ilvl w:val="1"/>
        <w:numId w:val="7"/>
      </w:numPr>
      <w:spacing w:before="0" w:after="120" w:line="240" w:lineRule="auto"/>
    </w:pPr>
    <w:rPr>
      <w:rFonts w:ascii="Cambria" w:eastAsia="Times New Roman" w:hAnsi="Cambria" w:cs="Times New Roman"/>
      <w:color w:val="auto"/>
      <w:szCs w:val="24"/>
    </w:rPr>
  </w:style>
  <w:style w:type="numbering" w:customStyle="1" w:styleId="Bullets">
    <w:name w:val="Bullets"/>
    <w:basedOn w:val="NoList"/>
    <w:uiPriority w:val="99"/>
    <w:rsid w:val="000A6DF2"/>
    <w:pPr>
      <w:numPr>
        <w:numId w:val="7"/>
      </w:numPr>
    </w:pPr>
  </w:style>
  <w:style w:type="paragraph" w:customStyle="1" w:styleId="Bulletslast1stindent">
    <w:name w:val="Bullets last (1st indent)"/>
    <w:basedOn w:val="Normal"/>
    <w:rsid w:val="000A6DF2"/>
    <w:pPr>
      <w:numPr>
        <w:ilvl w:val="2"/>
        <w:numId w:val="7"/>
      </w:numPr>
      <w:spacing w:before="0" w:after="120" w:line="240" w:lineRule="auto"/>
    </w:pPr>
    <w:rPr>
      <w:rFonts w:ascii="Cambria" w:eastAsia="Times New Roman" w:hAnsi="Cambria" w:cs="Times New Roman"/>
      <w:color w:val="auto"/>
      <w:szCs w:val="24"/>
    </w:rPr>
  </w:style>
  <w:style w:type="paragraph" w:customStyle="1" w:styleId="Bulletslast2ndindent">
    <w:name w:val="Bullets last (2nd indent)"/>
    <w:basedOn w:val="Normal"/>
    <w:rsid w:val="000A6DF2"/>
    <w:pPr>
      <w:numPr>
        <w:ilvl w:val="3"/>
        <w:numId w:val="7"/>
      </w:numPr>
      <w:spacing w:before="0" w:after="57" w:line="240" w:lineRule="auto"/>
    </w:pPr>
    <w:rPr>
      <w:rFonts w:ascii="Cambria" w:eastAsia="Times New Roman" w:hAnsi="Cambria" w:cs="Times New Roman"/>
      <w:color w:val="auto"/>
      <w:szCs w:val="24"/>
    </w:rPr>
  </w:style>
  <w:style w:type="paragraph" w:customStyle="1" w:styleId="Tablebullets2ndindent">
    <w:name w:val="Table bullets (2nd indent)"/>
    <w:basedOn w:val="Tablebodytext"/>
    <w:qFormat/>
    <w:rsid w:val="000A6DF2"/>
    <w:pPr>
      <w:numPr>
        <w:ilvl w:val="6"/>
        <w:numId w:val="7"/>
      </w:numPr>
    </w:pPr>
  </w:style>
  <w:style w:type="paragraph" w:customStyle="1" w:styleId="Tablebullets1stindent">
    <w:name w:val="Table bullets (1st indent)"/>
    <w:basedOn w:val="Tablebodytext"/>
    <w:qFormat/>
    <w:rsid w:val="000A6DF2"/>
    <w:pPr>
      <w:numPr>
        <w:ilvl w:val="5"/>
        <w:numId w:val="7"/>
      </w:numPr>
    </w:pPr>
  </w:style>
  <w:style w:type="character" w:styleId="CommentReference">
    <w:name w:val="annotation reference"/>
    <w:basedOn w:val="DefaultParagraphFont"/>
    <w:uiPriority w:val="99"/>
    <w:semiHidden/>
    <w:unhideWhenUsed/>
    <w:rsid w:val="00695F5C"/>
    <w:rPr>
      <w:sz w:val="16"/>
      <w:szCs w:val="16"/>
    </w:rPr>
  </w:style>
  <w:style w:type="paragraph" w:styleId="CommentText">
    <w:name w:val="annotation text"/>
    <w:basedOn w:val="Normal"/>
    <w:link w:val="CommentTextChar"/>
    <w:uiPriority w:val="99"/>
    <w:unhideWhenUsed/>
    <w:rsid w:val="00695F5C"/>
    <w:pPr>
      <w:spacing w:line="240" w:lineRule="auto"/>
    </w:pPr>
    <w:rPr>
      <w:sz w:val="20"/>
      <w:szCs w:val="20"/>
    </w:rPr>
  </w:style>
  <w:style w:type="character" w:customStyle="1" w:styleId="CommentTextChar">
    <w:name w:val="Comment Text Char"/>
    <w:basedOn w:val="DefaultParagraphFont"/>
    <w:link w:val="CommentText"/>
    <w:uiPriority w:val="99"/>
    <w:rsid w:val="00695F5C"/>
    <w:rPr>
      <w:sz w:val="20"/>
      <w:szCs w:val="20"/>
    </w:rPr>
  </w:style>
  <w:style w:type="paragraph" w:styleId="CommentSubject">
    <w:name w:val="annotation subject"/>
    <w:basedOn w:val="CommentText"/>
    <w:next w:val="CommentText"/>
    <w:link w:val="CommentSubjectChar"/>
    <w:uiPriority w:val="99"/>
    <w:semiHidden/>
    <w:unhideWhenUsed/>
    <w:rsid w:val="00695F5C"/>
    <w:rPr>
      <w:b/>
      <w:bCs/>
    </w:rPr>
  </w:style>
  <w:style w:type="character" w:customStyle="1" w:styleId="CommentSubjectChar">
    <w:name w:val="Comment Subject Char"/>
    <w:basedOn w:val="CommentTextChar"/>
    <w:link w:val="CommentSubject"/>
    <w:uiPriority w:val="99"/>
    <w:semiHidden/>
    <w:rsid w:val="00695F5C"/>
    <w:rPr>
      <w:b/>
      <w:bCs/>
      <w:sz w:val="20"/>
      <w:szCs w:val="20"/>
    </w:rPr>
  </w:style>
  <w:style w:type="paragraph" w:styleId="Revision">
    <w:name w:val="Revision"/>
    <w:hidden/>
    <w:uiPriority w:val="99"/>
    <w:semiHidden/>
    <w:rsid w:val="00276005"/>
    <w:pPr>
      <w:spacing w:before="0" w:line="240" w:lineRule="auto"/>
    </w:pPr>
  </w:style>
  <w:style w:type="paragraph" w:customStyle="1" w:styleId="Default">
    <w:name w:val="Default"/>
    <w:rsid w:val="000802D2"/>
    <w:pPr>
      <w:autoSpaceDE w:val="0"/>
      <w:autoSpaceDN w:val="0"/>
      <w:adjustRightInd w:val="0"/>
      <w:spacing w:before="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007280">
      <w:bodyDiv w:val="1"/>
      <w:marLeft w:val="0"/>
      <w:marRight w:val="0"/>
      <w:marTop w:val="0"/>
      <w:marBottom w:val="0"/>
      <w:divBdr>
        <w:top w:val="none" w:sz="0" w:space="0" w:color="auto"/>
        <w:left w:val="none" w:sz="0" w:space="0" w:color="auto"/>
        <w:bottom w:val="none" w:sz="0" w:space="0" w:color="auto"/>
        <w:right w:val="none" w:sz="0" w:space="0" w:color="auto"/>
      </w:divBdr>
    </w:div>
    <w:div w:id="1766611228">
      <w:bodyDiv w:val="1"/>
      <w:marLeft w:val="0"/>
      <w:marRight w:val="0"/>
      <w:marTop w:val="0"/>
      <w:marBottom w:val="0"/>
      <w:divBdr>
        <w:top w:val="none" w:sz="0" w:space="0" w:color="auto"/>
        <w:left w:val="none" w:sz="0" w:space="0" w:color="auto"/>
        <w:bottom w:val="none" w:sz="0" w:space="0" w:color="auto"/>
        <w:right w:val="none" w:sz="0" w:space="0" w:color="auto"/>
      </w:divBdr>
    </w:div>
    <w:div w:id="18856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nsa.gov.au/about-us/corporate-publications/annual-repor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rpansa.gov.au/about-us/corporate-publications/corporate-plan" TargetMode="External"/><Relationship Id="rId4" Type="http://schemas.openxmlformats.org/officeDocument/2006/relationships/settings" Target="settings.xml"/><Relationship Id="rId9" Type="http://schemas.openxmlformats.org/officeDocument/2006/relationships/hyperlink" Target="https://www.arpansa.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publications/resource-management-guides/australian-government-cost-recovery-guidelines-rmg-3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ldhs\AppData\Local\Hewlett-Packard\HP%20TRIM\TEMP\HPTRIM.2928\D177332%20ARPANSA_Generic_Word_Document.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1701F80-87D5-4FFE-9CDA-C9316A48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D177332 ARPANSA_Generic_Word_Document.DOTX</Template>
  <TotalTime>587</TotalTime>
  <Pages>8</Pages>
  <Words>2059</Words>
  <Characters>12031</Characters>
  <Application>Microsoft Office Word</Application>
  <DocSecurity>0</DocSecurity>
  <Lines>316</Lines>
  <Paragraphs>213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veldhs</dc:creator>
  <cp:lastModifiedBy>Catherine Johns</cp:lastModifiedBy>
  <cp:revision>18</cp:revision>
  <cp:lastPrinted>2019-09-04T01:36:00Z</cp:lastPrinted>
  <dcterms:created xsi:type="dcterms:W3CDTF">2022-03-14T23:12:00Z</dcterms:created>
  <dcterms:modified xsi:type="dcterms:W3CDTF">2023-06-28T04:35:00Z</dcterms:modified>
</cp:coreProperties>
</file>