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3827F" w14:textId="77777777" w:rsidR="0070735A" w:rsidRDefault="0070735A" w:rsidP="00E26CBA">
      <w:pPr>
        <w:pStyle w:val="Title"/>
      </w:pPr>
    </w:p>
    <w:p w14:paraId="0441F551" w14:textId="77777777" w:rsidR="0070735A" w:rsidRDefault="0070735A" w:rsidP="00E26CBA">
      <w:pPr>
        <w:pStyle w:val="Title"/>
      </w:pPr>
    </w:p>
    <w:p w14:paraId="716CDA39" w14:textId="77777777" w:rsidR="0070735A" w:rsidRDefault="0070735A" w:rsidP="00E26CBA">
      <w:pPr>
        <w:pStyle w:val="Title"/>
      </w:pPr>
    </w:p>
    <w:p w14:paraId="328F6EEE" w14:textId="1A0E2EB6" w:rsidR="00E26CBA" w:rsidRDefault="00861C76" w:rsidP="00760F5E">
      <w:pPr>
        <w:pStyle w:val="Title"/>
      </w:pPr>
      <w:r>
        <w:t>Radiation Health Committee</w:t>
      </w:r>
      <w:r w:rsidR="00E26CBA">
        <w:t xml:space="preserve"> </w:t>
      </w:r>
    </w:p>
    <w:p w14:paraId="218A901E" w14:textId="7E7F98C1" w:rsidR="001751C2" w:rsidRPr="00760F5E" w:rsidRDefault="001751C2" w:rsidP="001751C2">
      <w:pPr>
        <w:jc w:val="center"/>
        <w:rPr>
          <w:b/>
          <w:bCs/>
          <w:color w:val="00244C"/>
          <w:sz w:val="36"/>
          <w:szCs w:val="36"/>
        </w:rPr>
      </w:pPr>
      <w:r w:rsidRPr="004F720C">
        <w:rPr>
          <w:noProof/>
        </w:rPr>
        <w:drawing>
          <wp:anchor distT="0" distB="0" distL="114300" distR="114300" simplePos="0" relativeHeight="251658240" behindDoc="0" locked="0" layoutInCell="1" allowOverlap="1" wp14:anchorId="0BF2927C" wp14:editId="34EB3F85">
            <wp:simplePos x="0" y="0"/>
            <wp:positionH relativeFrom="margin">
              <wp:posOffset>28575</wp:posOffset>
            </wp:positionH>
            <wp:positionV relativeFrom="paragraph">
              <wp:posOffset>5066030</wp:posOffset>
            </wp:positionV>
            <wp:extent cx="6119495" cy="53975"/>
            <wp:effectExtent l="0" t="0" r="0" b="3175"/>
            <wp:wrapTopAndBottom/>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trip.jpg"/>
                    <pic:cNvPicPr/>
                  </pic:nvPicPr>
                  <pic:blipFill>
                    <a:blip r:embed="rId8" cstate="print">
                      <a:duotone>
                        <a:prstClr val="black"/>
                        <a:srgbClr val="00244C">
                          <a:tint val="45000"/>
                          <a:satMod val="400000"/>
                        </a:srgbClr>
                      </a:duotone>
                      <a:extLst>
                        <a:ext uri="{28A0092B-C50C-407E-A947-70E740481C1C}">
                          <a14:useLocalDpi xmlns:a14="http://schemas.microsoft.com/office/drawing/2010/main" val="0"/>
                        </a:ext>
                      </a:extLst>
                    </a:blip>
                    <a:stretch>
                      <a:fillRect/>
                    </a:stretch>
                  </pic:blipFill>
                  <pic:spPr>
                    <a:xfrm>
                      <a:off x="0" y="0"/>
                      <a:ext cx="6119495" cy="53975"/>
                    </a:xfrm>
                    <a:prstGeom prst="rect">
                      <a:avLst/>
                    </a:prstGeom>
                  </pic:spPr>
                </pic:pic>
              </a:graphicData>
            </a:graphic>
            <wp14:sizeRelH relativeFrom="page">
              <wp14:pctWidth>0</wp14:pctWidth>
            </wp14:sizeRelH>
            <wp14:sizeRelV relativeFrom="page">
              <wp14:pctHeight>0</wp14:pctHeight>
            </wp14:sizeRelV>
          </wp:anchor>
        </w:drawing>
      </w:r>
      <w:r w:rsidR="00760F5E" w:rsidRPr="00760F5E">
        <w:rPr>
          <w:b/>
          <w:bCs/>
          <w:color w:val="00244C"/>
          <w:sz w:val="36"/>
          <w:szCs w:val="36"/>
        </w:rPr>
        <w:t>Meeting Minutes</w:t>
      </w:r>
      <w:r>
        <w:rPr>
          <w:b/>
          <w:bCs/>
          <w:color w:val="00244C"/>
          <w:sz w:val="36"/>
          <w:szCs w:val="36"/>
        </w:rPr>
        <w:br/>
      </w:r>
    </w:p>
    <w:tbl>
      <w:tblPr>
        <w:tblStyle w:val="TableGridLight"/>
        <w:tblW w:w="499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9"/>
        <w:gridCol w:w="8155"/>
      </w:tblGrid>
      <w:tr w:rsidR="00760F5E" w:rsidRPr="009347E4" w14:paraId="1BCE3607" w14:textId="77777777" w:rsidTr="00760F5E">
        <w:trPr>
          <w:trHeight w:val="259"/>
          <w:jc w:val="center"/>
        </w:trPr>
        <w:tc>
          <w:tcPr>
            <w:tcW w:w="1479" w:type="dxa"/>
          </w:tcPr>
          <w:p w14:paraId="63F55ADE" w14:textId="77777777" w:rsidR="00760F5E" w:rsidRPr="00E8675D" w:rsidRDefault="00760F5E" w:rsidP="00760F5E">
            <w:pPr>
              <w:rPr>
                <w:rFonts w:ascii="Calibri" w:hAnsi="Calibri" w:cs="Calibri"/>
                <w:b/>
                <w:bCs/>
                <w:color w:val="444444"/>
                <w:szCs w:val="22"/>
              </w:rPr>
            </w:pPr>
            <w:r w:rsidRPr="00E8675D">
              <w:rPr>
                <w:rFonts w:ascii="Calibri" w:hAnsi="Calibri" w:cs="Calibri"/>
                <w:b/>
                <w:bCs/>
                <w:color w:val="444444"/>
                <w:szCs w:val="22"/>
              </w:rPr>
              <w:t>Date</w:t>
            </w:r>
          </w:p>
        </w:tc>
        <w:tc>
          <w:tcPr>
            <w:tcW w:w="8155" w:type="dxa"/>
          </w:tcPr>
          <w:p w14:paraId="56ABE71D" w14:textId="17A6B835" w:rsidR="00760F5E" w:rsidRPr="00E8675D" w:rsidRDefault="00760F5E" w:rsidP="00760F5E">
            <w:pPr>
              <w:rPr>
                <w:rFonts w:ascii="Calibri" w:hAnsi="Calibri" w:cs="Calibri"/>
                <w:color w:val="444444"/>
                <w:szCs w:val="22"/>
              </w:rPr>
            </w:pPr>
            <w:r w:rsidRPr="00E8675D">
              <w:rPr>
                <w:rFonts w:ascii="Calibri" w:hAnsi="Calibri" w:cs="Calibri"/>
                <w:color w:val="444444"/>
                <w:szCs w:val="22"/>
              </w:rPr>
              <w:t>17 – 18 June 2026</w:t>
            </w:r>
          </w:p>
        </w:tc>
      </w:tr>
      <w:tr w:rsidR="00760F5E" w:rsidRPr="00675D04" w14:paraId="5B59E12F" w14:textId="77777777" w:rsidTr="00760F5E">
        <w:trPr>
          <w:trHeight w:val="259"/>
          <w:jc w:val="center"/>
        </w:trPr>
        <w:tc>
          <w:tcPr>
            <w:tcW w:w="1479" w:type="dxa"/>
          </w:tcPr>
          <w:p w14:paraId="50FB72FF" w14:textId="77777777" w:rsidR="00760F5E" w:rsidRPr="00E8675D" w:rsidRDefault="00760F5E" w:rsidP="00760F5E">
            <w:pPr>
              <w:rPr>
                <w:rFonts w:ascii="Calibri" w:hAnsi="Calibri" w:cs="Calibri"/>
                <w:b/>
                <w:bCs/>
                <w:color w:val="444444"/>
                <w:szCs w:val="22"/>
              </w:rPr>
            </w:pPr>
            <w:r w:rsidRPr="00E8675D">
              <w:rPr>
                <w:rFonts w:ascii="Calibri" w:hAnsi="Calibri" w:cs="Calibri"/>
                <w:b/>
                <w:bCs/>
                <w:color w:val="444444"/>
                <w:szCs w:val="22"/>
              </w:rPr>
              <w:t>Time</w:t>
            </w:r>
          </w:p>
        </w:tc>
        <w:tc>
          <w:tcPr>
            <w:tcW w:w="8155" w:type="dxa"/>
          </w:tcPr>
          <w:p w14:paraId="59779347" w14:textId="77777777" w:rsidR="00760F5E" w:rsidRPr="00675D04" w:rsidRDefault="00760F5E" w:rsidP="00760F5E">
            <w:pPr>
              <w:rPr>
                <w:rFonts w:ascii="Calibri" w:hAnsi="Calibri" w:cs="Calibri"/>
                <w:color w:val="444444"/>
                <w:szCs w:val="22"/>
                <w:lang w:val="de-DE"/>
              </w:rPr>
            </w:pPr>
            <w:r w:rsidRPr="00675D04">
              <w:rPr>
                <w:rFonts w:ascii="Calibri" w:hAnsi="Calibri" w:cs="Calibri"/>
                <w:color w:val="444444"/>
                <w:szCs w:val="22"/>
                <w:lang w:val="de-DE"/>
              </w:rPr>
              <w:t>9:00 AM – 5:00 PM (17 June)</w:t>
            </w:r>
            <w:r w:rsidRPr="00675D04">
              <w:rPr>
                <w:rFonts w:ascii="Calibri" w:hAnsi="Calibri" w:cs="Calibri"/>
                <w:color w:val="444444"/>
                <w:szCs w:val="22"/>
                <w:lang w:val="de-DE"/>
              </w:rPr>
              <w:br/>
              <w:t>9:00 AM – 14:00 PM (18 June)</w:t>
            </w:r>
          </w:p>
        </w:tc>
      </w:tr>
      <w:tr w:rsidR="00760F5E" w:rsidRPr="009347E4" w14:paraId="4B5CD970" w14:textId="77777777" w:rsidTr="00760F5E">
        <w:trPr>
          <w:trHeight w:val="259"/>
          <w:jc w:val="center"/>
        </w:trPr>
        <w:tc>
          <w:tcPr>
            <w:tcW w:w="1479" w:type="dxa"/>
          </w:tcPr>
          <w:p w14:paraId="2220B279" w14:textId="77777777" w:rsidR="00760F5E" w:rsidRPr="00E8675D" w:rsidRDefault="00760F5E" w:rsidP="00760F5E">
            <w:pPr>
              <w:rPr>
                <w:rFonts w:ascii="Calibri" w:hAnsi="Calibri" w:cs="Calibri"/>
                <w:b/>
                <w:bCs/>
                <w:color w:val="444444"/>
                <w:szCs w:val="22"/>
              </w:rPr>
            </w:pPr>
            <w:r w:rsidRPr="00E8675D">
              <w:rPr>
                <w:rFonts w:ascii="Calibri" w:hAnsi="Calibri" w:cs="Calibri"/>
                <w:b/>
                <w:bCs/>
                <w:color w:val="444444"/>
                <w:szCs w:val="22"/>
              </w:rPr>
              <w:t>Location</w:t>
            </w:r>
          </w:p>
        </w:tc>
        <w:tc>
          <w:tcPr>
            <w:tcW w:w="8155" w:type="dxa"/>
          </w:tcPr>
          <w:p w14:paraId="5B6BA319" w14:textId="77777777" w:rsidR="00760F5E" w:rsidRPr="00E8675D" w:rsidRDefault="00760F5E" w:rsidP="00760F5E">
            <w:pPr>
              <w:rPr>
                <w:rFonts w:ascii="Calibri" w:hAnsi="Calibri" w:cs="Calibri"/>
                <w:color w:val="444444"/>
                <w:szCs w:val="22"/>
              </w:rPr>
            </w:pPr>
            <w:r w:rsidRPr="00E8675D">
              <w:rPr>
                <w:rFonts w:ascii="Calibri" w:hAnsi="Calibri" w:cs="Calibri"/>
                <w:color w:val="444444"/>
                <w:szCs w:val="22"/>
              </w:rPr>
              <w:t>ARPANSA, 619 Lower Plenty Road, Yallambie, VIC</w:t>
            </w:r>
          </w:p>
        </w:tc>
      </w:tr>
      <w:tr w:rsidR="00760F5E" w:rsidRPr="009347E4" w14:paraId="63CD74F6" w14:textId="77777777" w:rsidTr="00760F5E">
        <w:trPr>
          <w:trHeight w:val="259"/>
          <w:jc w:val="center"/>
        </w:trPr>
        <w:tc>
          <w:tcPr>
            <w:tcW w:w="1479" w:type="dxa"/>
          </w:tcPr>
          <w:p w14:paraId="440E71FB" w14:textId="77777777" w:rsidR="00760F5E" w:rsidRPr="00E8675D" w:rsidRDefault="00760F5E" w:rsidP="00760F5E">
            <w:pPr>
              <w:rPr>
                <w:rFonts w:ascii="Calibri" w:hAnsi="Calibri" w:cs="Calibri"/>
                <w:b/>
                <w:bCs/>
                <w:color w:val="444444"/>
                <w:szCs w:val="22"/>
              </w:rPr>
            </w:pPr>
            <w:r w:rsidRPr="00E8675D">
              <w:rPr>
                <w:rFonts w:ascii="Calibri" w:hAnsi="Calibri" w:cs="Calibri"/>
                <w:b/>
                <w:bCs/>
                <w:color w:val="444444"/>
                <w:szCs w:val="22"/>
              </w:rPr>
              <w:t>Members</w:t>
            </w:r>
          </w:p>
        </w:tc>
        <w:tc>
          <w:tcPr>
            <w:tcW w:w="8155" w:type="dxa"/>
          </w:tcPr>
          <w:p w14:paraId="79379148" w14:textId="3033A03C" w:rsidR="00760F5E" w:rsidRPr="00E8675D" w:rsidRDefault="00760F5E" w:rsidP="00760F5E">
            <w:pPr>
              <w:rPr>
                <w:rFonts w:ascii="Calibri" w:hAnsi="Calibri" w:cs="Calibri"/>
                <w:color w:val="444444"/>
                <w:szCs w:val="22"/>
              </w:rPr>
            </w:pPr>
            <w:r w:rsidRPr="00E8675D">
              <w:rPr>
                <w:rFonts w:ascii="Calibri" w:hAnsi="Calibri" w:cs="Calibri"/>
                <w:color w:val="444444"/>
                <w:szCs w:val="22"/>
              </w:rPr>
              <w:t>Dr Joanna Wriedt (Chair), Dr Gillian Hirth (CEO of ARPANSA), Ms Fay Bellis, Mr Tom Sullivan, Mr Stuart Parr, Dr Selim Mahbub (ACT), Mr Simon Critchley (QLD), Mr Glenn Riley (VIC), Mr Bradley Feldtman (NT), Mr Nehal Ahmed (TAS, Virtual), Ms Hazel Upton (WA, Virtual).</w:t>
            </w:r>
          </w:p>
        </w:tc>
      </w:tr>
      <w:tr w:rsidR="00760F5E" w:rsidRPr="009347E4" w14:paraId="0400D3CE" w14:textId="77777777" w:rsidTr="00760F5E">
        <w:trPr>
          <w:trHeight w:val="259"/>
          <w:jc w:val="center"/>
        </w:trPr>
        <w:tc>
          <w:tcPr>
            <w:tcW w:w="1479" w:type="dxa"/>
          </w:tcPr>
          <w:p w14:paraId="5C0CDA4E" w14:textId="77777777" w:rsidR="00760F5E" w:rsidRPr="00E8675D" w:rsidRDefault="00760F5E" w:rsidP="00760F5E">
            <w:pPr>
              <w:rPr>
                <w:rFonts w:ascii="Calibri" w:hAnsi="Calibri" w:cs="Calibri"/>
                <w:b/>
                <w:bCs/>
                <w:color w:val="444444"/>
                <w:szCs w:val="22"/>
              </w:rPr>
            </w:pPr>
            <w:r w:rsidRPr="00E8675D">
              <w:rPr>
                <w:rFonts w:ascii="Calibri" w:hAnsi="Calibri" w:cs="Calibri"/>
                <w:b/>
                <w:bCs/>
                <w:color w:val="444444"/>
                <w:szCs w:val="22"/>
              </w:rPr>
              <w:t>Observers and Presenters</w:t>
            </w:r>
          </w:p>
        </w:tc>
        <w:tc>
          <w:tcPr>
            <w:tcW w:w="8155" w:type="dxa"/>
          </w:tcPr>
          <w:p w14:paraId="741FD37A" w14:textId="77777777" w:rsidR="00760F5E" w:rsidRPr="00E8675D" w:rsidRDefault="00760F5E" w:rsidP="00760F5E">
            <w:pPr>
              <w:rPr>
                <w:rFonts w:ascii="Calibri" w:hAnsi="Calibri" w:cs="Calibri"/>
                <w:color w:val="444444"/>
                <w:szCs w:val="22"/>
              </w:rPr>
            </w:pPr>
            <w:r w:rsidRPr="00E8675D">
              <w:rPr>
                <w:rFonts w:ascii="Calibri" w:hAnsi="Calibri" w:cs="Calibri"/>
                <w:color w:val="444444"/>
                <w:szCs w:val="22"/>
              </w:rPr>
              <w:t xml:space="preserve">Mr Len Potapof (NSW EPA), Ms Kavitha Srinivasan (SA EPA), Mr Joseph Medved (ANNPSR), Mr Brent Le Vert (NZ, Virtual), Dr Ivan Williams (ARPANSA), Dr Marcus Grzechnik (ARPANSA, Items 1 – 4.2, 6 – 14), Dr Peter Thomas (ARPANSA, Virtual), Mr David Sibenaler (ARPANSA, Item 2.2), Mr Rohan Mate (ARPANSA, Virtual, Item 2.3), Mr Jim Scott (ARPANSA, Virtual, Items 3 – 4, 11 – 12), Dr Fiona Charalambous (ARPANSA, Virtual, Items 4.2, 6, 7), Mr Erin McWilliams (ARPANSA, Virtual, Items 4.2, 5.3, 6, 7), Ms Rachel Williams (ARPANSA, Virtual, Items 4.2 – 4.3), Mr Alex Kalaiziovski (ARPANSA, Virtual, Item 4.3), Mr Blake Orr (ARPANSA, Virtual, Items 5.3 – 7, 12.3, 13.1), Ms Hannan Dempsey (ARPANSA, Virtual, Item 5.3 – 7), Mr Keith Dessent (ARPANSA, Virtual, Item 5.3), Dr Megan Cook (ARPANSA, Virtual, Items 6, 13.6), Mr David Hardman (ARPANSA, Virtual, Item 6), Ms Hayley Warren (ACSQHC, Virtual, Item 8), Mr Louis Casey (ARPANSA, Virtual, Item 9), Ms Tone Doyle (ARPANSA, Virtual, Items 9, 10), Mr John Ward (ARPANSA, Virtual, Item 12.1), Mr Jonathan Sentzas (ARPANSA, Item 12.3), Mr Stephen Alexander (ARPANSA, Virtual, Item 12.3), Ms Jodie Hughes (VIC, Item 12.4), Prof Ken Karipidis (ARPANSA, Virtual, Item 13.5).  </w:t>
            </w:r>
          </w:p>
        </w:tc>
      </w:tr>
      <w:tr w:rsidR="00760F5E" w:rsidRPr="009347E4" w14:paraId="02BF1817" w14:textId="77777777" w:rsidTr="00760F5E">
        <w:trPr>
          <w:trHeight w:val="259"/>
          <w:jc w:val="center"/>
        </w:trPr>
        <w:tc>
          <w:tcPr>
            <w:tcW w:w="1479" w:type="dxa"/>
          </w:tcPr>
          <w:p w14:paraId="2ECA2947" w14:textId="77777777" w:rsidR="00760F5E" w:rsidRPr="00E8675D" w:rsidRDefault="00760F5E" w:rsidP="00760F5E">
            <w:pPr>
              <w:rPr>
                <w:rFonts w:ascii="Calibri" w:hAnsi="Calibri" w:cs="Calibri"/>
                <w:b/>
                <w:bCs/>
                <w:color w:val="444444"/>
                <w:szCs w:val="22"/>
              </w:rPr>
            </w:pPr>
            <w:r w:rsidRPr="00E8675D">
              <w:rPr>
                <w:rFonts w:ascii="Calibri" w:hAnsi="Calibri" w:cs="Calibri"/>
                <w:b/>
                <w:bCs/>
                <w:color w:val="444444"/>
                <w:szCs w:val="22"/>
              </w:rPr>
              <w:t>Secretariat</w:t>
            </w:r>
          </w:p>
        </w:tc>
        <w:tc>
          <w:tcPr>
            <w:tcW w:w="8155" w:type="dxa"/>
          </w:tcPr>
          <w:p w14:paraId="1C9E5F6A" w14:textId="77777777" w:rsidR="00760F5E" w:rsidRPr="00E8675D" w:rsidRDefault="00760F5E" w:rsidP="00760F5E">
            <w:pPr>
              <w:rPr>
                <w:rFonts w:ascii="Calibri" w:hAnsi="Calibri" w:cs="Calibri"/>
                <w:color w:val="444444"/>
                <w:szCs w:val="22"/>
              </w:rPr>
            </w:pPr>
            <w:r w:rsidRPr="00E8675D">
              <w:rPr>
                <w:rFonts w:ascii="Calibri" w:hAnsi="Calibri" w:cs="Calibri"/>
                <w:color w:val="444444"/>
                <w:szCs w:val="22"/>
              </w:rPr>
              <w:t>Dr Arne Biesiekierski, Mr James Wheaton, Ms Parmeet Kaur.</w:t>
            </w:r>
          </w:p>
        </w:tc>
      </w:tr>
    </w:tbl>
    <w:p w14:paraId="5E3583E1" w14:textId="334BD037" w:rsidR="00002129" w:rsidRDefault="00002129" w:rsidP="00CB16F4">
      <w:pPr>
        <w:pStyle w:val="Agendaitem-main"/>
        <w:numPr>
          <w:ilvl w:val="0"/>
          <w:numId w:val="0"/>
        </w:numPr>
        <w:ind w:left="567"/>
      </w:pPr>
      <w:bookmarkStart w:id="0" w:name="dsbmis01ZSYNDDVKKTPFFRWAXZGLPGNQOSQD6QDZ"/>
    </w:p>
    <w:p w14:paraId="5768C636" w14:textId="0ABBA47B" w:rsidR="00760F5E" w:rsidRPr="00CB16F4" w:rsidRDefault="00760F5E" w:rsidP="00CB16F4">
      <w:pPr>
        <w:pStyle w:val="Agendaitem-main"/>
      </w:pPr>
      <w:r w:rsidRPr="00CB16F4">
        <w:t>Meeting Open</w:t>
      </w:r>
    </w:p>
    <w:p w14:paraId="7A09BD8D" w14:textId="77777777" w:rsidR="00002129" w:rsidRDefault="00760F5E" w:rsidP="00760F5E">
      <w:pPr>
        <w:rPr>
          <w:rFonts w:ascii="Calibri" w:hAnsi="Calibri" w:cs="Calibri"/>
        </w:rPr>
      </w:pPr>
      <w:r w:rsidRPr="00FB04B5">
        <w:rPr>
          <w:rFonts w:ascii="Calibri" w:hAnsi="Calibri" w:cs="Calibri"/>
        </w:rPr>
        <w:t xml:space="preserve">The </w:t>
      </w:r>
      <w:r w:rsidRPr="00FB04B5">
        <w:rPr>
          <w:rStyle w:val="msonormal1"/>
          <w:rFonts w:ascii="Calibri" w:eastAsia="Times New Roman" w:hAnsi="Calibri" w:cs="Calibri"/>
        </w:rPr>
        <w:t xml:space="preserve">Radiation Health Committee (RHC) </w:t>
      </w:r>
      <w:r w:rsidRPr="00FB04B5">
        <w:rPr>
          <w:rFonts w:ascii="Calibri" w:hAnsi="Calibri" w:cs="Calibri"/>
        </w:rPr>
        <w:t xml:space="preserve">Chair acknowledged the </w:t>
      </w:r>
      <w:r w:rsidRPr="00E15967">
        <w:rPr>
          <w:rFonts w:ascii="Calibri" w:hAnsi="Calibri" w:cs="Calibri"/>
        </w:rPr>
        <w:t xml:space="preserve">Wurundjeri </w:t>
      </w:r>
      <w:proofErr w:type="spellStart"/>
      <w:r w:rsidRPr="00E15967">
        <w:rPr>
          <w:rFonts w:ascii="Calibri" w:hAnsi="Calibri" w:cs="Calibri"/>
        </w:rPr>
        <w:t>Woi</w:t>
      </w:r>
      <w:proofErr w:type="spellEnd"/>
      <w:r w:rsidRPr="00E15967">
        <w:rPr>
          <w:rFonts w:ascii="Calibri" w:hAnsi="Calibri" w:cs="Calibri"/>
        </w:rPr>
        <w:t xml:space="preserve"> Wurrung and Bunurong peoples of the Kulin Nation</w:t>
      </w:r>
      <w:r>
        <w:rPr>
          <w:rFonts w:ascii="Calibri" w:hAnsi="Calibri" w:cs="Calibri"/>
        </w:rPr>
        <w:t xml:space="preserve"> </w:t>
      </w:r>
      <w:r w:rsidRPr="00694BC9">
        <w:rPr>
          <w:rFonts w:ascii="Calibri" w:hAnsi="Calibri" w:cs="Calibri"/>
        </w:rPr>
        <w:t xml:space="preserve">as the Traditional Owners and Custodians of the land on which the meeting was held, paying respects to their Elders past and present. The Chair welcomed </w:t>
      </w:r>
      <w:r>
        <w:rPr>
          <w:rFonts w:ascii="Calibri" w:hAnsi="Calibri" w:cs="Calibri"/>
        </w:rPr>
        <w:t xml:space="preserve">in-person </w:t>
      </w:r>
      <w:r w:rsidRPr="00694BC9">
        <w:rPr>
          <w:rFonts w:ascii="Calibri" w:hAnsi="Calibri" w:cs="Calibri"/>
        </w:rPr>
        <w:t>observers from the</w:t>
      </w:r>
      <w:r>
        <w:rPr>
          <w:rFonts w:ascii="Calibri" w:hAnsi="Calibri" w:cs="Calibri"/>
        </w:rPr>
        <w:t xml:space="preserve"> New South Wales and South Australian Environmental Protection Authorities (NSW EPA, SA EPA), the</w:t>
      </w:r>
      <w:r w:rsidRPr="00FB04B5">
        <w:rPr>
          <w:rFonts w:ascii="Calibri" w:eastAsia="Times New Roman" w:hAnsi="Calibri" w:cs="Calibri"/>
        </w:rPr>
        <w:t xml:space="preserve"> Australian Naval Nuclear Power Safety Regulator (ANNPSR)</w:t>
      </w:r>
      <w:r>
        <w:rPr>
          <w:rFonts w:ascii="Calibri" w:eastAsia="Times New Roman" w:hAnsi="Calibri" w:cs="Calibri"/>
        </w:rPr>
        <w:t xml:space="preserve"> and ARPANSA</w:t>
      </w:r>
      <w:r w:rsidRPr="00E15967">
        <w:rPr>
          <w:rFonts w:ascii="Calibri" w:hAnsi="Calibri" w:cs="Calibri"/>
        </w:rPr>
        <w:t>.</w:t>
      </w:r>
      <w:r>
        <w:rPr>
          <w:rFonts w:ascii="Calibri" w:hAnsi="Calibri" w:cs="Calibri"/>
        </w:rPr>
        <w:t xml:space="preserve"> The Chair also welcomed online observers from the New Zealand Ministry of Health.</w:t>
      </w:r>
    </w:p>
    <w:p w14:paraId="43F41D00" w14:textId="0106812F" w:rsidR="00760F5E" w:rsidRPr="00002129" w:rsidRDefault="00760F5E" w:rsidP="00E90871">
      <w:pPr>
        <w:pStyle w:val="Agendaitem-supplementary"/>
      </w:pPr>
      <w:bookmarkStart w:id="1" w:name="dsbmie01ZSYNDDVKKTPFFRWAXZGLPGNQOSQD6QDZ"/>
      <w:bookmarkStart w:id="2" w:name="dsbmis01ZSYNDDWUGRJ44GJBZJD2ING3SQ77PG3I"/>
      <w:bookmarkEnd w:id="0"/>
      <w:bookmarkEnd w:id="1"/>
      <w:r w:rsidRPr="00002129">
        <w:lastRenderedPageBreak/>
        <w:t>Housekeeping</w:t>
      </w:r>
    </w:p>
    <w:p w14:paraId="1D81EE18" w14:textId="4FB52F60" w:rsidR="00002129" w:rsidRDefault="00760F5E" w:rsidP="005A3C27">
      <w:pPr>
        <w:ind w:left="284"/>
        <w:rPr>
          <w:rFonts w:ascii="Calibri" w:hAnsi="Calibri" w:cs="Calibri"/>
        </w:rPr>
      </w:pPr>
      <w:r w:rsidRPr="007C2E12">
        <w:rPr>
          <w:rFonts w:ascii="Calibri" w:hAnsi="Calibri" w:cs="Calibri"/>
        </w:rPr>
        <w:t>The</w:t>
      </w:r>
      <w:r>
        <w:rPr>
          <w:rFonts w:ascii="Calibri" w:hAnsi="Calibri" w:cs="Calibri"/>
        </w:rPr>
        <w:t xml:space="preserve"> Secretariat noted housekeeping including meeting protocol and changes to the agenda, outstanding and ongoing action items, and the publication of the previous meeting minutes. No conflicts of interest were declared, and no correspondence </w:t>
      </w:r>
      <w:r w:rsidRPr="00E65574">
        <w:rPr>
          <w:rFonts w:ascii="Calibri" w:hAnsi="Calibri" w:cs="Calibri"/>
        </w:rPr>
        <w:t xml:space="preserve">was received since the </w:t>
      </w:r>
      <w:r>
        <w:rPr>
          <w:rFonts w:ascii="Calibri" w:hAnsi="Calibri" w:cs="Calibri"/>
        </w:rPr>
        <w:t xml:space="preserve">last </w:t>
      </w:r>
      <w:r w:rsidRPr="00E65574">
        <w:rPr>
          <w:rFonts w:ascii="Calibri" w:hAnsi="Calibri" w:cs="Calibri"/>
        </w:rPr>
        <w:t xml:space="preserve">meeting. </w:t>
      </w:r>
    </w:p>
    <w:p w14:paraId="63A22E48" w14:textId="77777777" w:rsidR="005A3C27" w:rsidRDefault="005A3C27" w:rsidP="005A3C27">
      <w:pPr>
        <w:ind w:left="284"/>
        <w:rPr>
          <w:rFonts w:ascii="Calibri" w:hAnsi="Calibri" w:cs="Calibri"/>
        </w:rPr>
      </w:pPr>
    </w:p>
    <w:p w14:paraId="0EC57C69" w14:textId="0C9D1978" w:rsidR="00760F5E" w:rsidRPr="00E65574" w:rsidRDefault="00760F5E" w:rsidP="00CB16F4">
      <w:pPr>
        <w:pStyle w:val="Agendaitem-main"/>
      </w:pPr>
      <w:bookmarkStart w:id="3" w:name="dsbmie01ZSYNDDWUGRJ44GJBZJD2ING3SQ77PG3I"/>
      <w:bookmarkStart w:id="4" w:name="dsbmis01ZSYNDDRIWBJFX2L6XNFYAS6VJFONJBOB"/>
      <w:bookmarkEnd w:id="2"/>
      <w:bookmarkEnd w:id="3"/>
      <w:r w:rsidRPr="00E65574">
        <w:t>CEO Update</w:t>
      </w:r>
    </w:p>
    <w:p w14:paraId="49427673" w14:textId="77777777" w:rsidR="00760F5E" w:rsidRPr="00760F5E" w:rsidRDefault="00760F5E" w:rsidP="00760F5E">
      <w:pPr>
        <w:rPr>
          <w:rFonts w:ascii="Calibri" w:hAnsi="Calibri" w:cs="Calibri"/>
        </w:rPr>
      </w:pPr>
      <w:r w:rsidRPr="00760F5E">
        <w:rPr>
          <w:rFonts w:ascii="Calibri" w:hAnsi="Calibri" w:cs="Calibri"/>
        </w:rPr>
        <w:t xml:space="preserve">ARPANSA’s CEO provided an update on recent agency activities. These included but were not limited to: </w:t>
      </w:r>
    </w:p>
    <w:p w14:paraId="15C6FD5C" w14:textId="77777777" w:rsidR="00760F5E" w:rsidRPr="00760F5E" w:rsidRDefault="00760F5E" w:rsidP="00760F5E">
      <w:pPr>
        <w:pStyle w:val="ListParagraph"/>
        <w:numPr>
          <w:ilvl w:val="0"/>
          <w:numId w:val="20"/>
        </w:numPr>
        <w:spacing w:before="0" w:line="240" w:lineRule="auto"/>
        <w:contextualSpacing/>
        <w:rPr>
          <w:rFonts w:ascii="Calibri" w:hAnsi="Calibri" w:cs="Calibri"/>
        </w:rPr>
      </w:pPr>
      <w:r w:rsidRPr="00760F5E">
        <w:rPr>
          <w:rFonts w:ascii="Calibri" w:hAnsi="Calibri" w:cs="Calibri"/>
        </w:rPr>
        <w:t>The agency’s parliamentary and international engagement, including attendance at Senate Estimates, participation in the Review Meeting for the Convention on Nuclear Safety, and the International Atomic Energy Agency (IAEA) Regulatory Conference (</w:t>
      </w:r>
      <w:proofErr w:type="spellStart"/>
      <w:r w:rsidRPr="00760F5E">
        <w:rPr>
          <w:rFonts w:ascii="Calibri" w:hAnsi="Calibri" w:cs="Calibri"/>
        </w:rPr>
        <w:t>RegCon</w:t>
      </w:r>
      <w:proofErr w:type="spellEnd"/>
      <w:r w:rsidRPr="00760F5E">
        <w:rPr>
          <w:rFonts w:ascii="Calibri" w:hAnsi="Calibri" w:cs="Calibri"/>
        </w:rPr>
        <w:t xml:space="preserve">) </w:t>
      </w:r>
    </w:p>
    <w:p w14:paraId="0DF27543" w14:textId="77777777" w:rsidR="00760F5E" w:rsidRPr="00760F5E" w:rsidRDefault="00760F5E" w:rsidP="00760F5E">
      <w:pPr>
        <w:pStyle w:val="ListParagraph"/>
        <w:numPr>
          <w:ilvl w:val="0"/>
          <w:numId w:val="20"/>
        </w:numPr>
        <w:spacing w:before="0" w:line="240" w:lineRule="auto"/>
        <w:contextualSpacing/>
        <w:rPr>
          <w:rFonts w:ascii="Calibri" w:hAnsi="Calibri" w:cs="Calibri"/>
        </w:rPr>
      </w:pPr>
      <w:r w:rsidRPr="00760F5E">
        <w:rPr>
          <w:rFonts w:ascii="Calibri" w:hAnsi="Calibri" w:cs="Calibri"/>
        </w:rPr>
        <w:t>The recent Radiation Health and Safety Advisory Council (Council) and Nuclear Safety Committee (NSC) meetings, including recent discussion at Council on the Linear-No-Threshold (LNT) model’s use in radiation regulation,</w:t>
      </w:r>
    </w:p>
    <w:p w14:paraId="29893FB7" w14:textId="77777777" w:rsidR="00760F5E" w:rsidRPr="00760F5E" w:rsidRDefault="00760F5E" w:rsidP="00760F5E">
      <w:pPr>
        <w:pStyle w:val="ListParagraph"/>
        <w:numPr>
          <w:ilvl w:val="0"/>
          <w:numId w:val="20"/>
        </w:numPr>
        <w:spacing w:before="0" w:line="240" w:lineRule="auto"/>
        <w:contextualSpacing/>
        <w:rPr>
          <w:rFonts w:ascii="Calibri" w:hAnsi="Calibri" w:cs="Calibri"/>
        </w:rPr>
      </w:pPr>
      <w:r w:rsidRPr="00760F5E">
        <w:rPr>
          <w:rFonts w:ascii="Calibri" w:eastAsia="Times New Roman" w:hAnsi="Calibri" w:cs="Calibri"/>
        </w:rPr>
        <w:t>ARPANSA’s recent regulatory Direction to the Australian Nuclear Science and Technology Organisation (ANSTO) regarding Building 57 </w:t>
      </w:r>
    </w:p>
    <w:p w14:paraId="643322A8" w14:textId="2713671B" w:rsidR="00760F5E" w:rsidRPr="00760F5E" w:rsidRDefault="00760F5E" w:rsidP="00760F5E">
      <w:pPr>
        <w:pStyle w:val="ListParagraph"/>
        <w:numPr>
          <w:ilvl w:val="0"/>
          <w:numId w:val="20"/>
        </w:numPr>
        <w:spacing w:before="0" w:line="240" w:lineRule="auto"/>
        <w:contextualSpacing/>
        <w:rPr>
          <w:rFonts w:ascii="Calibri" w:hAnsi="Calibri" w:cs="Calibri"/>
        </w:rPr>
      </w:pPr>
      <w:r w:rsidRPr="00760F5E">
        <w:rPr>
          <w:rFonts w:ascii="Calibri" w:eastAsia="Times New Roman" w:hAnsi="Calibri" w:cs="Calibri"/>
        </w:rPr>
        <w:t xml:space="preserve">A general update on regulatory, medical radiation services, and radiation health services activities, including ongoing uplift around ARPANSA’s primary standards function, ongoing work to support the Department of Climate Change, Environment, Energy and Water (DCCEEW)’s reforms of the </w:t>
      </w:r>
      <w:r w:rsidRPr="00760F5E">
        <w:rPr>
          <w:rFonts w:ascii="Calibri" w:eastAsia="Times New Roman" w:hAnsi="Calibri" w:cs="Calibri"/>
          <w:i/>
          <w:iCs/>
        </w:rPr>
        <w:t>Environmental Protection and Biodiversity Conservation Act 1999</w:t>
      </w:r>
      <w:r w:rsidRPr="00760F5E">
        <w:rPr>
          <w:rFonts w:ascii="Calibri" w:eastAsia="Times New Roman" w:hAnsi="Calibri" w:cs="Calibri"/>
        </w:rPr>
        <w:t>, and updates on its environmental monitoring program and sunscreen testing advice.</w:t>
      </w:r>
    </w:p>
    <w:p w14:paraId="26E3E9EF" w14:textId="7D718070" w:rsidR="00002129" w:rsidRPr="00002129" w:rsidRDefault="00760F5E" w:rsidP="00760F5E">
      <w:pPr>
        <w:rPr>
          <w:color w:val="000000"/>
        </w:rPr>
      </w:pPr>
      <w:r w:rsidRPr="00760F5E">
        <w:t xml:space="preserve">Following the CEO’s update, the RHC discussed the use of the LNT model in the international system of radiological protection, where it was noted a joint statement from the Council, RHC, and NSC may be needed on this matter. The RHC also discussed the use of </w:t>
      </w:r>
      <w:r w:rsidRPr="140032CD">
        <w:t>titanium dioxide (TiO</w:t>
      </w:r>
      <w:r w:rsidRPr="140032CD">
        <w:rPr>
          <w:vertAlign w:val="subscript"/>
        </w:rPr>
        <w:t>2</w:t>
      </w:r>
      <w:r w:rsidRPr="140032CD">
        <w:t xml:space="preserve">) within sunscreen, though here it was noted that this sat outside ARPANSA’s remit.    </w:t>
      </w:r>
    </w:p>
    <w:p w14:paraId="4365BB5F" w14:textId="2F7540BB" w:rsidR="00760F5E" w:rsidRPr="00E65574" w:rsidRDefault="00760F5E" w:rsidP="00E90871">
      <w:pPr>
        <w:pStyle w:val="Agendaitem-supplementary"/>
      </w:pPr>
      <w:bookmarkStart w:id="5" w:name="dsbmie01ZSYNDDRIWBJFX2L6XNFYAS6VJFONJBOB"/>
      <w:bookmarkStart w:id="6" w:name="dsbmis01ZSYNDDXGDEKHK6UYWNCLHLRW52FQMJ26"/>
      <w:bookmarkEnd w:id="4"/>
      <w:bookmarkEnd w:id="5"/>
      <w:r w:rsidRPr="00E90871">
        <w:t>ARPANSA</w:t>
      </w:r>
      <w:r w:rsidRPr="00E65574">
        <w:t xml:space="preserve"> Correspondence to </w:t>
      </w:r>
      <w:r w:rsidRPr="00471E73">
        <w:t>Australian Health Practitioner Regulation Authority</w:t>
      </w:r>
      <w:r>
        <w:t xml:space="preserve"> (AHPRA)</w:t>
      </w:r>
    </w:p>
    <w:p w14:paraId="02D6AE5F" w14:textId="33D2D468" w:rsidR="00760F5E" w:rsidRPr="00760F5E" w:rsidRDefault="00760F5E" w:rsidP="00002129">
      <w:pPr>
        <w:ind w:left="284"/>
        <w:rPr>
          <w:rFonts w:ascii="Calibri" w:hAnsi="Calibri" w:cs="Calibri"/>
        </w:rPr>
      </w:pPr>
      <w:r w:rsidRPr="00760F5E">
        <w:rPr>
          <w:rFonts w:ascii="Calibri" w:hAnsi="Calibri" w:cs="Calibri"/>
        </w:rPr>
        <w:t xml:space="preserve">ARPANSA talked to recent communication with the CEO of AHPRA, undertaken in response to an action from the March 2026 meeting following the NSW EPA’s letter regarding novel unsealed source therapies. It was noted that this was an evolving space, and to aid in understanding key issues and emerging trends, the RHC agreed that jurisdictions would pass on enquiries received by their advisory councils on this topic and on wider </w:t>
      </w:r>
      <w:proofErr w:type="spellStart"/>
      <w:r w:rsidRPr="00760F5E">
        <w:rPr>
          <w:rFonts w:ascii="Calibri" w:hAnsi="Calibri" w:cs="Calibri"/>
        </w:rPr>
        <w:t>theranostics</w:t>
      </w:r>
      <w:proofErr w:type="spellEnd"/>
      <w:r w:rsidRPr="00760F5E">
        <w:rPr>
          <w:rFonts w:ascii="Calibri" w:hAnsi="Calibri" w:cs="Calibri"/>
        </w:rPr>
        <w:t>.</w:t>
      </w:r>
    </w:p>
    <w:p w14:paraId="010F4ED8" w14:textId="4DADE0F2" w:rsidR="00760F5E" w:rsidRDefault="00760F5E" w:rsidP="00002129">
      <w:pPr>
        <w:ind w:left="284"/>
        <w:rPr>
          <w:rFonts w:ascii="Calibri" w:hAnsi="Calibri" w:cs="Calibri"/>
        </w:rPr>
      </w:pPr>
      <w:r w:rsidRPr="00760F5E">
        <w:rPr>
          <w:rFonts w:ascii="Calibri" w:hAnsi="Calibri" w:cs="Calibri"/>
          <w:b/>
          <w:bCs/>
          <w:u w:val="single"/>
        </w:rPr>
        <w:t>Decision:</w:t>
      </w:r>
      <w:r w:rsidRPr="00760F5E">
        <w:rPr>
          <w:rFonts w:ascii="Calibri" w:hAnsi="Calibri" w:cs="Calibri"/>
        </w:rPr>
        <w:t xml:space="preserve"> RHC agreed that State and Territory members would pass on any enquiries their advisory bodies receive on novel unsealed source therapies to ARPANSA for collation. </w:t>
      </w:r>
    </w:p>
    <w:p w14:paraId="4350635E" w14:textId="04AB0856" w:rsidR="00760F5E" w:rsidRPr="00CB16F4" w:rsidRDefault="00760F5E" w:rsidP="00E90871">
      <w:pPr>
        <w:pStyle w:val="Agendaitem-supplementary"/>
      </w:pPr>
      <w:bookmarkStart w:id="7" w:name="dsbmie01ZSYNDDXGDEKHK6UYWNCLHLRW52FQMJ26"/>
      <w:bookmarkStart w:id="8" w:name="dsbmis01ZSYNDDQAXGPDGFG6Z5ALGEHNZQ47FYO7"/>
      <w:bookmarkEnd w:id="6"/>
      <w:bookmarkEnd w:id="7"/>
      <w:r w:rsidRPr="00CB16F4">
        <w:t>Media Enquiries</w:t>
      </w:r>
    </w:p>
    <w:p w14:paraId="18FDE744" w14:textId="6E18B28C" w:rsidR="005A3C27" w:rsidRDefault="00760F5E" w:rsidP="00E90871">
      <w:pPr>
        <w:ind w:left="284"/>
        <w:rPr>
          <w:rFonts w:ascii="Calibri" w:eastAsia="Times New Roman" w:hAnsi="Calibri" w:cs="Calibri"/>
        </w:rPr>
      </w:pPr>
      <w:r w:rsidRPr="00760F5E">
        <w:rPr>
          <w:rFonts w:ascii="Calibri" w:eastAsia="Times New Roman" w:hAnsi="Calibri" w:cs="Calibri"/>
        </w:rPr>
        <w:t>ARPANSA gave an update on media enquiries received since the last meeting, including</w:t>
      </w:r>
      <w:r w:rsidRPr="00760F5E" w:rsidDel="00093218">
        <w:rPr>
          <w:rFonts w:ascii="Calibri" w:eastAsia="Times New Roman" w:hAnsi="Calibri" w:cs="Calibri"/>
        </w:rPr>
        <w:t xml:space="preserve"> </w:t>
      </w:r>
      <w:r w:rsidRPr="00760F5E">
        <w:rPr>
          <w:rFonts w:ascii="Calibri" w:eastAsia="Times New Roman" w:hAnsi="Calibri" w:cs="Calibri"/>
        </w:rPr>
        <w:t>trends, sentiment, and a thematic analysis of the data. The RHC discussed the methodology of the presented statistics, and changes in the sentiment recorded across the last year.</w:t>
      </w:r>
    </w:p>
    <w:p w14:paraId="6074EB33" w14:textId="77777777" w:rsidR="000B230B" w:rsidRDefault="000B230B" w:rsidP="00E90871">
      <w:pPr>
        <w:ind w:left="284"/>
        <w:rPr>
          <w:rFonts w:ascii="Calibri" w:eastAsia="Times New Roman" w:hAnsi="Calibri" w:cs="Calibri"/>
        </w:rPr>
      </w:pPr>
    </w:p>
    <w:p w14:paraId="05D96A8C" w14:textId="77777777" w:rsidR="000B230B" w:rsidRDefault="000B230B" w:rsidP="00E90871">
      <w:pPr>
        <w:ind w:left="284"/>
        <w:rPr>
          <w:rFonts w:ascii="Calibri" w:eastAsia="Times New Roman" w:hAnsi="Calibri" w:cs="Calibri"/>
        </w:rPr>
      </w:pPr>
    </w:p>
    <w:p w14:paraId="1348FE0D" w14:textId="77777777" w:rsidR="000B230B" w:rsidRPr="00E90871" w:rsidRDefault="000B230B" w:rsidP="00E90871">
      <w:pPr>
        <w:ind w:left="284"/>
        <w:rPr>
          <w:rFonts w:ascii="Calibri" w:eastAsia="Times New Roman" w:hAnsi="Calibri" w:cs="Calibri"/>
        </w:rPr>
      </w:pPr>
    </w:p>
    <w:p w14:paraId="32B31277" w14:textId="5D2E03B2" w:rsidR="00760F5E" w:rsidRPr="00E65574" w:rsidRDefault="00760F5E" w:rsidP="00E90871">
      <w:pPr>
        <w:pStyle w:val="Agendaitem-supplementary"/>
      </w:pPr>
      <w:bookmarkStart w:id="9" w:name="dsbmie01ZSYNDDQAXGPDGFG6Z5ALGEHNZQ47FYO7"/>
      <w:bookmarkStart w:id="10" w:name="dsbmis01ZSYNDDTE5S5BSG5UMJD3VPMNYVOR4R3E"/>
      <w:bookmarkEnd w:id="8"/>
      <w:bookmarkEnd w:id="9"/>
      <w:r w:rsidRPr="00E65574">
        <w:lastRenderedPageBreak/>
        <w:t>Public Enquiries</w:t>
      </w:r>
    </w:p>
    <w:p w14:paraId="731264B8" w14:textId="38078CC7" w:rsidR="00760F5E" w:rsidRDefault="00760F5E" w:rsidP="005A3C27">
      <w:pPr>
        <w:ind w:left="284"/>
        <w:rPr>
          <w:rFonts w:ascii="Calibri" w:hAnsi="Calibri" w:cs="Calibri"/>
        </w:rPr>
      </w:pPr>
      <w:r w:rsidRPr="00760F5E">
        <w:rPr>
          <w:rFonts w:ascii="Calibri" w:hAnsi="Calibri" w:cs="Calibri"/>
        </w:rPr>
        <w:t>ARPANSA provided an update on public enquiries across 2025 and early 2026 through its Talk to a Scientist program, with the RHC thereafter discussing the discrepancy between actual and perceived risk, and whether there had been enquiries regarding datacentres.</w:t>
      </w:r>
    </w:p>
    <w:p w14:paraId="0CE579EE" w14:textId="77777777" w:rsidR="005A3C27" w:rsidRDefault="005A3C27" w:rsidP="005A3C27">
      <w:pPr>
        <w:ind w:left="284"/>
        <w:rPr>
          <w:rFonts w:ascii="Calibri" w:hAnsi="Calibri" w:cs="Calibri"/>
        </w:rPr>
      </w:pPr>
    </w:p>
    <w:p w14:paraId="23AED5BD" w14:textId="0976C5A4" w:rsidR="00760F5E" w:rsidRPr="00E65574" w:rsidRDefault="00760F5E" w:rsidP="00CB16F4">
      <w:pPr>
        <w:pStyle w:val="Agendaitem-main"/>
      </w:pPr>
      <w:bookmarkStart w:id="11" w:name="dsbmie01ZSYNDDTE5S5BSG5UMJD3VPMNYVOR4R3E"/>
      <w:bookmarkStart w:id="12" w:name="dsbmis01ZSYNDDVX6XQAPN4QNFD22KGWSMQZNI63"/>
      <w:bookmarkEnd w:id="10"/>
      <w:bookmarkEnd w:id="11"/>
      <w:r w:rsidRPr="00E65574">
        <w:t>Member to Represent the Interests of the General Public</w:t>
      </w:r>
    </w:p>
    <w:p w14:paraId="1726448E" w14:textId="10AC3BAB" w:rsidR="00760F5E" w:rsidRPr="00760F5E" w:rsidRDefault="00760F5E" w:rsidP="00760F5E">
      <w:pPr>
        <w:rPr>
          <w:rFonts w:ascii="Calibri" w:hAnsi="Calibri" w:cs="Calibri"/>
        </w:rPr>
      </w:pPr>
      <w:r w:rsidRPr="00760F5E">
        <w:rPr>
          <w:rFonts w:ascii="Calibri" w:hAnsi="Calibri" w:cs="Calibri"/>
        </w:rPr>
        <w:t xml:space="preserve">The Member spoke to their paper on the use of artificial intelligence (AI) in regulatory decision-making, which made 3 recommendations on the monitoring and reporting of AI’s use in radiation reporting. RHC members considered their experiences with AI in regulatory and medical roles, and the challenges their jurisdictions faced. ARPANSA provided a summary of its participation in a recent IAEA Nuclear Regulatory Systems panel discussion on this matter. In reply to the recommendation to provide a current and ongoing status update, the RHC agreed to instead receive an annual update from regulators on this matter unless there were significant developments. The RHC agreed to the second recommendation, to continue to monitor the use of AI in radiation regulation, and that its use in regulatory publications be transparently noted. Radiation safety regulators further agreed to require licence holders to disclose the use of AI in any regulatory application. The RHC also discussed including guidance around the use of AI tools in the safety guides currently under draft. </w:t>
      </w:r>
    </w:p>
    <w:p w14:paraId="3220BFFF" w14:textId="77777777" w:rsidR="00760F5E" w:rsidRPr="00760F5E" w:rsidRDefault="00760F5E" w:rsidP="0056584C">
      <w:pPr>
        <w:rPr>
          <w:rFonts w:ascii="Calibri" w:hAnsi="Calibri" w:cs="Calibri"/>
        </w:rPr>
      </w:pPr>
      <w:r w:rsidRPr="00760F5E">
        <w:rPr>
          <w:rFonts w:ascii="Calibri" w:hAnsi="Calibri" w:cs="Calibri"/>
          <w:b/>
          <w:bCs/>
          <w:u w:val="single"/>
        </w:rPr>
        <w:t>Decision:</w:t>
      </w:r>
      <w:r w:rsidRPr="00760F5E">
        <w:rPr>
          <w:rFonts w:ascii="Calibri" w:hAnsi="Calibri" w:cs="Calibri"/>
          <w:b/>
          <w:bCs/>
        </w:rPr>
        <w:t xml:space="preserve"> </w:t>
      </w:r>
      <w:r w:rsidRPr="00760F5E">
        <w:rPr>
          <w:rFonts w:ascii="Calibri" w:hAnsi="Calibri" w:cs="Calibri"/>
        </w:rPr>
        <w:t>RHC agreed to an annual agenda item to receive updates from regulators on artificial intelligence (AI) use in Radiation Regulation unless there were significant developments.</w:t>
      </w:r>
    </w:p>
    <w:p w14:paraId="2D726D42" w14:textId="77777777" w:rsidR="00760F5E" w:rsidRPr="00760F5E" w:rsidRDefault="00760F5E" w:rsidP="00E8675D">
      <w:pPr>
        <w:spacing w:before="0"/>
        <w:rPr>
          <w:rFonts w:ascii="Calibri" w:hAnsi="Calibri" w:cs="Calibri"/>
        </w:rPr>
      </w:pPr>
      <w:r w:rsidRPr="00760F5E">
        <w:rPr>
          <w:rFonts w:ascii="Calibri" w:hAnsi="Calibri" w:cs="Calibri"/>
          <w:b/>
          <w:bCs/>
          <w:u w:val="single"/>
        </w:rPr>
        <w:t>Decision:</w:t>
      </w:r>
      <w:r w:rsidRPr="00760F5E">
        <w:rPr>
          <w:rFonts w:ascii="Calibri" w:hAnsi="Calibri" w:cs="Calibri"/>
        </w:rPr>
        <w:t xml:space="preserve"> RHC agreed to continue to monitor the use of AI in radiation regulation via its workplan.</w:t>
      </w:r>
    </w:p>
    <w:p w14:paraId="19D64BBB" w14:textId="77777777" w:rsidR="00760F5E" w:rsidRPr="00760F5E" w:rsidRDefault="00760F5E" w:rsidP="00E8675D">
      <w:pPr>
        <w:spacing w:before="0"/>
        <w:rPr>
          <w:rFonts w:ascii="Calibri" w:hAnsi="Calibri" w:cs="Calibri"/>
        </w:rPr>
      </w:pPr>
      <w:r w:rsidRPr="00760F5E">
        <w:rPr>
          <w:rFonts w:ascii="Calibri" w:hAnsi="Calibri" w:cs="Calibri"/>
          <w:b/>
          <w:bCs/>
          <w:u w:val="single"/>
        </w:rPr>
        <w:t>Decision:</w:t>
      </w:r>
      <w:r w:rsidRPr="00760F5E">
        <w:rPr>
          <w:rFonts w:ascii="Calibri" w:hAnsi="Calibri" w:cs="Calibri"/>
          <w:b/>
          <w:bCs/>
        </w:rPr>
        <w:t xml:space="preserve"> </w:t>
      </w:r>
      <w:r w:rsidRPr="00760F5E">
        <w:rPr>
          <w:rFonts w:ascii="Calibri" w:hAnsi="Calibri" w:cs="Calibri"/>
        </w:rPr>
        <w:t xml:space="preserve">RHC agreed to transparently declare the use of AI in RHC regulatory publications, </w:t>
      </w:r>
    </w:p>
    <w:p w14:paraId="4D23F4BD" w14:textId="77777777" w:rsidR="00760F5E" w:rsidRPr="00760F5E" w:rsidRDefault="00760F5E" w:rsidP="00E8675D">
      <w:pPr>
        <w:spacing w:before="0"/>
        <w:rPr>
          <w:rFonts w:ascii="Calibri" w:hAnsi="Calibri" w:cs="Calibri"/>
        </w:rPr>
      </w:pPr>
      <w:r w:rsidRPr="00760F5E">
        <w:rPr>
          <w:rFonts w:ascii="Calibri" w:hAnsi="Calibri" w:cs="Calibri"/>
          <w:b/>
          <w:bCs/>
          <w:u w:val="single"/>
        </w:rPr>
        <w:t>Decision:</w:t>
      </w:r>
      <w:r w:rsidRPr="00760F5E">
        <w:rPr>
          <w:rFonts w:ascii="Calibri" w:hAnsi="Calibri" w:cs="Calibri"/>
        </w:rPr>
        <w:t xml:space="preserve"> RHC agreed to require its current working groups to consider how the use of artificial intelligence (AI) impacts draft Radiation Protection Series documents.</w:t>
      </w:r>
    </w:p>
    <w:p w14:paraId="7770CC26" w14:textId="77777777" w:rsidR="00760F5E" w:rsidRPr="00E65574" w:rsidRDefault="00760F5E" w:rsidP="00760F5E">
      <w:pPr>
        <w:rPr>
          <w:rFonts w:ascii="Calibri" w:eastAsia="Times New Roman" w:hAnsi="Calibri" w:cs="Calibri"/>
        </w:rPr>
      </w:pPr>
    </w:p>
    <w:p w14:paraId="3D54D7AC" w14:textId="2C88D582" w:rsidR="00760F5E" w:rsidRPr="00E65574" w:rsidRDefault="00760F5E" w:rsidP="00CB16F4">
      <w:pPr>
        <w:pStyle w:val="Agendaitem-main"/>
      </w:pPr>
      <w:bookmarkStart w:id="13" w:name="dsbmie01ZSYNDDVX6XQAPN4QNFD22KGWSMQZNI63"/>
      <w:bookmarkStart w:id="14" w:name="dsbmis01ZSYNDDVYB62XSM6EXJFK4UGCXAWA2O2W"/>
      <w:bookmarkEnd w:id="12"/>
      <w:bookmarkEnd w:id="13"/>
      <w:r w:rsidRPr="00E65574">
        <w:t>Radiation Protection Series</w:t>
      </w:r>
    </w:p>
    <w:p w14:paraId="7AE2C3B6" w14:textId="5813BE0E" w:rsidR="00760F5E" w:rsidRPr="00E65574" w:rsidRDefault="00760F5E" w:rsidP="00E90871">
      <w:pPr>
        <w:pStyle w:val="Agendaitem-supplementary"/>
      </w:pPr>
      <w:bookmarkStart w:id="15" w:name="dsbmie01ZSYNDDVYB62XSM6EXJFK4UGCXAWA2O2W"/>
      <w:bookmarkStart w:id="16" w:name="dsbmis01ZSYNDDUFVNWDR5FSJNGJPUZCWA4EF76H"/>
      <w:bookmarkEnd w:id="14"/>
      <w:bookmarkEnd w:id="15"/>
      <w:r w:rsidRPr="005A3C27">
        <w:t>RPS</w:t>
      </w:r>
      <w:r w:rsidRPr="00E65574">
        <w:t xml:space="preserve"> Status update</w:t>
      </w:r>
    </w:p>
    <w:p w14:paraId="687B2256" w14:textId="77777777" w:rsidR="00760F5E" w:rsidRPr="006A1C76" w:rsidRDefault="00760F5E" w:rsidP="00002129">
      <w:pPr>
        <w:ind w:left="284"/>
      </w:pPr>
      <w:r w:rsidRPr="006A1C76">
        <w:t xml:space="preserve">The RHC received an update on the status of Radiation Protection Series (RPS) projects not on the agenda, including draft codes and guides relating to fixed and portable gauges, well-logging devices, the exemption and clearance of radioactive material, and the use of nuclear medicine. The RHC discussed the impact of </w:t>
      </w:r>
      <w:proofErr w:type="spellStart"/>
      <w:r w:rsidRPr="006A1C76">
        <w:t>theranostics</w:t>
      </w:r>
      <w:proofErr w:type="spellEnd"/>
      <w:r w:rsidRPr="006A1C76">
        <w:t xml:space="preserve"> on the draft safety guide for nuclear medicine.</w:t>
      </w:r>
    </w:p>
    <w:p w14:paraId="56E13BF2" w14:textId="47E6B29A" w:rsidR="00760F5E" w:rsidRPr="00E65574" w:rsidRDefault="00760F5E" w:rsidP="00E90871">
      <w:pPr>
        <w:pStyle w:val="Agendaitem-supplementary"/>
      </w:pPr>
      <w:bookmarkStart w:id="17" w:name="dsbmie01ZSYNDDUFVNWDR5FSJNGJPUZCWA4EF76H"/>
      <w:bookmarkStart w:id="18" w:name="dsbmis01ZSYNDDRRDNMKCT5KI5C3UKPF4C5T7P7B"/>
      <w:bookmarkEnd w:id="16"/>
      <w:bookmarkEnd w:id="17"/>
      <w:r>
        <w:t xml:space="preserve">Radioactive </w:t>
      </w:r>
      <w:r w:rsidRPr="00E65574">
        <w:t>Waste Management Code</w:t>
      </w:r>
    </w:p>
    <w:p w14:paraId="4B98AF91" w14:textId="7FBDEA4F" w:rsidR="00760F5E" w:rsidRPr="00760F5E" w:rsidRDefault="00760F5E" w:rsidP="00002129">
      <w:pPr>
        <w:ind w:left="284"/>
        <w:rPr>
          <w:rFonts w:ascii="Calibri" w:hAnsi="Calibri" w:cs="Calibri"/>
        </w:rPr>
      </w:pPr>
      <w:r w:rsidRPr="00760F5E">
        <w:rPr>
          <w:rFonts w:ascii="Calibri" w:hAnsi="Calibri" w:cs="Calibri"/>
        </w:rPr>
        <w:t xml:space="preserve">The RHC discussed progress on the first draft code and key issues currently under consideration. The working </w:t>
      </w:r>
      <w:r w:rsidRPr="00760F5E">
        <w:t>group lead requested RHC endorsement of proposed changes to the original proposed document structure, the incorporation of content from the existing Code for Disposal of Solid Radioactive Waste (RPS C-3), and the desired prescriptiveness of the code. The RHC also discussed the management of legacy radioactive sources from exempt uses, such as those used in secondary schools’ education programs and the benefits of a coordinated national approach.</w:t>
      </w:r>
      <w:r w:rsidRPr="00760F5E">
        <w:rPr>
          <w:rFonts w:ascii="Calibri" w:hAnsi="Calibri" w:cs="Calibri"/>
        </w:rPr>
        <w:t xml:space="preserve"> </w:t>
      </w:r>
    </w:p>
    <w:p w14:paraId="409F8363" w14:textId="75FAD026" w:rsidR="00760F5E" w:rsidRPr="00002129" w:rsidRDefault="00760F5E" w:rsidP="00002129">
      <w:pPr>
        <w:ind w:left="284"/>
        <w:rPr>
          <w:rFonts w:ascii="Calibri" w:hAnsi="Calibri" w:cs="Calibri"/>
          <w:lang w:val="en-US"/>
        </w:rPr>
      </w:pPr>
      <w:r w:rsidRPr="00760F5E">
        <w:rPr>
          <w:rFonts w:ascii="Calibri" w:hAnsi="Calibri" w:cs="Calibri"/>
          <w:b/>
          <w:bCs/>
          <w:u w:val="single"/>
          <w:lang w:val="en-US"/>
        </w:rPr>
        <w:t>Decision:</w:t>
      </w:r>
      <w:r w:rsidRPr="00760F5E">
        <w:rPr>
          <w:rFonts w:ascii="Calibri" w:hAnsi="Calibri" w:cs="Calibri"/>
          <w:lang w:val="en-US"/>
        </w:rPr>
        <w:t xml:space="preserve"> RHC agreed that requirements from RPS C-3 should be integrated into the draft Radioactive Waste Management Code.</w:t>
      </w:r>
    </w:p>
    <w:p w14:paraId="4280556A" w14:textId="636F4CF6" w:rsidR="00760F5E" w:rsidRPr="00E65574" w:rsidRDefault="00760F5E" w:rsidP="00E90871">
      <w:pPr>
        <w:pStyle w:val="Agendaitem-supplementary"/>
      </w:pPr>
      <w:bookmarkStart w:id="19" w:name="dsbmie01ZSYNDDRRDNMKCT5KI5C3UKPF4C5T7P7B"/>
      <w:bookmarkStart w:id="20" w:name="dsbmis01ZSYNDDWJJF6XEVZ5PNGJUZZ7LCUMYMJ4"/>
      <w:bookmarkEnd w:id="18"/>
      <w:bookmarkEnd w:id="19"/>
      <w:r w:rsidRPr="00E65574">
        <w:lastRenderedPageBreak/>
        <w:t>Non-Medical Human Imaging Code</w:t>
      </w:r>
    </w:p>
    <w:p w14:paraId="1A26E34C" w14:textId="7BD93FA1" w:rsidR="00760F5E" w:rsidRPr="00760F5E" w:rsidRDefault="00760F5E" w:rsidP="00002129">
      <w:pPr>
        <w:ind w:left="284"/>
        <w:rPr>
          <w:rFonts w:ascii="Calibri" w:hAnsi="Calibri" w:cs="Calibri"/>
        </w:rPr>
      </w:pPr>
      <w:r w:rsidRPr="00760F5E">
        <w:rPr>
          <w:rFonts w:ascii="Calibri" w:hAnsi="Calibri" w:cs="Calibri"/>
        </w:rPr>
        <w:t>The RHC discussed the draft Non-Medical Human Imaging Code presented for feedback, including on proposed targeted stakeholder engagement. The RHC discussed the scope of the document, the suggested dose constraint, and the frequency of periodic compliance testing. The RHC agreed to provide feedback on the code out-of-session, and suggested key stakeholders including police forces, privacy/information commissioners, and suitable unions. It noted that a decision to proceed to targeted stakeholder consultation after out-of-session review. The Project and Document Plan (PDP) was amended to note Glenn Riley as the RHC Sponsor for this project.</w:t>
      </w:r>
    </w:p>
    <w:p w14:paraId="60EAA529" w14:textId="77777777" w:rsidR="00760F5E" w:rsidRPr="00760F5E" w:rsidRDefault="00760F5E" w:rsidP="00E8675D">
      <w:pPr>
        <w:ind w:firstLine="284"/>
        <w:rPr>
          <w:rFonts w:ascii="Calibri" w:hAnsi="Calibri" w:cs="Calibri"/>
          <w:lang w:val="en-US"/>
        </w:rPr>
      </w:pPr>
      <w:r w:rsidRPr="00760F5E">
        <w:rPr>
          <w:rFonts w:ascii="Calibri" w:hAnsi="Calibri" w:cs="Calibri"/>
          <w:b/>
          <w:bCs/>
          <w:u w:val="single"/>
          <w:lang w:val="en-US"/>
        </w:rPr>
        <w:t>Decision:</w:t>
      </w:r>
      <w:r w:rsidRPr="00760F5E">
        <w:t xml:space="preserve"> </w:t>
      </w:r>
      <w:r w:rsidRPr="00760F5E">
        <w:rPr>
          <w:rFonts w:ascii="Calibri" w:hAnsi="Calibri" w:cs="Calibri"/>
          <w:lang w:val="en-US"/>
        </w:rPr>
        <w:t xml:space="preserve">Glenn Riley </w:t>
      </w:r>
      <w:proofErr w:type="gramStart"/>
      <w:r w:rsidRPr="00760F5E">
        <w:rPr>
          <w:rFonts w:ascii="Calibri" w:hAnsi="Calibri" w:cs="Calibri"/>
          <w:lang w:val="en-US"/>
        </w:rPr>
        <w:t>is</w:t>
      </w:r>
      <w:proofErr w:type="gramEnd"/>
      <w:r w:rsidRPr="00760F5E">
        <w:rPr>
          <w:rFonts w:ascii="Calibri" w:hAnsi="Calibri" w:cs="Calibri"/>
          <w:lang w:val="en-US"/>
        </w:rPr>
        <w:t xml:space="preserve"> appointed as the RHC Sponsor for the NMHI Code project.</w:t>
      </w:r>
    </w:p>
    <w:p w14:paraId="24CF0BD5" w14:textId="77777777" w:rsidR="00760F5E" w:rsidRPr="00760F5E" w:rsidRDefault="00760F5E" w:rsidP="00E8675D">
      <w:pPr>
        <w:spacing w:before="0"/>
        <w:ind w:firstLine="284"/>
        <w:rPr>
          <w:rFonts w:ascii="Calibri" w:eastAsia="Times New Roman" w:hAnsi="Calibri" w:cs="Calibri"/>
        </w:rPr>
      </w:pPr>
      <w:r w:rsidRPr="00760F5E">
        <w:rPr>
          <w:rFonts w:ascii="Calibri" w:hAnsi="Calibri" w:cs="Calibri"/>
          <w:b/>
          <w:bCs/>
          <w:u w:val="single"/>
          <w:lang w:val="en-US"/>
        </w:rPr>
        <w:t>Task:</w:t>
      </w:r>
      <w:r w:rsidRPr="00760F5E">
        <w:rPr>
          <w:rFonts w:ascii="Calibri" w:hAnsi="Calibri" w:cs="Calibri"/>
          <w:b/>
          <w:bCs/>
          <w:lang w:val="en-US"/>
        </w:rPr>
        <w:t> </w:t>
      </w:r>
      <w:r w:rsidRPr="00760F5E">
        <w:rPr>
          <w:rFonts w:ascii="Calibri" w:hAnsi="Calibri" w:cs="Calibri"/>
          <w:lang w:val="en-US"/>
        </w:rPr>
        <w:t xml:space="preserve">RHC to review the draft Code and provide feedback by </w:t>
      </w:r>
      <w:r w:rsidRPr="00760F5E">
        <w:rPr>
          <w:rFonts w:ascii="Calibri" w:hAnsi="Calibri" w:cs="Calibri"/>
          <w:b/>
          <w:bCs/>
          <w:lang w:val="en-US"/>
        </w:rPr>
        <w:t>17 July 2026.</w:t>
      </w:r>
      <w:r w:rsidRPr="00760F5E">
        <w:rPr>
          <w:rFonts w:ascii="Calibri" w:hAnsi="Calibri" w:cs="Calibri"/>
          <w:lang w:val="en-US"/>
        </w:rPr>
        <w:t> </w:t>
      </w:r>
    </w:p>
    <w:p w14:paraId="3605C079" w14:textId="77777777" w:rsidR="00760F5E" w:rsidRPr="00760F5E" w:rsidRDefault="00760F5E" w:rsidP="00760F5E">
      <w:pPr>
        <w:rPr>
          <w:rFonts w:ascii="Calibri" w:eastAsia="Times New Roman" w:hAnsi="Calibri" w:cs="Calibri"/>
        </w:rPr>
      </w:pPr>
    </w:p>
    <w:p w14:paraId="15B5B07C" w14:textId="2F489D04" w:rsidR="00760F5E" w:rsidRPr="00E65574" w:rsidRDefault="00760F5E" w:rsidP="00CB16F4">
      <w:pPr>
        <w:pStyle w:val="Agendaitem-main"/>
      </w:pPr>
      <w:bookmarkStart w:id="21" w:name="dsbmie01ZSYNDDWJJF6XEVZ5PNGJUZZ7LCUMYMJ4"/>
      <w:bookmarkStart w:id="22" w:name="dsbmis01ZSYNDDTJMILOKCKKRJAL6EJLSZYT2F2J"/>
      <w:bookmarkEnd w:id="20"/>
      <w:bookmarkEnd w:id="21"/>
      <w:r w:rsidRPr="00E65574">
        <w:t>Radiation Protection Series (Continued)</w:t>
      </w:r>
    </w:p>
    <w:p w14:paraId="7640464E" w14:textId="6C345909" w:rsidR="00760F5E" w:rsidRPr="00E65574" w:rsidRDefault="00760F5E" w:rsidP="00E90871">
      <w:pPr>
        <w:pStyle w:val="Agendaitem-supplementary"/>
      </w:pPr>
      <w:bookmarkStart w:id="23" w:name="dsbmie01ZSYNDDTJMILOKCKKRJAL6EJLSZYT2F2J"/>
      <w:bookmarkStart w:id="24" w:name="dsbmis01ZSYNDDXVBZR3PYZOYJDIXI5QZOSBUYAH"/>
      <w:bookmarkEnd w:id="22"/>
      <w:bookmarkEnd w:id="23"/>
      <w:r w:rsidRPr="00E65574">
        <w:t>Diagnostic and Interventional Radiology Guide</w:t>
      </w:r>
    </w:p>
    <w:p w14:paraId="2491F81E" w14:textId="0444D10A" w:rsidR="00760F5E" w:rsidRPr="00760F5E" w:rsidRDefault="00760F5E" w:rsidP="00002129">
      <w:pPr>
        <w:ind w:left="284"/>
        <w:rPr>
          <w:rFonts w:ascii="Calibri" w:hAnsi="Calibri" w:cs="Calibri"/>
          <w:lang w:val="en-US"/>
        </w:rPr>
      </w:pPr>
      <w:r w:rsidRPr="00760F5E">
        <w:rPr>
          <w:rFonts w:ascii="Calibri" w:hAnsi="Calibri" w:cs="Calibri"/>
          <w:lang w:val="en-US"/>
        </w:rPr>
        <w:t xml:space="preserve">The Working Group lead tabled the draft Safety Guide for feedback, and talked </w:t>
      </w:r>
      <w:proofErr w:type="gramStart"/>
      <w:r w:rsidRPr="00760F5E">
        <w:rPr>
          <w:rFonts w:ascii="Calibri" w:hAnsi="Calibri" w:cs="Calibri"/>
          <w:lang w:val="en-US"/>
        </w:rPr>
        <w:t>to</w:t>
      </w:r>
      <w:proofErr w:type="gramEnd"/>
      <w:r w:rsidRPr="00760F5E">
        <w:rPr>
          <w:rFonts w:ascii="Calibri" w:hAnsi="Calibri" w:cs="Calibri"/>
          <w:lang w:val="en-US"/>
        </w:rPr>
        <w:t xml:space="preserve"> the progress, key points of Working Group discussion, and notable changes in the revised guide. The RHC agreed to provide feedback by 17 July, </w:t>
      </w:r>
      <w:proofErr w:type="gramStart"/>
      <w:r w:rsidRPr="00760F5E">
        <w:rPr>
          <w:rFonts w:ascii="Calibri" w:hAnsi="Calibri" w:cs="Calibri"/>
          <w:lang w:val="en-US"/>
        </w:rPr>
        <w:t>in order to</w:t>
      </w:r>
      <w:proofErr w:type="gramEnd"/>
      <w:r w:rsidRPr="00760F5E">
        <w:rPr>
          <w:rFonts w:ascii="Calibri" w:hAnsi="Calibri" w:cs="Calibri"/>
          <w:lang w:val="en-US"/>
        </w:rPr>
        <w:t xml:space="preserve"> allow targeted consultation by late August. The lead also noted the discussion regarding addressing use of AI under </w:t>
      </w:r>
      <w:r w:rsidRPr="00760F5E">
        <w:rPr>
          <w:rFonts w:ascii="Calibri" w:hAnsi="Calibri" w:cs="Calibri"/>
          <w:b/>
          <w:bCs/>
          <w:lang w:val="en-US"/>
        </w:rPr>
        <w:t>Item 3</w:t>
      </w:r>
      <w:r w:rsidRPr="00760F5E">
        <w:rPr>
          <w:rFonts w:ascii="Calibri" w:hAnsi="Calibri" w:cs="Calibri"/>
          <w:lang w:val="en-US"/>
        </w:rPr>
        <w:t xml:space="preserve"> and committed to raising it at the next Working Group meeting.</w:t>
      </w:r>
    </w:p>
    <w:p w14:paraId="0567FDC7" w14:textId="5F141AC9" w:rsidR="00760F5E" w:rsidRPr="00E65574" w:rsidRDefault="00760F5E" w:rsidP="00002129">
      <w:pPr>
        <w:ind w:left="284"/>
        <w:rPr>
          <w:rFonts w:ascii="Calibri" w:eastAsia="Times New Roman" w:hAnsi="Calibri" w:cs="Calibri"/>
        </w:rPr>
      </w:pPr>
      <w:r w:rsidRPr="00760F5E">
        <w:rPr>
          <w:rFonts w:ascii="Calibri" w:hAnsi="Calibri" w:cs="Calibri"/>
          <w:b/>
          <w:bCs/>
          <w:u w:val="single"/>
        </w:rPr>
        <w:t>Task:</w:t>
      </w:r>
      <w:r w:rsidRPr="00760F5E">
        <w:t xml:space="preserve"> </w:t>
      </w:r>
      <w:r w:rsidRPr="00760F5E">
        <w:rPr>
          <w:rFonts w:ascii="Calibri" w:hAnsi="Calibri" w:cs="Calibri"/>
          <w:lang w:val="en-US"/>
        </w:rPr>
        <w:t xml:space="preserve">RHC to provide feedback on the draft Diagnostic and Interventional Radiology Guide by </w:t>
      </w:r>
      <w:r w:rsidRPr="00760F5E">
        <w:rPr>
          <w:rFonts w:ascii="Calibri" w:hAnsi="Calibri" w:cs="Calibri"/>
          <w:b/>
          <w:bCs/>
          <w:lang w:val="en-US"/>
        </w:rPr>
        <w:t>17 July 2026.</w:t>
      </w:r>
      <w:r w:rsidRPr="00760F5E">
        <w:rPr>
          <w:rFonts w:ascii="Calibri" w:hAnsi="Calibri" w:cs="Calibri"/>
          <w:lang w:val="en-US"/>
        </w:rPr>
        <w:t> </w:t>
      </w:r>
    </w:p>
    <w:p w14:paraId="017F6841" w14:textId="7910656D" w:rsidR="00760F5E" w:rsidRPr="00E65574" w:rsidRDefault="00760F5E" w:rsidP="00E90871">
      <w:pPr>
        <w:pStyle w:val="Agendaitem-supplementary"/>
      </w:pPr>
      <w:bookmarkStart w:id="25" w:name="dsbmie01ZSYNDDXVBZR3PYZOYJDIXI5QZOSBUYAH"/>
      <w:bookmarkStart w:id="26" w:name="dsbmis01ZSYNDDVHPBJRILFBZREKODXH2C32OUPB"/>
      <w:bookmarkEnd w:id="24"/>
      <w:bookmarkEnd w:id="25"/>
      <w:r w:rsidRPr="00E65574">
        <w:t>Radiation Therapy Guide</w:t>
      </w:r>
    </w:p>
    <w:p w14:paraId="0FCF387E" w14:textId="77777777" w:rsidR="00760F5E" w:rsidRPr="00760F5E" w:rsidRDefault="00760F5E" w:rsidP="00002129">
      <w:pPr>
        <w:ind w:left="284"/>
        <w:rPr>
          <w:rFonts w:ascii="Calibri" w:hAnsi="Calibri" w:cs="Calibri"/>
          <w:lang w:val="en-US"/>
        </w:rPr>
      </w:pPr>
      <w:r w:rsidRPr="00760F5E">
        <w:rPr>
          <w:rFonts w:ascii="Calibri" w:hAnsi="Calibri" w:cs="Calibri"/>
          <w:lang w:val="en-US"/>
        </w:rPr>
        <w:t xml:space="preserve">A draft Radiation Therapy Safety Guide was tabled for feedback with a verbal update on progress of the guide. Noting the similarity to </w:t>
      </w:r>
      <w:r w:rsidRPr="00760F5E">
        <w:rPr>
          <w:rFonts w:ascii="Calibri" w:hAnsi="Calibri" w:cs="Calibri"/>
          <w:b/>
          <w:bCs/>
          <w:lang w:val="en-US"/>
        </w:rPr>
        <w:t xml:space="preserve">Item 5.1, </w:t>
      </w:r>
      <w:r w:rsidRPr="00760F5E">
        <w:rPr>
          <w:rFonts w:ascii="Calibri" w:hAnsi="Calibri" w:cs="Calibri"/>
          <w:lang w:val="en-US"/>
        </w:rPr>
        <w:t>the RHC agreed to provide feedback by 17 July.</w:t>
      </w:r>
    </w:p>
    <w:p w14:paraId="131F0B94" w14:textId="3174F849" w:rsidR="00760F5E" w:rsidRPr="00E65574" w:rsidRDefault="00760F5E" w:rsidP="00002129">
      <w:pPr>
        <w:ind w:firstLine="284"/>
        <w:rPr>
          <w:rFonts w:ascii="Calibri" w:eastAsia="Times New Roman" w:hAnsi="Calibri" w:cs="Calibri"/>
        </w:rPr>
      </w:pPr>
      <w:r w:rsidRPr="00760F5E">
        <w:rPr>
          <w:rFonts w:ascii="Calibri" w:hAnsi="Calibri" w:cs="Calibri"/>
          <w:b/>
          <w:bCs/>
          <w:u w:val="single"/>
        </w:rPr>
        <w:t>Task:</w:t>
      </w:r>
      <w:r w:rsidRPr="00760F5E">
        <w:t xml:space="preserve"> </w:t>
      </w:r>
      <w:r w:rsidRPr="00760F5E">
        <w:rPr>
          <w:rFonts w:ascii="Calibri" w:hAnsi="Calibri" w:cs="Calibri"/>
          <w:lang w:val="en-US"/>
        </w:rPr>
        <w:t xml:space="preserve">RHC to provide feedback on the draft Radiation Therapy Guide by </w:t>
      </w:r>
      <w:r w:rsidRPr="00760F5E">
        <w:rPr>
          <w:rFonts w:ascii="Calibri" w:hAnsi="Calibri" w:cs="Calibri"/>
          <w:b/>
          <w:bCs/>
          <w:lang w:val="en-US"/>
        </w:rPr>
        <w:t>17 July 2026.</w:t>
      </w:r>
      <w:r w:rsidRPr="00760F5E">
        <w:rPr>
          <w:rFonts w:ascii="Calibri" w:hAnsi="Calibri" w:cs="Calibri"/>
          <w:lang w:val="en-US"/>
        </w:rPr>
        <w:t> </w:t>
      </w:r>
    </w:p>
    <w:p w14:paraId="290BEEB4" w14:textId="4FAF1D9E" w:rsidR="00760F5E" w:rsidRPr="00E65574" w:rsidRDefault="00760F5E" w:rsidP="00E90871">
      <w:pPr>
        <w:pStyle w:val="Agendaitem-supplementary"/>
      </w:pPr>
      <w:bookmarkStart w:id="27" w:name="dsbmie01ZSYNDDVHPBJRILFBZREKODXH2C32OUPB"/>
      <w:bookmarkStart w:id="28" w:name="dsbmis01ZSYNDDW3FBLWKHRYRNE2F5JBHIROGYGC"/>
      <w:bookmarkEnd w:id="26"/>
      <w:bookmarkEnd w:id="27"/>
      <w:r w:rsidRPr="00E65574">
        <w:t>X-Ray Equipment Code</w:t>
      </w:r>
    </w:p>
    <w:p w14:paraId="7C0D3873" w14:textId="40C34B9A" w:rsidR="00760F5E" w:rsidRPr="00760F5E" w:rsidRDefault="00760F5E" w:rsidP="00002129">
      <w:pPr>
        <w:ind w:left="284"/>
        <w:rPr>
          <w:rFonts w:ascii="Calibri" w:hAnsi="Calibri" w:cs="Calibri"/>
          <w:lang w:val="en-US"/>
        </w:rPr>
      </w:pPr>
      <w:r w:rsidRPr="00760F5E">
        <w:rPr>
          <w:rFonts w:ascii="Calibri" w:hAnsi="Calibri" w:cs="Calibri"/>
          <w:lang w:val="en-US"/>
        </w:rPr>
        <w:t>The RHC Sponsor for the Working Group tabled material relating to the draft Code. In addition to outlining the progress and efforts of the Working Group, this included an attachment outlining proposed equipment inclusions and exclusions to the code in response to a query alongside the March RHC meeting. The RHC accepted most proposed inclusions/exclusions, though noted that portable X-ray transmission imaging equipment used for security/bomb detection should remain in RPS C-4, with any concerns regarding emergency uses to be covered by appropriate license conditions. In discussing this issue, the RHC identified a lack of clear principles and/or criteria for determining which Code a device or practice was best suited for. It was therefore agreed that an extraordinary session of the RHC be held in late August/early September to address this issue.</w:t>
      </w:r>
    </w:p>
    <w:p w14:paraId="223B83F2" w14:textId="77777777" w:rsidR="00760F5E" w:rsidRPr="00760F5E" w:rsidRDefault="00760F5E" w:rsidP="00002129">
      <w:pPr>
        <w:ind w:left="284"/>
        <w:rPr>
          <w:rFonts w:ascii="Calibri" w:hAnsi="Calibri" w:cs="Calibri"/>
          <w:lang w:val="en-US"/>
        </w:rPr>
      </w:pPr>
      <w:r w:rsidRPr="00760F5E">
        <w:rPr>
          <w:rFonts w:ascii="Calibri" w:hAnsi="Calibri" w:cs="Calibri"/>
          <w:b/>
          <w:bCs/>
          <w:u w:val="single"/>
          <w:lang w:val="en-US"/>
        </w:rPr>
        <w:t>Decision:</w:t>
      </w:r>
      <w:r w:rsidRPr="00760F5E">
        <w:rPr>
          <w:rFonts w:ascii="Calibri" w:hAnsi="Calibri" w:cs="Calibri"/>
          <w:lang w:val="en-US"/>
        </w:rPr>
        <w:t xml:space="preserve"> The RHC accepted the proposed inclusions and exclusions to the X-ray Equipment Code outlined in the tabled attachment, except for the portable X-ray Imaging equipment used for security purposes. </w:t>
      </w:r>
    </w:p>
    <w:p w14:paraId="53476737" w14:textId="680C101D" w:rsidR="00760F5E" w:rsidRDefault="00760F5E" w:rsidP="005A3C27">
      <w:pPr>
        <w:spacing w:before="0"/>
        <w:ind w:firstLine="284"/>
        <w:rPr>
          <w:rFonts w:ascii="Calibri" w:hAnsi="Calibri" w:cs="Calibri"/>
          <w:lang w:val="en-US"/>
        </w:rPr>
      </w:pPr>
      <w:r w:rsidRPr="00760F5E">
        <w:rPr>
          <w:rFonts w:ascii="Calibri" w:hAnsi="Calibri" w:cs="Calibri"/>
          <w:b/>
          <w:bCs/>
          <w:u w:val="single"/>
          <w:lang w:val="en-US"/>
        </w:rPr>
        <w:t>Decision:</w:t>
      </w:r>
      <w:r w:rsidRPr="00760F5E">
        <w:rPr>
          <w:rFonts w:ascii="Calibri" w:hAnsi="Calibri" w:cs="Calibri"/>
          <w:lang w:val="en-US"/>
        </w:rPr>
        <w:t xml:space="preserve"> RHC </w:t>
      </w:r>
      <w:proofErr w:type="gramStart"/>
      <w:r w:rsidRPr="00760F5E">
        <w:rPr>
          <w:rFonts w:ascii="Calibri" w:hAnsi="Calibri" w:cs="Calibri"/>
          <w:lang w:val="en-US"/>
        </w:rPr>
        <w:t>to hold</w:t>
      </w:r>
      <w:proofErr w:type="gramEnd"/>
      <w:r w:rsidRPr="00760F5E">
        <w:rPr>
          <w:rFonts w:ascii="Calibri" w:hAnsi="Calibri" w:cs="Calibri"/>
          <w:lang w:val="en-US"/>
        </w:rPr>
        <w:t xml:space="preserve"> an extraordinary session to resolve X-ray equipment source </w:t>
      </w:r>
      <w:proofErr w:type="spellStart"/>
      <w:r w:rsidRPr="00760F5E">
        <w:rPr>
          <w:rFonts w:ascii="Calibri" w:hAnsi="Calibri" w:cs="Calibri"/>
          <w:lang w:val="en-US"/>
        </w:rPr>
        <w:t>categorisation</w:t>
      </w:r>
      <w:proofErr w:type="spellEnd"/>
      <w:r w:rsidRPr="00760F5E">
        <w:rPr>
          <w:rFonts w:ascii="Calibri" w:hAnsi="Calibri" w:cs="Calibri"/>
          <w:lang w:val="en-US"/>
        </w:rPr>
        <w:t xml:space="preserve">.    </w:t>
      </w:r>
    </w:p>
    <w:p w14:paraId="306540D3" w14:textId="77777777" w:rsidR="005A3C27" w:rsidRPr="00E65574" w:rsidRDefault="005A3C27" w:rsidP="005A3C27">
      <w:pPr>
        <w:rPr>
          <w:rFonts w:ascii="Calibri" w:eastAsia="Times New Roman" w:hAnsi="Calibri" w:cs="Calibri"/>
        </w:rPr>
      </w:pPr>
    </w:p>
    <w:p w14:paraId="754F9600" w14:textId="213A6D54" w:rsidR="00760F5E" w:rsidRPr="00E65574" w:rsidRDefault="00760F5E" w:rsidP="00CB16F4">
      <w:pPr>
        <w:pStyle w:val="Agendaitem-main"/>
      </w:pPr>
      <w:bookmarkStart w:id="29" w:name="dsbmie01ZSYNDDW3FBLWKHRYRNE2F5JBHIROGYGC"/>
      <w:bookmarkStart w:id="30" w:name="dsbmis01ZSYNDDTGQDFAL4IZ7ZFK22OJBNVX2NQ5"/>
      <w:bookmarkEnd w:id="28"/>
      <w:bookmarkEnd w:id="29"/>
      <w:r w:rsidRPr="00E65574">
        <w:t>RADMAP Aus Expansion</w:t>
      </w:r>
    </w:p>
    <w:p w14:paraId="1FEF31EB" w14:textId="464CC773" w:rsidR="00760F5E" w:rsidRDefault="00760F5E" w:rsidP="00760F5E">
      <w:pPr>
        <w:rPr>
          <w:rFonts w:ascii="Calibri" w:hAnsi="Calibri" w:cs="Calibri"/>
        </w:rPr>
      </w:pPr>
      <w:r w:rsidRPr="00760F5E">
        <w:rPr>
          <w:rFonts w:ascii="Calibri" w:hAnsi="Calibri" w:cs="Calibri"/>
        </w:rPr>
        <w:t>ARPANSA provided an update on the Australian Radiation Monitoring and Assessment Program (RADMAP-Aus), including outlining the motivation for the program, the status of existing pilot programs, live data portals, and planned expansions. The RHC discussed their interest in collaboration, the possible locations for monitors, jurisdictional concerns and considerations around environmental monitoring, and public awareness of the program.</w:t>
      </w:r>
    </w:p>
    <w:p w14:paraId="53DA540E" w14:textId="77777777" w:rsidR="005A3C27" w:rsidRPr="00760F5E" w:rsidRDefault="005A3C27" w:rsidP="00760F5E">
      <w:pPr>
        <w:rPr>
          <w:rFonts w:ascii="Calibri" w:hAnsi="Calibri" w:cs="Calibri"/>
        </w:rPr>
      </w:pPr>
    </w:p>
    <w:p w14:paraId="365ACD5A" w14:textId="5980E517" w:rsidR="00760F5E" w:rsidRPr="00E65574" w:rsidRDefault="00760F5E" w:rsidP="00CB16F4">
      <w:pPr>
        <w:pStyle w:val="Agendaitem-main"/>
      </w:pPr>
      <w:bookmarkStart w:id="31" w:name="dsbmie01ZSYNDDTGQDFAL4IZ7ZFK22OJBNVX2NQ5"/>
      <w:bookmarkStart w:id="32" w:name="dsbmis01ZSYNDDRUWISNJ6CBG5G2ELKTECSVIQ25"/>
      <w:bookmarkEnd w:id="30"/>
      <w:bookmarkEnd w:id="31"/>
      <w:r w:rsidRPr="00E65574">
        <w:t>IAEA Drafting Pipeline</w:t>
      </w:r>
    </w:p>
    <w:p w14:paraId="19020515" w14:textId="1EF3A7CD" w:rsidR="00E8675D" w:rsidRDefault="00760F5E" w:rsidP="00760F5E">
      <w:pPr>
        <w:rPr>
          <w:rFonts w:ascii="Calibri" w:hAnsi="Calibri" w:cs="Calibri"/>
        </w:rPr>
      </w:pPr>
      <w:r w:rsidRPr="00760F5E">
        <w:rPr>
          <w:rFonts w:ascii="Calibri" w:hAnsi="Calibri" w:cs="Calibri"/>
        </w:rPr>
        <w:t>ARPANSA provided an update on recent and current document development at the IAEA. Australian jurisdictional feedback on a previous document was noted with thanks, and the inclusion of Australian case studies in the Australian submission on this document was highlighted. Following this, a recorded presentation was shown of the ARPANSA delegate who represents Australia on the IAEA Waste Safety Standards Committee (</w:t>
      </w:r>
      <w:proofErr w:type="spellStart"/>
      <w:r w:rsidRPr="00760F5E">
        <w:rPr>
          <w:rFonts w:ascii="Calibri" w:hAnsi="Calibri" w:cs="Calibri"/>
        </w:rPr>
        <w:t>WaSSC</w:t>
      </w:r>
      <w:proofErr w:type="spellEnd"/>
      <w:r w:rsidRPr="00760F5E">
        <w:rPr>
          <w:rFonts w:ascii="Calibri" w:hAnsi="Calibri" w:cs="Calibri"/>
        </w:rPr>
        <w:t xml:space="preserve">). This presentation outlined the purpose and scope of the committee, as well as current issues under consideration at the committee, and upcoming documents of note that may be circulated. </w:t>
      </w:r>
    </w:p>
    <w:p w14:paraId="5326602F" w14:textId="77777777" w:rsidR="005A3C27" w:rsidRPr="00E8675D" w:rsidRDefault="005A3C27" w:rsidP="00760F5E">
      <w:pPr>
        <w:rPr>
          <w:rFonts w:ascii="Calibri" w:hAnsi="Calibri" w:cs="Calibri"/>
        </w:rPr>
      </w:pPr>
    </w:p>
    <w:p w14:paraId="05A1D1E0" w14:textId="40E17853" w:rsidR="00760F5E" w:rsidRPr="00E65574" w:rsidRDefault="00760F5E" w:rsidP="00CB16F4">
      <w:pPr>
        <w:pStyle w:val="Agendaitem-main"/>
      </w:pPr>
      <w:bookmarkStart w:id="33" w:name="dsbmie01ZSYNDDRUWISNJ6CBG5G2ELKTECSVIQ25"/>
      <w:bookmarkStart w:id="34" w:name="dsbmis01ZSYNDDVUN57JTBSTSNDIXLEPIQLV6V2L"/>
      <w:bookmarkEnd w:id="32"/>
      <w:bookmarkEnd w:id="33"/>
      <w:r w:rsidRPr="00E65574">
        <w:t>ACSQHC</w:t>
      </w:r>
      <w:r>
        <w:t xml:space="preserve"> Dial-In</w:t>
      </w:r>
    </w:p>
    <w:p w14:paraId="2E4E28C3" w14:textId="6F497061" w:rsidR="00760F5E" w:rsidRDefault="00760F5E" w:rsidP="00760F5E">
      <w:pPr>
        <w:rPr>
          <w:rFonts w:ascii="Calibri" w:eastAsia="Times New Roman" w:hAnsi="Calibri" w:cs="Calibri"/>
        </w:rPr>
      </w:pPr>
      <w:r w:rsidRPr="00760F5E">
        <w:rPr>
          <w:rFonts w:ascii="Calibri" w:hAnsi="Calibri" w:cs="Calibri"/>
          <w:lang w:val="en-US"/>
        </w:rPr>
        <w:t xml:space="preserve">The RHC received a presentation from a representative of the </w:t>
      </w:r>
      <w:r w:rsidRPr="00760F5E">
        <w:rPr>
          <w:rFonts w:ascii="Calibri" w:eastAsia="Times New Roman" w:hAnsi="Calibri" w:cs="Calibri"/>
          <w:szCs w:val="24"/>
        </w:rPr>
        <w:t>Australian Commission on Safety and Quality in Health Care (ACSQHC) regarding recent revisions to the Diagnostic Imaging Accreditation Scheme (DIAS) Standards. The presentation outlined the history of the ACSQHC, their role in standards creation, and the scope and timeline of the DIAS Standards changes. The RHC thereafter discussed the responses received by the ACSQHC to the changes.</w:t>
      </w:r>
    </w:p>
    <w:p w14:paraId="2FD3B825" w14:textId="77777777" w:rsidR="00E8675D" w:rsidRPr="00E65574" w:rsidRDefault="00E8675D" w:rsidP="00760F5E">
      <w:pPr>
        <w:rPr>
          <w:rFonts w:ascii="Calibri" w:eastAsia="Times New Roman" w:hAnsi="Calibri" w:cs="Calibri"/>
        </w:rPr>
      </w:pPr>
    </w:p>
    <w:p w14:paraId="077E870D" w14:textId="50D8CCBB" w:rsidR="00760F5E" w:rsidRPr="00E65574" w:rsidRDefault="00760F5E" w:rsidP="00CB16F4">
      <w:pPr>
        <w:pStyle w:val="Agendaitem-main"/>
      </w:pPr>
      <w:bookmarkStart w:id="35" w:name="dsbmie01ZSYNDDVUN57JTBSTSNDIXLEPIQLV6V2L"/>
      <w:bookmarkStart w:id="36" w:name="dsbmis01ZSYNDDQBPUJA4JXDJJGLTLUZFUOJD2AO"/>
      <w:bookmarkEnd w:id="34"/>
      <w:bookmarkEnd w:id="35"/>
      <w:r w:rsidRPr="00E65574">
        <w:t>National Glossary of Terms</w:t>
      </w:r>
    </w:p>
    <w:p w14:paraId="22301624" w14:textId="12DBA78F" w:rsidR="00760F5E" w:rsidRPr="00760F5E" w:rsidRDefault="00760F5E" w:rsidP="00760F5E">
      <w:pPr>
        <w:rPr>
          <w:rFonts w:ascii="Calibri" w:hAnsi="Calibri" w:cs="Calibri"/>
        </w:rPr>
      </w:pPr>
      <w:r w:rsidRPr="00760F5E">
        <w:rPr>
          <w:rFonts w:ascii="Calibri" w:hAnsi="Calibri" w:cs="Calibri"/>
        </w:rPr>
        <w:t xml:space="preserve">The Working Group lead presented on the draft Terms of Reference prepared by the Working Group in response to the action recorded at the March 2026 meeting, and further talked to the efforts of the of the Working Group in addressing example terms. The RHC endorsed the Terms, with the Secretariat noting that a PDP incorporating these would be prepared and circulated out of session. </w:t>
      </w:r>
    </w:p>
    <w:p w14:paraId="355BBAC4" w14:textId="36915E37" w:rsidR="0056584C" w:rsidRDefault="00760F5E" w:rsidP="00760F5E">
      <w:pPr>
        <w:rPr>
          <w:rFonts w:ascii="Calibri" w:eastAsia="Times New Roman" w:hAnsi="Calibri" w:cs="Calibri"/>
        </w:rPr>
      </w:pPr>
      <w:r w:rsidRPr="00760F5E">
        <w:rPr>
          <w:rFonts w:ascii="Calibri" w:hAnsi="Calibri" w:cs="Calibri"/>
          <w:b/>
          <w:bCs/>
          <w:u w:val="single"/>
        </w:rPr>
        <w:t>Decision:</w:t>
      </w:r>
      <w:r w:rsidRPr="00760F5E">
        <w:rPr>
          <w:rFonts w:ascii="Calibri" w:hAnsi="Calibri" w:cs="Calibri"/>
        </w:rPr>
        <w:t xml:space="preserve"> The RHC endorsed the National Glossary of Terms working group draft Terms of Reference.</w:t>
      </w:r>
      <w:r w:rsidR="00E221DF">
        <w:rPr>
          <w:rFonts w:ascii="Calibri" w:eastAsia="Times New Roman" w:hAnsi="Calibri" w:cs="Calibri"/>
        </w:rPr>
        <w:br/>
      </w:r>
    </w:p>
    <w:p w14:paraId="7EC47699" w14:textId="4748B47F" w:rsidR="00760F5E" w:rsidRPr="00E65574" w:rsidRDefault="00760F5E" w:rsidP="00CB16F4">
      <w:pPr>
        <w:pStyle w:val="Agendaitem-main"/>
      </w:pPr>
      <w:bookmarkStart w:id="37" w:name="dsbmie01ZSYNDDQBPUJA4JXDJJGLTLUZFUOJD2AO"/>
      <w:bookmarkStart w:id="38" w:name="dsbmis01ZSYNDDTGEM4MRQOKIFGJLXITGKHTNGKI"/>
      <w:bookmarkEnd w:id="36"/>
      <w:bookmarkEnd w:id="37"/>
      <w:r w:rsidRPr="00E65574">
        <w:t>National Competency Framework</w:t>
      </w:r>
    </w:p>
    <w:p w14:paraId="067FD72A" w14:textId="7665C4AB" w:rsidR="00E8675D" w:rsidRPr="00760F5E" w:rsidRDefault="00760F5E" w:rsidP="00760F5E">
      <w:pPr>
        <w:rPr>
          <w:rFonts w:ascii="Calibri" w:hAnsi="Calibri" w:cs="Calibri"/>
        </w:rPr>
      </w:pPr>
      <w:r w:rsidRPr="00760F5E">
        <w:rPr>
          <w:rFonts w:ascii="Calibri" w:hAnsi="Calibri" w:cs="Calibri"/>
        </w:rPr>
        <w:t xml:space="preserve">ARPANSA tabled a paper with proposed Terms of Reference for a National Workforce Competency Framework working group further to RHC’s decision at its March 2026 meeting. The RHC agreed to establish a working group to further consider the proposed scope of work out-of-session. The RHC broadly agreed to prioritise work to identify existing competency requirements within jurisdictional regulations and develop a system of national documentation to record nationally agreed competency standards. It noted its preferred approach is to record competencies in the Radiation Protection Series </w:t>
      </w:r>
      <w:r w:rsidRPr="00760F5E">
        <w:rPr>
          <w:rFonts w:ascii="Calibri" w:hAnsi="Calibri" w:cs="Calibri"/>
        </w:rPr>
        <w:lastRenderedPageBreak/>
        <w:t>(RPS) documents. The RHC discussed dental and veterinary practices as a focus for initial efforts, which represent a large portion of Australian radiation licences or registrations.</w:t>
      </w:r>
    </w:p>
    <w:p w14:paraId="609A8CB1" w14:textId="77777777" w:rsidR="00760F5E" w:rsidRPr="00760F5E" w:rsidRDefault="00760F5E" w:rsidP="0056584C">
      <w:pPr>
        <w:rPr>
          <w:rFonts w:ascii="Calibri" w:eastAsia="Times New Roman" w:hAnsi="Calibri" w:cs="Calibri"/>
        </w:rPr>
      </w:pPr>
      <w:r w:rsidRPr="00760F5E">
        <w:rPr>
          <w:rFonts w:ascii="Calibri" w:hAnsi="Calibri" w:cs="Calibri"/>
          <w:b/>
          <w:bCs/>
          <w:u w:val="single"/>
        </w:rPr>
        <w:t>Decision:</w:t>
      </w:r>
      <w:r w:rsidRPr="00760F5E">
        <w:rPr>
          <w:rFonts w:ascii="Calibri" w:hAnsi="Calibri" w:cs="Calibri"/>
        </w:rPr>
        <w:t xml:space="preserve"> Establish a working group to start work on a National Workforce Competency Framework.</w:t>
      </w:r>
    </w:p>
    <w:p w14:paraId="2414511F" w14:textId="77777777" w:rsidR="00760F5E" w:rsidRPr="00760F5E" w:rsidRDefault="00760F5E" w:rsidP="00E8675D">
      <w:pPr>
        <w:spacing w:before="0"/>
        <w:rPr>
          <w:rFonts w:ascii="Calibri" w:hAnsi="Calibri" w:cs="Calibri"/>
        </w:rPr>
      </w:pPr>
      <w:r w:rsidRPr="00760F5E">
        <w:rPr>
          <w:rFonts w:ascii="Calibri" w:hAnsi="Calibri" w:cs="Calibri"/>
          <w:b/>
          <w:bCs/>
          <w:u w:val="single"/>
        </w:rPr>
        <w:t>Task:</w:t>
      </w:r>
      <w:r w:rsidRPr="00760F5E">
        <w:rPr>
          <w:rFonts w:ascii="Calibri" w:hAnsi="Calibri" w:cs="Calibri"/>
        </w:rPr>
        <w:t xml:space="preserve"> The working group will consider the draft Terms of Reference and send a revised draft to RHC. </w:t>
      </w:r>
    </w:p>
    <w:p w14:paraId="3A78DE8A" w14:textId="4927F395" w:rsidR="00760F5E" w:rsidRPr="00760F5E" w:rsidRDefault="00760F5E" w:rsidP="00760F5E">
      <w:pPr>
        <w:rPr>
          <w:rFonts w:ascii="Calibri" w:eastAsia="Times New Roman" w:hAnsi="Calibri" w:cs="Calibri"/>
        </w:rPr>
      </w:pPr>
    </w:p>
    <w:p w14:paraId="49FE2A86" w14:textId="2B0EF6C8" w:rsidR="00760F5E" w:rsidRPr="00E65574" w:rsidRDefault="00760F5E" w:rsidP="00CB16F4">
      <w:pPr>
        <w:pStyle w:val="Agendaitem-main"/>
      </w:pPr>
      <w:bookmarkStart w:id="39" w:name="dsbmie01ZSYNDDTGEM4MRQOKIFGJLXITGKHTNGKI"/>
      <w:bookmarkStart w:id="40" w:name="dsbmis01ZSYNDDR2WW6ABPIE2RDI7TM53MW63EDA"/>
      <w:bookmarkEnd w:id="38"/>
      <w:bookmarkEnd w:id="39"/>
      <w:r w:rsidRPr="00E65574">
        <w:t>Revision of the National Directory for Radiation Protection (NDRP)</w:t>
      </w:r>
    </w:p>
    <w:p w14:paraId="6F777368" w14:textId="22B899DE" w:rsidR="00760F5E" w:rsidRPr="00E8675D" w:rsidRDefault="00760F5E" w:rsidP="00760F5E">
      <w:pPr>
        <w:rPr>
          <w:rFonts w:ascii="Calibri" w:hAnsi="Calibri" w:cs="Calibri"/>
        </w:rPr>
      </w:pPr>
      <w:r w:rsidRPr="00760F5E">
        <w:rPr>
          <w:rFonts w:ascii="Calibri" w:hAnsi="Calibri" w:cs="Calibri"/>
        </w:rPr>
        <w:t>ARPANSA tabled a paper outlining a proposed revision of the NDRP, seeking input from RHC members, including support for a revision, current issues to be addressed, and proposed amendments. The RHC discussed the role of the Environmental Health Standing Committee (</w:t>
      </w:r>
      <w:proofErr w:type="spellStart"/>
      <w:r w:rsidRPr="00760F5E">
        <w:rPr>
          <w:rFonts w:ascii="Calibri" w:hAnsi="Calibri" w:cs="Calibri"/>
        </w:rPr>
        <w:t>enHealth</w:t>
      </w:r>
      <w:proofErr w:type="spellEnd"/>
      <w:r w:rsidRPr="00760F5E">
        <w:rPr>
          <w:rFonts w:ascii="Calibri" w:hAnsi="Calibri" w:cs="Calibri"/>
        </w:rPr>
        <w:t xml:space="preserve">), the need for regulatory impact statements, and current issues faced by jurisdictions particularly the disposal of school sources. ARPANSA offered to circulate the outcomes of </w:t>
      </w:r>
      <w:proofErr w:type="spellStart"/>
      <w:r w:rsidRPr="00760F5E">
        <w:rPr>
          <w:rFonts w:ascii="Calibri" w:hAnsi="Calibri" w:cs="Calibri"/>
        </w:rPr>
        <w:t>enHealth</w:t>
      </w:r>
      <w:proofErr w:type="spellEnd"/>
      <w:r w:rsidRPr="00760F5E">
        <w:rPr>
          <w:rFonts w:ascii="Calibri" w:hAnsi="Calibri" w:cs="Calibri"/>
        </w:rPr>
        <w:t xml:space="preserve"> engagement out of session, and formally write to each jurisdiction seeking input on issues caused by the exemption of school sources. The RHC also agreed to further recommend NDRP amendments.</w:t>
      </w:r>
    </w:p>
    <w:p w14:paraId="54934023" w14:textId="77777777" w:rsidR="00760F5E" w:rsidRPr="00760F5E" w:rsidRDefault="00760F5E" w:rsidP="00760F5E">
      <w:pPr>
        <w:rPr>
          <w:rFonts w:ascii="Calibri" w:hAnsi="Calibri" w:cs="Calibri"/>
        </w:rPr>
      </w:pPr>
      <w:r w:rsidRPr="00760F5E">
        <w:rPr>
          <w:rFonts w:ascii="Calibri" w:hAnsi="Calibri" w:cs="Calibri"/>
          <w:b/>
          <w:bCs/>
          <w:u w:val="single"/>
        </w:rPr>
        <w:t>Task:</w:t>
      </w:r>
      <w:r w:rsidRPr="00760F5E">
        <w:rPr>
          <w:rFonts w:ascii="Calibri" w:hAnsi="Calibri" w:cs="Calibri"/>
        </w:rPr>
        <w:t xml:space="preserve"> Secretariat to circulate any ARPANSA update on </w:t>
      </w:r>
      <w:proofErr w:type="spellStart"/>
      <w:r w:rsidRPr="00760F5E">
        <w:rPr>
          <w:rFonts w:ascii="Calibri" w:hAnsi="Calibri" w:cs="Calibri"/>
        </w:rPr>
        <w:t>enHealth</w:t>
      </w:r>
      <w:proofErr w:type="spellEnd"/>
      <w:r w:rsidRPr="00760F5E">
        <w:rPr>
          <w:rFonts w:ascii="Calibri" w:hAnsi="Calibri" w:cs="Calibri"/>
        </w:rPr>
        <w:t xml:space="preserve"> discussion outcomes out-of-session.  </w:t>
      </w:r>
    </w:p>
    <w:p w14:paraId="30105329" w14:textId="77777777" w:rsidR="00760F5E" w:rsidRPr="00760F5E" w:rsidRDefault="00760F5E" w:rsidP="00E8675D">
      <w:pPr>
        <w:spacing w:before="0"/>
        <w:rPr>
          <w:rFonts w:ascii="Calibri" w:eastAsia="Times New Roman" w:hAnsi="Calibri" w:cs="Calibri"/>
        </w:rPr>
      </w:pPr>
      <w:r w:rsidRPr="00760F5E">
        <w:rPr>
          <w:rFonts w:ascii="Calibri" w:hAnsi="Calibri" w:cs="Calibri"/>
          <w:b/>
          <w:bCs/>
          <w:u w:val="single"/>
        </w:rPr>
        <w:t>Task:</w:t>
      </w:r>
      <w:r w:rsidRPr="00760F5E">
        <w:rPr>
          <w:rFonts w:ascii="Calibri" w:hAnsi="Calibri" w:cs="Calibri"/>
        </w:rPr>
        <w:t xml:space="preserve"> States and Territories to provide feedback on issues caused by exemption of school sources.</w:t>
      </w:r>
    </w:p>
    <w:p w14:paraId="7D531A91" w14:textId="77777777" w:rsidR="00760F5E" w:rsidRPr="00760F5E" w:rsidRDefault="00760F5E" w:rsidP="00E8675D">
      <w:pPr>
        <w:spacing w:before="0"/>
        <w:rPr>
          <w:rFonts w:ascii="Calibri" w:eastAsia="Times New Roman" w:hAnsi="Calibri" w:cs="Calibri"/>
        </w:rPr>
      </w:pPr>
      <w:r w:rsidRPr="00760F5E">
        <w:rPr>
          <w:rFonts w:ascii="Calibri" w:hAnsi="Calibri" w:cs="Calibri"/>
          <w:b/>
          <w:bCs/>
          <w:u w:val="single"/>
        </w:rPr>
        <w:t>Task:</w:t>
      </w:r>
      <w:r w:rsidRPr="00760F5E">
        <w:rPr>
          <w:rFonts w:ascii="Calibri" w:hAnsi="Calibri" w:cs="Calibri"/>
        </w:rPr>
        <w:t xml:space="preserve"> States and Territories to recommend further NDRP amendment by </w:t>
      </w:r>
      <w:r w:rsidRPr="00760F5E">
        <w:rPr>
          <w:rFonts w:ascii="Calibri" w:hAnsi="Calibri" w:cs="Calibri"/>
          <w:b/>
          <w:bCs/>
        </w:rPr>
        <w:t>2 July 2026.</w:t>
      </w:r>
    </w:p>
    <w:p w14:paraId="782F223C" w14:textId="77777777" w:rsidR="00760F5E" w:rsidRPr="00E65574" w:rsidRDefault="00760F5E" w:rsidP="00760F5E">
      <w:pPr>
        <w:rPr>
          <w:rFonts w:ascii="Calibri" w:eastAsia="Times New Roman" w:hAnsi="Calibri" w:cs="Calibri"/>
        </w:rPr>
      </w:pPr>
    </w:p>
    <w:p w14:paraId="434157D9" w14:textId="0DA8A9F1" w:rsidR="00760F5E" w:rsidRPr="00E65574" w:rsidRDefault="00760F5E" w:rsidP="00CB16F4">
      <w:pPr>
        <w:pStyle w:val="Agendaitem-main"/>
      </w:pPr>
      <w:bookmarkStart w:id="41" w:name="dsbmie01ZSYNDDR2WW6ABPIE2RDI7TM53MW63EDA"/>
      <w:bookmarkStart w:id="42" w:name="dsbmis01ZSYNDDQOZW66QVJ67BDZ6BZHCJ3VYHIV"/>
      <w:bookmarkEnd w:id="40"/>
      <w:bookmarkEnd w:id="41"/>
      <w:r w:rsidRPr="00E65574">
        <w:t>Regulatory Knowledge Sharing</w:t>
      </w:r>
    </w:p>
    <w:p w14:paraId="3CD40A02" w14:textId="01AD3303" w:rsidR="00760F5E" w:rsidRPr="00E65574" w:rsidRDefault="00760F5E" w:rsidP="00E90871">
      <w:pPr>
        <w:pStyle w:val="Agendaitem-supplementary"/>
      </w:pPr>
      <w:bookmarkStart w:id="43" w:name="dsbmie01ZSYNDDQOZW66QVJ67BDZ6BZHCJ3VYHIV"/>
      <w:bookmarkStart w:id="44" w:name="dsbmis01ZSYNDDUIRZBDLYOIMZGIIBLGE7DWPTVJ"/>
      <w:bookmarkEnd w:id="42"/>
      <w:bookmarkEnd w:id="43"/>
      <w:r w:rsidRPr="00E65574">
        <w:t>ARPANSA Regulatory Update</w:t>
      </w:r>
    </w:p>
    <w:p w14:paraId="22E1BD16" w14:textId="7B5350B2" w:rsidR="00760F5E" w:rsidRPr="00760F5E" w:rsidRDefault="00760F5E" w:rsidP="00E8675D">
      <w:pPr>
        <w:ind w:left="284"/>
        <w:rPr>
          <w:rFonts w:ascii="Calibri" w:hAnsi="Calibri" w:cs="Calibri"/>
        </w:rPr>
      </w:pPr>
      <w:r w:rsidRPr="00760F5E">
        <w:rPr>
          <w:rFonts w:ascii="Calibri" w:hAnsi="Calibri" w:cs="Calibri"/>
        </w:rPr>
        <w:t>ARPANSA presented on the content and outcomes of its recent License Holder Forum and associated workshop on regulatory expectations, covering ARPANSA’s expectations of licence holders, and licence holders’ requests or questions. The RHC discussed the prevalence of AI use by ARPANSA licence holders, the structure of licencing stages in the commissioning process, and the use of the graded approach in ARPANSA regulation.</w:t>
      </w:r>
    </w:p>
    <w:p w14:paraId="491FC82A" w14:textId="7BE852F5" w:rsidR="00760F5E" w:rsidRPr="00E65574" w:rsidRDefault="00760F5E" w:rsidP="00E90871">
      <w:pPr>
        <w:pStyle w:val="Agendaitem-supplementary"/>
      </w:pPr>
      <w:bookmarkStart w:id="45" w:name="dsbmie01ZSYNDDUIRZBDLYOIMZGIIBLGE7DWPTVJ"/>
      <w:bookmarkStart w:id="46" w:name="dsbmis01ZSYNDDUWBHOEU7CIUZGIQEN5VHYUTWNV"/>
      <w:bookmarkEnd w:id="44"/>
      <w:bookmarkEnd w:id="45"/>
      <w:r>
        <w:t>Western Australia (</w:t>
      </w:r>
      <w:r w:rsidRPr="00E65574">
        <w:t>WA</w:t>
      </w:r>
      <w:r>
        <w:t>)</w:t>
      </w:r>
      <w:r w:rsidRPr="00E65574">
        <w:t xml:space="preserve"> </w:t>
      </w:r>
      <w:r>
        <w:t>–</w:t>
      </w:r>
      <w:r w:rsidRPr="00E65574">
        <w:t xml:space="preserve"> Remote </w:t>
      </w:r>
      <w:r>
        <w:t>Computed Tomography (</w:t>
      </w:r>
      <w:r w:rsidRPr="00E65574">
        <w:t>CT</w:t>
      </w:r>
      <w:r>
        <w:t>)</w:t>
      </w:r>
    </w:p>
    <w:p w14:paraId="5EF162D7" w14:textId="13CE4C68" w:rsidR="00760F5E" w:rsidRPr="00E8675D" w:rsidRDefault="00760F5E" w:rsidP="00E8675D">
      <w:pPr>
        <w:ind w:left="284"/>
      </w:pPr>
      <w:r>
        <w:rPr>
          <w:rStyle w:val="msonormal1"/>
          <w:rFonts w:ascii="Calibri" w:eastAsia="Times New Roman" w:hAnsi="Calibri" w:cs="Calibri"/>
        </w:rPr>
        <w:t xml:space="preserve">The WA RHC member discussed a recent request from a national medical </w:t>
      </w:r>
      <w:r w:rsidRPr="00F51D05">
        <w:rPr>
          <w:rStyle w:val="msonormal1"/>
          <w:rFonts w:ascii="Calibri" w:eastAsia="Times New Roman" w:hAnsi="Calibri" w:cs="Calibri"/>
        </w:rPr>
        <w:t>imaging provider to carry out remote</w:t>
      </w:r>
      <w:r>
        <w:rPr>
          <w:rStyle w:val="msonormal1"/>
          <w:rFonts w:ascii="Calibri" w:eastAsia="Times New Roman" w:hAnsi="Calibri" w:cs="Calibri"/>
        </w:rPr>
        <w:t>/telepresence</w:t>
      </w:r>
      <w:r w:rsidRPr="00F51D05">
        <w:rPr>
          <w:rStyle w:val="msonormal1"/>
          <w:rFonts w:ascii="Calibri" w:eastAsia="Times New Roman" w:hAnsi="Calibri" w:cs="Calibri"/>
        </w:rPr>
        <w:t xml:space="preserve"> operation of CT scanners and sought RHC perspectives on this </w:t>
      </w:r>
      <w:r>
        <w:rPr>
          <w:rStyle w:val="msonormal1"/>
          <w:rFonts w:ascii="Calibri" w:eastAsia="Times New Roman" w:hAnsi="Calibri" w:cs="Calibri"/>
        </w:rPr>
        <w:t xml:space="preserve">practice. RHC State and Territory members discussed whether they had received similar requests and noted that no jurisdiction currently supported this practice, with some opposing it outright. RHC discussed the extent to which this practice is prohibited under the existing </w:t>
      </w:r>
      <w:r w:rsidRPr="00E3712C">
        <w:rPr>
          <w:rStyle w:val="msonormal1"/>
          <w:rFonts w:ascii="Calibri" w:eastAsia="Times New Roman" w:hAnsi="Calibri" w:cs="Calibri"/>
        </w:rPr>
        <w:t xml:space="preserve">Code for Radiation Protection in Medical </w:t>
      </w:r>
      <w:r>
        <w:rPr>
          <w:rStyle w:val="msonormal1"/>
          <w:rFonts w:ascii="Calibri" w:eastAsia="Times New Roman" w:hAnsi="Calibri" w:cs="Calibri"/>
        </w:rPr>
        <w:t>Exposure, Radiation Protection Series C-5 (RPS C-5).</w:t>
      </w:r>
    </w:p>
    <w:p w14:paraId="6D69CBB6" w14:textId="364F498C" w:rsidR="00760F5E" w:rsidRPr="00E65574" w:rsidRDefault="00760F5E" w:rsidP="00E90871">
      <w:pPr>
        <w:pStyle w:val="Agendaitem-supplementary"/>
      </w:pPr>
      <w:bookmarkStart w:id="47" w:name="dsbmie01ZSYNDDUWBHOEU7CIUZGIQEN5VHYUTWNV"/>
      <w:bookmarkStart w:id="48" w:name="dsbmis01ZSYNDDTK26FZ4DKK7VDLWUTHZGUHAWSR"/>
      <w:bookmarkEnd w:id="46"/>
      <w:bookmarkEnd w:id="47"/>
      <w:r w:rsidRPr="00E65574">
        <w:t xml:space="preserve">Emergency Preparedness </w:t>
      </w:r>
      <w:r>
        <w:t xml:space="preserve">ARPANSA </w:t>
      </w:r>
      <w:r w:rsidRPr="00E65574">
        <w:t>Update</w:t>
      </w:r>
    </w:p>
    <w:p w14:paraId="69EB99AC" w14:textId="52E08601" w:rsidR="00760F5E" w:rsidRPr="005A3C27" w:rsidRDefault="00760F5E" w:rsidP="005A3C27">
      <w:pPr>
        <w:ind w:left="284"/>
        <w:rPr>
          <w:rFonts w:ascii="Calibri" w:hAnsi="Calibri" w:cs="Calibri"/>
        </w:rPr>
      </w:pPr>
      <w:r w:rsidRPr="00760F5E">
        <w:rPr>
          <w:rFonts w:ascii="Calibri" w:hAnsi="Calibri" w:cs="Calibri"/>
        </w:rPr>
        <w:t>ARPANSA presented on recent progress and activities relating to emergency preparedness, including the publication of the Australian Radiological and Nuclear Events Plan (AUSRNEPLAN), past and planned participation in simulated emergency scenarios, ongoing work to revise the Australian Clinical Guidelines for Radiological Emergencies, and background and outcomes of a radiological incident which occurred in Indonesia in 2025.</w:t>
      </w:r>
    </w:p>
    <w:p w14:paraId="0E733D0B" w14:textId="4CDD968C" w:rsidR="00760F5E" w:rsidRPr="00E65574" w:rsidRDefault="00760F5E" w:rsidP="00E90871">
      <w:pPr>
        <w:pStyle w:val="Agendaitem-supplementary"/>
      </w:pPr>
      <w:bookmarkStart w:id="49" w:name="dsbmie01ZSYNDDTK26FZ4DKK7VDLWUTHZGUHAWSR"/>
      <w:bookmarkStart w:id="50" w:name="dsbmis01ZSYNDDVVRPGEK5VPNZG3QDNKG2TABNS7"/>
      <w:bookmarkEnd w:id="48"/>
      <w:bookmarkEnd w:id="49"/>
      <w:r w:rsidRPr="00E65574">
        <w:lastRenderedPageBreak/>
        <w:t>Victorian Shielding Standard</w:t>
      </w:r>
    </w:p>
    <w:p w14:paraId="75F99580" w14:textId="77777777" w:rsidR="00760F5E" w:rsidRPr="00760F5E" w:rsidRDefault="00760F5E" w:rsidP="00E8675D">
      <w:pPr>
        <w:ind w:left="284"/>
        <w:rPr>
          <w:rFonts w:ascii="Calibri" w:hAnsi="Calibri" w:cs="Calibri"/>
        </w:rPr>
      </w:pPr>
      <w:r w:rsidRPr="00760F5E">
        <w:rPr>
          <w:rFonts w:ascii="Calibri" w:hAnsi="Calibri" w:cs="Calibri"/>
        </w:rPr>
        <w:t>Victoria presented on recent consultation undertaken on their Shielding Standard, covering the scope, content, and rationale for the new Shielding Standard, inviting feedback from RHC.</w:t>
      </w:r>
    </w:p>
    <w:p w14:paraId="02E94CC9" w14:textId="77777777" w:rsidR="00760F5E" w:rsidRPr="00760F5E" w:rsidRDefault="00760F5E" w:rsidP="00760F5E">
      <w:pPr>
        <w:rPr>
          <w:rFonts w:ascii="Calibri" w:eastAsia="Times New Roman" w:hAnsi="Calibri" w:cs="Calibri"/>
        </w:rPr>
      </w:pPr>
    </w:p>
    <w:p w14:paraId="4B33631B" w14:textId="76848D6C" w:rsidR="00760F5E" w:rsidRPr="00E65574" w:rsidRDefault="00760F5E" w:rsidP="00CB16F4">
      <w:pPr>
        <w:pStyle w:val="Agendaitem-main"/>
      </w:pPr>
      <w:bookmarkStart w:id="51" w:name="dsbmie01ZSYNDDVVRPGEK5VPNZG3QDNKG2TABNS7"/>
      <w:bookmarkStart w:id="52" w:name="dsbmis01ZSYNDDVDZ2B23MAODRCLZB2QI7QABCPN"/>
      <w:bookmarkEnd w:id="50"/>
      <w:bookmarkEnd w:id="51"/>
      <w:r w:rsidRPr="00E65574">
        <w:t>New and Emerging Issues</w:t>
      </w:r>
    </w:p>
    <w:p w14:paraId="0D6DE379" w14:textId="19F4819E" w:rsidR="00760F5E" w:rsidRPr="00E65574" w:rsidRDefault="00760F5E" w:rsidP="00E90871">
      <w:pPr>
        <w:pStyle w:val="Agendaitem-supplementary"/>
      </w:pPr>
      <w:bookmarkStart w:id="53" w:name="dsbmie01ZSYNDDVDZ2B23MAODRCLZB2QI7QABCPN"/>
      <w:bookmarkStart w:id="54" w:name="dsbmis01ZSYNDDRX65L6U24WUFFKDBDWVFB7QVQ4"/>
      <w:bookmarkEnd w:id="52"/>
      <w:bookmarkEnd w:id="53"/>
      <w:r w:rsidRPr="00E65574">
        <w:t>Internal Dose Assessment</w:t>
      </w:r>
      <w:r>
        <w:t xml:space="preserve"> - </w:t>
      </w:r>
      <w:r>
        <w:rPr>
          <w:rStyle w:val="msonormal1"/>
        </w:rPr>
        <w:t>Australasian Radiological Protection Society (</w:t>
      </w:r>
      <w:r w:rsidRPr="00986773">
        <w:rPr>
          <w:rStyle w:val="msonormal1"/>
        </w:rPr>
        <w:t>ARPS</w:t>
      </w:r>
      <w:r>
        <w:rPr>
          <w:rStyle w:val="msonormal1"/>
        </w:rPr>
        <w:t>)</w:t>
      </w:r>
    </w:p>
    <w:p w14:paraId="1151758F" w14:textId="3E68E84F" w:rsidR="00760F5E" w:rsidRPr="005A3C27" w:rsidRDefault="00760F5E" w:rsidP="005A3C27">
      <w:pPr>
        <w:ind w:left="284"/>
        <w:rPr>
          <w:rFonts w:ascii="Calibri" w:eastAsia="Times New Roman" w:hAnsi="Calibri" w:cs="Calibri"/>
          <w:b/>
          <w:color w:val="262626"/>
        </w:rPr>
      </w:pPr>
      <w:r>
        <w:rPr>
          <w:rStyle w:val="msonormal1"/>
          <w:rFonts w:ascii="Calibri" w:eastAsia="Times New Roman" w:hAnsi="Calibri" w:cs="Calibri"/>
        </w:rPr>
        <w:t>The WA member</w:t>
      </w:r>
      <w:r w:rsidRPr="00986773">
        <w:rPr>
          <w:rStyle w:val="msonormal1"/>
          <w:rFonts w:ascii="Calibri" w:eastAsia="Times New Roman" w:hAnsi="Calibri" w:cs="Calibri"/>
        </w:rPr>
        <w:t xml:space="preserve"> </w:t>
      </w:r>
      <w:r>
        <w:rPr>
          <w:rStyle w:val="msonormal1"/>
          <w:rFonts w:ascii="Calibri" w:eastAsia="Times New Roman" w:hAnsi="Calibri" w:cs="Calibri"/>
        </w:rPr>
        <w:t>noted</w:t>
      </w:r>
      <w:r w:rsidRPr="00986773">
        <w:rPr>
          <w:rStyle w:val="msonormal1"/>
          <w:rFonts w:ascii="Calibri" w:eastAsia="Times New Roman" w:hAnsi="Calibri" w:cs="Calibri"/>
        </w:rPr>
        <w:t xml:space="preserve"> a</w:t>
      </w:r>
      <w:r>
        <w:rPr>
          <w:rStyle w:val="msonormal1"/>
          <w:rFonts w:ascii="Calibri" w:eastAsia="Times New Roman" w:hAnsi="Calibri" w:cs="Calibri"/>
        </w:rPr>
        <w:t>n</w:t>
      </w:r>
      <w:r w:rsidRPr="00986773">
        <w:rPr>
          <w:rStyle w:val="msonormal1"/>
          <w:rFonts w:ascii="Calibri" w:eastAsia="Times New Roman" w:hAnsi="Calibri" w:cs="Calibri"/>
        </w:rPr>
        <w:t xml:space="preserve"> ARPS presentation </w:t>
      </w:r>
      <w:r>
        <w:rPr>
          <w:rStyle w:val="msonormal1"/>
          <w:rFonts w:ascii="Calibri" w:eastAsia="Times New Roman" w:hAnsi="Calibri" w:cs="Calibri"/>
        </w:rPr>
        <w:t>in Apr</w:t>
      </w:r>
      <w:r w:rsidRPr="00986773">
        <w:rPr>
          <w:rStyle w:val="msonormal1"/>
          <w:rFonts w:ascii="Calibri" w:eastAsia="Times New Roman" w:hAnsi="Calibri" w:cs="Calibri"/>
        </w:rPr>
        <w:t xml:space="preserve">il </w:t>
      </w:r>
      <w:r>
        <w:rPr>
          <w:rStyle w:val="msonormal1"/>
          <w:rFonts w:ascii="Calibri" w:eastAsia="Times New Roman" w:hAnsi="Calibri" w:cs="Calibri"/>
        </w:rPr>
        <w:t xml:space="preserve">2026 on </w:t>
      </w:r>
      <w:r w:rsidRPr="00986773">
        <w:rPr>
          <w:rStyle w:val="msonormal1"/>
          <w:rFonts w:ascii="Calibri" w:eastAsia="Times New Roman" w:hAnsi="Calibri" w:cs="Calibri"/>
        </w:rPr>
        <w:t>estimati</w:t>
      </w:r>
      <w:r>
        <w:rPr>
          <w:rStyle w:val="msonormal1"/>
          <w:rFonts w:ascii="Calibri" w:eastAsia="Times New Roman" w:hAnsi="Calibri" w:cs="Calibri"/>
        </w:rPr>
        <w:t>ng</w:t>
      </w:r>
      <w:r w:rsidRPr="00986773">
        <w:rPr>
          <w:rStyle w:val="msonormal1"/>
          <w:rFonts w:ascii="Calibri" w:eastAsia="Times New Roman" w:hAnsi="Calibri" w:cs="Calibri"/>
        </w:rPr>
        <w:t xml:space="preserve"> internal alpha dose</w:t>
      </w:r>
      <w:r>
        <w:rPr>
          <w:rStyle w:val="msonormal1"/>
          <w:rFonts w:ascii="Calibri" w:eastAsia="Times New Roman" w:hAnsi="Calibri" w:cs="Calibri"/>
        </w:rPr>
        <w:t xml:space="preserve"> from dust inhalation</w:t>
      </w:r>
      <w:r w:rsidRPr="00986773">
        <w:rPr>
          <w:rStyle w:val="msonormal1"/>
          <w:rFonts w:ascii="Calibri" w:eastAsia="Times New Roman" w:hAnsi="Calibri" w:cs="Calibri"/>
        </w:rPr>
        <w:t xml:space="preserve">. </w:t>
      </w:r>
      <w:r>
        <w:rPr>
          <w:rStyle w:val="msonormal1"/>
          <w:rFonts w:ascii="Calibri" w:eastAsia="Times New Roman" w:hAnsi="Calibri" w:cs="Calibri"/>
        </w:rPr>
        <w:t xml:space="preserve">It raised concerns around historical underestimations due to possible measurement and modelling errors. The RHC discussed the assumptions and modelling used and noted many of the issues were addressed by using current modelling assumptions, such as in the International Commission for Radiological Protection (ICRP) publication ICRP137. ARPANSA also shared resources that facilitated provision of site-specific modelling values. </w:t>
      </w:r>
    </w:p>
    <w:p w14:paraId="7D17B9B9" w14:textId="7C444C99" w:rsidR="00760F5E" w:rsidRPr="00E65574" w:rsidRDefault="00760F5E" w:rsidP="00E90871">
      <w:pPr>
        <w:pStyle w:val="Agendaitem-supplementary"/>
      </w:pPr>
      <w:bookmarkStart w:id="55" w:name="dsbmie01ZSYNDDRX65L6U24WUFFKDBDWVFB7QVQ4"/>
      <w:bookmarkStart w:id="56" w:name="dsbmis01ZSYNDDUB54NO7YFITJE26QHXVIHLUNT2"/>
      <w:bookmarkEnd w:id="54"/>
      <w:bookmarkEnd w:id="55"/>
      <w:r w:rsidRPr="00E65574">
        <w:t>ANZSNM TSIG Radiation licensing body Letter</w:t>
      </w:r>
    </w:p>
    <w:p w14:paraId="482B3187" w14:textId="7988CA3B" w:rsidR="00760F5E" w:rsidRPr="00C75347" w:rsidRDefault="00760F5E" w:rsidP="00E8675D">
      <w:pPr>
        <w:ind w:left="284"/>
        <w:rPr>
          <w:rStyle w:val="msonormal1"/>
          <w:rFonts w:ascii="Calibri" w:eastAsia="Times New Roman" w:hAnsi="Calibri" w:cs="Calibri"/>
        </w:rPr>
      </w:pPr>
      <w:r w:rsidRPr="003C1C17">
        <w:rPr>
          <w:rStyle w:val="msonormal1"/>
          <w:rFonts w:ascii="Calibri" w:eastAsia="Times New Roman" w:hAnsi="Calibri" w:cs="Calibri"/>
        </w:rPr>
        <w:t xml:space="preserve">The Tasmanian member tabled a letter </w:t>
      </w:r>
      <w:r>
        <w:rPr>
          <w:rStyle w:val="msonormal1"/>
          <w:rFonts w:ascii="Calibri" w:eastAsia="Times New Roman" w:hAnsi="Calibri" w:cs="Calibri"/>
        </w:rPr>
        <w:t xml:space="preserve">received </w:t>
      </w:r>
      <w:r w:rsidRPr="003C1C17">
        <w:rPr>
          <w:rStyle w:val="msonormal1"/>
          <w:rFonts w:ascii="Calibri" w:eastAsia="Times New Roman" w:hAnsi="Calibri" w:cs="Calibri"/>
        </w:rPr>
        <w:t>from the Australian and New Zealand Society of Nuclear Medicine (ANZSNM) regarding the recognition of Diagnostic CT competencies that are included in Nuclear Medicine Technologist degree programs.</w:t>
      </w:r>
      <w:r w:rsidRPr="00BB3B24">
        <w:rPr>
          <w:rStyle w:val="msonormal1"/>
          <w:rFonts w:ascii="Calibri" w:eastAsia="Times New Roman" w:hAnsi="Calibri" w:cs="Calibri"/>
        </w:rPr>
        <w:t xml:space="preserve"> The RHC</w:t>
      </w:r>
      <w:r>
        <w:rPr>
          <w:rStyle w:val="msonormal1"/>
          <w:rFonts w:ascii="Calibri" w:eastAsia="Times New Roman" w:hAnsi="Calibri" w:cs="Calibri"/>
        </w:rPr>
        <w:t xml:space="preserve"> discussed jurisdictional perspectives and course accreditation. Several members noted their support for the recognition of these competencies, and the wider RHC agreed to draft a letter supporting this position.</w:t>
      </w:r>
    </w:p>
    <w:p w14:paraId="7AC5D255" w14:textId="0FF47F80" w:rsidR="00760F5E" w:rsidRPr="00C75347" w:rsidRDefault="00760F5E" w:rsidP="005A3C27">
      <w:pPr>
        <w:ind w:left="284"/>
        <w:rPr>
          <w:rStyle w:val="msonormal1"/>
          <w:rFonts w:ascii="Calibri" w:eastAsia="Times New Roman" w:hAnsi="Calibri" w:cs="Calibri"/>
        </w:rPr>
      </w:pPr>
      <w:r>
        <w:rPr>
          <w:rFonts w:ascii="Calibri" w:hAnsi="Calibri" w:cs="Calibri"/>
          <w:b/>
          <w:bCs/>
          <w:color w:val="000000"/>
          <w:u w:val="single"/>
        </w:rPr>
        <w:t>Task:</w:t>
      </w:r>
      <w:r w:rsidRPr="00FB0D75">
        <w:rPr>
          <w:rFonts w:ascii="Calibri" w:hAnsi="Calibri" w:cs="Calibri"/>
          <w:color w:val="000000"/>
        </w:rPr>
        <w:t xml:space="preserve"> </w:t>
      </w:r>
      <w:r w:rsidRPr="00C75347">
        <w:rPr>
          <w:rStyle w:val="msonormal1"/>
          <w:rFonts w:ascii="Calibri" w:eastAsia="Times New Roman" w:hAnsi="Calibri" w:cs="Calibri"/>
        </w:rPr>
        <w:t xml:space="preserve">RHC to draft a letter </w:t>
      </w:r>
      <w:r>
        <w:rPr>
          <w:rStyle w:val="msonormal1"/>
          <w:rFonts w:ascii="Calibri" w:eastAsia="Times New Roman" w:hAnsi="Calibri" w:cs="Calibri"/>
        </w:rPr>
        <w:t xml:space="preserve">supporting </w:t>
      </w:r>
      <w:r w:rsidRPr="00C75347">
        <w:rPr>
          <w:rStyle w:val="msonormal1"/>
          <w:rFonts w:ascii="Calibri" w:eastAsia="Times New Roman" w:hAnsi="Calibri" w:cs="Calibri"/>
        </w:rPr>
        <w:t>the ANZSNM proposal</w:t>
      </w:r>
      <w:r>
        <w:rPr>
          <w:rStyle w:val="msonormal1"/>
          <w:rFonts w:ascii="Calibri" w:eastAsia="Times New Roman" w:hAnsi="Calibri" w:cs="Calibri"/>
        </w:rPr>
        <w:t xml:space="preserve"> to recognise Diagnostic CT competencies </w:t>
      </w:r>
      <w:r w:rsidRPr="003C1C17">
        <w:rPr>
          <w:rStyle w:val="msonormal1"/>
          <w:rFonts w:ascii="Calibri" w:eastAsia="Times New Roman" w:hAnsi="Calibri" w:cs="Calibri"/>
        </w:rPr>
        <w:t>in Nuclear Medicine Technologist degree programs</w:t>
      </w:r>
      <w:r w:rsidRPr="00C75347">
        <w:rPr>
          <w:rStyle w:val="msonormal1"/>
          <w:rFonts w:ascii="Calibri" w:eastAsia="Times New Roman" w:hAnsi="Calibri" w:cs="Calibri"/>
        </w:rPr>
        <w:t xml:space="preserve">. </w:t>
      </w:r>
    </w:p>
    <w:p w14:paraId="1222F806" w14:textId="50E88421" w:rsidR="00760F5E" w:rsidRPr="00E65574" w:rsidRDefault="00760F5E" w:rsidP="00E90871">
      <w:pPr>
        <w:pStyle w:val="Agendaitem-supplementary"/>
      </w:pPr>
      <w:bookmarkStart w:id="57" w:name="dsbmie01ZSYNDDUB54NO7YFITJE26QHXVIHLUNT2"/>
      <w:bookmarkStart w:id="58" w:name="dsbmis01ZSYNDDQLEHIYU6E4JBCLAYWXZS2KLJOX"/>
      <w:bookmarkEnd w:id="56"/>
      <w:bookmarkEnd w:id="57"/>
      <w:r w:rsidRPr="00E65574">
        <w:t>Theranostics</w:t>
      </w:r>
    </w:p>
    <w:p w14:paraId="0BF73915" w14:textId="77ADA985" w:rsidR="00760F5E" w:rsidRDefault="00760F5E" w:rsidP="005A3C27">
      <w:pPr>
        <w:ind w:left="284"/>
        <w:rPr>
          <w:rStyle w:val="msonormal1"/>
          <w:rFonts w:ascii="Calibri" w:eastAsia="Times New Roman" w:hAnsi="Calibri" w:cs="Calibri"/>
        </w:rPr>
      </w:pPr>
      <w:r w:rsidRPr="003C3A7C">
        <w:rPr>
          <w:rStyle w:val="msonormal1"/>
          <w:rFonts w:ascii="Calibri" w:eastAsia="Times New Roman" w:hAnsi="Calibri" w:cs="Calibri"/>
        </w:rPr>
        <w:t xml:space="preserve">ARPANSA </w:t>
      </w:r>
      <w:r>
        <w:rPr>
          <w:rStyle w:val="msonormal1"/>
          <w:rFonts w:ascii="Calibri" w:eastAsia="Times New Roman" w:hAnsi="Calibri" w:cs="Calibri"/>
        </w:rPr>
        <w:t>gave</w:t>
      </w:r>
      <w:r w:rsidRPr="003C3A7C">
        <w:rPr>
          <w:rStyle w:val="msonormal1"/>
          <w:rFonts w:ascii="Calibri" w:eastAsia="Times New Roman" w:hAnsi="Calibri" w:cs="Calibri"/>
        </w:rPr>
        <w:t xml:space="preserve"> an update on recent </w:t>
      </w:r>
      <w:r>
        <w:rPr>
          <w:rStyle w:val="msonormal1"/>
          <w:rFonts w:ascii="Calibri" w:eastAsia="Times New Roman" w:hAnsi="Calibri" w:cs="Calibri"/>
        </w:rPr>
        <w:t xml:space="preserve">engagement </w:t>
      </w:r>
      <w:r w:rsidRPr="003C3A7C">
        <w:rPr>
          <w:rStyle w:val="msonormal1"/>
          <w:rFonts w:ascii="Calibri" w:eastAsia="Times New Roman" w:hAnsi="Calibri" w:cs="Calibri"/>
        </w:rPr>
        <w:t xml:space="preserve">with AHPRA </w:t>
      </w:r>
      <w:r>
        <w:rPr>
          <w:rStyle w:val="msonormal1"/>
          <w:rFonts w:ascii="Calibri" w:eastAsia="Times New Roman" w:hAnsi="Calibri" w:cs="Calibri"/>
        </w:rPr>
        <w:t xml:space="preserve">on </w:t>
      </w:r>
      <w:r w:rsidRPr="003C3A7C">
        <w:rPr>
          <w:rStyle w:val="msonormal1"/>
          <w:rFonts w:ascii="Calibri" w:eastAsia="Times New Roman" w:hAnsi="Calibri" w:cs="Calibri"/>
        </w:rPr>
        <w:t xml:space="preserve">the use of </w:t>
      </w:r>
      <w:proofErr w:type="spellStart"/>
      <w:r w:rsidRPr="003C3A7C">
        <w:rPr>
          <w:rStyle w:val="msonormal1"/>
          <w:rFonts w:ascii="Calibri" w:eastAsia="Times New Roman" w:hAnsi="Calibri" w:cs="Calibri"/>
        </w:rPr>
        <w:t>theranostics</w:t>
      </w:r>
      <w:proofErr w:type="spellEnd"/>
      <w:r>
        <w:rPr>
          <w:rStyle w:val="msonormal1"/>
          <w:rFonts w:ascii="Calibri" w:eastAsia="Times New Roman" w:hAnsi="Calibri" w:cs="Calibri"/>
        </w:rPr>
        <w:t>, noting the increasing prevalence of these technologies, and the potential risks in this space. ARPANSA noted its continuing engagement with AHPRA, the Department of Health, Disability and Ageing (DHDA), and Therapeutic Goods Administration (TGA), and undertook to provide further updates.</w:t>
      </w:r>
    </w:p>
    <w:p w14:paraId="4E6671F5" w14:textId="27E2E27A" w:rsidR="008F4755" w:rsidRPr="00156EF1" w:rsidRDefault="00760F5E" w:rsidP="006A3A5C">
      <w:pPr>
        <w:ind w:left="284"/>
        <w:rPr>
          <w:rStyle w:val="msonormal1"/>
          <w:rFonts w:ascii="Calibri" w:eastAsia="Times New Roman" w:hAnsi="Calibri" w:cs="Calibri"/>
        </w:rPr>
      </w:pPr>
      <w:r w:rsidRPr="001444FD">
        <w:rPr>
          <w:rStyle w:val="msonormal1"/>
          <w:rFonts w:ascii="Calibri" w:eastAsia="Times New Roman" w:hAnsi="Calibri" w:cs="Calibri"/>
          <w:b/>
          <w:bCs/>
          <w:u w:val="single"/>
        </w:rPr>
        <w:t>Task:</w:t>
      </w:r>
      <w:r w:rsidRPr="001444FD">
        <w:rPr>
          <w:rStyle w:val="msonormal1"/>
          <w:rFonts w:ascii="Calibri" w:eastAsia="Times New Roman" w:hAnsi="Calibri" w:cs="Calibri"/>
        </w:rPr>
        <w:t> </w:t>
      </w:r>
      <w:r>
        <w:rPr>
          <w:rStyle w:val="msonormal1"/>
          <w:rFonts w:ascii="Calibri" w:eastAsia="Times New Roman" w:hAnsi="Calibri" w:cs="Calibri"/>
        </w:rPr>
        <w:t xml:space="preserve">RHC agreed to an agenda item </w:t>
      </w:r>
      <w:r w:rsidRPr="001444FD">
        <w:rPr>
          <w:rStyle w:val="msonormal1"/>
          <w:rFonts w:ascii="Calibri" w:eastAsia="Times New Roman" w:hAnsi="Calibri" w:cs="Calibri"/>
        </w:rPr>
        <w:t xml:space="preserve">at a future meeting </w:t>
      </w:r>
      <w:r>
        <w:rPr>
          <w:rStyle w:val="msonormal1"/>
          <w:rFonts w:ascii="Calibri" w:eastAsia="Times New Roman" w:hAnsi="Calibri" w:cs="Calibri"/>
        </w:rPr>
        <w:t xml:space="preserve">for </w:t>
      </w:r>
      <w:r w:rsidRPr="001444FD">
        <w:rPr>
          <w:rStyle w:val="msonormal1"/>
          <w:rFonts w:ascii="Calibri" w:eastAsia="Times New Roman" w:hAnsi="Calibri" w:cs="Calibri"/>
        </w:rPr>
        <w:t xml:space="preserve">further </w:t>
      </w:r>
      <w:r>
        <w:rPr>
          <w:rStyle w:val="msonormal1"/>
          <w:rFonts w:ascii="Calibri" w:eastAsia="Times New Roman" w:hAnsi="Calibri" w:cs="Calibri"/>
        </w:rPr>
        <w:t xml:space="preserve">updates from ARPANSA on its engagement </w:t>
      </w:r>
      <w:r w:rsidRPr="001444FD">
        <w:rPr>
          <w:rStyle w:val="msonormal1"/>
          <w:rFonts w:ascii="Calibri" w:eastAsia="Times New Roman" w:hAnsi="Calibri" w:cs="Calibri"/>
        </w:rPr>
        <w:t xml:space="preserve">with TGA, AHPRA </w:t>
      </w:r>
      <w:r>
        <w:rPr>
          <w:rStyle w:val="msonormal1"/>
          <w:rFonts w:ascii="Calibri" w:eastAsia="Times New Roman" w:hAnsi="Calibri" w:cs="Calibri"/>
        </w:rPr>
        <w:t>and</w:t>
      </w:r>
      <w:r w:rsidRPr="001444FD">
        <w:rPr>
          <w:rStyle w:val="msonormal1"/>
          <w:rFonts w:ascii="Calibri" w:eastAsia="Times New Roman" w:hAnsi="Calibri" w:cs="Calibri"/>
        </w:rPr>
        <w:t xml:space="preserve"> DHDA. </w:t>
      </w:r>
      <w:r w:rsidR="008F4755">
        <w:rPr>
          <w:rStyle w:val="msonormal1"/>
          <w:rFonts w:ascii="Calibri" w:eastAsia="Times New Roman" w:hAnsi="Calibri" w:cs="Calibri"/>
        </w:rPr>
        <w:br/>
      </w:r>
    </w:p>
    <w:p w14:paraId="3E361115" w14:textId="5C4D4F3F" w:rsidR="00760F5E" w:rsidRPr="00E65574" w:rsidRDefault="00760F5E" w:rsidP="00E90871">
      <w:pPr>
        <w:pStyle w:val="Agendaitem-supplementary"/>
      </w:pPr>
      <w:bookmarkStart w:id="59" w:name="dsbmie01ZSYNDDQLEHIYU6E4JBCLAYWXZS2KLJOX"/>
      <w:bookmarkStart w:id="60" w:name="dsbmis01ZSYNDDX2NF7C7ODZFFE2T6QXWOHRXVTE"/>
      <w:bookmarkEnd w:id="58"/>
      <w:bookmarkEnd w:id="59"/>
      <w:r w:rsidRPr="00E65574">
        <w:t>Fluoroscopy for Pain Management</w:t>
      </w:r>
    </w:p>
    <w:p w14:paraId="3E6A7010" w14:textId="7F7E5615" w:rsidR="00760F5E" w:rsidRPr="005A3C27" w:rsidRDefault="00760F5E" w:rsidP="005A3C27">
      <w:pPr>
        <w:ind w:left="284"/>
      </w:pPr>
      <w:r w:rsidRPr="00121D2D">
        <w:rPr>
          <w:rStyle w:val="msonormal1"/>
          <w:rFonts w:ascii="Calibri" w:eastAsia="Times New Roman" w:hAnsi="Calibri" w:cs="Calibri"/>
        </w:rPr>
        <w:t xml:space="preserve">The Chair discussed concerns with an observed rise in the use of fluoroscopy </w:t>
      </w:r>
      <w:r>
        <w:rPr>
          <w:rStyle w:val="msonormal1"/>
          <w:rFonts w:ascii="Calibri" w:eastAsia="Times New Roman" w:hAnsi="Calibri" w:cs="Calibri"/>
        </w:rPr>
        <w:t xml:space="preserve">(including repeated imaging) </w:t>
      </w:r>
      <w:r w:rsidRPr="00121D2D">
        <w:rPr>
          <w:rStyle w:val="msonormal1"/>
          <w:rFonts w:ascii="Calibri" w:eastAsia="Times New Roman" w:hAnsi="Calibri" w:cs="Calibri"/>
        </w:rPr>
        <w:t>during pain management procedures</w:t>
      </w:r>
      <w:r>
        <w:rPr>
          <w:rStyle w:val="msonormal1"/>
          <w:rFonts w:ascii="Calibri" w:eastAsia="Times New Roman" w:hAnsi="Calibri" w:cs="Calibri"/>
        </w:rPr>
        <w:t xml:space="preserve"> relating to training and record keeping, and sought jurisdictional feedback on training and licencing requirements. </w:t>
      </w:r>
    </w:p>
    <w:p w14:paraId="1459F7E6" w14:textId="3899A3D1" w:rsidR="00760F5E" w:rsidRPr="00E65574" w:rsidRDefault="00760F5E" w:rsidP="00E90871">
      <w:pPr>
        <w:pStyle w:val="Agendaitem-supplementary"/>
      </w:pPr>
      <w:bookmarkStart w:id="61" w:name="dsbmie01ZSYNDDX2NF7C7ODZFFE2T6QXWOHRXVTE"/>
      <w:bookmarkStart w:id="62" w:name="dsbmis01ZSYNDDR6UCL2KXMCIBGIBVODEXS2IYPX"/>
      <w:bookmarkEnd w:id="60"/>
      <w:bookmarkEnd w:id="61"/>
      <w:r w:rsidRPr="00E65574">
        <w:t>RHSAC Lasers Working Group Enquiry</w:t>
      </w:r>
    </w:p>
    <w:p w14:paraId="293A81F8" w14:textId="0FC342DB" w:rsidR="00760F5E" w:rsidRDefault="00760F5E" w:rsidP="005A3C27">
      <w:pPr>
        <w:ind w:left="284"/>
        <w:rPr>
          <w:rStyle w:val="msonormal1"/>
          <w:rFonts w:ascii="Calibri" w:eastAsia="Times New Roman" w:hAnsi="Calibri" w:cs="Calibri"/>
        </w:rPr>
      </w:pPr>
      <w:r w:rsidRPr="008511FF">
        <w:rPr>
          <w:rStyle w:val="msonormal1"/>
          <w:rFonts w:ascii="Calibri" w:eastAsia="Times New Roman" w:hAnsi="Calibri" w:cs="Calibri"/>
        </w:rPr>
        <w:t>ARPANSA ta</w:t>
      </w:r>
      <w:r>
        <w:rPr>
          <w:rStyle w:val="msonormal1"/>
          <w:rFonts w:ascii="Calibri" w:eastAsia="Times New Roman" w:hAnsi="Calibri" w:cs="Calibri"/>
        </w:rPr>
        <w:t xml:space="preserve">bled a request from the Radiation Health and Safety Advisory Council for State and Territory feedback on their approaches to laser regulation, as well as any concerns or identified issues in this space. The RHC discussed existing concerns identified with current professional and consumer devices, </w:t>
      </w:r>
      <w:r>
        <w:rPr>
          <w:rStyle w:val="msonormal1"/>
          <w:rFonts w:ascii="Calibri" w:eastAsia="Times New Roman" w:hAnsi="Calibri" w:cs="Calibri"/>
        </w:rPr>
        <w:lastRenderedPageBreak/>
        <w:t>including those used for rust removal, party illumination, and bird scaring. Members agreed to provide a response to circulated questions out-of-session.</w:t>
      </w:r>
    </w:p>
    <w:p w14:paraId="36A9B1A1" w14:textId="396F0F96" w:rsidR="00760F5E" w:rsidRPr="00E65574" w:rsidRDefault="00760F5E" w:rsidP="005A3C27">
      <w:pPr>
        <w:ind w:firstLine="284"/>
        <w:rPr>
          <w:rFonts w:ascii="Calibri" w:eastAsia="Times New Roman" w:hAnsi="Calibri" w:cs="Calibri"/>
        </w:rPr>
      </w:pPr>
      <w:r>
        <w:rPr>
          <w:rStyle w:val="msonormal1"/>
          <w:rFonts w:ascii="Calibri" w:eastAsia="Times New Roman" w:hAnsi="Calibri" w:cs="Calibri"/>
          <w:b/>
          <w:bCs/>
          <w:u w:val="single"/>
        </w:rPr>
        <w:t>Task:</w:t>
      </w:r>
      <w:r>
        <w:rPr>
          <w:rStyle w:val="msonormal1"/>
          <w:rFonts w:ascii="Calibri" w:eastAsia="Times New Roman" w:hAnsi="Calibri" w:cs="Calibri"/>
        </w:rPr>
        <w:t xml:space="preserve"> State and Territory members to respond to circulated questions on laser regulation by </w:t>
      </w:r>
      <w:r>
        <w:rPr>
          <w:rStyle w:val="msonormal1"/>
          <w:rFonts w:ascii="Calibri" w:eastAsia="Times New Roman" w:hAnsi="Calibri" w:cs="Calibri"/>
          <w:b/>
          <w:bCs/>
        </w:rPr>
        <w:t>2 July 2026</w:t>
      </w:r>
      <w:r>
        <w:rPr>
          <w:rStyle w:val="msonormal1"/>
          <w:rFonts w:ascii="Calibri" w:eastAsia="Times New Roman" w:hAnsi="Calibri" w:cs="Calibri"/>
        </w:rPr>
        <w:t>.</w:t>
      </w:r>
    </w:p>
    <w:p w14:paraId="27103652" w14:textId="554AEEC7" w:rsidR="00760F5E" w:rsidRPr="00E65574" w:rsidRDefault="00760F5E" w:rsidP="00E90871">
      <w:pPr>
        <w:pStyle w:val="Agendaitem-supplementary"/>
      </w:pPr>
      <w:bookmarkStart w:id="63" w:name="dsbmie01ZSYNDDR6UCL2KXMCIBGIBVODEXS2IYPX"/>
      <w:bookmarkStart w:id="64" w:name="dsbmis01ZSYNDDV2YD72ICRFKNHZF5O3J2T75CVY"/>
      <w:bookmarkEnd w:id="62"/>
      <w:bookmarkEnd w:id="63"/>
      <w:r w:rsidRPr="00E65574">
        <w:t>Australian Radioanalytical Laboratory Cooperation</w:t>
      </w:r>
    </w:p>
    <w:p w14:paraId="3400B08C" w14:textId="77777777" w:rsidR="00760F5E" w:rsidRPr="00233048" w:rsidRDefault="00760F5E" w:rsidP="005A3C27">
      <w:pPr>
        <w:ind w:left="284"/>
        <w:rPr>
          <w:rStyle w:val="msonormal1"/>
        </w:rPr>
      </w:pPr>
      <w:r w:rsidRPr="00233048">
        <w:rPr>
          <w:rStyle w:val="msonormal1"/>
          <w:rFonts w:ascii="Calibri" w:eastAsia="Times New Roman" w:hAnsi="Calibri" w:cs="Calibri"/>
        </w:rPr>
        <w:t>The QLD member raised the issue of expense in import</w:t>
      </w:r>
      <w:r>
        <w:rPr>
          <w:rStyle w:val="msonormal1"/>
          <w:rFonts w:ascii="Calibri" w:eastAsia="Times New Roman" w:hAnsi="Calibri" w:cs="Calibri"/>
        </w:rPr>
        <w:t>ing</w:t>
      </w:r>
      <w:r w:rsidRPr="00233048">
        <w:rPr>
          <w:rStyle w:val="msonormal1"/>
          <w:rFonts w:ascii="Calibri" w:eastAsia="Times New Roman" w:hAnsi="Calibri" w:cs="Calibri"/>
        </w:rPr>
        <w:t xml:space="preserve"> radioanalytical laborator</w:t>
      </w:r>
      <w:r>
        <w:rPr>
          <w:rStyle w:val="msonormal1"/>
          <w:rFonts w:ascii="Calibri" w:eastAsia="Times New Roman" w:hAnsi="Calibri" w:cs="Calibri"/>
        </w:rPr>
        <w:t xml:space="preserve">y </w:t>
      </w:r>
      <w:r w:rsidRPr="00233048">
        <w:rPr>
          <w:rStyle w:val="msonormal1"/>
          <w:rFonts w:ascii="Calibri" w:eastAsia="Times New Roman" w:hAnsi="Calibri" w:cs="Calibri"/>
        </w:rPr>
        <w:t xml:space="preserve">samples and standards, and </w:t>
      </w:r>
      <w:r>
        <w:rPr>
          <w:rStyle w:val="msonormal1"/>
          <w:rFonts w:ascii="Calibri" w:eastAsia="Times New Roman" w:hAnsi="Calibri" w:cs="Calibri"/>
        </w:rPr>
        <w:t xml:space="preserve">noted the opportunity for states and territories to </w:t>
      </w:r>
      <w:r w:rsidRPr="00233048">
        <w:rPr>
          <w:rStyle w:val="msonormal1"/>
          <w:rFonts w:ascii="Calibri" w:eastAsia="Times New Roman" w:hAnsi="Calibri" w:cs="Calibri"/>
        </w:rPr>
        <w:t>collaborat</w:t>
      </w:r>
      <w:r>
        <w:rPr>
          <w:rStyle w:val="msonormal1"/>
          <w:rFonts w:ascii="Calibri" w:eastAsia="Times New Roman" w:hAnsi="Calibri" w:cs="Calibri"/>
        </w:rPr>
        <w:t>e</w:t>
      </w:r>
      <w:r w:rsidRPr="00233048">
        <w:rPr>
          <w:rStyle w:val="msonormal1"/>
          <w:rFonts w:ascii="Calibri" w:eastAsia="Times New Roman" w:hAnsi="Calibri" w:cs="Calibri"/>
        </w:rPr>
        <w:t xml:space="preserve"> in </w:t>
      </w:r>
      <w:r>
        <w:rPr>
          <w:rStyle w:val="msonormal1"/>
          <w:rFonts w:ascii="Calibri" w:eastAsia="Times New Roman" w:hAnsi="Calibri" w:cs="Calibri"/>
        </w:rPr>
        <w:t>procurement</w:t>
      </w:r>
      <w:r w:rsidRPr="00233048">
        <w:rPr>
          <w:rStyle w:val="msonormal1"/>
          <w:rFonts w:ascii="Calibri" w:eastAsia="Times New Roman" w:hAnsi="Calibri" w:cs="Calibri"/>
        </w:rPr>
        <w:t>. The RHC not</w:t>
      </w:r>
      <w:r>
        <w:rPr>
          <w:rStyle w:val="msonormal1"/>
          <w:rFonts w:ascii="Calibri" w:eastAsia="Times New Roman" w:hAnsi="Calibri" w:cs="Calibri"/>
        </w:rPr>
        <w:t xml:space="preserve">ed </w:t>
      </w:r>
      <w:r w:rsidRPr="00233048">
        <w:rPr>
          <w:rStyle w:val="msonormal1"/>
          <w:rFonts w:ascii="Calibri" w:eastAsia="Times New Roman" w:hAnsi="Calibri" w:cs="Calibri"/>
        </w:rPr>
        <w:t>challenges posed through</w:t>
      </w:r>
      <w:r>
        <w:rPr>
          <w:rStyle w:val="msonormal1"/>
          <w:rFonts w:ascii="Calibri" w:eastAsia="Times New Roman" w:hAnsi="Calibri" w:cs="Calibri"/>
        </w:rPr>
        <w:t>, for example,</w:t>
      </w:r>
      <w:r w:rsidRPr="00233048">
        <w:rPr>
          <w:rStyle w:val="msonormal1"/>
          <w:rFonts w:ascii="Calibri" w:eastAsia="Times New Roman" w:hAnsi="Calibri" w:cs="Calibri"/>
        </w:rPr>
        <w:t xml:space="preserve"> traceability of standards when divided for further distribution given decreasing numbers of accredited laboratories across the country. </w:t>
      </w:r>
      <w:r>
        <w:rPr>
          <w:rStyle w:val="msonormal1"/>
          <w:rFonts w:ascii="Calibri" w:eastAsia="Times New Roman" w:hAnsi="Calibri" w:cs="Calibri"/>
        </w:rPr>
        <w:t xml:space="preserve">ARPANSA </w:t>
      </w:r>
      <w:r w:rsidRPr="00233048">
        <w:rPr>
          <w:rStyle w:val="msonormal1"/>
          <w:rFonts w:ascii="Calibri" w:eastAsia="Times New Roman" w:hAnsi="Calibri" w:cs="Calibri"/>
        </w:rPr>
        <w:t xml:space="preserve">noted that the Australasian Radioanalytical Laboratory Network </w:t>
      </w:r>
      <w:r>
        <w:rPr>
          <w:rStyle w:val="msonormal1"/>
          <w:rFonts w:ascii="Calibri" w:eastAsia="Times New Roman" w:hAnsi="Calibri" w:cs="Calibri"/>
        </w:rPr>
        <w:t xml:space="preserve">(ARLN) </w:t>
      </w:r>
      <w:r w:rsidRPr="00233048">
        <w:rPr>
          <w:rStyle w:val="msonormal1"/>
          <w:rFonts w:ascii="Calibri" w:eastAsia="Times New Roman" w:hAnsi="Calibri" w:cs="Calibri"/>
        </w:rPr>
        <w:t xml:space="preserve">may be able to </w:t>
      </w:r>
      <w:r>
        <w:rPr>
          <w:rStyle w:val="msonormal1"/>
          <w:rFonts w:ascii="Calibri" w:eastAsia="Times New Roman" w:hAnsi="Calibri" w:cs="Calibri"/>
        </w:rPr>
        <w:t xml:space="preserve">help </w:t>
      </w:r>
      <w:r w:rsidRPr="00233048">
        <w:rPr>
          <w:rStyle w:val="msonormal1"/>
          <w:rFonts w:ascii="Calibri" w:eastAsia="Times New Roman" w:hAnsi="Calibri" w:cs="Calibri"/>
        </w:rPr>
        <w:t>uplift national capability and facilitat</w:t>
      </w:r>
      <w:r>
        <w:rPr>
          <w:rStyle w:val="msonormal1"/>
          <w:rFonts w:ascii="Calibri" w:eastAsia="Times New Roman" w:hAnsi="Calibri" w:cs="Calibri"/>
        </w:rPr>
        <w:t>e</w:t>
      </w:r>
      <w:r w:rsidRPr="00233048">
        <w:rPr>
          <w:rStyle w:val="msonormal1"/>
          <w:rFonts w:ascii="Calibri" w:eastAsia="Times New Roman" w:hAnsi="Calibri" w:cs="Calibri"/>
        </w:rPr>
        <w:t xml:space="preserve"> bulk importation through Commonwealth organisations. </w:t>
      </w:r>
    </w:p>
    <w:p w14:paraId="1981ACA6" w14:textId="77777777" w:rsidR="00760F5E" w:rsidRPr="00E65574" w:rsidRDefault="00760F5E" w:rsidP="00760F5E">
      <w:pPr>
        <w:rPr>
          <w:rFonts w:ascii="Calibri" w:eastAsia="Times New Roman" w:hAnsi="Calibri" w:cs="Calibri"/>
        </w:rPr>
      </w:pPr>
    </w:p>
    <w:p w14:paraId="1EC92237" w14:textId="7B30F57F" w:rsidR="00760F5E" w:rsidRPr="00E65574" w:rsidRDefault="00760F5E" w:rsidP="00CB16F4">
      <w:pPr>
        <w:pStyle w:val="Agendaitem-main"/>
      </w:pPr>
      <w:bookmarkStart w:id="65" w:name="dsbmie01ZSYNDDV2YD72ICRFKNHZF5O3J2T75CVY"/>
      <w:bookmarkStart w:id="66" w:name="dsbmis01ZSYNDDXEBEXLJ6J7XFGZB44MDG4OLADI"/>
      <w:bookmarkEnd w:id="64"/>
      <w:bookmarkEnd w:id="65"/>
      <w:r w:rsidRPr="00E65574">
        <w:t>Housekeeping and Meeting Close</w:t>
      </w:r>
    </w:p>
    <w:bookmarkEnd w:id="66"/>
    <w:p w14:paraId="25325D84" w14:textId="77777777" w:rsidR="00760F5E" w:rsidRPr="000B6129" w:rsidRDefault="00760F5E" w:rsidP="00760F5E">
      <w:r>
        <w:rPr>
          <w:rStyle w:val="msonormal1"/>
          <w:rFonts w:ascii="Calibri" w:eastAsia="Times New Roman" w:hAnsi="Calibri" w:cs="Calibri"/>
        </w:rPr>
        <w:t xml:space="preserve">The Chair noted the next meeting is scheduled for </w:t>
      </w:r>
      <w:r w:rsidRPr="00156EF1">
        <w:rPr>
          <w:rStyle w:val="msonormal1"/>
          <w:rFonts w:ascii="Calibri" w:eastAsia="Times New Roman" w:hAnsi="Calibri" w:cs="Calibri"/>
          <w:b/>
          <w:bCs/>
        </w:rPr>
        <w:t>24-25 November 2026</w:t>
      </w:r>
      <w:r>
        <w:rPr>
          <w:rStyle w:val="msonormal1"/>
          <w:rFonts w:ascii="Calibri" w:eastAsia="Times New Roman" w:hAnsi="Calibri" w:cs="Calibri"/>
        </w:rPr>
        <w:t xml:space="preserve"> in </w:t>
      </w:r>
      <w:r w:rsidRPr="009F2193">
        <w:rPr>
          <w:rStyle w:val="msonormal1"/>
          <w:rFonts w:ascii="Calibri" w:eastAsia="Times New Roman" w:hAnsi="Calibri" w:cs="Calibri"/>
        </w:rPr>
        <w:t xml:space="preserve">Adelaide. </w:t>
      </w:r>
      <w:r>
        <w:rPr>
          <w:rStyle w:val="msonormal1"/>
          <w:rFonts w:ascii="Calibri" w:eastAsia="Times New Roman" w:hAnsi="Calibri" w:cs="Calibri"/>
        </w:rPr>
        <w:t xml:space="preserve">An </w:t>
      </w:r>
      <w:r w:rsidRPr="009F2193">
        <w:rPr>
          <w:rStyle w:val="msonormal1"/>
          <w:rFonts w:ascii="Calibri" w:eastAsia="Times New Roman" w:hAnsi="Calibri" w:cs="Calibri"/>
        </w:rPr>
        <w:t xml:space="preserve">extraordinary </w:t>
      </w:r>
      <w:r>
        <w:rPr>
          <w:rStyle w:val="msonormal1"/>
          <w:rFonts w:ascii="Calibri" w:eastAsia="Times New Roman" w:hAnsi="Calibri" w:cs="Calibri"/>
        </w:rPr>
        <w:t>virtual RHC was also noted,</w:t>
      </w:r>
      <w:r w:rsidRPr="009F2193">
        <w:rPr>
          <w:rStyle w:val="msonormal1"/>
          <w:rFonts w:ascii="Calibri" w:eastAsia="Times New Roman" w:hAnsi="Calibri" w:cs="Calibri"/>
        </w:rPr>
        <w:t xml:space="preserve"> </w:t>
      </w:r>
      <w:r>
        <w:rPr>
          <w:rStyle w:val="msonormal1"/>
          <w:rFonts w:ascii="Calibri" w:eastAsia="Times New Roman" w:hAnsi="Calibri" w:cs="Calibri"/>
        </w:rPr>
        <w:t xml:space="preserve">to be held in late August or early September </w:t>
      </w:r>
      <w:r w:rsidRPr="009F2193">
        <w:rPr>
          <w:rStyle w:val="msonormal1"/>
          <w:rFonts w:ascii="Calibri" w:eastAsia="Times New Roman" w:hAnsi="Calibri" w:cs="Calibri"/>
        </w:rPr>
        <w:t xml:space="preserve">to address the matter raised </w:t>
      </w:r>
      <w:r>
        <w:rPr>
          <w:rStyle w:val="msonormal1"/>
          <w:rFonts w:ascii="Calibri" w:eastAsia="Times New Roman" w:hAnsi="Calibri" w:cs="Calibri"/>
        </w:rPr>
        <w:t>under Item 5.3</w:t>
      </w:r>
      <w:r w:rsidRPr="009F2193">
        <w:rPr>
          <w:rStyle w:val="msonormal1"/>
          <w:rFonts w:ascii="Calibri" w:eastAsia="Times New Roman" w:hAnsi="Calibri" w:cs="Calibri"/>
        </w:rPr>
        <w:t>.</w:t>
      </w:r>
      <w:r w:rsidRPr="00156EF1">
        <w:rPr>
          <w:rStyle w:val="msonormal1"/>
          <w:rFonts w:ascii="Calibri" w:eastAsia="Times New Roman" w:hAnsi="Calibri" w:cs="Calibri"/>
        </w:rPr>
        <w:t xml:space="preserve"> The </w:t>
      </w:r>
      <w:r>
        <w:rPr>
          <w:rStyle w:val="msonormal1"/>
          <w:rFonts w:ascii="Calibri" w:eastAsia="Times New Roman" w:hAnsi="Calibri" w:cs="Calibri"/>
        </w:rPr>
        <w:t>C</w:t>
      </w:r>
      <w:r w:rsidRPr="00156EF1">
        <w:rPr>
          <w:rStyle w:val="msonormal1"/>
          <w:rFonts w:ascii="Calibri" w:eastAsia="Times New Roman" w:hAnsi="Calibri" w:cs="Calibri"/>
        </w:rPr>
        <w:t>hair closed the meeting.</w:t>
      </w:r>
      <w:r>
        <w:rPr>
          <w:rStyle w:val="msonormal1"/>
          <w:rFonts w:ascii="Calibri" w:eastAsia="Times New Roman" w:hAnsi="Calibri" w:cs="Calibri"/>
        </w:rPr>
        <w:t xml:space="preserve"> </w:t>
      </w:r>
    </w:p>
    <w:p w14:paraId="439F8158" w14:textId="77777777" w:rsidR="00E26CBA" w:rsidRDefault="00E26CBA" w:rsidP="00E26CBA"/>
    <w:p w14:paraId="4D7DE277" w14:textId="4E8913ED" w:rsidR="00916E3D" w:rsidRDefault="00916E3D" w:rsidP="00916E3D"/>
    <w:p w14:paraId="19AB9DFB" w14:textId="77777777" w:rsidR="00A43531" w:rsidRDefault="00A43531" w:rsidP="00E90871">
      <w:pPr>
        <w:pStyle w:val="Agendaitem"/>
        <w:numPr>
          <w:ilvl w:val="0"/>
          <w:numId w:val="0"/>
        </w:numPr>
        <w:ind w:left="567"/>
      </w:pPr>
      <w:bookmarkStart w:id="67" w:name="_Hlk128142803"/>
    </w:p>
    <w:bookmarkEnd w:id="67"/>
    <w:p w14:paraId="2E3DF0B1" w14:textId="77777777" w:rsidR="00A02E0F" w:rsidRDefault="00A02E0F" w:rsidP="00A02E0F">
      <w:pPr>
        <w:rPr>
          <w:rFonts w:ascii="Calibri" w:eastAsiaTheme="majorEastAsia" w:hAnsi="Calibri" w:cstheme="majorBidi"/>
          <w:color w:val="4E1A74"/>
          <w:sz w:val="32"/>
          <w:szCs w:val="28"/>
        </w:rPr>
      </w:pPr>
    </w:p>
    <w:sectPr w:rsidR="00A02E0F" w:rsidSect="00C42E68">
      <w:headerReference w:type="default" r:id="rId9"/>
      <w:footerReference w:type="default" r:id="rId10"/>
      <w:headerReference w:type="first" r:id="rId11"/>
      <w:footerReference w:type="first" r:id="rId12"/>
      <w:pgSz w:w="11906" w:h="16838" w:code="9"/>
      <w:pgMar w:top="1134" w:right="1134" w:bottom="1134"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E2C09" w14:textId="77777777" w:rsidR="00DC1B49" w:rsidRDefault="00DC1B49" w:rsidP="00037687">
      <w:r>
        <w:separator/>
      </w:r>
    </w:p>
  </w:endnote>
  <w:endnote w:type="continuationSeparator" w:id="0">
    <w:p w14:paraId="315D3B00" w14:textId="77777777" w:rsidR="00DC1B49" w:rsidRDefault="00DC1B49" w:rsidP="00037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5C73" w14:textId="27632FA7" w:rsidR="00016ACB" w:rsidRDefault="00016ACB" w:rsidP="00016ACB">
    <w:pPr>
      <w:pStyle w:val="Footer"/>
      <w:tabs>
        <w:tab w:val="clear" w:pos="4513"/>
        <w:tab w:val="clear" w:pos="9026"/>
        <w:tab w:val="center" w:pos="4820"/>
        <w:tab w:val="right" w:pos="9639"/>
      </w:tabs>
      <w:spacing w:before="120"/>
      <w:rPr>
        <w:sz w:val="18"/>
        <w:szCs w:val="18"/>
      </w:rPr>
    </w:pPr>
    <w:r w:rsidRPr="00FF6AB9">
      <w:rPr>
        <w:noProof/>
        <w:sz w:val="18"/>
        <w:lang w:eastAsia="en-AU"/>
      </w:rPr>
      <w:drawing>
        <wp:anchor distT="0" distB="0" distL="114300" distR="114300" simplePos="0" relativeHeight="251658242" behindDoc="0" locked="0" layoutInCell="1" allowOverlap="1" wp14:anchorId="21B29995" wp14:editId="5BBAAC57">
          <wp:simplePos x="0" y="0"/>
          <wp:positionH relativeFrom="column">
            <wp:posOffset>0</wp:posOffset>
          </wp:positionH>
          <wp:positionV relativeFrom="paragraph">
            <wp:posOffset>175895</wp:posOffset>
          </wp:positionV>
          <wp:extent cx="6120000" cy="54000"/>
          <wp:effectExtent l="0" t="0" r="0" b="3175"/>
          <wp:wrapTopAndBottom/>
          <wp:docPr id="81767438" name="Picture 81767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tri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54000"/>
                  </a:xfrm>
                  <a:prstGeom prst="rect">
                    <a:avLst/>
                  </a:prstGeom>
                </pic:spPr>
              </pic:pic>
            </a:graphicData>
          </a:graphic>
          <wp14:sizeRelH relativeFrom="page">
            <wp14:pctWidth>0</wp14:pctWidth>
          </wp14:sizeRelH>
          <wp14:sizeRelV relativeFrom="page">
            <wp14:pctHeight>0</wp14:pctHeight>
          </wp14:sizeRelV>
        </wp:anchor>
      </w:drawing>
    </w:r>
    <w:r w:rsidR="00002129">
      <w:rPr>
        <w:sz w:val="18"/>
      </w:rPr>
      <w:t>Radiation Health Committee</w:t>
    </w:r>
    <w:r w:rsidRPr="00203CCE">
      <w:rPr>
        <w:sz w:val="18"/>
        <w:szCs w:val="18"/>
      </w:rPr>
      <w:tab/>
    </w:r>
    <w:r w:rsidRPr="00203CCE">
      <w:rPr>
        <w:sz w:val="18"/>
        <w:szCs w:val="18"/>
      </w:rPr>
      <w:tab/>
    </w:r>
    <w:r w:rsidRPr="00203CCE">
      <w:rPr>
        <w:sz w:val="18"/>
        <w:szCs w:val="18"/>
      </w:rPr>
      <w:br/>
    </w:r>
    <w:r w:rsidR="00002129">
      <w:rPr>
        <w:sz w:val="18"/>
        <w:szCs w:val="18"/>
      </w:rPr>
      <w:t>Meeting Minutes</w:t>
    </w:r>
    <w:r w:rsidRPr="00203CCE">
      <w:rPr>
        <w:sz w:val="18"/>
        <w:szCs w:val="18"/>
      </w:rPr>
      <w:tab/>
    </w:r>
    <w:r w:rsidR="00002129">
      <w:rPr>
        <w:sz w:val="18"/>
        <w:szCs w:val="18"/>
      </w:rPr>
      <w:t>17 – 18 June 2026</w:t>
    </w:r>
    <w:r w:rsidRPr="00203CCE">
      <w:rPr>
        <w:sz w:val="18"/>
        <w:szCs w:val="18"/>
      </w:rPr>
      <w:tab/>
    </w:r>
    <w:r w:rsidRPr="00203CCE">
      <w:rPr>
        <w:sz w:val="18"/>
        <w:szCs w:val="18"/>
      </w:rPr>
      <w:fldChar w:fldCharType="begin"/>
    </w:r>
    <w:r w:rsidRPr="00203CCE">
      <w:rPr>
        <w:sz w:val="18"/>
        <w:szCs w:val="18"/>
      </w:rPr>
      <w:instrText xml:space="preserve"> PAGE  \* Arabic  \* MERGEFORMAT </w:instrText>
    </w:r>
    <w:r w:rsidRPr="00203CCE">
      <w:rPr>
        <w:sz w:val="18"/>
        <w:szCs w:val="18"/>
      </w:rPr>
      <w:fldChar w:fldCharType="separate"/>
    </w:r>
    <w:r>
      <w:rPr>
        <w:sz w:val="18"/>
        <w:szCs w:val="18"/>
      </w:rPr>
      <w:t>1</w:t>
    </w:r>
    <w:r w:rsidRPr="00203CCE">
      <w:rPr>
        <w:sz w:val="18"/>
        <w:szCs w:val="18"/>
      </w:rPr>
      <w:fldChar w:fldCharType="end"/>
    </w:r>
    <w:r w:rsidRPr="00203CCE">
      <w:rPr>
        <w:sz w:val="18"/>
        <w:szCs w:val="18"/>
      </w:rPr>
      <w:t xml:space="preserve"> of </w:t>
    </w:r>
    <w:r w:rsidRPr="00203CCE">
      <w:rPr>
        <w:sz w:val="18"/>
        <w:szCs w:val="18"/>
      </w:rPr>
      <w:fldChar w:fldCharType="begin"/>
    </w:r>
    <w:r w:rsidRPr="00203CCE">
      <w:rPr>
        <w:sz w:val="18"/>
        <w:szCs w:val="18"/>
      </w:rPr>
      <w:instrText xml:space="preserve"> NUMPAGES  \* Arabic  \* MERGEFORMAT </w:instrText>
    </w:r>
    <w:r w:rsidRPr="00203CCE">
      <w:rPr>
        <w:sz w:val="18"/>
        <w:szCs w:val="18"/>
      </w:rPr>
      <w:fldChar w:fldCharType="separate"/>
    </w:r>
    <w:r>
      <w:rPr>
        <w:sz w:val="18"/>
        <w:szCs w:val="18"/>
      </w:rPr>
      <w:t>2</w:t>
    </w:r>
    <w:r w:rsidRPr="00203CCE">
      <w:rPr>
        <w:sz w:val="18"/>
        <w:szCs w:val="18"/>
      </w:rPr>
      <w:fldChar w:fldCharType="end"/>
    </w:r>
  </w:p>
  <w:sdt>
    <w:sdtPr>
      <w:rPr>
        <w:b/>
        <w:bCs/>
        <w:color w:val="FF0000"/>
      </w:rPr>
      <w:alias w:val="Security marking"/>
      <w:tag w:val="Security marking"/>
      <w:id w:val="1485430412"/>
      <w:placeholder>
        <w:docPart w:val="B35DE548D5AD470980560DC801F04A1C"/>
      </w:placeholder>
      <w15:color w:val="FF0000"/>
      <w:dropDownList>
        <w:listItem w:value="Choose security classification"/>
        <w:listItem w:displayText=" " w:value=" "/>
        <w:listItem w:displayText="UNOFFICIAL" w:value="UNOFFICIAL"/>
        <w:listItem w:displayText="OFFICIAL" w:value="OFFICIAL"/>
        <w:listItem w:displayText="OFFICIAL: Sensitive" w:value="OFFICIAL: Sensitive"/>
        <w:listItem w:displayText="OFFICIAL: Sensitive (legal privilege)" w:value="OFFICIAL: Sensitive (legal privilege)"/>
        <w:listItem w:displayText="OFFICIAL: Sensitive (legislative secrecy)" w:value="OFFICIAL: Sensitive (legislative secrecy)"/>
        <w:listItem w:displayText="OFFICIAL: Sensitive (personal privacy)" w:value="OFFICIAL: Sensitive (personal privacy)"/>
      </w:dropDownList>
    </w:sdtPr>
    <w:sdtContent>
      <w:p w14:paraId="484B9865" w14:textId="15CC0051" w:rsidR="00C42E68" w:rsidRPr="00016ACB" w:rsidRDefault="00760F5E" w:rsidP="00016ACB">
        <w:pPr>
          <w:pStyle w:val="Header"/>
          <w:jc w:val="center"/>
          <w:rPr>
            <w:b/>
            <w:bCs/>
            <w:color w:val="FF0000"/>
          </w:rPr>
        </w:pPr>
        <w:r>
          <w:rPr>
            <w:b/>
            <w:bCs/>
            <w:color w:val="FF0000"/>
          </w:rPr>
          <w:t>OFFICIAL</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6FD5" w14:textId="75E5D418" w:rsidR="00037687" w:rsidRDefault="00E26CBA" w:rsidP="00E26CBA">
    <w:pPr>
      <w:pStyle w:val="Footer"/>
      <w:tabs>
        <w:tab w:val="clear" w:pos="4513"/>
        <w:tab w:val="clear" w:pos="9026"/>
        <w:tab w:val="center" w:pos="4820"/>
        <w:tab w:val="right" w:pos="9639"/>
      </w:tabs>
      <w:spacing w:before="120"/>
      <w:rPr>
        <w:sz w:val="18"/>
        <w:szCs w:val="18"/>
      </w:rPr>
    </w:pPr>
    <w:r w:rsidRPr="00FF6AB9">
      <w:rPr>
        <w:noProof/>
        <w:sz w:val="18"/>
        <w:lang w:eastAsia="en-AU"/>
      </w:rPr>
      <w:drawing>
        <wp:anchor distT="0" distB="0" distL="114300" distR="114300" simplePos="0" relativeHeight="251658240" behindDoc="0" locked="0" layoutInCell="1" allowOverlap="1" wp14:anchorId="010CFC52" wp14:editId="6A3891BB">
          <wp:simplePos x="0" y="0"/>
          <wp:positionH relativeFrom="column">
            <wp:posOffset>0</wp:posOffset>
          </wp:positionH>
          <wp:positionV relativeFrom="paragraph">
            <wp:posOffset>175895</wp:posOffset>
          </wp:positionV>
          <wp:extent cx="6120000" cy="54000"/>
          <wp:effectExtent l="0" t="0" r="0" b="3175"/>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tri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000" cy="54000"/>
                  </a:xfrm>
                  <a:prstGeom prst="rect">
                    <a:avLst/>
                  </a:prstGeom>
                </pic:spPr>
              </pic:pic>
            </a:graphicData>
          </a:graphic>
          <wp14:sizeRelH relativeFrom="page">
            <wp14:pctWidth>0</wp14:pctWidth>
          </wp14:sizeRelH>
          <wp14:sizeRelV relativeFrom="page">
            <wp14:pctHeight>0</wp14:pctHeight>
          </wp14:sizeRelV>
        </wp:anchor>
      </w:drawing>
    </w:r>
    <w:r w:rsidR="00002129">
      <w:rPr>
        <w:sz w:val="18"/>
      </w:rPr>
      <w:t>Radiation Health Committee</w:t>
    </w:r>
    <w:r w:rsidRPr="00203CCE">
      <w:rPr>
        <w:sz w:val="18"/>
        <w:szCs w:val="18"/>
      </w:rPr>
      <w:tab/>
    </w:r>
    <w:r w:rsidRPr="00203CCE">
      <w:rPr>
        <w:sz w:val="18"/>
        <w:szCs w:val="18"/>
      </w:rPr>
      <w:tab/>
    </w:r>
    <w:r w:rsidRPr="00203CCE">
      <w:rPr>
        <w:sz w:val="18"/>
        <w:szCs w:val="18"/>
      </w:rPr>
      <w:br/>
    </w:r>
    <w:r w:rsidR="00002129">
      <w:rPr>
        <w:sz w:val="18"/>
        <w:szCs w:val="18"/>
      </w:rPr>
      <w:t>Meeting Minutes</w:t>
    </w:r>
    <w:r w:rsidRPr="00203CCE">
      <w:rPr>
        <w:sz w:val="18"/>
        <w:szCs w:val="18"/>
      </w:rPr>
      <w:tab/>
    </w:r>
    <w:r w:rsidR="00002129">
      <w:rPr>
        <w:sz w:val="18"/>
        <w:szCs w:val="18"/>
      </w:rPr>
      <w:t>17 – 18 June 2026</w:t>
    </w:r>
    <w:r w:rsidRPr="00203CCE">
      <w:rPr>
        <w:sz w:val="18"/>
        <w:szCs w:val="18"/>
      </w:rPr>
      <w:tab/>
    </w:r>
    <w:r w:rsidRPr="00203CCE">
      <w:rPr>
        <w:sz w:val="18"/>
        <w:szCs w:val="18"/>
      </w:rPr>
      <w:fldChar w:fldCharType="begin"/>
    </w:r>
    <w:r w:rsidRPr="00203CCE">
      <w:rPr>
        <w:sz w:val="18"/>
        <w:szCs w:val="18"/>
      </w:rPr>
      <w:instrText xml:space="preserve"> PAGE  \* Arabic  \* MERGEFORMAT </w:instrText>
    </w:r>
    <w:r w:rsidRPr="00203CCE">
      <w:rPr>
        <w:sz w:val="18"/>
        <w:szCs w:val="18"/>
      </w:rPr>
      <w:fldChar w:fldCharType="separate"/>
    </w:r>
    <w:r w:rsidR="002E4FB2">
      <w:rPr>
        <w:noProof/>
        <w:sz w:val="18"/>
        <w:szCs w:val="18"/>
      </w:rPr>
      <w:t>1</w:t>
    </w:r>
    <w:r w:rsidRPr="00203CCE">
      <w:rPr>
        <w:sz w:val="18"/>
        <w:szCs w:val="18"/>
      </w:rPr>
      <w:fldChar w:fldCharType="end"/>
    </w:r>
    <w:r w:rsidRPr="00203CCE">
      <w:rPr>
        <w:sz w:val="18"/>
        <w:szCs w:val="18"/>
      </w:rPr>
      <w:t xml:space="preserve"> of </w:t>
    </w:r>
    <w:r w:rsidRPr="00203CCE">
      <w:rPr>
        <w:sz w:val="18"/>
        <w:szCs w:val="18"/>
      </w:rPr>
      <w:fldChar w:fldCharType="begin"/>
    </w:r>
    <w:r w:rsidRPr="00203CCE">
      <w:rPr>
        <w:sz w:val="18"/>
        <w:szCs w:val="18"/>
      </w:rPr>
      <w:instrText xml:space="preserve"> NUMPAGES  \* Arabic  \* MERGEFORMAT </w:instrText>
    </w:r>
    <w:r w:rsidRPr="00203CCE">
      <w:rPr>
        <w:sz w:val="18"/>
        <w:szCs w:val="18"/>
      </w:rPr>
      <w:fldChar w:fldCharType="separate"/>
    </w:r>
    <w:r w:rsidR="002E4FB2">
      <w:rPr>
        <w:noProof/>
        <w:sz w:val="18"/>
        <w:szCs w:val="18"/>
      </w:rPr>
      <w:t>2</w:t>
    </w:r>
    <w:r w:rsidRPr="00203CCE">
      <w:rPr>
        <w:sz w:val="18"/>
        <w:szCs w:val="18"/>
      </w:rPr>
      <w:fldChar w:fldCharType="end"/>
    </w:r>
  </w:p>
  <w:sdt>
    <w:sdtPr>
      <w:rPr>
        <w:b/>
        <w:bCs/>
        <w:color w:val="FF0000"/>
      </w:rPr>
      <w:alias w:val="Security marking"/>
      <w:tag w:val="Security marking"/>
      <w:id w:val="1672600879"/>
      <w:placeholder>
        <w:docPart w:val="E8805373AFFE4973A1603DE4F6494760"/>
      </w:placeholder>
      <w15:color w:val="FF0000"/>
      <w:dropDownList>
        <w:listItem w:value="Choose security classification"/>
        <w:listItem w:displayText=" " w:value=" "/>
        <w:listItem w:displayText="UNOFFICIAL" w:value="UNOFFICIAL"/>
        <w:listItem w:displayText="OFFICIAL" w:value="OFFICIAL"/>
        <w:listItem w:displayText="OFFICIAL: Sensitive" w:value="OFFICIAL: Sensitive"/>
        <w:listItem w:displayText="OFFICIAL: Sensitive (legal privilege)" w:value="OFFICIAL: Sensitive (legal privilege)"/>
        <w:listItem w:displayText="OFFICIAL: Sensitive (legislative secrecy)" w:value="OFFICIAL: Sensitive (legislative secrecy)"/>
        <w:listItem w:displayText="OFFICIAL: Sensitive (personal privacy)" w:value="OFFICIAL: Sensitive (personal privacy)"/>
      </w:dropDownList>
    </w:sdtPr>
    <w:sdtContent>
      <w:p w14:paraId="7C3D3FA0" w14:textId="710A56A9" w:rsidR="00C42E68" w:rsidRPr="00C42E68" w:rsidRDefault="00760F5E" w:rsidP="00C42E68">
        <w:pPr>
          <w:pStyle w:val="Header"/>
          <w:jc w:val="center"/>
          <w:rPr>
            <w:b/>
            <w:bCs/>
            <w:color w:val="FF0000"/>
          </w:rPr>
        </w:pPr>
        <w:r>
          <w:rPr>
            <w:b/>
            <w:bCs/>
            <w:color w:val="FF0000"/>
          </w:rPr>
          <w:t>OFFICIAL</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05C3B" w14:textId="77777777" w:rsidR="00DC1B49" w:rsidRDefault="00DC1B49" w:rsidP="00037687">
      <w:r>
        <w:separator/>
      </w:r>
    </w:p>
  </w:footnote>
  <w:footnote w:type="continuationSeparator" w:id="0">
    <w:p w14:paraId="2D567691" w14:textId="77777777" w:rsidR="00DC1B49" w:rsidRDefault="00DC1B49" w:rsidP="00037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FF0000"/>
      </w:rPr>
      <w:alias w:val="Security marking"/>
      <w:tag w:val="Security marking"/>
      <w:id w:val="-1876223619"/>
      <w:placeholder>
        <w:docPart w:val="5367571984914CE7824D36881AD67D64"/>
      </w:placeholder>
      <w15:color w:val="FF0000"/>
      <w:dropDownList>
        <w:listItem w:value="Choose security classification"/>
        <w:listItem w:displayText=" " w:value=" "/>
        <w:listItem w:displayText="UNOFFICIAL" w:value="UNOFFICIAL"/>
        <w:listItem w:displayText="OFFICIAL" w:value="OFFICIAL"/>
        <w:listItem w:displayText="OFFICIAL: Sensitive" w:value="OFFICIAL: Sensitive"/>
        <w:listItem w:displayText="OFFICIAL: Sensitive (legal privilege)" w:value="OFFICIAL: Sensitive (legal privilege)"/>
        <w:listItem w:displayText="OFFICIAL: Sensitive (legislative secrecy)" w:value="OFFICIAL: Sensitive (legislative secrecy)"/>
        <w:listItem w:displayText="OFFICIAL: Sensitive (personal privacy)" w:value="OFFICIAL: Sensitive (personal privacy)"/>
      </w:dropDownList>
    </w:sdtPr>
    <w:sdtContent>
      <w:p w14:paraId="7EF1B3F2" w14:textId="187B3AC9" w:rsidR="00C42E68" w:rsidRDefault="00760F5E" w:rsidP="00C42E68">
        <w:pPr>
          <w:pStyle w:val="Header"/>
          <w:jc w:val="center"/>
          <w:rPr>
            <w:b/>
            <w:bCs/>
            <w:color w:val="FF0000"/>
          </w:rPr>
        </w:pPr>
        <w:r>
          <w:rPr>
            <w:b/>
            <w:bCs/>
            <w:color w:val="FF0000"/>
          </w:rPr>
          <w:t>OFFICIAL</w:t>
        </w:r>
      </w:p>
    </w:sdtContent>
  </w:sdt>
  <w:p w14:paraId="1991437A" w14:textId="77777777" w:rsidR="00BD307C" w:rsidRPr="00C42E68" w:rsidRDefault="00BD307C" w:rsidP="00C42E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B6B1" w14:textId="1FBA7153" w:rsidR="002356D6" w:rsidRPr="00C42E68" w:rsidRDefault="00000000" w:rsidP="00C42E68">
    <w:pPr>
      <w:pStyle w:val="Header"/>
      <w:jc w:val="center"/>
      <w:rPr>
        <w:b/>
        <w:bCs/>
        <w:color w:val="FF0000"/>
      </w:rPr>
    </w:pPr>
    <w:sdt>
      <w:sdtPr>
        <w:rPr>
          <w:b/>
          <w:bCs/>
          <w:color w:val="FF0000"/>
        </w:rPr>
        <w:alias w:val="Security marking"/>
        <w:tag w:val="Security marking"/>
        <w:id w:val="108943211"/>
        <w:placeholder>
          <w:docPart w:val="2885AC36EA9D4F60AAE9762D66F29E09"/>
        </w:placeholder>
        <w15:color w:val="FF0000"/>
        <w:dropDownList>
          <w:listItem w:value="Choose security classification"/>
          <w:listItem w:displayText=" " w:value=" "/>
          <w:listItem w:displayText="UNOFFICIAL" w:value="UNOFFICIAL"/>
          <w:listItem w:displayText="OFFICIAL" w:value="OFFICIAL"/>
          <w:listItem w:displayText="OFFICIAL: Sensitive" w:value="OFFICIAL: Sensitive"/>
          <w:listItem w:displayText="OFFICIAL: Sensitive (legal privilege)" w:value="OFFICIAL: Sensitive (legal privilege)"/>
          <w:listItem w:displayText="OFFICIAL: Sensitive (legislative secrecy)" w:value="OFFICIAL: Sensitive (legislative secrecy)"/>
          <w:listItem w:displayText="OFFICIAL: Sensitive (personal privacy)" w:value="OFFICIAL: Sensitive (personal privacy)"/>
        </w:dropDownList>
      </w:sdtPr>
      <w:sdtContent>
        <w:r w:rsidR="00760F5E">
          <w:rPr>
            <w:b/>
            <w:bCs/>
            <w:color w:val="FF0000"/>
          </w:rPr>
          <w:t>OFFICIAL</w:t>
        </w:r>
      </w:sdtContent>
    </w:sdt>
  </w:p>
  <w:p w14:paraId="64C37153" w14:textId="77777777" w:rsidR="002356D6" w:rsidRDefault="0070735A" w:rsidP="00C42E68">
    <w:pPr>
      <w:pStyle w:val="Header"/>
      <w:spacing w:before="360"/>
    </w:pPr>
    <w:r w:rsidRPr="00003CA7">
      <w:rPr>
        <w:b/>
        <w:bCs/>
        <w:noProof/>
        <w:color w:val="FF0000"/>
      </w:rPr>
      <w:drawing>
        <wp:anchor distT="0" distB="0" distL="114300" distR="114300" simplePos="0" relativeHeight="251658241" behindDoc="1" locked="0" layoutInCell="1" allowOverlap="1" wp14:anchorId="3D937682" wp14:editId="6B2E35F7">
          <wp:simplePos x="0" y="0"/>
          <wp:positionH relativeFrom="page">
            <wp:align>left</wp:align>
          </wp:positionH>
          <wp:positionV relativeFrom="paragraph">
            <wp:posOffset>104737</wp:posOffset>
          </wp:positionV>
          <wp:extent cx="10692000" cy="1258221"/>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extLst>
                      <a:ext uri="{28A0092B-C50C-407E-A947-70E740481C1C}">
                        <a14:useLocalDpi xmlns:a14="http://schemas.microsoft.com/office/drawing/2010/main" val="0"/>
                      </a:ext>
                    </a:extLst>
                  </a:blip>
                  <a:stretch>
                    <a:fillRect/>
                  </a:stretch>
                </pic:blipFill>
                <pic:spPr>
                  <a:xfrm>
                    <a:off x="0" y="0"/>
                    <a:ext cx="10692000" cy="12582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5281B60"/>
    <w:lvl w:ilvl="0">
      <w:start w:val="1"/>
      <w:numFmt w:val="bullet"/>
      <w:lvlText w:val=""/>
      <w:lvlJc w:val="left"/>
      <w:pPr>
        <w:tabs>
          <w:tab w:val="num" w:pos="850"/>
        </w:tabs>
        <w:ind w:left="850" w:firstLine="0"/>
      </w:pPr>
      <w:rPr>
        <w:rFonts w:ascii="Symbol" w:hAnsi="Symbol" w:hint="default"/>
      </w:rPr>
    </w:lvl>
    <w:lvl w:ilvl="1">
      <w:start w:val="1"/>
      <w:numFmt w:val="bullet"/>
      <w:lvlText w:val=""/>
      <w:lvlJc w:val="left"/>
      <w:pPr>
        <w:tabs>
          <w:tab w:val="num" w:pos="1570"/>
        </w:tabs>
        <w:ind w:left="1930" w:hanging="360"/>
      </w:pPr>
      <w:rPr>
        <w:rFonts w:ascii="Symbol" w:hAnsi="Symbol" w:hint="default"/>
      </w:rPr>
    </w:lvl>
    <w:lvl w:ilvl="2">
      <w:start w:val="1"/>
      <w:numFmt w:val="bullet"/>
      <w:lvlText w:val="o"/>
      <w:lvlJc w:val="left"/>
      <w:pPr>
        <w:tabs>
          <w:tab w:val="num" w:pos="2290"/>
        </w:tabs>
        <w:ind w:left="2650" w:hanging="360"/>
      </w:pPr>
      <w:rPr>
        <w:rFonts w:ascii="Courier New" w:hAnsi="Courier New" w:cs="Courier New" w:hint="default"/>
      </w:rPr>
    </w:lvl>
    <w:lvl w:ilvl="3">
      <w:start w:val="1"/>
      <w:numFmt w:val="bullet"/>
      <w:lvlText w:val=""/>
      <w:lvlJc w:val="left"/>
      <w:pPr>
        <w:tabs>
          <w:tab w:val="num" w:pos="3010"/>
        </w:tabs>
        <w:ind w:left="3370" w:hanging="360"/>
      </w:pPr>
      <w:rPr>
        <w:rFonts w:ascii="Wingdings" w:hAnsi="Wingdings" w:hint="default"/>
      </w:rPr>
    </w:lvl>
    <w:lvl w:ilvl="4">
      <w:start w:val="1"/>
      <w:numFmt w:val="bullet"/>
      <w:lvlText w:val=""/>
      <w:lvlJc w:val="left"/>
      <w:pPr>
        <w:tabs>
          <w:tab w:val="num" w:pos="3730"/>
        </w:tabs>
        <w:ind w:left="4090" w:hanging="360"/>
      </w:pPr>
      <w:rPr>
        <w:rFonts w:ascii="Wingdings" w:hAnsi="Wingdings" w:hint="default"/>
      </w:rPr>
    </w:lvl>
    <w:lvl w:ilvl="5">
      <w:start w:val="1"/>
      <w:numFmt w:val="bullet"/>
      <w:lvlText w:val=""/>
      <w:lvlJc w:val="left"/>
      <w:pPr>
        <w:tabs>
          <w:tab w:val="num" w:pos="4450"/>
        </w:tabs>
        <w:ind w:left="4810" w:hanging="360"/>
      </w:pPr>
      <w:rPr>
        <w:rFonts w:ascii="Symbol" w:hAnsi="Symbol" w:hint="default"/>
      </w:rPr>
    </w:lvl>
    <w:lvl w:ilvl="6">
      <w:start w:val="1"/>
      <w:numFmt w:val="bullet"/>
      <w:lvlText w:val="o"/>
      <w:lvlJc w:val="left"/>
      <w:pPr>
        <w:tabs>
          <w:tab w:val="num" w:pos="5170"/>
        </w:tabs>
        <w:ind w:left="5530" w:hanging="360"/>
      </w:pPr>
      <w:rPr>
        <w:rFonts w:ascii="Courier New" w:hAnsi="Courier New" w:cs="Courier New" w:hint="default"/>
      </w:rPr>
    </w:lvl>
    <w:lvl w:ilvl="7">
      <w:start w:val="1"/>
      <w:numFmt w:val="bullet"/>
      <w:lvlText w:val=""/>
      <w:lvlJc w:val="left"/>
      <w:pPr>
        <w:tabs>
          <w:tab w:val="num" w:pos="5890"/>
        </w:tabs>
        <w:ind w:left="6250" w:hanging="360"/>
      </w:pPr>
      <w:rPr>
        <w:rFonts w:ascii="Wingdings" w:hAnsi="Wingdings" w:hint="default"/>
      </w:rPr>
    </w:lvl>
    <w:lvl w:ilvl="8">
      <w:start w:val="1"/>
      <w:numFmt w:val="bullet"/>
      <w:lvlText w:val=""/>
      <w:lvlJc w:val="left"/>
      <w:pPr>
        <w:tabs>
          <w:tab w:val="num" w:pos="6610"/>
        </w:tabs>
        <w:ind w:left="6970" w:hanging="360"/>
      </w:pPr>
      <w:rPr>
        <w:rFonts w:ascii="Wingdings" w:hAnsi="Wingdings" w:hint="default"/>
      </w:rPr>
    </w:lvl>
  </w:abstractNum>
  <w:abstractNum w:abstractNumId="1" w15:restartNumberingAfterBreak="0">
    <w:nsid w:val="012E6CF3"/>
    <w:multiLevelType w:val="hybridMultilevel"/>
    <w:tmpl w:val="D372373E"/>
    <w:lvl w:ilvl="0" w:tplc="D16808AE">
      <w:start w:val="1"/>
      <w:numFmt w:val="bullet"/>
      <w:lvlText w:val="–"/>
      <w:lvlJc w:val="left"/>
      <w:pPr>
        <w:ind w:left="851" w:hanging="284"/>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E0CA5C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AE291F"/>
    <w:multiLevelType w:val="hybridMultilevel"/>
    <w:tmpl w:val="A6C44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EA6E5A"/>
    <w:multiLevelType w:val="multilevel"/>
    <w:tmpl w:val="5B8A12AC"/>
    <w:lvl w:ilvl="0">
      <w:start w:val="1"/>
      <w:numFmt w:val="bullet"/>
      <w:lvlText w:val=""/>
      <w:lvlJc w:val="left"/>
      <w:pPr>
        <w:ind w:left="397" w:hanging="397"/>
      </w:pPr>
      <w:rPr>
        <w:rFonts w:ascii="Symbol" w:hAnsi="Symbol" w:hint="default"/>
      </w:rPr>
    </w:lvl>
    <w:lvl w:ilvl="1">
      <w:start w:val="1"/>
      <w:numFmt w:val="bullet"/>
      <w:lvlText w:val="–"/>
      <w:lvlJc w:val="left"/>
      <w:pPr>
        <w:ind w:left="397" w:firstLine="0"/>
      </w:pPr>
      <w:rPr>
        <w:rFonts w:ascii="Times New Roman" w:hAnsi="Times New Roman" w:cs="Times New Roman" w:hint="default"/>
      </w:rPr>
    </w:lvl>
    <w:lvl w:ilvl="2">
      <w:start w:val="1"/>
      <w:numFmt w:val="bullet"/>
      <w:lvlText w:val=""/>
      <w:lvlJc w:val="left"/>
      <w:pPr>
        <w:ind w:left="2313" w:hanging="360"/>
      </w:pPr>
      <w:rPr>
        <w:rFonts w:ascii="Wingdings" w:hAnsi="Wingdings" w:hint="default"/>
      </w:rPr>
    </w:lvl>
    <w:lvl w:ilvl="3">
      <w:start w:val="1"/>
      <w:numFmt w:val="bullet"/>
      <w:lvlText w:val=""/>
      <w:lvlJc w:val="left"/>
      <w:pPr>
        <w:ind w:left="3033" w:hanging="360"/>
      </w:pPr>
      <w:rPr>
        <w:rFonts w:ascii="Symbol" w:hAnsi="Symbol" w:hint="default"/>
      </w:rPr>
    </w:lvl>
    <w:lvl w:ilvl="4">
      <w:start w:val="1"/>
      <w:numFmt w:val="bullet"/>
      <w:lvlText w:val="o"/>
      <w:lvlJc w:val="left"/>
      <w:pPr>
        <w:ind w:left="3753" w:hanging="360"/>
      </w:pPr>
      <w:rPr>
        <w:rFonts w:ascii="Courier New" w:hAnsi="Courier New" w:cs="Courier New" w:hint="default"/>
      </w:rPr>
    </w:lvl>
    <w:lvl w:ilvl="5">
      <w:start w:val="1"/>
      <w:numFmt w:val="bullet"/>
      <w:lvlText w:val=""/>
      <w:lvlJc w:val="left"/>
      <w:pPr>
        <w:ind w:left="4473" w:hanging="360"/>
      </w:pPr>
      <w:rPr>
        <w:rFonts w:ascii="Wingdings" w:hAnsi="Wingdings" w:hint="default"/>
      </w:rPr>
    </w:lvl>
    <w:lvl w:ilvl="6">
      <w:start w:val="1"/>
      <w:numFmt w:val="bullet"/>
      <w:lvlText w:val=""/>
      <w:lvlJc w:val="left"/>
      <w:pPr>
        <w:ind w:left="5193" w:hanging="360"/>
      </w:pPr>
      <w:rPr>
        <w:rFonts w:ascii="Symbol" w:hAnsi="Symbol" w:hint="default"/>
      </w:rPr>
    </w:lvl>
    <w:lvl w:ilvl="7">
      <w:start w:val="1"/>
      <w:numFmt w:val="bullet"/>
      <w:lvlText w:val="o"/>
      <w:lvlJc w:val="left"/>
      <w:pPr>
        <w:ind w:left="5913" w:hanging="360"/>
      </w:pPr>
      <w:rPr>
        <w:rFonts w:ascii="Courier New" w:hAnsi="Courier New" w:cs="Courier New" w:hint="default"/>
      </w:rPr>
    </w:lvl>
    <w:lvl w:ilvl="8">
      <w:start w:val="1"/>
      <w:numFmt w:val="bullet"/>
      <w:lvlText w:val=""/>
      <w:lvlJc w:val="left"/>
      <w:pPr>
        <w:ind w:left="6633" w:hanging="360"/>
      </w:pPr>
      <w:rPr>
        <w:rFonts w:ascii="Wingdings" w:hAnsi="Wingdings" w:hint="default"/>
      </w:rPr>
    </w:lvl>
  </w:abstractNum>
  <w:abstractNum w:abstractNumId="5" w15:restartNumberingAfterBreak="0">
    <w:nsid w:val="38763989"/>
    <w:multiLevelType w:val="hybridMultilevel"/>
    <w:tmpl w:val="016CE1F4"/>
    <w:lvl w:ilvl="0" w:tplc="DFB81DB4">
      <w:start w:val="1"/>
      <w:numFmt w:val="bullet"/>
      <w:pStyle w:val="ListParagraph"/>
      <w:lvlText w:val=""/>
      <w:lvlJc w:val="left"/>
      <w:pPr>
        <w:ind w:left="360" w:hanging="360"/>
      </w:pPr>
      <w:rPr>
        <w:rFonts w:ascii="Symbol" w:hAnsi="Symbol" w:hint="default"/>
      </w:rPr>
    </w:lvl>
    <w:lvl w:ilvl="1" w:tplc="D16808AE">
      <w:start w:val="1"/>
      <w:numFmt w:val="bullet"/>
      <w:lvlText w:val="–"/>
      <w:lvlJc w:val="left"/>
      <w:pPr>
        <w:ind w:left="851" w:hanging="284"/>
      </w:pPr>
      <w:rPr>
        <w:rFonts w:ascii="Times New Roman" w:hAnsi="Times New Roman" w:cs="Times New Roman"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8F55488"/>
    <w:multiLevelType w:val="hybridMultilevel"/>
    <w:tmpl w:val="8C425E06"/>
    <w:lvl w:ilvl="0" w:tplc="E9282266">
      <w:start w:val="1"/>
      <w:numFmt w:val="bullet"/>
      <w:lvlText w:val=""/>
      <w:lvlJc w:val="left"/>
      <w:pPr>
        <w:ind w:left="360" w:hanging="360"/>
      </w:pPr>
      <w:rPr>
        <w:rFonts w:ascii="Symbol" w:hAnsi="Symbol" w:hint="default"/>
      </w:rPr>
    </w:lvl>
    <w:lvl w:ilvl="1" w:tplc="DB783390">
      <w:start w:val="1"/>
      <w:numFmt w:val="bullet"/>
      <w:lvlText w:val="o"/>
      <w:lvlJc w:val="left"/>
      <w:pPr>
        <w:ind w:left="851" w:hanging="284"/>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A713109"/>
    <w:multiLevelType w:val="hybridMultilevel"/>
    <w:tmpl w:val="1BFE4A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56A3A4A"/>
    <w:multiLevelType w:val="hybridMultilevel"/>
    <w:tmpl w:val="B9C0A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7014489"/>
    <w:multiLevelType w:val="multilevel"/>
    <w:tmpl w:val="F580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C56B5A"/>
    <w:multiLevelType w:val="hybridMultilevel"/>
    <w:tmpl w:val="6E706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2F7925"/>
    <w:multiLevelType w:val="multilevel"/>
    <w:tmpl w:val="50FE947C"/>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Times New Roman" w:hAnsi="Times New Roman" w:cs="Times New Roman" w:hint="default"/>
      </w:rPr>
    </w:lvl>
    <w:lvl w:ilvl="2">
      <w:start w:val="1"/>
      <w:numFmt w:val="bullet"/>
      <w:lvlText w:val=""/>
      <w:lvlJc w:val="left"/>
      <w:pPr>
        <w:ind w:left="2313" w:hanging="360"/>
      </w:pPr>
      <w:rPr>
        <w:rFonts w:ascii="Wingdings" w:hAnsi="Wingdings" w:hint="default"/>
      </w:rPr>
    </w:lvl>
    <w:lvl w:ilvl="3">
      <w:start w:val="1"/>
      <w:numFmt w:val="bullet"/>
      <w:lvlText w:val=""/>
      <w:lvlJc w:val="left"/>
      <w:pPr>
        <w:ind w:left="3033" w:hanging="360"/>
      </w:pPr>
      <w:rPr>
        <w:rFonts w:ascii="Symbol" w:hAnsi="Symbol" w:hint="default"/>
      </w:rPr>
    </w:lvl>
    <w:lvl w:ilvl="4">
      <w:start w:val="1"/>
      <w:numFmt w:val="bullet"/>
      <w:lvlText w:val="o"/>
      <w:lvlJc w:val="left"/>
      <w:pPr>
        <w:ind w:left="3753" w:hanging="360"/>
      </w:pPr>
      <w:rPr>
        <w:rFonts w:ascii="Courier New" w:hAnsi="Courier New" w:cs="Courier New" w:hint="default"/>
      </w:rPr>
    </w:lvl>
    <w:lvl w:ilvl="5">
      <w:start w:val="1"/>
      <w:numFmt w:val="bullet"/>
      <w:lvlText w:val=""/>
      <w:lvlJc w:val="left"/>
      <w:pPr>
        <w:ind w:left="4473" w:hanging="360"/>
      </w:pPr>
      <w:rPr>
        <w:rFonts w:ascii="Wingdings" w:hAnsi="Wingdings" w:hint="default"/>
      </w:rPr>
    </w:lvl>
    <w:lvl w:ilvl="6">
      <w:start w:val="1"/>
      <w:numFmt w:val="bullet"/>
      <w:lvlText w:val=""/>
      <w:lvlJc w:val="left"/>
      <w:pPr>
        <w:ind w:left="5193" w:hanging="360"/>
      </w:pPr>
      <w:rPr>
        <w:rFonts w:ascii="Symbol" w:hAnsi="Symbol" w:hint="default"/>
      </w:rPr>
    </w:lvl>
    <w:lvl w:ilvl="7">
      <w:start w:val="1"/>
      <w:numFmt w:val="bullet"/>
      <w:lvlText w:val="o"/>
      <w:lvlJc w:val="left"/>
      <w:pPr>
        <w:ind w:left="5913" w:hanging="360"/>
      </w:pPr>
      <w:rPr>
        <w:rFonts w:ascii="Courier New" w:hAnsi="Courier New" w:cs="Courier New" w:hint="default"/>
      </w:rPr>
    </w:lvl>
    <w:lvl w:ilvl="8">
      <w:start w:val="1"/>
      <w:numFmt w:val="bullet"/>
      <w:lvlText w:val=""/>
      <w:lvlJc w:val="left"/>
      <w:pPr>
        <w:ind w:left="6633" w:hanging="360"/>
      </w:pPr>
      <w:rPr>
        <w:rFonts w:ascii="Wingdings" w:hAnsi="Wingdings" w:hint="default"/>
      </w:rPr>
    </w:lvl>
  </w:abstractNum>
  <w:abstractNum w:abstractNumId="12" w15:restartNumberingAfterBreak="0">
    <w:nsid w:val="4C69229E"/>
    <w:multiLevelType w:val="multilevel"/>
    <w:tmpl w:val="5D16A0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D53370F"/>
    <w:multiLevelType w:val="multilevel"/>
    <w:tmpl w:val="50FE947C"/>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Times New Roman" w:hAnsi="Times New Roman" w:cs="Times New Roman" w:hint="default"/>
      </w:rPr>
    </w:lvl>
    <w:lvl w:ilvl="2">
      <w:start w:val="1"/>
      <w:numFmt w:val="bullet"/>
      <w:lvlText w:val=""/>
      <w:lvlJc w:val="left"/>
      <w:pPr>
        <w:ind w:left="2313" w:hanging="360"/>
      </w:pPr>
      <w:rPr>
        <w:rFonts w:ascii="Wingdings" w:hAnsi="Wingdings" w:hint="default"/>
      </w:rPr>
    </w:lvl>
    <w:lvl w:ilvl="3">
      <w:start w:val="1"/>
      <w:numFmt w:val="bullet"/>
      <w:lvlText w:val=""/>
      <w:lvlJc w:val="left"/>
      <w:pPr>
        <w:ind w:left="3033" w:hanging="360"/>
      </w:pPr>
      <w:rPr>
        <w:rFonts w:ascii="Symbol" w:hAnsi="Symbol" w:hint="default"/>
      </w:rPr>
    </w:lvl>
    <w:lvl w:ilvl="4">
      <w:start w:val="1"/>
      <w:numFmt w:val="bullet"/>
      <w:lvlText w:val="o"/>
      <w:lvlJc w:val="left"/>
      <w:pPr>
        <w:ind w:left="3753" w:hanging="360"/>
      </w:pPr>
      <w:rPr>
        <w:rFonts w:ascii="Courier New" w:hAnsi="Courier New" w:cs="Courier New" w:hint="default"/>
      </w:rPr>
    </w:lvl>
    <w:lvl w:ilvl="5">
      <w:start w:val="1"/>
      <w:numFmt w:val="bullet"/>
      <w:lvlText w:val=""/>
      <w:lvlJc w:val="left"/>
      <w:pPr>
        <w:ind w:left="4473" w:hanging="360"/>
      </w:pPr>
      <w:rPr>
        <w:rFonts w:ascii="Wingdings" w:hAnsi="Wingdings" w:hint="default"/>
      </w:rPr>
    </w:lvl>
    <w:lvl w:ilvl="6">
      <w:start w:val="1"/>
      <w:numFmt w:val="bullet"/>
      <w:lvlText w:val=""/>
      <w:lvlJc w:val="left"/>
      <w:pPr>
        <w:ind w:left="5193" w:hanging="360"/>
      </w:pPr>
      <w:rPr>
        <w:rFonts w:ascii="Symbol" w:hAnsi="Symbol" w:hint="default"/>
      </w:rPr>
    </w:lvl>
    <w:lvl w:ilvl="7">
      <w:start w:val="1"/>
      <w:numFmt w:val="bullet"/>
      <w:lvlText w:val="o"/>
      <w:lvlJc w:val="left"/>
      <w:pPr>
        <w:ind w:left="5913" w:hanging="360"/>
      </w:pPr>
      <w:rPr>
        <w:rFonts w:ascii="Courier New" w:hAnsi="Courier New" w:cs="Courier New" w:hint="default"/>
      </w:rPr>
    </w:lvl>
    <w:lvl w:ilvl="8">
      <w:start w:val="1"/>
      <w:numFmt w:val="bullet"/>
      <w:lvlText w:val=""/>
      <w:lvlJc w:val="left"/>
      <w:pPr>
        <w:ind w:left="6633" w:hanging="360"/>
      </w:pPr>
      <w:rPr>
        <w:rFonts w:ascii="Wingdings" w:hAnsi="Wingdings" w:hint="default"/>
      </w:rPr>
    </w:lvl>
  </w:abstractNum>
  <w:abstractNum w:abstractNumId="14" w15:restartNumberingAfterBreak="0">
    <w:nsid w:val="559D40BD"/>
    <w:multiLevelType w:val="multilevel"/>
    <w:tmpl w:val="E8B4BE72"/>
    <w:styleLink w:val="List0"/>
    <w:lvl w:ilvl="0">
      <w:start w:val="1"/>
      <w:numFmt w:val="decimal"/>
      <w:lvlText w:val="%1."/>
      <w:lvlJc w:val="left"/>
      <w:pPr>
        <w:tabs>
          <w:tab w:val="num" w:pos="692"/>
        </w:tabs>
        <w:ind w:left="692" w:hanging="332"/>
      </w:pPr>
      <w:rPr>
        <w:rFonts w:ascii="Cambria" w:eastAsia="Times New Roman" w:hAnsi="Cambria" w:cs="Cambria"/>
        <w:position w:val="0"/>
        <w:sz w:val="28"/>
        <w:szCs w:val="28"/>
      </w:rPr>
    </w:lvl>
    <w:lvl w:ilvl="1">
      <w:start w:val="1"/>
      <w:numFmt w:val="lowerLetter"/>
      <w:lvlText w:val="%2."/>
      <w:lvlJc w:val="left"/>
      <w:pPr>
        <w:tabs>
          <w:tab w:val="num" w:pos="1440"/>
        </w:tabs>
        <w:ind w:left="1440" w:hanging="360"/>
      </w:pPr>
      <w:rPr>
        <w:rFonts w:ascii="Cambria" w:eastAsia="Times New Roman" w:hAnsi="Cambria" w:cs="Cambria"/>
        <w:position w:val="0"/>
        <w:sz w:val="24"/>
        <w:szCs w:val="24"/>
      </w:rPr>
    </w:lvl>
    <w:lvl w:ilvl="2">
      <w:start w:val="1"/>
      <w:numFmt w:val="lowerRoman"/>
      <w:lvlText w:val="%3."/>
      <w:lvlJc w:val="left"/>
      <w:pPr>
        <w:tabs>
          <w:tab w:val="num" w:pos="2160"/>
        </w:tabs>
        <w:ind w:left="2160" w:hanging="296"/>
      </w:pPr>
      <w:rPr>
        <w:rFonts w:ascii="Cambria" w:eastAsia="Times New Roman" w:hAnsi="Cambria" w:cs="Cambria"/>
        <w:position w:val="0"/>
        <w:sz w:val="24"/>
        <w:szCs w:val="24"/>
      </w:rPr>
    </w:lvl>
    <w:lvl w:ilvl="3">
      <w:start w:val="1"/>
      <w:numFmt w:val="decimal"/>
      <w:lvlText w:val="%4."/>
      <w:lvlJc w:val="left"/>
      <w:pPr>
        <w:tabs>
          <w:tab w:val="num" w:pos="2880"/>
        </w:tabs>
        <w:ind w:left="2880" w:hanging="360"/>
      </w:pPr>
      <w:rPr>
        <w:rFonts w:ascii="Cambria" w:eastAsia="Times New Roman" w:hAnsi="Cambria" w:cs="Cambria"/>
        <w:position w:val="0"/>
        <w:sz w:val="24"/>
        <w:szCs w:val="24"/>
      </w:rPr>
    </w:lvl>
    <w:lvl w:ilvl="4">
      <w:start w:val="1"/>
      <w:numFmt w:val="lowerLetter"/>
      <w:lvlText w:val="%5."/>
      <w:lvlJc w:val="left"/>
      <w:pPr>
        <w:tabs>
          <w:tab w:val="num" w:pos="3600"/>
        </w:tabs>
        <w:ind w:left="3600" w:hanging="360"/>
      </w:pPr>
      <w:rPr>
        <w:rFonts w:ascii="Cambria" w:eastAsia="Times New Roman" w:hAnsi="Cambria" w:cs="Cambria"/>
        <w:position w:val="0"/>
        <w:sz w:val="24"/>
        <w:szCs w:val="24"/>
      </w:rPr>
    </w:lvl>
    <w:lvl w:ilvl="5">
      <w:start w:val="1"/>
      <w:numFmt w:val="lowerRoman"/>
      <w:lvlText w:val="%6."/>
      <w:lvlJc w:val="left"/>
      <w:pPr>
        <w:tabs>
          <w:tab w:val="num" w:pos="4320"/>
        </w:tabs>
        <w:ind w:left="4320" w:hanging="296"/>
      </w:pPr>
      <w:rPr>
        <w:rFonts w:ascii="Cambria" w:eastAsia="Times New Roman" w:hAnsi="Cambria" w:cs="Cambria"/>
        <w:position w:val="0"/>
        <w:sz w:val="24"/>
        <w:szCs w:val="24"/>
      </w:rPr>
    </w:lvl>
    <w:lvl w:ilvl="6">
      <w:start w:val="1"/>
      <w:numFmt w:val="decimal"/>
      <w:lvlText w:val="%7."/>
      <w:lvlJc w:val="left"/>
      <w:pPr>
        <w:tabs>
          <w:tab w:val="num" w:pos="5040"/>
        </w:tabs>
        <w:ind w:left="5040" w:hanging="360"/>
      </w:pPr>
      <w:rPr>
        <w:rFonts w:ascii="Cambria" w:eastAsia="Times New Roman" w:hAnsi="Cambria" w:cs="Cambria"/>
        <w:position w:val="0"/>
        <w:sz w:val="24"/>
        <w:szCs w:val="24"/>
      </w:rPr>
    </w:lvl>
    <w:lvl w:ilvl="7">
      <w:start w:val="1"/>
      <w:numFmt w:val="lowerLetter"/>
      <w:lvlText w:val="%8."/>
      <w:lvlJc w:val="left"/>
      <w:pPr>
        <w:tabs>
          <w:tab w:val="num" w:pos="5760"/>
        </w:tabs>
        <w:ind w:left="5760" w:hanging="360"/>
      </w:pPr>
      <w:rPr>
        <w:rFonts w:ascii="Cambria" w:eastAsia="Times New Roman" w:hAnsi="Cambria" w:cs="Cambria"/>
        <w:position w:val="0"/>
        <w:sz w:val="24"/>
        <w:szCs w:val="24"/>
      </w:rPr>
    </w:lvl>
    <w:lvl w:ilvl="8">
      <w:start w:val="1"/>
      <w:numFmt w:val="lowerRoman"/>
      <w:lvlText w:val="%9."/>
      <w:lvlJc w:val="left"/>
      <w:pPr>
        <w:tabs>
          <w:tab w:val="num" w:pos="6480"/>
        </w:tabs>
        <w:ind w:left="6480" w:hanging="296"/>
      </w:pPr>
      <w:rPr>
        <w:rFonts w:ascii="Cambria" w:eastAsia="Times New Roman" w:hAnsi="Cambria" w:cs="Cambria"/>
        <w:position w:val="0"/>
        <w:sz w:val="24"/>
        <w:szCs w:val="24"/>
      </w:rPr>
    </w:lvl>
  </w:abstractNum>
  <w:abstractNum w:abstractNumId="15" w15:restartNumberingAfterBreak="0">
    <w:nsid w:val="5D9D1304"/>
    <w:multiLevelType w:val="multilevel"/>
    <w:tmpl w:val="8B3C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4D3110"/>
    <w:multiLevelType w:val="multilevel"/>
    <w:tmpl w:val="1A6E5F86"/>
    <w:lvl w:ilvl="0">
      <w:start w:val="1"/>
      <w:numFmt w:val="decimal"/>
      <w:pStyle w:val="Agendaitem-main"/>
      <w:lvlText w:val="%1"/>
      <w:lvlJc w:val="left"/>
      <w:pPr>
        <w:ind w:left="360" w:hanging="360"/>
      </w:pPr>
      <w:rPr>
        <w:rFonts w:hint="default"/>
      </w:rPr>
    </w:lvl>
    <w:lvl w:ilvl="1">
      <w:start w:val="1"/>
      <w:numFmt w:val="decimal"/>
      <w:pStyle w:val="Agendaitem-supplementary"/>
      <w:lvlText w:val="%1.%2"/>
      <w:lvlJc w:val="left"/>
      <w:pPr>
        <w:tabs>
          <w:tab w:val="num" w:pos="567"/>
        </w:tabs>
        <w:ind w:left="567" w:hanging="567"/>
      </w:pPr>
      <w:rPr>
        <w:rFonts w:hint="default"/>
      </w:rPr>
    </w:lvl>
    <w:lvl w:ilvl="2">
      <w:start w:val="1"/>
      <w:numFmt w:val="decimal"/>
      <w:pStyle w:val="Agendaitem"/>
      <w:lvlText w:val="%1.%2.%3"/>
      <w:lvlJc w:val="left"/>
      <w:pPr>
        <w:tabs>
          <w:tab w:val="num" w:pos="567"/>
        </w:tabs>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57220B"/>
    <w:multiLevelType w:val="multilevel"/>
    <w:tmpl w:val="4EBA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511DA4"/>
    <w:multiLevelType w:val="multilevel"/>
    <w:tmpl w:val="50FE947C"/>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794"/>
        </w:tabs>
        <w:ind w:left="794" w:hanging="397"/>
      </w:pPr>
      <w:rPr>
        <w:rFonts w:ascii="Times New Roman" w:hAnsi="Times New Roman" w:cs="Times New Roman" w:hint="default"/>
      </w:rPr>
    </w:lvl>
    <w:lvl w:ilvl="2">
      <w:start w:val="1"/>
      <w:numFmt w:val="bullet"/>
      <w:lvlText w:val=""/>
      <w:lvlJc w:val="left"/>
      <w:pPr>
        <w:ind w:left="2313" w:hanging="360"/>
      </w:pPr>
      <w:rPr>
        <w:rFonts w:ascii="Wingdings" w:hAnsi="Wingdings" w:hint="default"/>
      </w:rPr>
    </w:lvl>
    <w:lvl w:ilvl="3">
      <w:start w:val="1"/>
      <w:numFmt w:val="bullet"/>
      <w:lvlText w:val=""/>
      <w:lvlJc w:val="left"/>
      <w:pPr>
        <w:ind w:left="3033" w:hanging="360"/>
      </w:pPr>
      <w:rPr>
        <w:rFonts w:ascii="Symbol" w:hAnsi="Symbol" w:hint="default"/>
      </w:rPr>
    </w:lvl>
    <w:lvl w:ilvl="4">
      <w:start w:val="1"/>
      <w:numFmt w:val="bullet"/>
      <w:lvlText w:val="o"/>
      <w:lvlJc w:val="left"/>
      <w:pPr>
        <w:ind w:left="3753" w:hanging="360"/>
      </w:pPr>
      <w:rPr>
        <w:rFonts w:ascii="Courier New" w:hAnsi="Courier New" w:cs="Courier New" w:hint="default"/>
      </w:rPr>
    </w:lvl>
    <w:lvl w:ilvl="5">
      <w:start w:val="1"/>
      <w:numFmt w:val="bullet"/>
      <w:lvlText w:val=""/>
      <w:lvlJc w:val="left"/>
      <w:pPr>
        <w:ind w:left="4473" w:hanging="360"/>
      </w:pPr>
      <w:rPr>
        <w:rFonts w:ascii="Wingdings" w:hAnsi="Wingdings" w:hint="default"/>
      </w:rPr>
    </w:lvl>
    <w:lvl w:ilvl="6">
      <w:start w:val="1"/>
      <w:numFmt w:val="bullet"/>
      <w:lvlText w:val=""/>
      <w:lvlJc w:val="left"/>
      <w:pPr>
        <w:ind w:left="5193" w:hanging="360"/>
      </w:pPr>
      <w:rPr>
        <w:rFonts w:ascii="Symbol" w:hAnsi="Symbol" w:hint="default"/>
      </w:rPr>
    </w:lvl>
    <w:lvl w:ilvl="7">
      <w:start w:val="1"/>
      <w:numFmt w:val="bullet"/>
      <w:lvlText w:val="o"/>
      <w:lvlJc w:val="left"/>
      <w:pPr>
        <w:ind w:left="5913" w:hanging="360"/>
      </w:pPr>
      <w:rPr>
        <w:rFonts w:ascii="Courier New" w:hAnsi="Courier New" w:cs="Courier New" w:hint="default"/>
      </w:rPr>
    </w:lvl>
    <w:lvl w:ilvl="8">
      <w:start w:val="1"/>
      <w:numFmt w:val="bullet"/>
      <w:lvlText w:val=""/>
      <w:lvlJc w:val="left"/>
      <w:pPr>
        <w:ind w:left="6633" w:hanging="360"/>
      </w:pPr>
      <w:rPr>
        <w:rFonts w:ascii="Wingdings" w:hAnsi="Wingdings" w:hint="default"/>
      </w:rPr>
    </w:lvl>
  </w:abstractNum>
  <w:num w:numId="1" w16cid:durableId="748502729">
    <w:abstractNumId w:val="3"/>
  </w:num>
  <w:num w:numId="2" w16cid:durableId="715811198">
    <w:abstractNumId w:val="6"/>
  </w:num>
  <w:num w:numId="3" w16cid:durableId="219904659">
    <w:abstractNumId w:val="10"/>
  </w:num>
  <w:num w:numId="4" w16cid:durableId="1649821438">
    <w:abstractNumId w:val="5"/>
  </w:num>
  <w:num w:numId="5" w16cid:durableId="836533554">
    <w:abstractNumId w:val="7"/>
  </w:num>
  <w:num w:numId="6" w16cid:durableId="1393653342">
    <w:abstractNumId w:val="14"/>
    <w:lvlOverride w:ilvl="0">
      <w:lvl w:ilvl="0">
        <w:start w:val="1"/>
        <w:numFmt w:val="decimal"/>
        <w:lvlText w:val="%1."/>
        <w:lvlJc w:val="left"/>
        <w:pPr>
          <w:tabs>
            <w:tab w:val="num" w:pos="692"/>
          </w:tabs>
          <w:ind w:left="692" w:hanging="332"/>
        </w:pPr>
        <w:rPr>
          <w:rFonts w:ascii="Cambria" w:eastAsia="Times New Roman" w:hAnsi="Cambria" w:cs="Cambria"/>
          <w:position w:val="0"/>
          <w:sz w:val="26"/>
          <w:szCs w:val="26"/>
        </w:rPr>
      </w:lvl>
    </w:lvlOverride>
    <w:lvlOverride w:ilvl="1">
      <w:lvl w:ilvl="1">
        <w:start w:val="1"/>
        <w:numFmt w:val="lowerLetter"/>
        <w:lvlText w:val="%2."/>
        <w:lvlJc w:val="left"/>
        <w:pPr>
          <w:tabs>
            <w:tab w:val="num" w:pos="1440"/>
          </w:tabs>
          <w:ind w:left="1440" w:hanging="360"/>
        </w:pPr>
        <w:rPr>
          <w:rFonts w:ascii="Cambria" w:eastAsia="Times New Roman" w:hAnsi="Cambria" w:cs="Cambria"/>
          <w:position w:val="0"/>
          <w:sz w:val="24"/>
          <w:szCs w:val="24"/>
        </w:rPr>
      </w:lvl>
    </w:lvlOverride>
    <w:lvlOverride w:ilvl="2">
      <w:lvl w:ilvl="2">
        <w:start w:val="1"/>
        <w:numFmt w:val="lowerRoman"/>
        <w:lvlText w:val="%3."/>
        <w:lvlJc w:val="left"/>
        <w:pPr>
          <w:tabs>
            <w:tab w:val="num" w:pos="2160"/>
          </w:tabs>
          <w:ind w:left="2160" w:hanging="296"/>
        </w:pPr>
        <w:rPr>
          <w:rFonts w:ascii="Cambria" w:eastAsia="Times New Roman" w:hAnsi="Cambria" w:cs="Cambria"/>
          <w:position w:val="0"/>
          <w:sz w:val="24"/>
          <w:szCs w:val="24"/>
        </w:rPr>
      </w:lvl>
    </w:lvlOverride>
    <w:lvlOverride w:ilvl="3">
      <w:lvl w:ilvl="3">
        <w:start w:val="1"/>
        <w:numFmt w:val="decimal"/>
        <w:lvlText w:val="%4."/>
        <w:lvlJc w:val="left"/>
        <w:pPr>
          <w:tabs>
            <w:tab w:val="num" w:pos="2880"/>
          </w:tabs>
          <w:ind w:left="2880" w:hanging="360"/>
        </w:pPr>
        <w:rPr>
          <w:rFonts w:ascii="Cambria" w:eastAsia="Times New Roman" w:hAnsi="Cambria" w:cs="Cambria"/>
          <w:position w:val="0"/>
          <w:sz w:val="24"/>
          <w:szCs w:val="24"/>
        </w:rPr>
      </w:lvl>
    </w:lvlOverride>
    <w:lvlOverride w:ilvl="4">
      <w:lvl w:ilvl="4">
        <w:start w:val="1"/>
        <w:numFmt w:val="lowerLetter"/>
        <w:lvlText w:val="%5."/>
        <w:lvlJc w:val="left"/>
        <w:pPr>
          <w:tabs>
            <w:tab w:val="num" w:pos="3600"/>
          </w:tabs>
          <w:ind w:left="3600" w:hanging="360"/>
        </w:pPr>
        <w:rPr>
          <w:rFonts w:ascii="Cambria" w:eastAsia="Times New Roman" w:hAnsi="Cambria" w:cs="Cambria"/>
          <w:position w:val="0"/>
          <w:sz w:val="24"/>
          <w:szCs w:val="24"/>
        </w:rPr>
      </w:lvl>
    </w:lvlOverride>
    <w:lvlOverride w:ilvl="5">
      <w:lvl w:ilvl="5">
        <w:start w:val="1"/>
        <w:numFmt w:val="lowerRoman"/>
        <w:lvlText w:val="%6."/>
        <w:lvlJc w:val="left"/>
        <w:pPr>
          <w:tabs>
            <w:tab w:val="num" w:pos="4320"/>
          </w:tabs>
          <w:ind w:left="4320" w:hanging="296"/>
        </w:pPr>
        <w:rPr>
          <w:rFonts w:ascii="Cambria" w:eastAsia="Times New Roman" w:hAnsi="Cambria" w:cs="Cambria"/>
          <w:position w:val="0"/>
          <w:sz w:val="24"/>
          <w:szCs w:val="24"/>
        </w:rPr>
      </w:lvl>
    </w:lvlOverride>
    <w:lvlOverride w:ilvl="6">
      <w:lvl w:ilvl="6">
        <w:start w:val="1"/>
        <w:numFmt w:val="decimal"/>
        <w:lvlText w:val="%7."/>
        <w:lvlJc w:val="left"/>
        <w:pPr>
          <w:tabs>
            <w:tab w:val="num" w:pos="5040"/>
          </w:tabs>
          <w:ind w:left="5040" w:hanging="360"/>
        </w:pPr>
        <w:rPr>
          <w:rFonts w:ascii="Cambria" w:eastAsia="Times New Roman" w:hAnsi="Cambria" w:cs="Cambria"/>
          <w:position w:val="0"/>
          <w:sz w:val="24"/>
          <w:szCs w:val="24"/>
        </w:rPr>
      </w:lvl>
    </w:lvlOverride>
    <w:lvlOverride w:ilvl="7">
      <w:lvl w:ilvl="7">
        <w:start w:val="1"/>
        <w:numFmt w:val="lowerLetter"/>
        <w:lvlText w:val="%8."/>
        <w:lvlJc w:val="left"/>
        <w:pPr>
          <w:tabs>
            <w:tab w:val="num" w:pos="5760"/>
          </w:tabs>
          <w:ind w:left="5760" w:hanging="360"/>
        </w:pPr>
        <w:rPr>
          <w:rFonts w:ascii="Cambria" w:eastAsia="Times New Roman" w:hAnsi="Cambria" w:cs="Cambria"/>
          <w:position w:val="0"/>
          <w:sz w:val="24"/>
          <w:szCs w:val="24"/>
        </w:rPr>
      </w:lvl>
    </w:lvlOverride>
    <w:lvlOverride w:ilvl="8">
      <w:lvl w:ilvl="8">
        <w:start w:val="1"/>
        <w:numFmt w:val="lowerRoman"/>
        <w:lvlText w:val="%9."/>
        <w:lvlJc w:val="left"/>
        <w:pPr>
          <w:tabs>
            <w:tab w:val="num" w:pos="6480"/>
          </w:tabs>
          <w:ind w:left="6480" w:hanging="296"/>
        </w:pPr>
        <w:rPr>
          <w:rFonts w:ascii="Cambria" w:eastAsia="Times New Roman" w:hAnsi="Cambria" w:cs="Cambria"/>
          <w:position w:val="0"/>
          <w:sz w:val="24"/>
          <w:szCs w:val="24"/>
        </w:rPr>
      </w:lvl>
    </w:lvlOverride>
  </w:num>
  <w:num w:numId="7" w16cid:durableId="115486137">
    <w:abstractNumId w:val="14"/>
  </w:num>
  <w:num w:numId="8" w16cid:durableId="543522585">
    <w:abstractNumId w:val="1"/>
  </w:num>
  <w:num w:numId="9" w16cid:durableId="1522892668">
    <w:abstractNumId w:val="18"/>
  </w:num>
  <w:num w:numId="10" w16cid:durableId="2103910189">
    <w:abstractNumId w:val="4"/>
  </w:num>
  <w:num w:numId="11" w16cid:durableId="1772704905">
    <w:abstractNumId w:val="11"/>
  </w:num>
  <w:num w:numId="12" w16cid:durableId="590628640">
    <w:abstractNumId w:val="13"/>
  </w:num>
  <w:num w:numId="13" w16cid:durableId="2051296775">
    <w:abstractNumId w:val="16"/>
  </w:num>
  <w:num w:numId="14" w16cid:durableId="1870676462">
    <w:abstractNumId w:val="2"/>
  </w:num>
  <w:num w:numId="15" w16cid:durableId="1674408160">
    <w:abstractNumId w:val="0"/>
  </w:num>
  <w:num w:numId="16" w16cid:durableId="866911018">
    <w:abstractNumId w:val="9"/>
  </w:num>
  <w:num w:numId="17" w16cid:durableId="1201018092">
    <w:abstractNumId w:val="17"/>
  </w:num>
  <w:num w:numId="18" w16cid:durableId="554588573">
    <w:abstractNumId w:val="15"/>
  </w:num>
  <w:num w:numId="19" w16cid:durableId="1406411135">
    <w:abstractNumId w:val="12"/>
  </w:num>
  <w:num w:numId="20" w16cid:durableId="1490175388">
    <w:abstractNumId w:val="8"/>
  </w:num>
  <w:num w:numId="21" w16cid:durableId="16899431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72C"/>
    <w:rsid w:val="00002129"/>
    <w:rsid w:val="00016ACB"/>
    <w:rsid w:val="00037687"/>
    <w:rsid w:val="00066B27"/>
    <w:rsid w:val="00080CFF"/>
    <w:rsid w:val="00082E26"/>
    <w:rsid w:val="000917AA"/>
    <w:rsid w:val="000921E1"/>
    <w:rsid w:val="000B230B"/>
    <w:rsid w:val="000C151E"/>
    <w:rsid w:val="000D27C8"/>
    <w:rsid w:val="000E5FE9"/>
    <w:rsid w:val="000F3AB1"/>
    <w:rsid w:val="000F73FB"/>
    <w:rsid w:val="0010348D"/>
    <w:rsid w:val="001751C2"/>
    <w:rsid w:val="001800F4"/>
    <w:rsid w:val="00192A8D"/>
    <w:rsid w:val="001A11CB"/>
    <w:rsid w:val="001A1D26"/>
    <w:rsid w:val="001F5B95"/>
    <w:rsid w:val="00211B48"/>
    <w:rsid w:val="002356D6"/>
    <w:rsid w:val="002970A3"/>
    <w:rsid w:val="002E0A05"/>
    <w:rsid w:val="002E4FB2"/>
    <w:rsid w:val="003014F6"/>
    <w:rsid w:val="00306F9D"/>
    <w:rsid w:val="00315F2D"/>
    <w:rsid w:val="003209C4"/>
    <w:rsid w:val="00327077"/>
    <w:rsid w:val="00343DBC"/>
    <w:rsid w:val="00347B89"/>
    <w:rsid w:val="003515D6"/>
    <w:rsid w:val="0036244D"/>
    <w:rsid w:val="00370113"/>
    <w:rsid w:val="00371D12"/>
    <w:rsid w:val="003833DB"/>
    <w:rsid w:val="003939E0"/>
    <w:rsid w:val="003A238E"/>
    <w:rsid w:val="003B0342"/>
    <w:rsid w:val="003B0414"/>
    <w:rsid w:val="003D2646"/>
    <w:rsid w:val="003D265D"/>
    <w:rsid w:val="00412CF8"/>
    <w:rsid w:val="00434381"/>
    <w:rsid w:val="004577AE"/>
    <w:rsid w:val="00474217"/>
    <w:rsid w:val="004E4746"/>
    <w:rsid w:val="00504609"/>
    <w:rsid w:val="00511AFD"/>
    <w:rsid w:val="00521244"/>
    <w:rsid w:val="005240C7"/>
    <w:rsid w:val="0052614D"/>
    <w:rsid w:val="0054455D"/>
    <w:rsid w:val="00546B23"/>
    <w:rsid w:val="00561136"/>
    <w:rsid w:val="0056584C"/>
    <w:rsid w:val="00570B3E"/>
    <w:rsid w:val="005860F6"/>
    <w:rsid w:val="00586DAE"/>
    <w:rsid w:val="00591D67"/>
    <w:rsid w:val="005A3C27"/>
    <w:rsid w:val="005B28E2"/>
    <w:rsid w:val="005B2AF0"/>
    <w:rsid w:val="005D397E"/>
    <w:rsid w:val="005E4E90"/>
    <w:rsid w:val="005E6E38"/>
    <w:rsid w:val="00621F3A"/>
    <w:rsid w:val="00634D40"/>
    <w:rsid w:val="006412D7"/>
    <w:rsid w:val="0065086F"/>
    <w:rsid w:val="00675D04"/>
    <w:rsid w:val="00675E49"/>
    <w:rsid w:val="006A1C76"/>
    <w:rsid w:val="006A3A5C"/>
    <w:rsid w:val="006E59E8"/>
    <w:rsid w:val="0070735A"/>
    <w:rsid w:val="00714AE0"/>
    <w:rsid w:val="00736614"/>
    <w:rsid w:val="00751131"/>
    <w:rsid w:val="00760F5E"/>
    <w:rsid w:val="00773B43"/>
    <w:rsid w:val="0078149B"/>
    <w:rsid w:val="00787C08"/>
    <w:rsid w:val="00794608"/>
    <w:rsid w:val="007A0993"/>
    <w:rsid w:val="007A436E"/>
    <w:rsid w:val="007D153D"/>
    <w:rsid w:val="00841065"/>
    <w:rsid w:val="00856998"/>
    <w:rsid w:val="00861C76"/>
    <w:rsid w:val="008C6DD1"/>
    <w:rsid w:val="008F4755"/>
    <w:rsid w:val="009112BD"/>
    <w:rsid w:val="00916E3D"/>
    <w:rsid w:val="009364DB"/>
    <w:rsid w:val="009A7F99"/>
    <w:rsid w:val="009C7342"/>
    <w:rsid w:val="009D172C"/>
    <w:rsid w:val="009D5DD2"/>
    <w:rsid w:val="009F3F6D"/>
    <w:rsid w:val="00A02E0F"/>
    <w:rsid w:val="00A206FD"/>
    <w:rsid w:val="00A43531"/>
    <w:rsid w:val="00A715E3"/>
    <w:rsid w:val="00A847BC"/>
    <w:rsid w:val="00A8520D"/>
    <w:rsid w:val="00A95393"/>
    <w:rsid w:val="00AA0792"/>
    <w:rsid w:val="00AB60B6"/>
    <w:rsid w:val="00AB6DA9"/>
    <w:rsid w:val="00AD098C"/>
    <w:rsid w:val="00AD2D61"/>
    <w:rsid w:val="00AE04BC"/>
    <w:rsid w:val="00B54750"/>
    <w:rsid w:val="00B83B01"/>
    <w:rsid w:val="00BB0C76"/>
    <w:rsid w:val="00BB1C56"/>
    <w:rsid w:val="00BD307C"/>
    <w:rsid w:val="00BE6683"/>
    <w:rsid w:val="00BE6F66"/>
    <w:rsid w:val="00BF2650"/>
    <w:rsid w:val="00C42E68"/>
    <w:rsid w:val="00C84AF5"/>
    <w:rsid w:val="00C90747"/>
    <w:rsid w:val="00CB1544"/>
    <w:rsid w:val="00CB16F4"/>
    <w:rsid w:val="00CC1541"/>
    <w:rsid w:val="00CE104F"/>
    <w:rsid w:val="00CE5733"/>
    <w:rsid w:val="00CF112E"/>
    <w:rsid w:val="00D22F8B"/>
    <w:rsid w:val="00D24A37"/>
    <w:rsid w:val="00D27427"/>
    <w:rsid w:val="00D5393A"/>
    <w:rsid w:val="00D70D97"/>
    <w:rsid w:val="00D770E7"/>
    <w:rsid w:val="00D87798"/>
    <w:rsid w:val="00DC1B49"/>
    <w:rsid w:val="00DF7FFA"/>
    <w:rsid w:val="00E049B9"/>
    <w:rsid w:val="00E152A2"/>
    <w:rsid w:val="00E221DF"/>
    <w:rsid w:val="00E25BD4"/>
    <w:rsid w:val="00E26CBA"/>
    <w:rsid w:val="00E32A56"/>
    <w:rsid w:val="00E36890"/>
    <w:rsid w:val="00E54D3A"/>
    <w:rsid w:val="00E8675D"/>
    <w:rsid w:val="00E90871"/>
    <w:rsid w:val="00EF7D61"/>
    <w:rsid w:val="00F30B42"/>
    <w:rsid w:val="00F87EA5"/>
    <w:rsid w:val="00FA41DD"/>
    <w:rsid w:val="00FA4D16"/>
    <w:rsid w:val="00FB225B"/>
    <w:rsid w:val="00FF6A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0D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44444"/>
        <w:sz w:val="22"/>
        <w:szCs w:val="22"/>
        <w:lang w:val="en-AU" w:eastAsia="en-US" w:bidi="ar-SA"/>
      </w:rPr>
    </w:rPrDefault>
    <w:pPrDefault>
      <w:pPr>
        <w:spacing w:before="2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E26"/>
  </w:style>
  <w:style w:type="paragraph" w:styleId="Heading1">
    <w:name w:val="heading 1"/>
    <w:basedOn w:val="Normal"/>
    <w:next w:val="Normal"/>
    <w:link w:val="Heading1Char"/>
    <w:uiPriority w:val="9"/>
    <w:qFormat/>
    <w:rsid w:val="009364DB"/>
    <w:pPr>
      <w:keepNext/>
      <w:keepLines/>
      <w:spacing w:before="480"/>
      <w:outlineLvl w:val="0"/>
    </w:pPr>
    <w:rPr>
      <w:rFonts w:ascii="Calibri" w:eastAsiaTheme="majorEastAsia" w:hAnsi="Calibri" w:cstheme="majorBidi"/>
      <w:b/>
      <w:bCs/>
      <w:color w:val="00244C"/>
      <w:sz w:val="32"/>
      <w:szCs w:val="28"/>
    </w:rPr>
  </w:style>
  <w:style w:type="paragraph" w:styleId="Heading2">
    <w:name w:val="heading 2"/>
    <w:basedOn w:val="Normal"/>
    <w:next w:val="Normal"/>
    <w:link w:val="Heading2Char"/>
    <w:uiPriority w:val="9"/>
    <w:unhideWhenUsed/>
    <w:qFormat/>
    <w:rsid w:val="009364DB"/>
    <w:pPr>
      <w:keepNext/>
      <w:keepLines/>
      <w:outlineLvl w:val="1"/>
    </w:pPr>
    <w:rPr>
      <w:rFonts w:ascii="Calibri" w:eastAsiaTheme="majorEastAsia" w:hAnsi="Calibri" w:cstheme="majorBidi"/>
      <w:b/>
      <w:bCs/>
      <w:color w:val="00244C"/>
      <w:sz w:val="26"/>
      <w:szCs w:val="26"/>
    </w:rPr>
  </w:style>
  <w:style w:type="paragraph" w:styleId="Heading3">
    <w:name w:val="heading 3"/>
    <w:basedOn w:val="Normal"/>
    <w:next w:val="Normal"/>
    <w:link w:val="Heading3Char"/>
    <w:uiPriority w:val="9"/>
    <w:unhideWhenUsed/>
    <w:qFormat/>
    <w:rsid w:val="009364DB"/>
    <w:pPr>
      <w:keepNext/>
      <w:keepLines/>
      <w:outlineLvl w:val="2"/>
    </w:pPr>
    <w:rPr>
      <w:rFonts w:eastAsiaTheme="majorEastAsia" w:cstheme="majorBidi"/>
      <w:b/>
      <w:bCs/>
      <w:i/>
      <w:color w:val="00244C"/>
      <w:sz w:val="24"/>
    </w:rPr>
  </w:style>
  <w:style w:type="paragraph" w:styleId="Heading4">
    <w:name w:val="heading 4"/>
    <w:basedOn w:val="Normal"/>
    <w:next w:val="Normal"/>
    <w:link w:val="Heading4Char"/>
    <w:uiPriority w:val="9"/>
    <w:unhideWhenUsed/>
    <w:qFormat/>
    <w:rsid w:val="003D265D"/>
    <w:pPr>
      <w:keepNext/>
      <w:keepLines/>
      <w:spacing w:before="200"/>
      <w:outlineLvl w:val="3"/>
    </w:pPr>
    <w:rPr>
      <w:rFonts w:ascii="Calibri" w:eastAsiaTheme="majorEastAsia" w:hAnsi="Calibri" w:cstheme="majorBidi"/>
      <w:b/>
      <w:bCs/>
      <w:i/>
      <w:iCs/>
    </w:rPr>
  </w:style>
  <w:style w:type="paragraph" w:styleId="Heading5">
    <w:name w:val="heading 5"/>
    <w:basedOn w:val="Normal"/>
    <w:next w:val="Normal"/>
    <w:link w:val="Heading5Char"/>
    <w:uiPriority w:val="9"/>
    <w:semiHidden/>
    <w:unhideWhenUsed/>
    <w:qFormat/>
    <w:rsid w:val="00760F5E"/>
    <w:pPr>
      <w:keepNext/>
      <w:keepLines/>
      <w:spacing w:before="40" w:line="240" w:lineRule="auto"/>
      <w:outlineLvl w:val="4"/>
    </w:pPr>
    <w:rPr>
      <w:rFonts w:asciiTheme="majorHAnsi" w:eastAsiaTheme="majorEastAsia" w:hAnsiTheme="majorHAnsi" w:cstheme="majorBidi"/>
      <w:color w:val="2A63AC" w:themeColor="text1" w:themeTint="BF"/>
      <w:sz w:val="18"/>
      <w:szCs w:val="20"/>
      <w:lang w:eastAsia="en-AU"/>
    </w:rPr>
  </w:style>
  <w:style w:type="paragraph" w:styleId="Heading6">
    <w:name w:val="heading 6"/>
    <w:basedOn w:val="Normal"/>
    <w:next w:val="Normal"/>
    <w:link w:val="Heading6Char"/>
    <w:uiPriority w:val="9"/>
    <w:semiHidden/>
    <w:unhideWhenUsed/>
    <w:qFormat/>
    <w:rsid w:val="00760F5E"/>
    <w:pPr>
      <w:keepNext/>
      <w:keepLines/>
      <w:spacing w:before="40" w:line="240" w:lineRule="auto"/>
      <w:outlineLvl w:val="5"/>
    </w:pPr>
    <w:rPr>
      <w:rFonts w:asciiTheme="majorHAnsi" w:eastAsiaTheme="majorEastAsia" w:hAnsiTheme="majorHAnsi" w:cstheme="majorBidi"/>
      <w:color w:val="auto"/>
      <w:sz w:val="18"/>
      <w:szCs w:val="20"/>
      <w:lang w:eastAsia="en-AU"/>
    </w:rPr>
  </w:style>
  <w:style w:type="paragraph" w:styleId="Heading7">
    <w:name w:val="heading 7"/>
    <w:basedOn w:val="Normal"/>
    <w:next w:val="Normal"/>
    <w:link w:val="Heading7Char"/>
    <w:uiPriority w:val="9"/>
    <w:semiHidden/>
    <w:unhideWhenUsed/>
    <w:qFormat/>
    <w:rsid w:val="00760F5E"/>
    <w:pPr>
      <w:keepNext/>
      <w:keepLines/>
      <w:spacing w:before="40" w:line="240" w:lineRule="auto"/>
      <w:outlineLvl w:val="6"/>
    </w:pPr>
    <w:rPr>
      <w:rFonts w:asciiTheme="majorHAnsi" w:eastAsiaTheme="majorEastAsia" w:hAnsiTheme="majorHAnsi" w:cstheme="majorBidi"/>
      <w:i/>
      <w:iCs/>
      <w:color w:val="auto"/>
      <w:sz w:val="18"/>
      <w:szCs w:val="20"/>
      <w:lang w:eastAsia="en-AU"/>
    </w:rPr>
  </w:style>
  <w:style w:type="paragraph" w:styleId="Heading8">
    <w:name w:val="heading 8"/>
    <w:basedOn w:val="Normal"/>
    <w:next w:val="Normal"/>
    <w:link w:val="Heading8Char"/>
    <w:uiPriority w:val="9"/>
    <w:semiHidden/>
    <w:unhideWhenUsed/>
    <w:qFormat/>
    <w:rsid w:val="00760F5E"/>
    <w:pPr>
      <w:keepNext/>
      <w:keepLines/>
      <w:spacing w:before="40" w:line="240" w:lineRule="auto"/>
      <w:outlineLvl w:val="7"/>
    </w:pPr>
    <w:rPr>
      <w:rFonts w:asciiTheme="majorHAnsi" w:eastAsiaTheme="majorEastAsia" w:hAnsiTheme="majorHAnsi" w:cstheme="majorBidi"/>
      <w:color w:val="22508C" w:themeColor="text1" w:themeTint="D9"/>
      <w:sz w:val="21"/>
      <w:szCs w:val="21"/>
      <w:lang w:eastAsia="en-AU"/>
    </w:rPr>
  </w:style>
  <w:style w:type="paragraph" w:styleId="Heading9">
    <w:name w:val="heading 9"/>
    <w:basedOn w:val="Normal"/>
    <w:next w:val="Normal"/>
    <w:link w:val="Heading9Char"/>
    <w:uiPriority w:val="9"/>
    <w:semiHidden/>
    <w:unhideWhenUsed/>
    <w:qFormat/>
    <w:rsid w:val="00760F5E"/>
    <w:pPr>
      <w:keepNext/>
      <w:keepLines/>
      <w:spacing w:before="40" w:line="240" w:lineRule="auto"/>
      <w:outlineLvl w:val="8"/>
    </w:pPr>
    <w:rPr>
      <w:rFonts w:asciiTheme="majorHAnsi" w:eastAsiaTheme="majorEastAsia" w:hAnsiTheme="majorHAnsi" w:cstheme="majorBidi"/>
      <w:i/>
      <w:iCs/>
      <w:color w:val="22508C" w:themeColor="text1" w:themeTint="D9"/>
      <w:sz w:val="21"/>
      <w:szCs w:val="2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20D"/>
    <w:pPr>
      <w:numPr>
        <w:numId w:val="4"/>
      </w:numPr>
      <w:spacing w:before="120"/>
    </w:pPr>
  </w:style>
  <w:style w:type="character" w:customStyle="1" w:styleId="Heading1Char">
    <w:name w:val="Heading 1 Char"/>
    <w:basedOn w:val="DefaultParagraphFont"/>
    <w:link w:val="Heading1"/>
    <w:uiPriority w:val="9"/>
    <w:rsid w:val="009364DB"/>
    <w:rPr>
      <w:rFonts w:ascii="Calibri" w:eastAsiaTheme="majorEastAsia" w:hAnsi="Calibri" w:cstheme="majorBidi"/>
      <w:b/>
      <w:bCs/>
      <w:color w:val="00244C"/>
      <w:sz w:val="32"/>
      <w:szCs w:val="28"/>
    </w:rPr>
  </w:style>
  <w:style w:type="character" w:customStyle="1" w:styleId="Heading2Char">
    <w:name w:val="Heading 2 Char"/>
    <w:basedOn w:val="DefaultParagraphFont"/>
    <w:link w:val="Heading2"/>
    <w:uiPriority w:val="9"/>
    <w:rsid w:val="009364DB"/>
    <w:rPr>
      <w:rFonts w:ascii="Calibri" w:eastAsiaTheme="majorEastAsia" w:hAnsi="Calibri" w:cstheme="majorBidi"/>
      <w:b/>
      <w:bCs/>
      <w:color w:val="00244C"/>
      <w:sz w:val="26"/>
      <w:szCs w:val="26"/>
    </w:rPr>
  </w:style>
  <w:style w:type="paragraph" w:styleId="Title">
    <w:name w:val="Title"/>
    <w:basedOn w:val="Normal"/>
    <w:next w:val="Normal"/>
    <w:link w:val="TitleChar"/>
    <w:uiPriority w:val="10"/>
    <w:qFormat/>
    <w:rsid w:val="009364DB"/>
    <w:pPr>
      <w:spacing w:before="360" w:line="240" w:lineRule="auto"/>
      <w:contextualSpacing/>
      <w:jc w:val="center"/>
    </w:pPr>
    <w:rPr>
      <w:rFonts w:ascii="Calibri" w:eastAsiaTheme="majorEastAsia" w:hAnsi="Calibri" w:cstheme="majorBidi"/>
      <w:b/>
      <w:color w:val="00244C"/>
      <w:spacing w:val="5"/>
      <w:kern w:val="28"/>
      <w:sz w:val="52"/>
      <w:szCs w:val="52"/>
    </w:rPr>
  </w:style>
  <w:style w:type="character" w:customStyle="1" w:styleId="TitleChar">
    <w:name w:val="Title Char"/>
    <w:basedOn w:val="DefaultParagraphFont"/>
    <w:link w:val="Title"/>
    <w:uiPriority w:val="10"/>
    <w:rsid w:val="009364DB"/>
    <w:rPr>
      <w:rFonts w:ascii="Calibri" w:eastAsiaTheme="majorEastAsia" w:hAnsi="Calibri" w:cstheme="majorBidi"/>
      <w:b/>
      <w:color w:val="00244C"/>
      <w:spacing w:val="5"/>
      <w:kern w:val="28"/>
      <w:sz w:val="52"/>
      <w:szCs w:val="52"/>
    </w:rPr>
  </w:style>
  <w:style w:type="paragraph" w:styleId="Subtitle">
    <w:name w:val="Subtitle"/>
    <w:basedOn w:val="Normal"/>
    <w:next w:val="Normal"/>
    <w:link w:val="SubtitleChar"/>
    <w:uiPriority w:val="11"/>
    <w:qFormat/>
    <w:rsid w:val="00D70D97"/>
    <w:pPr>
      <w:numPr>
        <w:ilvl w:val="1"/>
      </w:numPr>
    </w:pPr>
    <w:rPr>
      <w:rFonts w:ascii="Calibri" w:eastAsiaTheme="majorEastAsia" w:hAnsi="Calibri" w:cstheme="majorBidi"/>
      <w:i/>
      <w:iCs/>
      <w:color w:val="4E1A74"/>
      <w:spacing w:val="15"/>
      <w:sz w:val="24"/>
      <w:szCs w:val="24"/>
    </w:rPr>
  </w:style>
  <w:style w:type="character" w:customStyle="1" w:styleId="SubtitleChar">
    <w:name w:val="Subtitle Char"/>
    <w:basedOn w:val="DefaultParagraphFont"/>
    <w:link w:val="Subtitle"/>
    <w:uiPriority w:val="11"/>
    <w:rsid w:val="00D70D97"/>
    <w:rPr>
      <w:rFonts w:ascii="Calibri" w:eastAsiaTheme="majorEastAsia" w:hAnsi="Calibri" w:cstheme="majorBidi"/>
      <w:i/>
      <w:iCs/>
      <w:color w:val="4E1A74"/>
      <w:spacing w:val="15"/>
      <w:sz w:val="24"/>
      <w:szCs w:val="24"/>
    </w:rPr>
  </w:style>
  <w:style w:type="paragraph" w:styleId="FootnoteText">
    <w:name w:val="footnote text"/>
    <w:basedOn w:val="Normal"/>
    <w:link w:val="FootnoteTextChar"/>
    <w:uiPriority w:val="99"/>
    <w:qFormat/>
    <w:rsid w:val="00570B3E"/>
    <w:pPr>
      <w:spacing w:before="60" w:line="240" w:lineRule="auto"/>
      <w:ind w:left="284" w:hanging="284"/>
    </w:pPr>
    <w:rPr>
      <w:sz w:val="18"/>
      <w:szCs w:val="20"/>
    </w:rPr>
  </w:style>
  <w:style w:type="character" w:customStyle="1" w:styleId="FootnoteTextChar">
    <w:name w:val="Footnote Text Char"/>
    <w:basedOn w:val="DefaultParagraphFont"/>
    <w:link w:val="FootnoteText"/>
    <w:uiPriority w:val="99"/>
    <w:rsid w:val="00570B3E"/>
    <w:rPr>
      <w:color w:val="444448"/>
      <w:sz w:val="18"/>
      <w:szCs w:val="20"/>
    </w:rPr>
  </w:style>
  <w:style w:type="character" w:styleId="FootnoteReference">
    <w:name w:val="footnote reference"/>
    <w:basedOn w:val="DefaultParagraphFont"/>
    <w:uiPriority w:val="99"/>
    <w:semiHidden/>
    <w:unhideWhenUsed/>
    <w:rsid w:val="00AB6DA9"/>
    <w:rPr>
      <w:vertAlign w:val="superscript"/>
    </w:rPr>
  </w:style>
  <w:style w:type="character" w:styleId="Hyperlink">
    <w:name w:val="Hyperlink"/>
    <w:basedOn w:val="DefaultParagraphFont"/>
    <w:uiPriority w:val="99"/>
    <w:unhideWhenUsed/>
    <w:rsid w:val="00D70D97"/>
    <w:rPr>
      <w:color w:val="4E1A74" w:themeColor="hyperlink"/>
      <w:u w:val="single"/>
    </w:rPr>
  </w:style>
  <w:style w:type="character" w:styleId="FollowedHyperlink">
    <w:name w:val="FollowedHyperlink"/>
    <w:basedOn w:val="DefaultParagraphFont"/>
    <w:uiPriority w:val="99"/>
    <w:semiHidden/>
    <w:unhideWhenUsed/>
    <w:rsid w:val="00D70D97"/>
    <w:rPr>
      <w:color w:val="800080" w:themeColor="followedHyperlink"/>
      <w:u w:val="single"/>
    </w:rPr>
  </w:style>
  <w:style w:type="paragraph" w:styleId="Header">
    <w:name w:val="header"/>
    <w:basedOn w:val="Normal"/>
    <w:link w:val="HeaderChar"/>
    <w:uiPriority w:val="99"/>
    <w:unhideWhenUsed/>
    <w:rsid w:val="00037687"/>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37687"/>
    <w:rPr>
      <w:color w:val="22508C" w:themeColor="text1" w:themeTint="D9"/>
    </w:rPr>
  </w:style>
  <w:style w:type="paragraph" w:styleId="Footer">
    <w:name w:val="footer"/>
    <w:basedOn w:val="Normal"/>
    <w:link w:val="FooterChar"/>
    <w:uiPriority w:val="99"/>
    <w:unhideWhenUsed/>
    <w:rsid w:val="00037687"/>
    <w:pPr>
      <w:tabs>
        <w:tab w:val="center" w:pos="4513"/>
        <w:tab w:val="right" w:pos="9026"/>
      </w:tabs>
      <w:spacing w:before="0" w:line="240" w:lineRule="auto"/>
    </w:pPr>
  </w:style>
  <w:style w:type="character" w:customStyle="1" w:styleId="FooterChar">
    <w:name w:val="Footer Char"/>
    <w:basedOn w:val="DefaultParagraphFont"/>
    <w:link w:val="Footer"/>
    <w:uiPriority w:val="99"/>
    <w:rsid w:val="00037687"/>
    <w:rPr>
      <w:color w:val="22508C" w:themeColor="text1" w:themeTint="D9"/>
    </w:rPr>
  </w:style>
  <w:style w:type="character" w:styleId="SubtleEmphasis">
    <w:name w:val="Subtle Emphasis"/>
    <w:basedOn w:val="DefaultParagraphFont"/>
    <w:uiPriority w:val="19"/>
    <w:qFormat/>
    <w:rsid w:val="00FF6AB9"/>
    <w:rPr>
      <w:color w:val="DBBEF0"/>
    </w:rPr>
  </w:style>
  <w:style w:type="character" w:customStyle="1" w:styleId="Heading3Char">
    <w:name w:val="Heading 3 Char"/>
    <w:basedOn w:val="DefaultParagraphFont"/>
    <w:link w:val="Heading3"/>
    <w:uiPriority w:val="9"/>
    <w:rsid w:val="009364DB"/>
    <w:rPr>
      <w:rFonts w:eastAsiaTheme="majorEastAsia" w:cstheme="majorBidi"/>
      <w:b/>
      <w:bCs/>
      <w:i/>
      <w:color w:val="00244C"/>
      <w:sz w:val="24"/>
    </w:rPr>
  </w:style>
  <w:style w:type="paragraph" w:styleId="BalloonText">
    <w:name w:val="Balloon Text"/>
    <w:basedOn w:val="Normal"/>
    <w:link w:val="BalloonTextChar"/>
    <w:uiPriority w:val="99"/>
    <w:semiHidden/>
    <w:unhideWhenUsed/>
    <w:rsid w:val="002356D6"/>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6D6"/>
    <w:rPr>
      <w:rFonts w:ascii="Tahoma" w:hAnsi="Tahoma" w:cs="Tahoma"/>
      <w:color w:val="444448"/>
      <w:sz w:val="16"/>
      <w:szCs w:val="16"/>
    </w:rPr>
  </w:style>
  <w:style w:type="paragraph" w:styleId="Caption">
    <w:name w:val="caption"/>
    <w:basedOn w:val="Normal"/>
    <w:next w:val="Normal"/>
    <w:uiPriority w:val="35"/>
    <w:qFormat/>
    <w:rsid w:val="009364DB"/>
    <w:pPr>
      <w:spacing w:before="120" w:line="240" w:lineRule="auto"/>
    </w:pPr>
    <w:rPr>
      <w:b/>
      <w:bCs/>
      <w:color w:val="00244C"/>
      <w:sz w:val="20"/>
      <w:szCs w:val="18"/>
    </w:rPr>
  </w:style>
  <w:style w:type="character" w:customStyle="1" w:styleId="Heading4Char">
    <w:name w:val="Heading 4 Char"/>
    <w:basedOn w:val="DefaultParagraphFont"/>
    <w:link w:val="Heading4"/>
    <w:uiPriority w:val="9"/>
    <w:rsid w:val="003D265D"/>
    <w:rPr>
      <w:rFonts w:ascii="Calibri" w:eastAsiaTheme="majorEastAsia" w:hAnsi="Calibri" w:cstheme="majorBidi"/>
      <w:b/>
      <w:bCs/>
      <w:i/>
      <w:iCs/>
    </w:rPr>
  </w:style>
  <w:style w:type="paragraph" w:styleId="TOCHeading">
    <w:name w:val="TOC Heading"/>
    <w:basedOn w:val="Heading1"/>
    <w:next w:val="Normal"/>
    <w:uiPriority w:val="39"/>
    <w:qFormat/>
    <w:rsid w:val="00675E49"/>
    <w:pPr>
      <w:spacing w:line="276" w:lineRule="auto"/>
      <w:outlineLvl w:val="9"/>
    </w:pPr>
    <w:rPr>
      <w:b w:val="0"/>
      <w:sz w:val="28"/>
      <w:lang w:val="en-US" w:eastAsia="ja-JP"/>
    </w:rPr>
  </w:style>
  <w:style w:type="paragraph" w:styleId="TOC1">
    <w:name w:val="toc 1"/>
    <w:basedOn w:val="Normal"/>
    <w:next w:val="Normal"/>
    <w:autoRedefine/>
    <w:uiPriority w:val="39"/>
    <w:unhideWhenUsed/>
    <w:rsid w:val="00066B27"/>
    <w:pPr>
      <w:tabs>
        <w:tab w:val="right" w:leader="dot" w:pos="9628"/>
      </w:tabs>
    </w:pPr>
    <w:rPr>
      <w:b/>
      <w:color w:val="4E1A74"/>
    </w:rPr>
  </w:style>
  <w:style w:type="paragraph" w:styleId="TOC2">
    <w:name w:val="toc 2"/>
    <w:basedOn w:val="Normal"/>
    <w:next w:val="Normal"/>
    <w:autoRedefine/>
    <w:uiPriority w:val="39"/>
    <w:unhideWhenUsed/>
    <w:rsid w:val="00675E49"/>
    <w:pPr>
      <w:tabs>
        <w:tab w:val="right" w:leader="dot" w:pos="9628"/>
      </w:tabs>
      <w:spacing w:before="120"/>
      <w:ind w:left="567" w:hanging="567"/>
    </w:pPr>
    <w:rPr>
      <w:noProof/>
    </w:rPr>
  </w:style>
  <w:style w:type="paragraph" w:styleId="TOC3">
    <w:name w:val="toc 3"/>
    <w:basedOn w:val="Normal"/>
    <w:next w:val="Normal"/>
    <w:autoRedefine/>
    <w:uiPriority w:val="39"/>
    <w:unhideWhenUsed/>
    <w:rsid w:val="00675E49"/>
    <w:pPr>
      <w:tabs>
        <w:tab w:val="right" w:leader="dot" w:pos="9628"/>
      </w:tabs>
      <w:spacing w:before="60" w:after="100"/>
      <w:ind w:left="1134" w:hanging="567"/>
    </w:pPr>
    <w:rPr>
      <w:i/>
      <w:noProof/>
    </w:rPr>
  </w:style>
  <w:style w:type="character" w:customStyle="1" w:styleId="Normalbold">
    <w:name w:val="Normal (bold)"/>
    <w:basedOn w:val="DefaultParagraphFont"/>
    <w:uiPriority w:val="1"/>
    <w:qFormat/>
    <w:rsid w:val="00F87EA5"/>
    <w:rPr>
      <w:b/>
    </w:rPr>
  </w:style>
  <w:style w:type="table" w:styleId="TableGrid">
    <w:name w:val="Table Grid"/>
    <w:basedOn w:val="TableNormal"/>
    <w:uiPriority w:val="39"/>
    <w:rsid w:val="00F87EA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70735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D4E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365D"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365D"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365D"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365D" w:themeFill="text1"/>
      </w:tcPr>
    </w:tblStylePr>
    <w:tblStylePr w:type="band1Vert">
      <w:tblPr/>
      <w:tcPr>
        <w:shd w:val="clear" w:color="auto" w:fill="80AADF" w:themeFill="text1" w:themeFillTint="66"/>
      </w:tcPr>
    </w:tblStylePr>
    <w:tblStylePr w:type="band1Horz">
      <w:tblPr/>
      <w:tcPr>
        <w:shd w:val="clear" w:color="auto" w:fill="80AADF" w:themeFill="text1" w:themeFillTint="66"/>
      </w:tcPr>
    </w:tblStylePr>
  </w:style>
  <w:style w:type="table" w:styleId="GridTable4">
    <w:name w:val="Grid Table 4"/>
    <w:basedOn w:val="TableNormal"/>
    <w:uiPriority w:val="49"/>
    <w:rsid w:val="0070735A"/>
    <w:pPr>
      <w:spacing w:line="240" w:lineRule="auto"/>
    </w:pPr>
    <w:tblPr>
      <w:tblStyleRowBandSize w:val="1"/>
      <w:tblStyleColBandSize w:val="1"/>
      <w:tblBorders>
        <w:top w:val="single" w:sz="4" w:space="0" w:color="417FD0" w:themeColor="text1" w:themeTint="99"/>
        <w:left w:val="single" w:sz="4" w:space="0" w:color="417FD0" w:themeColor="text1" w:themeTint="99"/>
        <w:bottom w:val="single" w:sz="4" w:space="0" w:color="417FD0" w:themeColor="text1" w:themeTint="99"/>
        <w:right w:val="single" w:sz="4" w:space="0" w:color="417FD0" w:themeColor="text1" w:themeTint="99"/>
        <w:insideH w:val="single" w:sz="4" w:space="0" w:color="417FD0" w:themeColor="text1" w:themeTint="99"/>
        <w:insideV w:val="single" w:sz="4" w:space="0" w:color="417FD0" w:themeColor="text1" w:themeTint="99"/>
      </w:tblBorders>
    </w:tblPr>
    <w:tblStylePr w:type="firstRow">
      <w:rPr>
        <w:b/>
        <w:bCs/>
        <w:color w:val="FFFFFF" w:themeColor="background1"/>
      </w:rPr>
      <w:tblPr/>
      <w:tcPr>
        <w:tcBorders>
          <w:top w:val="single" w:sz="4" w:space="0" w:color="17365D" w:themeColor="text1"/>
          <w:left w:val="single" w:sz="4" w:space="0" w:color="17365D" w:themeColor="text1"/>
          <w:bottom w:val="single" w:sz="4" w:space="0" w:color="17365D" w:themeColor="text1"/>
          <w:right w:val="single" w:sz="4" w:space="0" w:color="17365D" w:themeColor="text1"/>
          <w:insideH w:val="nil"/>
          <w:insideV w:val="nil"/>
        </w:tcBorders>
        <w:shd w:val="clear" w:color="auto" w:fill="17365D" w:themeFill="text1"/>
      </w:tcPr>
    </w:tblStylePr>
    <w:tblStylePr w:type="lastRow">
      <w:rPr>
        <w:b/>
        <w:bCs/>
      </w:rPr>
      <w:tblPr/>
      <w:tcPr>
        <w:tcBorders>
          <w:top w:val="double" w:sz="4" w:space="0" w:color="17365D" w:themeColor="text1"/>
        </w:tcBorders>
      </w:tcPr>
    </w:tblStylePr>
    <w:tblStylePr w:type="firstCol">
      <w:rPr>
        <w:b/>
        <w:bCs/>
      </w:rPr>
    </w:tblStylePr>
    <w:tblStylePr w:type="lastCol">
      <w:rPr>
        <w:b/>
        <w:bCs/>
      </w:rPr>
    </w:tblStylePr>
    <w:tblStylePr w:type="band1Vert">
      <w:tblPr/>
      <w:tcPr>
        <w:shd w:val="clear" w:color="auto" w:fill="BFD4EF" w:themeFill="text1" w:themeFillTint="33"/>
      </w:tcPr>
    </w:tblStylePr>
    <w:tblStylePr w:type="band1Horz">
      <w:tblPr/>
      <w:tcPr>
        <w:shd w:val="clear" w:color="auto" w:fill="BFD4EF" w:themeFill="text1" w:themeFillTint="33"/>
      </w:tcPr>
    </w:tblStylePr>
  </w:style>
  <w:style w:type="numbering" w:customStyle="1" w:styleId="List0">
    <w:name w:val="List 0"/>
    <w:rsid w:val="00E54D3A"/>
    <w:pPr>
      <w:numPr>
        <w:numId w:val="7"/>
      </w:numPr>
    </w:pPr>
  </w:style>
  <w:style w:type="table" w:styleId="TableSimple1">
    <w:name w:val="Table Simple 1"/>
    <w:basedOn w:val="TableNormal"/>
    <w:uiPriority w:val="99"/>
    <w:semiHidden/>
    <w:unhideWhenUsed/>
    <w:rsid w:val="00F87EA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ightShading">
    <w:name w:val="Light Shading"/>
    <w:basedOn w:val="TableNormal"/>
    <w:uiPriority w:val="60"/>
    <w:rsid w:val="00F30B42"/>
    <w:pPr>
      <w:spacing w:line="240" w:lineRule="auto"/>
    </w:pPr>
    <w:rPr>
      <w:color w:val="112845" w:themeColor="text1" w:themeShade="BF"/>
    </w:rPr>
    <w:tblPr>
      <w:tblStyleRowBandSize w:val="1"/>
      <w:tblStyleColBandSize w:val="1"/>
      <w:tblBorders>
        <w:top w:val="single" w:sz="8" w:space="0" w:color="17365D" w:themeColor="text1"/>
        <w:bottom w:val="single" w:sz="8" w:space="0" w:color="17365D" w:themeColor="text1"/>
      </w:tblBorders>
    </w:tblPr>
    <w:tblStylePr w:type="firstRow">
      <w:pPr>
        <w:spacing w:before="0" w:after="0" w:line="240" w:lineRule="auto"/>
      </w:pPr>
      <w:rPr>
        <w:b/>
        <w:bCs/>
      </w:rPr>
      <w:tblPr/>
      <w:tcPr>
        <w:tcBorders>
          <w:top w:val="single" w:sz="8" w:space="0" w:color="17365D" w:themeColor="text1"/>
          <w:left w:val="nil"/>
          <w:bottom w:val="single" w:sz="8" w:space="0" w:color="17365D" w:themeColor="text1"/>
          <w:right w:val="nil"/>
          <w:insideH w:val="nil"/>
          <w:insideV w:val="nil"/>
        </w:tcBorders>
      </w:tcPr>
    </w:tblStylePr>
    <w:tblStylePr w:type="lastRow">
      <w:pPr>
        <w:spacing w:before="0" w:after="0" w:line="240" w:lineRule="auto"/>
      </w:pPr>
      <w:rPr>
        <w:b/>
        <w:bCs/>
      </w:rPr>
      <w:tblPr/>
      <w:tcPr>
        <w:tcBorders>
          <w:top w:val="single" w:sz="8" w:space="0" w:color="17365D" w:themeColor="text1"/>
          <w:left w:val="nil"/>
          <w:bottom w:val="single" w:sz="8" w:space="0" w:color="17365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AEB" w:themeFill="text1" w:themeFillTint="3F"/>
      </w:tcPr>
    </w:tblStylePr>
    <w:tblStylePr w:type="band1Horz">
      <w:tblPr/>
      <w:tcPr>
        <w:tcBorders>
          <w:left w:val="nil"/>
          <w:right w:val="nil"/>
          <w:insideH w:val="nil"/>
          <w:insideV w:val="nil"/>
        </w:tcBorders>
        <w:shd w:val="clear" w:color="auto" w:fill="B0CAEB" w:themeFill="text1" w:themeFillTint="3F"/>
      </w:tcPr>
    </w:tblStylePr>
  </w:style>
  <w:style w:type="table" w:styleId="LightShading-Accent1">
    <w:name w:val="Light Shading Accent 1"/>
    <w:basedOn w:val="TableNormal"/>
    <w:uiPriority w:val="60"/>
    <w:rsid w:val="00F30B42"/>
    <w:pPr>
      <w:spacing w:line="240" w:lineRule="auto"/>
    </w:pPr>
    <w:rPr>
      <w:color w:val="AF6FE0" w:themeColor="accent1" w:themeShade="BF"/>
    </w:rPr>
    <w:tblPr>
      <w:tblStyleRowBandSize w:val="1"/>
      <w:tblStyleColBandSize w:val="1"/>
      <w:tblBorders>
        <w:top w:val="single" w:sz="8" w:space="0" w:color="E3CCF4" w:themeColor="accent1"/>
        <w:bottom w:val="single" w:sz="8" w:space="0" w:color="E3CCF4" w:themeColor="accent1"/>
      </w:tblBorders>
    </w:tblPr>
    <w:tblStylePr w:type="firstRow">
      <w:pPr>
        <w:spacing w:before="0" w:after="0" w:line="240" w:lineRule="auto"/>
      </w:pPr>
      <w:rPr>
        <w:b/>
        <w:bCs/>
      </w:rPr>
      <w:tblPr/>
      <w:tcPr>
        <w:tcBorders>
          <w:top w:val="single" w:sz="8" w:space="0" w:color="E3CCF4" w:themeColor="accent1"/>
          <w:left w:val="nil"/>
          <w:bottom w:val="single" w:sz="8" w:space="0" w:color="E3CCF4" w:themeColor="accent1"/>
          <w:right w:val="nil"/>
          <w:insideH w:val="nil"/>
          <w:insideV w:val="nil"/>
        </w:tcBorders>
      </w:tcPr>
    </w:tblStylePr>
    <w:tblStylePr w:type="lastRow">
      <w:pPr>
        <w:spacing w:before="0" w:after="0" w:line="240" w:lineRule="auto"/>
      </w:pPr>
      <w:rPr>
        <w:b/>
        <w:bCs/>
      </w:rPr>
      <w:tblPr/>
      <w:tcPr>
        <w:tcBorders>
          <w:top w:val="single" w:sz="8" w:space="0" w:color="E3CCF4" w:themeColor="accent1"/>
          <w:left w:val="nil"/>
          <w:bottom w:val="single" w:sz="8" w:space="0" w:color="E3CCF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2FC" w:themeFill="accent1" w:themeFillTint="3F"/>
      </w:tcPr>
    </w:tblStylePr>
    <w:tblStylePr w:type="band1Horz">
      <w:tblPr/>
      <w:tcPr>
        <w:tcBorders>
          <w:left w:val="nil"/>
          <w:right w:val="nil"/>
          <w:insideH w:val="nil"/>
          <w:insideV w:val="nil"/>
        </w:tcBorders>
        <w:shd w:val="clear" w:color="auto" w:fill="F8F2FC" w:themeFill="accent1" w:themeFillTint="3F"/>
      </w:tcPr>
    </w:tblStylePr>
  </w:style>
  <w:style w:type="table" w:styleId="LightShading-Accent2">
    <w:name w:val="Light Shading Accent 2"/>
    <w:basedOn w:val="TableNormal"/>
    <w:uiPriority w:val="60"/>
    <w:rsid w:val="00F30B42"/>
    <w:pPr>
      <w:spacing w:line="240" w:lineRule="auto"/>
    </w:pPr>
    <w:rPr>
      <w:color w:val="207220" w:themeColor="accent2" w:themeShade="BF"/>
    </w:rPr>
    <w:tblPr>
      <w:tblStyleRowBandSize w:val="1"/>
      <w:tblStyleColBandSize w:val="1"/>
      <w:tblBorders>
        <w:top w:val="single" w:sz="8" w:space="0" w:color="2B992B" w:themeColor="accent2"/>
        <w:bottom w:val="single" w:sz="8" w:space="0" w:color="2B992B" w:themeColor="accent2"/>
      </w:tblBorders>
    </w:tblPr>
    <w:tblStylePr w:type="firstRow">
      <w:pPr>
        <w:spacing w:before="0" w:after="0" w:line="240" w:lineRule="auto"/>
      </w:pPr>
      <w:rPr>
        <w:b/>
        <w:bCs/>
      </w:rPr>
      <w:tblPr/>
      <w:tcPr>
        <w:tcBorders>
          <w:top w:val="single" w:sz="8" w:space="0" w:color="2B992B" w:themeColor="accent2"/>
          <w:left w:val="nil"/>
          <w:bottom w:val="single" w:sz="8" w:space="0" w:color="2B992B" w:themeColor="accent2"/>
          <w:right w:val="nil"/>
          <w:insideH w:val="nil"/>
          <w:insideV w:val="nil"/>
        </w:tcBorders>
      </w:tcPr>
    </w:tblStylePr>
    <w:tblStylePr w:type="lastRow">
      <w:pPr>
        <w:spacing w:before="0" w:after="0" w:line="240" w:lineRule="auto"/>
      </w:pPr>
      <w:rPr>
        <w:b/>
        <w:bCs/>
      </w:rPr>
      <w:tblPr/>
      <w:tcPr>
        <w:tcBorders>
          <w:top w:val="single" w:sz="8" w:space="0" w:color="2B992B" w:themeColor="accent2"/>
          <w:left w:val="nil"/>
          <w:bottom w:val="single" w:sz="8" w:space="0" w:color="2B992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EEC2" w:themeFill="accent2" w:themeFillTint="3F"/>
      </w:tcPr>
    </w:tblStylePr>
    <w:tblStylePr w:type="band1Horz">
      <w:tblPr/>
      <w:tcPr>
        <w:tcBorders>
          <w:left w:val="nil"/>
          <w:right w:val="nil"/>
          <w:insideH w:val="nil"/>
          <w:insideV w:val="nil"/>
        </w:tcBorders>
        <w:shd w:val="clear" w:color="auto" w:fill="C2EEC2" w:themeFill="accent2" w:themeFillTint="3F"/>
      </w:tcPr>
    </w:tblStylePr>
  </w:style>
  <w:style w:type="table" w:styleId="LightList">
    <w:name w:val="Light List"/>
    <w:basedOn w:val="TableNormal"/>
    <w:uiPriority w:val="61"/>
    <w:rsid w:val="00F30B42"/>
    <w:pPr>
      <w:spacing w:line="240" w:lineRule="auto"/>
    </w:pPr>
    <w:tblPr>
      <w:tblStyleRowBandSize w:val="1"/>
      <w:tblStyleColBandSize w:val="1"/>
      <w:tblBorders>
        <w:top w:val="single" w:sz="8" w:space="0" w:color="17365D" w:themeColor="text1"/>
        <w:left w:val="single" w:sz="8" w:space="0" w:color="17365D" w:themeColor="text1"/>
        <w:bottom w:val="single" w:sz="8" w:space="0" w:color="17365D" w:themeColor="text1"/>
        <w:right w:val="single" w:sz="8" w:space="0" w:color="17365D" w:themeColor="text1"/>
      </w:tblBorders>
    </w:tblPr>
    <w:tblStylePr w:type="firstRow">
      <w:pPr>
        <w:spacing w:before="0" w:after="0" w:line="240" w:lineRule="auto"/>
      </w:pPr>
      <w:rPr>
        <w:b/>
        <w:bCs/>
        <w:color w:val="FFFFFF" w:themeColor="background1"/>
      </w:rPr>
      <w:tblPr/>
      <w:tcPr>
        <w:shd w:val="clear" w:color="auto" w:fill="17365D" w:themeFill="text1"/>
      </w:tcPr>
    </w:tblStylePr>
    <w:tblStylePr w:type="lastRow">
      <w:pPr>
        <w:spacing w:before="0" w:after="0" w:line="240" w:lineRule="auto"/>
      </w:pPr>
      <w:rPr>
        <w:b/>
        <w:bCs/>
      </w:rPr>
      <w:tblPr/>
      <w:tcPr>
        <w:tcBorders>
          <w:top w:val="double" w:sz="6" w:space="0" w:color="17365D" w:themeColor="text1"/>
          <w:left w:val="single" w:sz="8" w:space="0" w:color="17365D" w:themeColor="text1"/>
          <w:bottom w:val="single" w:sz="8" w:space="0" w:color="17365D" w:themeColor="text1"/>
          <w:right w:val="single" w:sz="8" w:space="0" w:color="17365D" w:themeColor="text1"/>
        </w:tcBorders>
      </w:tcPr>
    </w:tblStylePr>
    <w:tblStylePr w:type="firstCol">
      <w:rPr>
        <w:b/>
        <w:bCs/>
      </w:rPr>
    </w:tblStylePr>
    <w:tblStylePr w:type="lastCol">
      <w:rPr>
        <w:b/>
        <w:bCs/>
      </w:rPr>
    </w:tblStylePr>
    <w:tblStylePr w:type="band1Vert">
      <w:tblPr/>
      <w:tcPr>
        <w:tcBorders>
          <w:top w:val="single" w:sz="8" w:space="0" w:color="17365D" w:themeColor="text1"/>
          <w:left w:val="single" w:sz="8" w:space="0" w:color="17365D" w:themeColor="text1"/>
          <w:bottom w:val="single" w:sz="8" w:space="0" w:color="17365D" w:themeColor="text1"/>
          <w:right w:val="single" w:sz="8" w:space="0" w:color="17365D" w:themeColor="text1"/>
        </w:tcBorders>
      </w:tcPr>
    </w:tblStylePr>
    <w:tblStylePr w:type="band1Horz">
      <w:tblPr/>
      <w:tcPr>
        <w:tcBorders>
          <w:top w:val="single" w:sz="8" w:space="0" w:color="17365D" w:themeColor="text1"/>
          <w:left w:val="single" w:sz="8" w:space="0" w:color="17365D" w:themeColor="text1"/>
          <w:bottom w:val="single" w:sz="8" w:space="0" w:color="17365D" w:themeColor="text1"/>
          <w:right w:val="single" w:sz="8" w:space="0" w:color="17365D" w:themeColor="text1"/>
        </w:tcBorders>
      </w:tcPr>
    </w:tblStylePr>
  </w:style>
  <w:style w:type="paragraph" w:customStyle="1" w:styleId="Tabletext">
    <w:name w:val="Table text"/>
    <w:basedOn w:val="Normal"/>
    <w:qFormat/>
    <w:rsid w:val="00CC1541"/>
    <w:pPr>
      <w:spacing w:before="60" w:after="60" w:line="240" w:lineRule="auto"/>
      <w:jc w:val="center"/>
    </w:pPr>
  </w:style>
  <w:style w:type="table" w:styleId="LightShading-Accent3">
    <w:name w:val="Light Shading Accent 3"/>
    <w:basedOn w:val="TableNormal"/>
    <w:uiPriority w:val="60"/>
    <w:rsid w:val="00211B48"/>
    <w:pPr>
      <w:spacing w:before="0" w:line="240" w:lineRule="auto"/>
    </w:pPr>
    <w:rPr>
      <w:color w:val="1B611B" w:themeColor="accent3" w:themeShade="BF"/>
    </w:rPr>
    <w:tblPr>
      <w:tblStyleRowBandSize w:val="1"/>
      <w:tblStyleColBandSize w:val="1"/>
      <w:tblBorders>
        <w:top w:val="single" w:sz="8" w:space="0" w:color="258325" w:themeColor="accent3"/>
        <w:bottom w:val="single" w:sz="8" w:space="0" w:color="258325" w:themeColor="accent3"/>
      </w:tblBorders>
    </w:tblPr>
    <w:tblStylePr w:type="firstRow">
      <w:pPr>
        <w:spacing w:before="0" w:after="0" w:line="240" w:lineRule="auto"/>
      </w:pPr>
      <w:rPr>
        <w:b/>
        <w:bCs/>
      </w:rPr>
      <w:tblPr/>
      <w:tcPr>
        <w:tcBorders>
          <w:top w:val="single" w:sz="8" w:space="0" w:color="258325" w:themeColor="accent3"/>
          <w:left w:val="nil"/>
          <w:bottom w:val="single" w:sz="8" w:space="0" w:color="258325" w:themeColor="accent3"/>
          <w:right w:val="nil"/>
          <w:insideH w:val="nil"/>
          <w:insideV w:val="nil"/>
        </w:tcBorders>
      </w:tcPr>
    </w:tblStylePr>
    <w:tblStylePr w:type="lastRow">
      <w:pPr>
        <w:spacing w:before="0" w:after="0" w:line="240" w:lineRule="auto"/>
      </w:pPr>
      <w:rPr>
        <w:b/>
        <w:bCs/>
      </w:rPr>
      <w:tblPr/>
      <w:tcPr>
        <w:tcBorders>
          <w:top w:val="single" w:sz="8" w:space="0" w:color="258325" w:themeColor="accent3"/>
          <w:left w:val="nil"/>
          <w:bottom w:val="single" w:sz="8" w:space="0" w:color="25832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BC" w:themeFill="accent3" w:themeFillTint="3F"/>
      </w:tcPr>
    </w:tblStylePr>
    <w:tblStylePr w:type="band1Horz">
      <w:tblPr/>
      <w:tcPr>
        <w:tcBorders>
          <w:left w:val="nil"/>
          <w:right w:val="nil"/>
          <w:insideH w:val="nil"/>
          <w:insideV w:val="nil"/>
        </w:tcBorders>
        <w:shd w:val="clear" w:color="auto" w:fill="BCECBC" w:themeFill="accent3" w:themeFillTint="3F"/>
      </w:tcPr>
    </w:tblStylePr>
  </w:style>
  <w:style w:type="table" w:styleId="LightShading-Accent4">
    <w:name w:val="Light Shading Accent 4"/>
    <w:basedOn w:val="TableNormal"/>
    <w:uiPriority w:val="60"/>
    <w:rsid w:val="00211B48"/>
    <w:pPr>
      <w:spacing w:before="0" w:line="240" w:lineRule="auto"/>
    </w:pPr>
    <w:rPr>
      <w:color w:val="333335" w:themeColor="accent4" w:themeShade="BF"/>
    </w:rPr>
    <w:tblPr>
      <w:tblStyleRowBandSize w:val="1"/>
      <w:tblStyleColBandSize w:val="1"/>
      <w:tblBorders>
        <w:top w:val="single" w:sz="8" w:space="0" w:color="444448" w:themeColor="accent4"/>
        <w:bottom w:val="single" w:sz="8" w:space="0" w:color="444448" w:themeColor="accent4"/>
      </w:tblBorders>
    </w:tblPr>
    <w:tblStylePr w:type="firstRow">
      <w:pPr>
        <w:spacing w:before="0" w:after="0" w:line="240" w:lineRule="auto"/>
      </w:pPr>
      <w:rPr>
        <w:b/>
        <w:bCs/>
      </w:rPr>
      <w:tblPr/>
      <w:tcPr>
        <w:tcBorders>
          <w:top w:val="single" w:sz="8" w:space="0" w:color="444448" w:themeColor="accent4"/>
          <w:left w:val="nil"/>
          <w:bottom w:val="single" w:sz="8" w:space="0" w:color="444448" w:themeColor="accent4"/>
          <w:right w:val="nil"/>
          <w:insideH w:val="nil"/>
          <w:insideV w:val="nil"/>
        </w:tcBorders>
      </w:tcPr>
    </w:tblStylePr>
    <w:tblStylePr w:type="lastRow">
      <w:pPr>
        <w:spacing w:before="0" w:after="0" w:line="240" w:lineRule="auto"/>
      </w:pPr>
      <w:rPr>
        <w:b/>
        <w:bCs/>
      </w:rPr>
      <w:tblPr/>
      <w:tcPr>
        <w:tcBorders>
          <w:top w:val="single" w:sz="8" w:space="0" w:color="444448" w:themeColor="accent4"/>
          <w:left w:val="nil"/>
          <w:bottom w:val="single" w:sz="8" w:space="0" w:color="44444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D2" w:themeFill="accent4" w:themeFillTint="3F"/>
      </w:tcPr>
    </w:tblStylePr>
    <w:tblStylePr w:type="band1Horz">
      <w:tblPr/>
      <w:tcPr>
        <w:tcBorders>
          <w:left w:val="nil"/>
          <w:right w:val="nil"/>
          <w:insideH w:val="nil"/>
          <w:insideV w:val="nil"/>
        </w:tcBorders>
        <w:shd w:val="clear" w:color="auto" w:fill="CFCFD2" w:themeFill="accent4" w:themeFillTint="3F"/>
      </w:tcPr>
    </w:tblStylePr>
  </w:style>
  <w:style w:type="table" w:styleId="LightShading-Accent5">
    <w:name w:val="Light Shading Accent 5"/>
    <w:basedOn w:val="TableNormal"/>
    <w:uiPriority w:val="60"/>
    <w:rsid w:val="00211B48"/>
    <w:pPr>
      <w:spacing w:before="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11B48"/>
    <w:pPr>
      <w:spacing w:before="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Accent1">
    <w:name w:val="Light List Accent 1"/>
    <w:basedOn w:val="TableNormal"/>
    <w:uiPriority w:val="61"/>
    <w:rsid w:val="00211B48"/>
    <w:pPr>
      <w:spacing w:before="0" w:line="240" w:lineRule="auto"/>
    </w:pPr>
    <w:tblPr>
      <w:tblStyleRowBandSize w:val="1"/>
      <w:tblStyleColBandSize w:val="1"/>
      <w:tblBorders>
        <w:top w:val="single" w:sz="8" w:space="0" w:color="E3CCF4" w:themeColor="accent1"/>
        <w:left w:val="single" w:sz="8" w:space="0" w:color="E3CCF4" w:themeColor="accent1"/>
        <w:bottom w:val="single" w:sz="8" w:space="0" w:color="E3CCF4" w:themeColor="accent1"/>
        <w:right w:val="single" w:sz="8" w:space="0" w:color="E3CCF4" w:themeColor="accent1"/>
      </w:tblBorders>
    </w:tblPr>
    <w:tblStylePr w:type="firstRow">
      <w:pPr>
        <w:spacing w:before="0" w:after="0" w:line="240" w:lineRule="auto"/>
      </w:pPr>
      <w:rPr>
        <w:b/>
        <w:bCs/>
        <w:color w:val="FFFFFF" w:themeColor="background1"/>
      </w:rPr>
      <w:tblPr/>
      <w:tcPr>
        <w:shd w:val="clear" w:color="auto" w:fill="E3CCF4" w:themeFill="accent1"/>
      </w:tcPr>
    </w:tblStylePr>
    <w:tblStylePr w:type="lastRow">
      <w:pPr>
        <w:spacing w:before="0" w:after="0" w:line="240" w:lineRule="auto"/>
      </w:pPr>
      <w:rPr>
        <w:b/>
        <w:bCs/>
      </w:rPr>
      <w:tblPr/>
      <w:tcPr>
        <w:tcBorders>
          <w:top w:val="double" w:sz="6" w:space="0" w:color="E3CCF4" w:themeColor="accent1"/>
          <w:left w:val="single" w:sz="8" w:space="0" w:color="E3CCF4" w:themeColor="accent1"/>
          <w:bottom w:val="single" w:sz="8" w:space="0" w:color="E3CCF4" w:themeColor="accent1"/>
          <w:right w:val="single" w:sz="8" w:space="0" w:color="E3CCF4" w:themeColor="accent1"/>
        </w:tcBorders>
      </w:tcPr>
    </w:tblStylePr>
    <w:tblStylePr w:type="firstCol">
      <w:rPr>
        <w:b/>
        <w:bCs/>
      </w:rPr>
    </w:tblStylePr>
    <w:tblStylePr w:type="lastCol">
      <w:rPr>
        <w:b/>
        <w:bCs/>
      </w:rPr>
    </w:tblStylePr>
    <w:tblStylePr w:type="band1Vert">
      <w:tblPr/>
      <w:tcPr>
        <w:tcBorders>
          <w:top w:val="single" w:sz="8" w:space="0" w:color="E3CCF4" w:themeColor="accent1"/>
          <w:left w:val="single" w:sz="8" w:space="0" w:color="E3CCF4" w:themeColor="accent1"/>
          <w:bottom w:val="single" w:sz="8" w:space="0" w:color="E3CCF4" w:themeColor="accent1"/>
          <w:right w:val="single" w:sz="8" w:space="0" w:color="E3CCF4" w:themeColor="accent1"/>
        </w:tcBorders>
      </w:tcPr>
    </w:tblStylePr>
    <w:tblStylePr w:type="band1Horz">
      <w:tblPr/>
      <w:tcPr>
        <w:tcBorders>
          <w:top w:val="single" w:sz="8" w:space="0" w:color="E3CCF4" w:themeColor="accent1"/>
          <w:left w:val="single" w:sz="8" w:space="0" w:color="E3CCF4" w:themeColor="accent1"/>
          <w:bottom w:val="single" w:sz="8" w:space="0" w:color="E3CCF4" w:themeColor="accent1"/>
          <w:right w:val="single" w:sz="8" w:space="0" w:color="E3CCF4" w:themeColor="accent1"/>
        </w:tcBorders>
      </w:tcPr>
    </w:tblStylePr>
  </w:style>
  <w:style w:type="table" w:styleId="LightList-Accent2">
    <w:name w:val="Light List Accent 2"/>
    <w:basedOn w:val="TableNormal"/>
    <w:uiPriority w:val="61"/>
    <w:rsid w:val="00211B48"/>
    <w:pPr>
      <w:spacing w:before="0" w:line="240" w:lineRule="auto"/>
    </w:pPr>
    <w:tblPr>
      <w:tblStyleRowBandSize w:val="1"/>
      <w:tblStyleColBandSize w:val="1"/>
      <w:tblBorders>
        <w:top w:val="single" w:sz="8" w:space="0" w:color="2B992B" w:themeColor="accent2"/>
        <w:left w:val="single" w:sz="8" w:space="0" w:color="2B992B" w:themeColor="accent2"/>
        <w:bottom w:val="single" w:sz="8" w:space="0" w:color="2B992B" w:themeColor="accent2"/>
        <w:right w:val="single" w:sz="8" w:space="0" w:color="2B992B" w:themeColor="accent2"/>
      </w:tblBorders>
    </w:tblPr>
    <w:tblStylePr w:type="firstRow">
      <w:pPr>
        <w:spacing w:before="0" w:after="0" w:line="240" w:lineRule="auto"/>
      </w:pPr>
      <w:rPr>
        <w:b/>
        <w:bCs/>
        <w:color w:val="FFFFFF" w:themeColor="background1"/>
      </w:rPr>
      <w:tblPr/>
      <w:tcPr>
        <w:shd w:val="clear" w:color="auto" w:fill="2B992B" w:themeFill="accent2"/>
      </w:tcPr>
    </w:tblStylePr>
    <w:tblStylePr w:type="lastRow">
      <w:pPr>
        <w:spacing w:before="0" w:after="0" w:line="240" w:lineRule="auto"/>
      </w:pPr>
      <w:rPr>
        <w:b/>
        <w:bCs/>
      </w:rPr>
      <w:tblPr/>
      <w:tcPr>
        <w:tcBorders>
          <w:top w:val="double" w:sz="6" w:space="0" w:color="2B992B" w:themeColor="accent2"/>
          <w:left w:val="single" w:sz="8" w:space="0" w:color="2B992B" w:themeColor="accent2"/>
          <w:bottom w:val="single" w:sz="8" w:space="0" w:color="2B992B" w:themeColor="accent2"/>
          <w:right w:val="single" w:sz="8" w:space="0" w:color="2B992B" w:themeColor="accent2"/>
        </w:tcBorders>
      </w:tcPr>
    </w:tblStylePr>
    <w:tblStylePr w:type="firstCol">
      <w:rPr>
        <w:b/>
        <w:bCs/>
      </w:rPr>
    </w:tblStylePr>
    <w:tblStylePr w:type="lastCol">
      <w:rPr>
        <w:b/>
        <w:bCs/>
      </w:rPr>
    </w:tblStylePr>
    <w:tblStylePr w:type="band1Vert">
      <w:tblPr/>
      <w:tcPr>
        <w:tcBorders>
          <w:top w:val="single" w:sz="8" w:space="0" w:color="2B992B" w:themeColor="accent2"/>
          <w:left w:val="single" w:sz="8" w:space="0" w:color="2B992B" w:themeColor="accent2"/>
          <w:bottom w:val="single" w:sz="8" w:space="0" w:color="2B992B" w:themeColor="accent2"/>
          <w:right w:val="single" w:sz="8" w:space="0" w:color="2B992B" w:themeColor="accent2"/>
        </w:tcBorders>
      </w:tcPr>
    </w:tblStylePr>
    <w:tblStylePr w:type="band1Horz">
      <w:tblPr/>
      <w:tcPr>
        <w:tcBorders>
          <w:top w:val="single" w:sz="8" w:space="0" w:color="2B992B" w:themeColor="accent2"/>
          <w:left w:val="single" w:sz="8" w:space="0" w:color="2B992B" w:themeColor="accent2"/>
          <w:bottom w:val="single" w:sz="8" w:space="0" w:color="2B992B" w:themeColor="accent2"/>
          <w:right w:val="single" w:sz="8" w:space="0" w:color="2B992B" w:themeColor="accent2"/>
        </w:tcBorders>
      </w:tcPr>
    </w:tblStylePr>
  </w:style>
  <w:style w:type="table" w:styleId="LightList-Accent3">
    <w:name w:val="Light List Accent 3"/>
    <w:basedOn w:val="TableNormal"/>
    <w:uiPriority w:val="61"/>
    <w:rsid w:val="00211B48"/>
    <w:pPr>
      <w:spacing w:before="0" w:line="240" w:lineRule="auto"/>
    </w:pPr>
    <w:tblPr>
      <w:tblStyleRowBandSize w:val="1"/>
      <w:tblStyleColBandSize w:val="1"/>
      <w:tblBorders>
        <w:top w:val="single" w:sz="8" w:space="0" w:color="258325" w:themeColor="accent3"/>
        <w:left w:val="single" w:sz="8" w:space="0" w:color="258325" w:themeColor="accent3"/>
        <w:bottom w:val="single" w:sz="8" w:space="0" w:color="258325" w:themeColor="accent3"/>
        <w:right w:val="single" w:sz="8" w:space="0" w:color="258325" w:themeColor="accent3"/>
      </w:tblBorders>
    </w:tblPr>
    <w:tblStylePr w:type="firstRow">
      <w:pPr>
        <w:spacing w:before="0" w:after="0" w:line="240" w:lineRule="auto"/>
      </w:pPr>
      <w:rPr>
        <w:b/>
        <w:bCs/>
        <w:color w:val="FFFFFF" w:themeColor="background1"/>
      </w:rPr>
      <w:tblPr/>
      <w:tcPr>
        <w:shd w:val="clear" w:color="auto" w:fill="258325" w:themeFill="accent3"/>
      </w:tcPr>
    </w:tblStylePr>
    <w:tblStylePr w:type="lastRow">
      <w:pPr>
        <w:spacing w:before="0" w:after="0" w:line="240" w:lineRule="auto"/>
      </w:pPr>
      <w:rPr>
        <w:b/>
        <w:bCs/>
      </w:rPr>
      <w:tblPr/>
      <w:tcPr>
        <w:tcBorders>
          <w:top w:val="double" w:sz="6" w:space="0" w:color="258325" w:themeColor="accent3"/>
          <w:left w:val="single" w:sz="8" w:space="0" w:color="258325" w:themeColor="accent3"/>
          <w:bottom w:val="single" w:sz="8" w:space="0" w:color="258325" w:themeColor="accent3"/>
          <w:right w:val="single" w:sz="8" w:space="0" w:color="258325" w:themeColor="accent3"/>
        </w:tcBorders>
      </w:tcPr>
    </w:tblStylePr>
    <w:tblStylePr w:type="firstCol">
      <w:rPr>
        <w:b/>
        <w:bCs/>
      </w:rPr>
    </w:tblStylePr>
    <w:tblStylePr w:type="lastCol">
      <w:rPr>
        <w:b/>
        <w:bCs/>
      </w:rPr>
    </w:tblStylePr>
    <w:tblStylePr w:type="band1Vert">
      <w:tblPr/>
      <w:tcPr>
        <w:tcBorders>
          <w:top w:val="single" w:sz="8" w:space="0" w:color="258325" w:themeColor="accent3"/>
          <w:left w:val="single" w:sz="8" w:space="0" w:color="258325" w:themeColor="accent3"/>
          <w:bottom w:val="single" w:sz="8" w:space="0" w:color="258325" w:themeColor="accent3"/>
          <w:right w:val="single" w:sz="8" w:space="0" w:color="258325" w:themeColor="accent3"/>
        </w:tcBorders>
      </w:tcPr>
    </w:tblStylePr>
    <w:tblStylePr w:type="band1Horz">
      <w:tblPr/>
      <w:tcPr>
        <w:tcBorders>
          <w:top w:val="single" w:sz="8" w:space="0" w:color="258325" w:themeColor="accent3"/>
          <w:left w:val="single" w:sz="8" w:space="0" w:color="258325" w:themeColor="accent3"/>
          <w:bottom w:val="single" w:sz="8" w:space="0" w:color="258325" w:themeColor="accent3"/>
          <w:right w:val="single" w:sz="8" w:space="0" w:color="258325" w:themeColor="accent3"/>
        </w:tcBorders>
      </w:tcPr>
    </w:tblStylePr>
  </w:style>
  <w:style w:type="table" w:styleId="MediumGrid1-Accent4">
    <w:name w:val="Medium Grid 1 Accent 4"/>
    <w:basedOn w:val="TableNormal"/>
    <w:uiPriority w:val="67"/>
    <w:rsid w:val="00C90747"/>
    <w:pPr>
      <w:spacing w:before="0" w:line="240" w:lineRule="auto"/>
    </w:pPr>
    <w:tblPr>
      <w:tblStyleRowBandSize w:val="1"/>
      <w:tblStyleColBandSize w:val="1"/>
      <w:tblBorders>
        <w:top w:val="single" w:sz="8" w:space="0" w:color="717177" w:themeColor="accent4" w:themeTint="BF"/>
        <w:left w:val="single" w:sz="8" w:space="0" w:color="717177" w:themeColor="accent4" w:themeTint="BF"/>
        <w:bottom w:val="single" w:sz="8" w:space="0" w:color="717177" w:themeColor="accent4" w:themeTint="BF"/>
        <w:right w:val="single" w:sz="8" w:space="0" w:color="717177" w:themeColor="accent4" w:themeTint="BF"/>
        <w:insideH w:val="single" w:sz="8" w:space="0" w:color="717177" w:themeColor="accent4" w:themeTint="BF"/>
        <w:insideV w:val="single" w:sz="8" w:space="0" w:color="717177" w:themeColor="accent4" w:themeTint="BF"/>
      </w:tblBorders>
    </w:tblPr>
    <w:tcPr>
      <w:shd w:val="clear" w:color="auto" w:fill="CFCFD2" w:themeFill="accent4" w:themeFillTint="3F"/>
    </w:tcPr>
    <w:tblStylePr w:type="firstRow">
      <w:rPr>
        <w:b/>
        <w:bCs/>
      </w:rPr>
    </w:tblStylePr>
    <w:tblStylePr w:type="lastRow">
      <w:rPr>
        <w:b/>
        <w:bCs/>
      </w:rPr>
      <w:tblPr/>
      <w:tcPr>
        <w:tcBorders>
          <w:top w:val="single" w:sz="18" w:space="0" w:color="717177" w:themeColor="accent4" w:themeTint="BF"/>
        </w:tcBorders>
      </w:tcPr>
    </w:tblStylePr>
    <w:tblStylePr w:type="firstCol">
      <w:rPr>
        <w:b/>
        <w:bCs/>
      </w:rPr>
    </w:tblStylePr>
    <w:tblStylePr w:type="lastCol">
      <w:rPr>
        <w:b/>
        <w:bCs/>
      </w:rPr>
    </w:tblStylePr>
    <w:tblStylePr w:type="band1Vert">
      <w:tblPr/>
      <w:tcPr>
        <w:shd w:val="clear" w:color="auto" w:fill="A0A0A5" w:themeFill="accent4" w:themeFillTint="7F"/>
      </w:tcPr>
    </w:tblStylePr>
    <w:tblStylePr w:type="band1Horz">
      <w:tblPr/>
      <w:tcPr>
        <w:shd w:val="clear" w:color="auto" w:fill="A0A0A5" w:themeFill="accent4" w:themeFillTint="7F"/>
      </w:tcPr>
    </w:tblStylePr>
  </w:style>
  <w:style w:type="paragraph" w:customStyle="1" w:styleId="Agendaitem-main">
    <w:name w:val="Agenda item - main"/>
    <w:basedOn w:val="Heading1"/>
    <w:next w:val="Agendaitem-supplementary"/>
    <w:qFormat/>
    <w:rsid w:val="00CB16F4"/>
    <w:pPr>
      <w:keepNext w:val="0"/>
      <w:keepLines w:val="0"/>
      <w:widowControl w:val="0"/>
      <w:numPr>
        <w:numId w:val="13"/>
      </w:numPr>
      <w:spacing w:before="60" w:after="60"/>
      <w:outlineLvl w:val="9"/>
    </w:pPr>
    <w:rPr>
      <w:sz w:val="22"/>
      <w:szCs w:val="22"/>
    </w:rPr>
  </w:style>
  <w:style w:type="paragraph" w:customStyle="1" w:styleId="Agendaitem-supplementary">
    <w:name w:val="Agenda item - supplementary"/>
    <w:next w:val="Normal"/>
    <w:qFormat/>
    <w:rsid w:val="00E90871"/>
    <w:pPr>
      <w:numPr>
        <w:ilvl w:val="1"/>
        <w:numId w:val="13"/>
      </w:numPr>
      <w:tabs>
        <w:tab w:val="clear" w:pos="567"/>
        <w:tab w:val="num" w:pos="851"/>
      </w:tabs>
      <w:spacing w:after="60"/>
      <w:ind w:left="851"/>
    </w:pPr>
    <w:rPr>
      <w:rFonts w:eastAsiaTheme="majorEastAsia" w:cstheme="majorBidi"/>
      <w:b/>
      <w:noProof/>
      <w:color w:val="00244C"/>
      <w:lang w:eastAsia="en-AU"/>
    </w:rPr>
  </w:style>
  <w:style w:type="paragraph" w:customStyle="1" w:styleId="Agendaitem">
    <w:name w:val="Agenda item #.#.#"/>
    <w:basedOn w:val="Agendaitem-supplementary"/>
    <w:qFormat/>
    <w:rsid w:val="009D172C"/>
    <w:pPr>
      <w:numPr>
        <w:ilvl w:val="2"/>
      </w:numPr>
    </w:pPr>
    <w:rPr>
      <w:i/>
    </w:rPr>
  </w:style>
  <w:style w:type="paragraph" w:customStyle="1" w:styleId="Itemheader">
    <w:name w:val="Item header"/>
    <w:basedOn w:val="Tabletext"/>
    <w:qFormat/>
    <w:rsid w:val="009364DB"/>
    <w:pPr>
      <w:jc w:val="left"/>
    </w:pPr>
    <w:rPr>
      <w:b/>
      <w:color w:val="00244C"/>
    </w:rPr>
  </w:style>
  <w:style w:type="character" w:styleId="PlaceholderText">
    <w:name w:val="Placeholder Text"/>
    <w:basedOn w:val="DefaultParagraphFont"/>
    <w:uiPriority w:val="99"/>
    <w:semiHidden/>
    <w:rsid w:val="00A206FD"/>
    <w:rPr>
      <w:color w:val="808080"/>
    </w:rPr>
  </w:style>
  <w:style w:type="paragraph" w:customStyle="1" w:styleId="Tablehead">
    <w:name w:val="Table head"/>
    <w:basedOn w:val="Tabletext"/>
    <w:qFormat/>
    <w:rsid w:val="00BB0C76"/>
    <w:pPr>
      <w:jc w:val="left"/>
    </w:pPr>
    <w:rPr>
      <w:b/>
      <w:color w:val="FFFFFF" w:themeColor="background1"/>
    </w:rPr>
  </w:style>
  <w:style w:type="character" w:customStyle="1" w:styleId="Heading5Char">
    <w:name w:val="Heading 5 Char"/>
    <w:basedOn w:val="DefaultParagraphFont"/>
    <w:link w:val="Heading5"/>
    <w:uiPriority w:val="9"/>
    <w:semiHidden/>
    <w:rsid w:val="00760F5E"/>
    <w:rPr>
      <w:rFonts w:asciiTheme="majorHAnsi" w:eastAsiaTheme="majorEastAsia" w:hAnsiTheme="majorHAnsi" w:cstheme="majorBidi"/>
      <w:color w:val="2A63AC" w:themeColor="text1" w:themeTint="BF"/>
      <w:sz w:val="18"/>
      <w:szCs w:val="20"/>
      <w:lang w:eastAsia="en-AU"/>
    </w:rPr>
  </w:style>
  <w:style w:type="character" w:customStyle="1" w:styleId="Heading6Char">
    <w:name w:val="Heading 6 Char"/>
    <w:basedOn w:val="DefaultParagraphFont"/>
    <w:link w:val="Heading6"/>
    <w:uiPriority w:val="9"/>
    <w:semiHidden/>
    <w:rsid w:val="00760F5E"/>
    <w:rPr>
      <w:rFonts w:asciiTheme="majorHAnsi" w:eastAsiaTheme="majorEastAsia" w:hAnsiTheme="majorHAnsi" w:cstheme="majorBidi"/>
      <w:color w:val="auto"/>
      <w:sz w:val="18"/>
      <w:szCs w:val="20"/>
      <w:lang w:eastAsia="en-AU"/>
    </w:rPr>
  </w:style>
  <w:style w:type="character" w:customStyle="1" w:styleId="Heading7Char">
    <w:name w:val="Heading 7 Char"/>
    <w:basedOn w:val="DefaultParagraphFont"/>
    <w:link w:val="Heading7"/>
    <w:uiPriority w:val="9"/>
    <w:semiHidden/>
    <w:rsid w:val="00760F5E"/>
    <w:rPr>
      <w:rFonts w:asciiTheme="majorHAnsi" w:eastAsiaTheme="majorEastAsia" w:hAnsiTheme="majorHAnsi" w:cstheme="majorBidi"/>
      <w:i/>
      <w:iCs/>
      <w:color w:val="auto"/>
      <w:sz w:val="18"/>
      <w:szCs w:val="20"/>
      <w:lang w:eastAsia="en-AU"/>
    </w:rPr>
  </w:style>
  <w:style w:type="character" w:customStyle="1" w:styleId="Heading8Char">
    <w:name w:val="Heading 8 Char"/>
    <w:basedOn w:val="DefaultParagraphFont"/>
    <w:link w:val="Heading8"/>
    <w:uiPriority w:val="9"/>
    <w:semiHidden/>
    <w:rsid w:val="00760F5E"/>
    <w:rPr>
      <w:rFonts w:asciiTheme="majorHAnsi" w:eastAsiaTheme="majorEastAsia" w:hAnsiTheme="majorHAnsi" w:cstheme="majorBidi"/>
      <w:color w:val="22508C" w:themeColor="text1" w:themeTint="D9"/>
      <w:sz w:val="21"/>
      <w:szCs w:val="21"/>
      <w:lang w:eastAsia="en-AU"/>
    </w:rPr>
  </w:style>
  <w:style w:type="character" w:customStyle="1" w:styleId="Heading9Char">
    <w:name w:val="Heading 9 Char"/>
    <w:basedOn w:val="DefaultParagraphFont"/>
    <w:link w:val="Heading9"/>
    <w:uiPriority w:val="9"/>
    <w:semiHidden/>
    <w:rsid w:val="00760F5E"/>
    <w:rPr>
      <w:rFonts w:asciiTheme="majorHAnsi" w:eastAsiaTheme="majorEastAsia" w:hAnsiTheme="majorHAnsi" w:cstheme="majorBidi"/>
      <w:i/>
      <w:iCs/>
      <w:color w:val="22508C" w:themeColor="text1" w:themeTint="D9"/>
      <w:sz w:val="21"/>
      <w:szCs w:val="21"/>
      <w:lang w:eastAsia="en-AU"/>
    </w:rPr>
  </w:style>
  <w:style w:type="character" w:styleId="Strong">
    <w:name w:val="Strong"/>
    <w:basedOn w:val="DefaultParagraphFont"/>
    <w:uiPriority w:val="22"/>
    <w:qFormat/>
    <w:rsid w:val="00760F5E"/>
    <w:rPr>
      <w:b/>
      <w:bCs/>
      <w:color w:val="auto"/>
    </w:rPr>
  </w:style>
  <w:style w:type="character" w:styleId="Emphasis">
    <w:name w:val="Emphasis"/>
    <w:basedOn w:val="DefaultParagraphFont"/>
    <w:uiPriority w:val="20"/>
    <w:qFormat/>
    <w:rsid w:val="00760F5E"/>
    <w:rPr>
      <w:i/>
      <w:iCs/>
      <w:color w:val="auto"/>
    </w:rPr>
  </w:style>
  <w:style w:type="paragraph" w:styleId="NoSpacing">
    <w:name w:val="No Spacing"/>
    <w:uiPriority w:val="1"/>
    <w:qFormat/>
    <w:rsid w:val="00760F5E"/>
    <w:pPr>
      <w:spacing w:before="0" w:line="240" w:lineRule="auto"/>
    </w:pPr>
    <w:rPr>
      <w:rFonts w:eastAsiaTheme="minorEastAsia"/>
      <w:color w:val="auto"/>
      <w:szCs w:val="20"/>
      <w:lang w:eastAsia="en-AU"/>
    </w:rPr>
  </w:style>
  <w:style w:type="paragraph" w:styleId="Quote">
    <w:name w:val="Quote"/>
    <w:basedOn w:val="Normal"/>
    <w:next w:val="Normal"/>
    <w:link w:val="QuoteChar"/>
    <w:uiPriority w:val="29"/>
    <w:qFormat/>
    <w:rsid w:val="00760F5E"/>
    <w:pPr>
      <w:spacing w:before="200" w:line="240" w:lineRule="auto"/>
      <w:ind w:left="864" w:right="864"/>
    </w:pPr>
    <w:rPr>
      <w:rFonts w:eastAsiaTheme="minorEastAsia"/>
      <w:i/>
      <w:iCs/>
      <w:color w:val="2A63AC" w:themeColor="text1" w:themeTint="BF"/>
      <w:sz w:val="18"/>
      <w:szCs w:val="20"/>
      <w:lang w:eastAsia="en-AU"/>
    </w:rPr>
  </w:style>
  <w:style w:type="character" w:customStyle="1" w:styleId="QuoteChar">
    <w:name w:val="Quote Char"/>
    <w:basedOn w:val="DefaultParagraphFont"/>
    <w:link w:val="Quote"/>
    <w:uiPriority w:val="29"/>
    <w:rsid w:val="00760F5E"/>
    <w:rPr>
      <w:rFonts w:eastAsiaTheme="minorEastAsia"/>
      <w:i/>
      <w:iCs/>
      <w:color w:val="2A63AC" w:themeColor="text1" w:themeTint="BF"/>
      <w:sz w:val="18"/>
      <w:szCs w:val="20"/>
      <w:lang w:eastAsia="en-AU"/>
    </w:rPr>
  </w:style>
  <w:style w:type="paragraph" w:styleId="IntenseQuote">
    <w:name w:val="Intense Quote"/>
    <w:basedOn w:val="Normal"/>
    <w:next w:val="Normal"/>
    <w:link w:val="IntenseQuoteChar"/>
    <w:uiPriority w:val="30"/>
    <w:qFormat/>
    <w:rsid w:val="00760F5E"/>
    <w:pPr>
      <w:pBdr>
        <w:top w:val="single" w:sz="4" w:space="10" w:color="2A63AC" w:themeColor="text1" w:themeTint="BF"/>
        <w:bottom w:val="single" w:sz="4" w:space="10" w:color="2A63AC" w:themeColor="text1" w:themeTint="BF"/>
      </w:pBdr>
      <w:spacing w:before="360" w:after="360" w:line="240" w:lineRule="auto"/>
      <w:ind w:left="864" w:right="864"/>
      <w:jc w:val="center"/>
    </w:pPr>
    <w:rPr>
      <w:rFonts w:eastAsiaTheme="minorEastAsia"/>
      <w:i/>
      <w:iCs/>
      <w:color w:val="2A63AC" w:themeColor="text1" w:themeTint="BF"/>
      <w:sz w:val="18"/>
      <w:szCs w:val="20"/>
      <w:lang w:eastAsia="en-AU"/>
    </w:rPr>
  </w:style>
  <w:style w:type="character" w:customStyle="1" w:styleId="IntenseQuoteChar">
    <w:name w:val="Intense Quote Char"/>
    <w:basedOn w:val="DefaultParagraphFont"/>
    <w:link w:val="IntenseQuote"/>
    <w:uiPriority w:val="30"/>
    <w:rsid w:val="00760F5E"/>
    <w:rPr>
      <w:rFonts w:eastAsiaTheme="minorEastAsia"/>
      <w:i/>
      <w:iCs/>
      <w:color w:val="2A63AC" w:themeColor="text1" w:themeTint="BF"/>
      <w:sz w:val="18"/>
      <w:szCs w:val="20"/>
      <w:lang w:eastAsia="en-AU"/>
    </w:rPr>
  </w:style>
  <w:style w:type="character" w:styleId="IntenseEmphasis">
    <w:name w:val="Intense Emphasis"/>
    <w:basedOn w:val="DefaultParagraphFont"/>
    <w:uiPriority w:val="21"/>
    <w:qFormat/>
    <w:rsid w:val="00760F5E"/>
    <w:rPr>
      <w:b/>
      <w:bCs/>
      <w:i/>
      <w:iCs/>
      <w:color w:val="auto"/>
    </w:rPr>
  </w:style>
  <w:style w:type="character" w:styleId="SubtleReference">
    <w:name w:val="Subtle Reference"/>
    <w:basedOn w:val="DefaultParagraphFont"/>
    <w:uiPriority w:val="31"/>
    <w:qFormat/>
    <w:rsid w:val="00760F5E"/>
    <w:rPr>
      <w:smallCaps/>
      <w:color w:val="2A63AC" w:themeColor="text1" w:themeTint="BF"/>
    </w:rPr>
  </w:style>
  <w:style w:type="character" w:styleId="IntenseReference">
    <w:name w:val="Intense Reference"/>
    <w:basedOn w:val="DefaultParagraphFont"/>
    <w:uiPriority w:val="32"/>
    <w:qFormat/>
    <w:rsid w:val="00760F5E"/>
    <w:rPr>
      <w:b/>
      <w:bCs/>
      <w:smallCaps/>
      <w:color w:val="2A63AC" w:themeColor="text1" w:themeTint="BF"/>
      <w:spacing w:val="5"/>
    </w:rPr>
  </w:style>
  <w:style w:type="character" w:styleId="BookTitle">
    <w:name w:val="Book Title"/>
    <w:basedOn w:val="DefaultParagraphFont"/>
    <w:uiPriority w:val="33"/>
    <w:qFormat/>
    <w:rsid w:val="00760F5E"/>
    <w:rPr>
      <w:b/>
      <w:bCs/>
      <w:i/>
      <w:iCs/>
      <w:spacing w:val="5"/>
    </w:rPr>
  </w:style>
  <w:style w:type="table" w:styleId="PlainTable4">
    <w:name w:val="Plain Table 4"/>
    <w:basedOn w:val="TableNormal"/>
    <w:uiPriority w:val="44"/>
    <w:rsid w:val="00760F5E"/>
    <w:pPr>
      <w:spacing w:before="0" w:line="240" w:lineRule="auto"/>
    </w:pPr>
    <w:rPr>
      <w:rFonts w:eastAsiaTheme="minorEastAsia"/>
      <w:color w:val="auto"/>
      <w:szCs w:val="20"/>
      <w:lang w:eastAsia="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60F5E"/>
    <w:pPr>
      <w:spacing w:before="0" w:line="240" w:lineRule="auto"/>
    </w:pPr>
    <w:rPr>
      <w:rFonts w:eastAsiaTheme="minorEastAsia"/>
      <w:color w:val="auto"/>
      <w:szCs w:val="20"/>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yle1">
    <w:name w:val="Style1"/>
    <w:basedOn w:val="Heading1"/>
    <w:qFormat/>
    <w:rsid w:val="00760F5E"/>
    <w:pPr>
      <w:spacing w:before="240" w:line="240" w:lineRule="auto"/>
    </w:pPr>
    <w:rPr>
      <w:rFonts w:asciiTheme="minorHAnsi" w:hAnsiTheme="minorHAnsi"/>
      <w:b w:val="0"/>
      <w:bCs w:val="0"/>
      <w:color w:val="22508C" w:themeColor="text1" w:themeTint="D9"/>
      <w:sz w:val="48"/>
      <w:szCs w:val="32"/>
      <w:lang w:eastAsia="en-AU"/>
    </w:rPr>
  </w:style>
  <w:style w:type="paragraph" w:customStyle="1" w:styleId="Headline3Blue">
    <w:name w:val="Headline 3 Blue"/>
    <w:basedOn w:val="Heading3"/>
    <w:qFormat/>
    <w:rsid w:val="00760F5E"/>
    <w:pPr>
      <w:spacing w:before="40" w:line="240" w:lineRule="auto"/>
    </w:pPr>
    <w:rPr>
      <w:rFonts w:asciiTheme="majorHAnsi" w:hAnsiTheme="majorHAnsi"/>
      <w:b w:val="0"/>
      <w:bCs w:val="0"/>
      <w:i w:val="0"/>
      <w:color w:val="00ABF9"/>
      <w:sz w:val="28"/>
      <w:szCs w:val="24"/>
      <w:lang w:eastAsia="en-AU"/>
    </w:rPr>
  </w:style>
  <w:style w:type="paragraph" w:customStyle="1" w:styleId="ds-task-decision">
    <w:name w:val="ds-task-decision"/>
    <w:basedOn w:val="Normal"/>
    <w:link w:val="ds-task-decisionChar"/>
    <w:rsid w:val="00760F5E"/>
    <w:pPr>
      <w:spacing w:before="0" w:line="240" w:lineRule="auto"/>
    </w:pPr>
    <w:rPr>
      <w:rFonts w:eastAsiaTheme="minorEastAsia"/>
      <w:color w:val="auto"/>
      <w:sz w:val="18"/>
      <w:szCs w:val="20"/>
      <w:lang w:eastAsia="en-AU"/>
    </w:rPr>
  </w:style>
  <w:style w:type="character" w:customStyle="1" w:styleId="ds-task-decisionChar">
    <w:name w:val="ds-task-decision Char"/>
    <w:basedOn w:val="DefaultParagraphFont"/>
    <w:link w:val="ds-task-decision"/>
    <w:rsid w:val="00760F5E"/>
    <w:rPr>
      <w:rFonts w:eastAsiaTheme="minorEastAsia"/>
      <w:color w:val="auto"/>
      <w:sz w:val="18"/>
      <w:szCs w:val="20"/>
      <w:lang w:eastAsia="en-AU"/>
    </w:rPr>
  </w:style>
  <w:style w:type="character" w:styleId="UnresolvedMention">
    <w:name w:val="Unresolved Mention"/>
    <w:basedOn w:val="DefaultParagraphFont"/>
    <w:uiPriority w:val="99"/>
    <w:rsid w:val="00760F5E"/>
    <w:rPr>
      <w:color w:val="808080"/>
      <w:shd w:val="clear" w:color="auto" w:fill="E6E6E6"/>
    </w:rPr>
  </w:style>
  <w:style w:type="character" w:customStyle="1" w:styleId="msonormal1">
    <w:name w:val="msonormal1"/>
    <w:basedOn w:val="DefaultParagraphFont"/>
    <w:rsid w:val="00760F5E"/>
  </w:style>
  <w:style w:type="character" w:styleId="CommentReference">
    <w:name w:val="annotation reference"/>
    <w:basedOn w:val="DefaultParagraphFont"/>
    <w:uiPriority w:val="99"/>
    <w:semiHidden/>
    <w:unhideWhenUsed/>
    <w:rsid w:val="00760F5E"/>
    <w:rPr>
      <w:sz w:val="16"/>
      <w:szCs w:val="16"/>
    </w:rPr>
  </w:style>
  <w:style w:type="paragraph" w:styleId="CommentText">
    <w:name w:val="annotation text"/>
    <w:basedOn w:val="Normal"/>
    <w:link w:val="CommentTextChar"/>
    <w:uiPriority w:val="99"/>
    <w:unhideWhenUsed/>
    <w:rsid w:val="00760F5E"/>
    <w:pPr>
      <w:spacing w:before="0" w:line="240" w:lineRule="auto"/>
    </w:pPr>
    <w:rPr>
      <w:rFonts w:eastAsiaTheme="minorEastAsia"/>
      <w:color w:val="auto"/>
      <w:sz w:val="20"/>
      <w:szCs w:val="20"/>
      <w:lang w:eastAsia="en-AU"/>
    </w:rPr>
  </w:style>
  <w:style w:type="character" w:customStyle="1" w:styleId="CommentTextChar">
    <w:name w:val="Comment Text Char"/>
    <w:basedOn w:val="DefaultParagraphFont"/>
    <w:link w:val="CommentText"/>
    <w:uiPriority w:val="99"/>
    <w:rsid w:val="00760F5E"/>
    <w:rPr>
      <w:rFonts w:eastAsiaTheme="minorEastAsia"/>
      <w:color w:val="auto"/>
      <w:sz w:val="20"/>
      <w:szCs w:val="20"/>
      <w:lang w:eastAsia="en-AU"/>
    </w:rPr>
  </w:style>
  <w:style w:type="paragraph" w:styleId="CommentSubject">
    <w:name w:val="annotation subject"/>
    <w:basedOn w:val="CommentText"/>
    <w:next w:val="CommentText"/>
    <w:link w:val="CommentSubjectChar"/>
    <w:uiPriority w:val="99"/>
    <w:semiHidden/>
    <w:unhideWhenUsed/>
    <w:rsid w:val="00760F5E"/>
    <w:rPr>
      <w:b/>
      <w:bCs/>
    </w:rPr>
  </w:style>
  <w:style w:type="character" w:customStyle="1" w:styleId="CommentSubjectChar">
    <w:name w:val="Comment Subject Char"/>
    <w:basedOn w:val="CommentTextChar"/>
    <w:link w:val="CommentSubject"/>
    <w:uiPriority w:val="99"/>
    <w:semiHidden/>
    <w:rsid w:val="00760F5E"/>
    <w:rPr>
      <w:rFonts w:eastAsiaTheme="minorEastAsia"/>
      <w:b/>
      <w:bCs/>
      <w:color w:val="auto"/>
      <w:sz w:val="20"/>
      <w:szCs w:val="20"/>
      <w:lang w:eastAsia="en-AU"/>
    </w:rPr>
  </w:style>
  <w:style w:type="paragraph" w:styleId="Revision">
    <w:name w:val="Revision"/>
    <w:hidden/>
    <w:uiPriority w:val="99"/>
    <w:semiHidden/>
    <w:rsid w:val="00760F5E"/>
    <w:pPr>
      <w:spacing w:before="0" w:line="240" w:lineRule="auto"/>
    </w:pPr>
    <w:rPr>
      <w:rFonts w:eastAsiaTheme="minorEastAsia"/>
      <w:color w:val="auto"/>
      <w:sz w:val="18"/>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85AC36EA9D4F60AAE9762D66F29E09"/>
        <w:category>
          <w:name w:val="General"/>
          <w:gallery w:val="placeholder"/>
        </w:category>
        <w:types>
          <w:type w:val="bbPlcHdr"/>
        </w:types>
        <w:behaviors>
          <w:behavior w:val="content"/>
        </w:behaviors>
        <w:guid w:val="{227FBF44-63D4-4D34-965E-C1480B427CEF}"/>
      </w:docPartPr>
      <w:docPartBody>
        <w:p w:rsidR="004E1457" w:rsidRDefault="008F1D36" w:rsidP="008F1D36">
          <w:pPr>
            <w:pStyle w:val="2885AC36EA9D4F60AAE9762D66F29E09"/>
          </w:pPr>
          <w:r w:rsidRPr="0023310E">
            <w:rPr>
              <w:rStyle w:val="PlaceholderText"/>
              <w:b/>
              <w:bCs/>
              <w:color w:val="FF0000"/>
            </w:rPr>
            <w:t>Choose an item.</w:t>
          </w:r>
        </w:p>
      </w:docPartBody>
    </w:docPart>
    <w:docPart>
      <w:docPartPr>
        <w:name w:val="E8805373AFFE4973A1603DE4F6494760"/>
        <w:category>
          <w:name w:val="General"/>
          <w:gallery w:val="placeholder"/>
        </w:category>
        <w:types>
          <w:type w:val="bbPlcHdr"/>
        </w:types>
        <w:behaviors>
          <w:behavior w:val="content"/>
        </w:behaviors>
        <w:guid w:val="{0F3C3036-0688-4B56-B420-347F88D38BA2}"/>
      </w:docPartPr>
      <w:docPartBody>
        <w:p w:rsidR="004E1457" w:rsidRDefault="008F1D36" w:rsidP="008F1D36">
          <w:pPr>
            <w:pStyle w:val="E8805373AFFE4973A1603DE4F6494760"/>
          </w:pPr>
          <w:r w:rsidRPr="0023310E">
            <w:rPr>
              <w:rStyle w:val="PlaceholderText"/>
              <w:b/>
              <w:bCs/>
              <w:color w:val="FF0000"/>
            </w:rPr>
            <w:t>Choose an item.</w:t>
          </w:r>
        </w:p>
      </w:docPartBody>
    </w:docPart>
    <w:docPart>
      <w:docPartPr>
        <w:name w:val="5367571984914CE7824D36881AD67D64"/>
        <w:category>
          <w:name w:val="General"/>
          <w:gallery w:val="placeholder"/>
        </w:category>
        <w:types>
          <w:type w:val="bbPlcHdr"/>
        </w:types>
        <w:behaviors>
          <w:behavior w:val="content"/>
        </w:behaviors>
        <w:guid w:val="{89811023-A18B-421F-BCB5-BADBE643F7A8}"/>
      </w:docPartPr>
      <w:docPartBody>
        <w:p w:rsidR="004E1457" w:rsidRDefault="008F1D36" w:rsidP="008F1D36">
          <w:pPr>
            <w:pStyle w:val="5367571984914CE7824D36881AD67D64"/>
          </w:pPr>
          <w:r w:rsidRPr="0023310E">
            <w:rPr>
              <w:rStyle w:val="PlaceholderText"/>
              <w:b/>
              <w:bCs/>
              <w:color w:val="FF0000"/>
            </w:rPr>
            <w:t>Choose an item.</w:t>
          </w:r>
        </w:p>
      </w:docPartBody>
    </w:docPart>
    <w:docPart>
      <w:docPartPr>
        <w:name w:val="B35DE548D5AD470980560DC801F04A1C"/>
        <w:category>
          <w:name w:val="General"/>
          <w:gallery w:val="placeholder"/>
        </w:category>
        <w:types>
          <w:type w:val="bbPlcHdr"/>
        </w:types>
        <w:behaviors>
          <w:behavior w:val="content"/>
        </w:behaviors>
        <w:guid w:val="{69524280-75B8-40A7-9681-C2BCAB1D22E5}"/>
      </w:docPartPr>
      <w:docPartBody>
        <w:p w:rsidR="00D04475" w:rsidRDefault="00D04475" w:rsidP="00D04475">
          <w:pPr>
            <w:pStyle w:val="B35DE548D5AD470980560DC801F04A1C"/>
          </w:pPr>
          <w:r w:rsidRPr="0023310E">
            <w:rPr>
              <w:rStyle w:val="PlaceholderText"/>
              <w:b/>
              <w:bCs/>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EE2"/>
    <w:rsid w:val="0021192B"/>
    <w:rsid w:val="004E1457"/>
    <w:rsid w:val="00501EE2"/>
    <w:rsid w:val="00521244"/>
    <w:rsid w:val="005C1D37"/>
    <w:rsid w:val="00634D40"/>
    <w:rsid w:val="00840402"/>
    <w:rsid w:val="008C14C4"/>
    <w:rsid w:val="008F1D36"/>
    <w:rsid w:val="00A07B1D"/>
    <w:rsid w:val="00A95393"/>
    <w:rsid w:val="00B66EC9"/>
    <w:rsid w:val="00D04475"/>
    <w:rsid w:val="00EC74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4475"/>
    <w:rPr>
      <w:color w:val="808080"/>
    </w:rPr>
  </w:style>
  <w:style w:type="paragraph" w:customStyle="1" w:styleId="2885AC36EA9D4F60AAE9762D66F29E09">
    <w:name w:val="2885AC36EA9D4F60AAE9762D66F29E09"/>
    <w:rsid w:val="008F1D36"/>
  </w:style>
  <w:style w:type="paragraph" w:customStyle="1" w:styleId="E8805373AFFE4973A1603DE4F6494760">
    <w:name w:val="E8805373AFFE4973A1603DE4F6494760"/>
    <w:rsid w:val="008F1D36"/>
  </w:style>
  <w:style w:type="paragraph" w:customStyle="1" w:styleId="5367571984914CE7824D36881AD67D64">
    <w:name w:val="5367571984914CE7824D36881AD67D64"/>
    <w:rsid w:val="008F1D36"/>
  </w:style>
  <w:style w:type="paragraph" w:customStyle="1" w:styleId="B35DE548D5AD470980560DC801F04A1C">
    <w:name w:val="B35DE548D5AD470980560DC801F04A1C"/>
    <w:rsid w:val="00D0447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
      <a:dk1>
        <a:srgbClr val="17365D"/>
      </a:dk1>
      <a:lt1>
        <a:sysClr val="window" lastClr="FFFFFF"/>
      </a:lt1>
      <a:dk2>
        <a:srgbClr val="00244C"/>
      </a:dk2>
      <a:lt2>
        <a:srgbClr val="EEECE1"/>
      </a:lt2>
      <a:accent1>
        <a:srgbClr val="E3CCF4"/>
      </a:accent1>
      <a:accent2>
        <a:srgbClr val="2B992B"/>
      </a:accent2>
      <a:accent3>
        <a:srgbClr val="258325"/>
      </a:accent3>
      <a:accent4>
        <a:srgbClr val="444448"/>
      </a:accent4>
      <a:accent5>
        <a:srgbClr val="4BACC6"/>
      </a:accent5>
      <a:accent6>
        <a:srgbClr val="F79646"/>
      </a:accent6>
      <a:hlink>
        <a:srgbClr val="4E1A74"/>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44A8A904-5BF2-4A2A-855E-A645AB435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3079</Words>
  <Characters>17553</Characters>
  <Application>Microsoft Office Word</Application>
  <DocSecurity>0</DocSecurity>
  <Lines>146</Lines>
  <Paragraphs>41</Paragraphs>
  <ScaleCrop>false</ScaleCrop>
  <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2026-09-09T01:08:00Z</dcterms:created>
  <dcterms:modified xsi:type="dcterms:W3CDTF">2026-09-09T01:08:00Z</dcterms:modified>
</cp:coreProperties>
</file>