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240B8" w14:textId="6B5033BF" w:rsidR="00887659" w:rsidRDefault="001732D1" w:rsidP="00887659">
      <w:pPr>
        <w:spacing w:after="0"/>
        <w:rPr>
          <w:rFonts w:ascii="Garamond" w:hAnsi="Garamond" w:cs="Arial"/>
        </w:rPr>
      </w:pPr>
      <w:bookmarkStart w:id="0" w:name="_Toc425775892"/>
      <w:bookmarkStart w:id="1" w:name="_GoBack"/>
      <w:bookmarkEnd w:id="1"/>
      <w:r>
        <w:rPr>
          <w:rFonts w:ascii="Garamond" w:hAnsi="Garamond" w:cs="Arial"/>
          <w:noProof/>
          <w:lang w:eastAsia="en-AU"/>
        </w:rPr>
        <w:drawing>
          <wp:anchor distT="0" distB="0" distL="114300" distR="114300" simplePos="0" relativeHeight="251658240" behindDoc="1" locked="0" layoutInCell="1" allowOverlap="1" wp14:anchorId="6FC5BF8F" wp14:editId="1E8A9701">
            <wp:simplePos x="0" y="0"/>
            <wp:positionH relativeFrom="page">
              <wp:align>left</wp:align>
            </wp:positionH>
            <wp:positionV relativeFrom="paragraph">
              <wp:posOffset>-719322</wp:posOffset>
            </wp:positionV>
            <wp:extent cx="755882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RS action plan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p>
    <w:bookmarkEnd w:id="0"/>
    <w:p w14:paraId="1607E5D5" w14:textId="77777777" w:rsidR="005D3CFE" w:rsidRDefault="005D3CFE">
      <w:pPr>
        <w:spacing w:after="0"/>
        <w:rPr>
          <w:rFonts w:ascii="Cambria" w:eastAsia="Times New Roman" w:hAnsi="Cambria"/>
          <w:b/>
          <w:bCs/>
          <w:color w:val="365F91"/>
          <w:sz w:val="28"/>
          <w:szCs w:val="28"/>
          <w:lang w:val="en-US"/>
        </w:rPr>
      </w:pPr>
      <w:r>
        <w:br w:type="page"/>
      </w:r>
    </w:p>
    <w:sdt>
      <w:sdtPr>
        <w:rPr>
          <w:rFonts w:ascii="Calibri" w:eastAsia="Calibri" w:hAnsi="Calibri"/>
          <w:b w:val="0"/>
          <w:bCs w:val="0"/>
          <w:color w:val="auto"/>
          <w:sz w:val="22"/>
          <w:szCs w:val="22"/>
          <w:lang w:val="en-AU"/>
        </w:rPr>
        <w:id w:val="-1372150067"/>
        <w:docPartObj>
          <w:docPartGallery w:val="Table of Contents"/>
          <w:docPartUnique/>
        </w:docPartObj>
      </w:sdtPr>
      <w:sdtEndPr>
        <w:rPr>
          <w:noProof/>
        </w:rPr>
      </w:sdtEndPr>
      <w:sdtContent>
        <w:p w14:paraId="0FA80623" w14:textId="1E447AF7" w:rsidR="004433D7" w:rsidRDefault="004433D7">
          <w:pPr>
            <w:pStyle w:val="TOCHeading"/>
          </w:pPr>
          <w:r>
            <w:t>Contents</w:t>
          </w:r>
        </w:p>
        <w:p w14:paraId="293CF37D" w14:textId="1B1636DB" w:rsidR="00597D67" w:rsidRDefault="004433D7" w:rsidP="001055C7">
          <w:pPr>
            <w:pStyle w:val="TOC1"/>
            <w:tabs>
              <w:tab w:val="left" w:pos="440"/>
              <w:tab w:val="right" w:leader="dot" w:pos="9628"/>
            </w:tabs>
            <w:rPr>
              <w:rFonts w:asciiTheme="minorHAnsi" w:eastAsiaTheme="minorEastAsia" w:hAnsiTheme="minorHAnsi" w:cstheme="minorBidi"/>
              <w:noProof/>
              <w:lang w:eastAsia="en-AU"/>
            </w:rPr>
          </w:pPr>
          <w:r>
            <w:rPr>
              <w:rStyle w:val="Hyperlink"/>
              <w:rFonts w:ascii="Century Gothic" w:eastAsia="Times New Roman" w:hAnsi="Century Gothic"/>
            </w:rPr>
            <w:fldChar w:fldCharType="begin"/>
          </w:r>
          <w:r w:rsidRPr="001055C7">
            <w:rPr>
              <w:rStyle w:val="Hyperlink"/>
              <w:rFonts w:ascii="Century Gothic" w:eastAsia="Times New Roman" w:hAnsi="Century Gothic"/>
              <w:b/>
              <w:bCs/>
              <w:noProof/>
            </w:rPr>
            <w:instrText xml:space="preserve"> TOC \o "1-3" \h \z \u </w:instrText>
          </w:r>
          <w:r>
            <w:rPr>
              <w:rStyle w:val="Hyperlink"/>
              <w:rFonts w:ascii="Century Gothic" w:eastAsia="Times New Roman" w:hAnsi="Century Gothic"/>
            </w:rPr>
            <w:fldChar w:fldCharType="separate"/>
          </w:r>
          <w:hyperlink w:anchor="_Toc55828266" w:history="1">
            <w:r w:rsidR="00597D67" w:rsidRPr="001055C7">
              <w:rPr>
                <w:rStyle w:val="Hyperlink"/>
                <w:rFonts w:ascii="Century Gothic" w:eastAsia="Times New Roman" w:hAnsi="Century Gothic"/>
                <w:b/>
                <w:bCs/>
                <w:noProof/>
              </w:rPr>
              <w:t>Foreword</w:t>
            </w:r>
            <w:r w:rsidR="00597D67">
              <w:rPr>
                <w:noProof/>
                <w:webHidden/>
              </w:rPr>
              <w:tab/>
            </w:r>
            <w:r w:rsidR="00597D67" w:rsidRPr="001055C7">
              <w:rPr>
                <w:rStyle w:val="Hyperlink"/>
                <w:rFonts w:ascii="Century Gothic" w:eastAsia="Times New Roman" w:hAnsi="Century Gothic"/>
                <w:b/>
                <w:bCs/>
                <w:webHidden/>
              </w:rPr>
              <w:fldChar w:fldCharType="begin"/>
            </w:r>
            <w:r w:rsidR="00597D67" w:rsidRPr="001055C7">
              <w:rPr>
                <w:rStyle w:val="Hyperlink"/>
                <w:rFonts w:ascii="Century Gothic" w:eastAsia="Times New Roman" w:hAnsi="Century Gothic"/>
                <w:b/>
                <w:bCs/>
                <w:webHidden/>
              </w:rPr>
              <w:instrText xml:space="preserve"> PAGEREF _Toc55828266 \h </w:instrText>
            </w:r>
            <w:r w:rsidR="00597D67" w:rsidRPr="001055C7">
              <w:rPr>
                <w:rStyle w:val="Hyperlink"/>
                <w:rFonts w:ascii="Century Gothic" w:eastAsia="Times New Roman" w:hAnsi="Century Gothic"/>
                <w:b/>
                <w:bCs/>
                <w:webHidden/>
              </w:rPr>
            </w:r>
            <w:r w:rsidR="00597D67" w:rsidRPr="001055C7">
              <w:rPr>
                <w:rStyle w:val="Hyperlink"/>
                <w:rFonts w:ascii="Century Gothic" w:eastAsia="Times New Roman" w:hAnsi="Century Gothic"/>
                <w:b/>
                <w:bCs/>
                <w:webHidden/>
              </w:rPr>
              <w:fldChar w:fldCharType="separate"/>
            </w:r>
            <w:r w:rsidR="00E00BB3">
              <w:rPr>
                <w:rStyle w:val="Hyperlink"/>
                <w:rFonts w:ascii="Century Gothic" w:eastAsia="Times New Roman" w:hAnsi="Century Gothic"/>
                <w:b/>
                <w:bCs/>
                <w:noProof/>
                <w:webHidden/>
              </w:rPr>
              <w:t>3</w:t>
            </w:r>
            <w:r w:rsidR="00597D67" w:rsidRPr="001055C7">
              <w:rPr>
                <w:rStyle w:val="Hyperlink"/>
                <w:rFonts w:ascii="Century Gothic" w:eastAsia="Times New Roman" w:hAnsi="Century Gothic"/>
                <w:b/>
                <w:bCs/>
                <w:webHidden/>
              </w:rPr>
              <w:fldChar w:fldCharType="end"/>
            </w:r>
          </w:hyperlink>
        </w:p>
        <w:p w14:paraId="2255CA58" w14:textId="0E40F719" w:rsidR="00597D67" w:rsidRDefault="00E00BB3">
          <w:pPr>
            <w:pStyle w:val="TOC1"/>
            <w:tabs>
              <w:tab w:val="left" w:pos="440"/>
              <w:tab w:val="right" w:leader="dot" w:pos="9628"/>
            </w:tabs>
            <w:rPr>
              <w:rFonts w:asciiTheme="minorHAnsi" w:eastAsiaTheme="minorEastAsia" w:hAnsiTheme="minorHAnsi" w:cstheme="minorBidi"/>
              <w:noProof/>
              <w:lang w:eastAsia="en-AU"/>
            </w:rPr>
          </w:pPr>
          <w:hyperlink w:anchor="_Toc55828267" w:history="1">
            <w:r w:rsidR="00597D67" w:rsidRPr="00CC3D23">
              <w:rPr>
                <w:rStyle w:val="Hyperlink"/>
                <w:rFonts w:ascii="Century Gothic" w:eastAsia="Times New Roman" w:hAnsi="Century Gothic"/>
                <w:b/>
                <w:bCs/>
                <w:noProof/>
              </w:rPr>
              <w:t>1.</w:t>
            </w:r>
            <w:r w:rsidR="00597D67">
              <w:rPr>
                <w:rFonts w:asciiTheme="minorHAnsi" w:eastAsiaTheme="minorEastAsia" w:hAnsiTheme="minorHAnsi" w:cstheme="minorBidi"/>
                <w:noProof/>
                <w:lang w:eastAsia="en-AU"/>
              </w:rPr>
              <w:tab/>
            </w:r>
            <w:r w:rsidR="00597D67" w:rsidRPr="00CC3D23">
              <w:rPr>
                <w:rStyle w:val="Hyperlink"/>
                <w:rFonts w:ascii="Century Gothic" w:eastAsia="Times New Roman" w:hAnsi="Century Gothic"/>
                <w:b/>
                <w:bCs/>
                <w:noProof/>
              </w:rPr>
              <w:t>The Australian regulatory framework for radiation protection and nuclear safety</w:t>
            </w:r>
            <w:r w:rsidR="00597D67">
              <w:rPr>
                <w:noProof/>
                <w:webHidden/>
              </w:rPr>
              <w:tab/>
            </w:r>
            <w:r w:rsidR="00597D67">
              <w:rPr>
                <w:noProof/>
                <w:webHidden/>
              </w:rPr>
              <w:fldChar w:fldCharType="begin"/>
            </w:r>
            <w:r w:rsidR="00597D67">
              <w:rPr>
                <w:noProof/>
                <w:webHidden/>
              </w:rPr>
              <w:instrText xml:space="preserve"> PAGEREF _Toc55828267 \h </w:instrText>
            </w:r>
            <w:r w:rsidR="00597D67">
              <w:rPr>
                <w:noProof/>
                <w:webHidden/>
              </w:rPr>
            </w:r>
            <w:r w:rsidR="00597D67">
              <w:rPr>
                <w:noProof/>
                <w:webHidden/>
              </w:rPr>
              <w:fldChar w:fldCharType="separate"/>
            </w:r>
            <w:r>
              <w:rPr>
                <w:noProof/>
                <w:webHidden/>
              </w:rPr>
              <w:t>4</w:t>
            </w:r>
            <w:r w:rsidR="00597D67">
              <w:rPr>
                <w:noProof/>
                <w:webHidden/>
              </w:rPr>
              <w:fldChar w:fldCharType="end"/>
            </w:r>
          </w:hyperlink>
        </w:p>
        <w:p w14:paraId="504053D4" w14:textId="4FB28C26" w:rsidR="00597D67" w:rsidRDefault="00E00BB3">
          <w:pPr>
            <w:pStyle w:val="TOC1"/>
            <w:tabs>
              <w:tab w:val="left" w:pos="440"/>
              <w:tab w:val="right" w:leader="dot" w:pos="9628"/>
            </w:tabs>
            <w:rPr>
              <w:rFonts w:asciiTheme="minorHAnsi" w:eastAsiaTheme="minorEastAsia" w:hAnsiTheme="minorHAnsi" w:cstheme="minorBidi"/>
              <w:noProof/>
              <w:lang w:eastAsia="en-AU"/>
            </w:rPr>
          </w:pPr>
          <w:hyperlink w:anchor="_Toc55828268" w:history="1">
            <w:r w:rsidR="00597D67" w:rsidRPr="00CC3D23">
              <w:rPr>
                <w:rStyle w:val="Hyperlink"/>
                <w:rFonts w:ascii="Century Gothic" w:eastAsia="Times New Roman" w:hAnsi="Century Gothic"/>
                <w:b/>
                <w:bCs/>
                <w:noProof/>
              </w:rPr>
              <w:t>2.</w:t>
            </w:r>
            <w:r w:rsidR="00597D67">
              <w:rPr>
                <w:rFonts w:asciiTheme="minorHAnsi" w:eastAsiaTheme="minorEastAsia" w:hAnsiTheme="minorHAnsi" w:cstheme="minorBidi"/>
                <w:noProof/>
                <w:lang w:eastAsia="en-AU"/>
              </w:rPr>
              <w:tab/>
            </w:r>
            <w:r w:rsidR="00597D67" w:rsidRPr="00CC3D23">
              <w:rPr>
                <w:rStyle w:val="Hyperlink"/>
                <w:rFonts w:ascii="Century Gothic" w:eastAsia="Times New Roman" w:hAnsi="Century Gothic"/>
                <w:b/>
                <w:bCs/>
                <w:noProof/>
              </w:rPr>
              <w:t>The Australian IRRS</w:t>
            </w:r>
            <w:r w:rsidR="00597D67">
              <w:rPr>
                <w:noProof/>
                <w:webHidden/>
              </w:rPr>
              <w:tab/>
            </w:r>
            <w:r w:rsidR="00597D67">
              <w:rPr>
                <w:noProof/>
                <w:webHidden/>
              </w:rPr>
              <w:fldChar w:fldCharType="begin"/>
            </w:r>
            <w:r w:rsidR="00597D67">
              <w:rPr>
                <w:noProof/>
                <w:webHidden/>
              </w:rPr>
              <w:instrText xml:space="preserve"> PAGEREF _Toc55828268 \h </w:instrText>
            </w:r>
            <w:r w:rsidR="00597D67">
              <w:rPr>
                <w:noProof/>
                <w:webHidden/>
              </w:rPr>
            </w:r>
            <w:r w:rsidR="00597D67">
              <w:rPr>
                <w:noProof/>
                <w:webHidden/>
              </w:rPr>
              <w:fldChar w:fldCharType="separate"/>
            </w:r>
            <w:r>
              <w:rPr>
                <w:noProof/>
                <w:webHidden/>
              </w:rPr>
              <w:t>5</w:t>
            </w:r>
            <w:r w:rsidR="00597D67">
              <w:rPr>
                <w:noProof/>
                <w:webHidden/>
              </w:rPr>
              <w:fldChar w:fldCharType="end"/>
            </w:r>
          </w:hyperlink>
        </w:p>
        <w:p w14:paraId="4EDCDF41" w14:textId="0B4668A6" w:rsidR="00597D67" w:rsidRDefault="00E00BB3">
          <w:pPr>
            <w:pStyle w:val="TOC2"/>
            <w:tabs>
              <w:tab w:val="right" w:leader="dot" w:pos="9628"/>
            </w:tabs>
            <w:rPr>
              <w:rFonts w:asciiTheme="minorHAnsi" w:eastAsiaTheme="minorEastAsia" w:hAnsiTheme="minorHAnsi" w:cstheme="minorBidi"/>
              <w:noProof/>
              <w:lang w:eastAsia="en-AU"/>
            </w:rPr>
          </w:pPr>
          <w:hyperlink w:anchor="_Toc55828269" w:history="1">
            <w:r w:rsidR="00597D67" w:rsidRPr="00CC3D23">
              <w:rPr>
                <w:rStyle w:val="Hyperlink"/>
                <w:rFonts w:ascii="Century Gothic" w:eastAsia="Times New Roman" w:hAnsi="Century Gothic"/>
                <w:b/>
                <w:bCs/>
                <w:noProof/>
              </w:rPr>
              <w:t>2.1 Scope</w:t>
            </w:r>
            <w:r w:rsidR="00597D67">
              <w:rPr>
                <w:noProof/>
                <w:webHidden/>
              </w:rPr>
              <w:tab/>
            </w:r>
            <w:r w:rsidR="00597D67">
              <w:rPr>
                <w:noProof/>
                <w:webHidden/>
              </w:rPr>
              <w:fldChar w:fldCharType="begin"/>
            </w:r>
            <w:r w:rsidR="00597D67">
              <w:rPr>
                <w:noProof/>
                <w:webHidden/>
              </w:rPr>
              <w:instrText xml:space="preserve"> PAGEREF _Toc55828269 \h </w:instrText>
            </w:r>
            <w:r w:rsidR="00597D67">
              <w:rPr>
                <w:noProof/>
                <w:webHidden/>
              </w:rPr>
            </w:r>
            <w:r w:rsidR="00597D67">
              <w:rPr>
                <w:noProof/>
                <w:webHidden/>
              </w:rPr>
              <w:fldChar w:fldCharType="separate"/>
            </w:r>
            <w:r>
              <w:rPr>
                <w:noProof/>
                <w:webHidden/>
              </w:rPr>
              <w:t>5</w:t>
            </w:r>
            <w:r w:rsidR="00597D67">
              <w:rPr>
                <w:noProof/>
                <w:webHidden/>
              </w:rPr>
              <w:fldChar w:fldCharType="end"/>
            </w:r>
          </w:hyperlink>
        </w:p>
        <w:p w14:paraId="0A6DA864" w14:textId="7AEBFFB8" w:rsidR="00597D67" w:rsidRDefault="00E00BB3">
          <w:pPr>
            <w:pStyle w:val="TOC2"/>
            <w:tabs>
              <w:tab w:val="right" w:leader="dot" w:pos="9628"/>
            </w:tabs>
            <w:rPr>
              <w:rFonts w:asciiTheme="minorHAnsi" w:eastAsiaTheme="minorEastAsia" w:hAnsiTheme="minorHAnsi" w:cstheme="minorBidi"/>
              <w:noProof/>
              <w:lang w:eastAsia="en-AU"/>
            </w:rPr>
          </w:pPr>
          <w:hyperlink w:anchor="_Toc55828270" w:history="1">
            <w:r w:rsidR="00597D67" w:rsidRPr="00CC3D23">
              <w:rPr>
                <w:rStyle w:val="Hyperlink"/>
                <w:rFonts w:ascii="Century Gothic" w:eastAsia="Times New Roman" w:hAnsi="Century Gothic"/>
                <w:b/>
                <w:bCs/>
                <w:noProof/>
              </w:rPr>
              <w:t>2.2 Conduct</w:t>
            </w:r>
            <w:r w:rsidR="00597D67">
              <w:rPr>
                <w:noProof/>
                <w:webHidden/>
              </w:rPr>
              <w:tab/>
            </w:r>
            <w:r w:rsidR="00597D67">
              <w:rPr>
                <w:noProof/>
                <w:webHidden/>
              </w:rPr>
              <w:fldChar w:fldCharType="begin"/>
            </w:r>
            <w:r w:rsidR="00597D67">
              <w:rPr>
                <w:noProof/>
                <w:webHidden/>
              </w:rPr>
              <w:instrText xml:space="preserve"> PAGEREF _Toc55828270 \h </w:instrText>
            </w:r>
            <w:r w:rsidR="00597D67">
              <w:rPr>
                <w:noProof/>
                <w:webHidden/>
              </w:rPr>
            </w:r>
            <w:r w:rsidR="00597D67">
              <w:rPr>
                <w:noProof/>
                <w:webHidden/>
              </w:rPr>
              <w:fldChar w:fldCharType="separate"/>
            </w:r>
            <w:r>
              <w:rPr>
                <w:noProof/>
                <w:webHidden/>
              </w:rPr>
              <w:t>5</w:t>
            </w:r>
            <w:r w:rsidR="00597D67">
              <w:rPr>
                <w:noProof/>
                <w:webHidden/>
              </w:rPr>
              <w:fldChar w:fldCharType="end"/>
            </w:r>
          </w:hyperlink>
        </w:p>
        <w:p w14:paraId="2BE1CDC2" w14:textId="7C8E4EBA" w:rsidR="00597D67" w:rsidRDefault="00E00BB3">
          <w:pPr>
            <w:pStyle w:val="TOC2"/>
            <w:tabs>
              <w:tab w:val="right" w:leader="dot" w:pos="9628"/>
            </w:tabs>
            <w:rPr>
              <w:rFonts w:asciiTheme="minorHAnsi" w:eastAsiaTheme="minorEastAsia" w:hAnsiTheme="minorHAnsi" w:cstheme="minorBidi"/>
              <w:noProof/>
              <w:lang w:eastAsia="en-AU"/>
            </w:rPr>
          </w:pPr>
          <w:hyperlink w:anchor="_Toc55828271" w:history="1">
            <w:r w:rsidR="00597D67" w:rsidRPr="00CC3D23">
              <w:rPr>
                <w:rStyle w:val="Hyperlink"/>
                <w:rFonts w:ascii="Century Gothic" w:eastAsia="Times New Roman" w:hAnsi="Century Gothic"/>
                <w:b/>
                <w:bCs/>
                <w:noProof/>
              </w:rPr>
              <w:t>2. 3 Outcomes overview</w:t>
            </w:r>
            <w:r w:rsidR="00597D67">
              <w:rPr>
                <w:noProof/>
                <w:webHidden/>
              </w:rPr>
              <w:tab/>
            </w:r>
            <w:r w:rsidR="00597D67">
              <w:rPr>
                <w:noProof/>
                <w:webHidden/>
              </w:rPr>
              <w:fldChar w:fldCharType="begin"/>
            </w:r>
            <w:r w:rsidR="00597D67">
              <w:rPr>
                <w:noProof/>
                <w:webHidden/>
              </w:rPr>
              <w:instrText xml:space="preserve"> PAGEREF _Toc55828271 \h </w:instrText>
            </w:r>
            <w:r w:rsidR="00597D67">
              <w:rPr>
                <w:noProof/>
                <w:webHidden/>
              </w:rPr>
            </w:r>
            <w:r w:rsidR="00597D67">
              <w:rPr>
                <w:noProof/>
                <w:webHidden/>
              </w:rPr>
              <w:fldChar w:fldCharType="separate"/>
            </w:r>
            <w:r>
              <w:rPr>
                <w:noProof/>
                <w:webHidden/>
              </w:rPr>
              <w:t>7</w:t>
            </w:r>
            <w:r w:rsidR="00597D67">
              <w:rPr>
                <w:noProof/>
                <w:webHidden/>
              </w:rPr>
              <w:fldChar w:fldCharType="end"/>
            </w:r>
          </w:hyperlink>
        </w:p>
        <w:p w14:paraId="109F659E" w14:textId="155AF6AE" w:rsidR="00597D67" w:rsidRDefault="00E00BB3">
          <w:pPr>
            <w:pStyle w:val="TOC1"/>
            <w:tabs>
              <w:tab w:val="left" w:pos="440"/>
              <w:tab w:val="right" w:leader="dot" w:pos="9628"/>
            </w:tabs>
            <w:rPr>
              <w:rFonts w:asciiTheme="minorHAnsi" w:eastAsiaTheme="minorEastAsia" w:hAnsiTheme="minorHAnsi" w:cstheme="minorBidi"/>
              <w:noProof/>
              <w:lang w:eastAsia="en-AU"/>
            </w:rPr>
          </w:pPr>
          <w:hyperlink w:anchor="_Toc55828272" w:history="1">
            <w:r w:rsidR="00597D67" w:rsidRPr="00CC3D23">
              <w:rPr>
                <w:rStyle w:val="Hyperlink"/>
                <w:rFonts w:ascii="Century Gothic" w:eastAsia="Times New Roman" w:hAnsi="Century Gothic"/>
                <w:b/>
                <w:bCs/>
                <w:noProof/>
              </w:rPr>
              <w:t>3.</w:t>
            </w:r>
            <w:r w:rsidR="00597D67">
              <w:rPr>
                <w:rFonts w:asciiTheme="minorHAnsi" w:eastAsiaTheme="minorEastAsia" w:hAnsiTheme="minorHAnsi" w:cstheme="minorBidi"/>
                <w:noProof/>
                <w:lang w:eastAsia="en-AU"/>
              </w:rPr>
              <w:tab/>
            </w:r>
            <w:r w:rsidR="00597D67" w:rsidRPr="00CC3D23">
              <w:rPr>
                <w:rStyle w:val="Hyperlink"/>
                <w:rFonts w:ascii="Century Gothic" w:eastAsia="Times New Roman" w:hAnsi="Century Gothic"/>
                <w:b/>
                <w:bCs/>
                <w:noProof/>
              </w:rPr>
              <w:t>The Action Plan</w:t>
            </w:r>
            <w:r w:rsidR="00597D67">
              <w:rPr>
                <w:noProof/>
                <w:webHidden/>
              </w:rPr>
              <w:tab/>
            </w:r>
            <w:r w:rsidR="00597D67">
              <w:rPr>
                <w:noProof/>
                <w:webHidden/>
              </w:rPr>
              <w:fldChar w:fldCharType="begin"/>
            </w:r>
            <w:r w:rsidR="00597D67">
              <w:rPr>
                <w:noProof/>
                <w:webHidden/>
              </w:rPr>
              <w:instrText xml:space="preserve"> PAGEREF _Toc55828272 \h </w:instrText>
            </w:r>
            <w:r w:rsidR="00597D67">
              <w:rPr>
                <w:noProof/>
                <w:webHidden/>
              </w:rPr>
            </w:r>
            <w:r w:rsidR="00597D67">
              <w:rPr>
                <w:noProof/>
                <w:webHidden/>
              </w:rPr>
              <w:fldChar w:fldCharType="separate"/>
            </w:r>
            <w:r>
              <w:rPr>
                <w:noProof/>
                <w:webHidden/>
              </w:rPr>
              <w:t>8</w:t>
            </w:r>
            <w:r w:rsidR="00597D67">
              <w:rPr>
                <w:noProof/>
                <w:webHidden/>
              </w:rPr>
              <w:fldChar w:fldCharType="end"/>
            </w:r>
          </w:hyperlink>
        </w:p>
        <w:p w14:paraId="4E0A2594" w14:textId="30F7B69C" w:rsidR="00597D67" w:rsidRDefault="00E00BB3">
          <w:pPr>
            <w:pStyle w:val="TOC2"/>
            <w:tabs>
              <w:tab w:val="right" w:leader="dot" w:pos="9628"/>
            </w:tabs>
            <w:rPr>
              <w:rFonts w:asciiTheme="minorHAnsi" w:eastAsiaTheme="minorEastAsia" w:hAnsiTheme="minorHAnsi" w:cstheme="minorBidi"/>
              <w:noProof/>
              <w:lang w:eastAsia="en-AU"/>
            </w:rPr>
          </w:pPr>
          <w:hyperlink w:anchor="_Toc55828273" w:history="1">
            <w:r w:rsidR="00597D67" w:rsidRPr="00CC3D23">
              <w:rPr>
                <w:rStyle w:val="Hyperlink"/>
                <w:rFonts w:ascii="Century Gothic" w:eastAsia="Times New Roman" w:hAnsi="Century Gothic"/>
                <w:b/>
                <w:bCs/>
                <w:noProof/>
              </w:rPr>
              <w:t>3.1 Actions for the Australian Government</w:t>
            </w:r>
            <w:r w:rsidR="00597D67">
              <w:rPr>
                <w:noProof/>
                <w:webHidden/>
              </w:rPr>
              <w:tab/>
            </w:r>
            <w:r w:rsidR="00597D67">
              <w:rPr>
                <w:noProof/>
                <w:webHidden/>
              </w:rPr>
              <w:fldChar w:fldCharType="begin"/>
            </w:r>
            <w:r w:rsidR="00597D67">
              <w:rPr>
                <w:noProof/>
                <w:webHidden/>
              </w:rPr>
              <w:instrText xml:space="preserve"> PAGEREF _Toc55828273 \h </w:instrText>
            </w:r>
            <w:r w:rsidR="00597D67">
              <w:rPr>
                <w:noProof/>
                <w:webHidden/>
              </w:rPr>
            </w:r>
            <w:r w:rsidR="00597D67">
              <w:rPr>
                <w:noProof/>
                <w:webHidden/>
              </w:rPr>
              <w:fldChar w:fldCharType="separate"/>
            </w:r>
            <w:r>
              <w:rPr>
                <w:noProof/>
                <w:webHidden/>
              </w:rPr>
              <w:t>8</w:t>
            </w:r>
            <w:r w:rsidR="00597D67">
              <w:rPr>
                <w:noProof/>
                <w:webHidden/>
              </w:rPr>
              <w:fldChar w:fldCharType="end"/>
            </w:r>
          </w:hyperlink>
        </w:p>
        <w:p w14:paraId="76508E08" w14:textId="7309CA8E" w:rsidR="00597D67" w:rsidRDefault="00E00BB3">
          <w:pPr>
            <w:pStyle w:val="TOC2"/>
            <w:tabs>
              <w:tab w:val="right" w:leader="dot" w:pos="9628"/>
            </w:tabs>
            <w:rPr>
              <w:rFonts w:asciiTheme="minorHAnsi" w:eastAsiaTheme="minorEastAsia" w:hAnsiTheme="minorHAnsi" w:cstheme="minorBidi"/>
              <w:noProof/>
              <w:lang w:eastAsia="en-AU"/>
            </w:rPr>
          </w:pPr>
          <w:hyperlink w:anchor="_Toc55828274" w:history="1">
            <w:r w:rsidR="00597D67" w:rsidRPr="00CC3D23">
              <w:rPr>
                <w:rStyle w:val="Hyperlink"/>
                <w:rFonts w:ascii="Century Gothic" w:eastAsia="Times New Roman" w:hAnsi="Century Gothic"/>
                <w:b/>
                <w:bCs/>
                <w:noProof/>
              </w:rPr>
              <w:t>3.2 Actions for the Australian Governments and all, or only state and territory, regulators</w:t>
            </w:r>
            <w:r w:rsidR="00597D67">
              <w:rPr>
                <w:noProof/>
                <w:webHidden/>
              </w:rPr>
              <w:tab/>
            </w:r>
            <w:r w:rsidR="00597D67">
              <w:rPr>
                <w:noProof/>
                <w:webHidden/>
              </w:rPr>
              <w:fldChar w:fldCharType="begin"/>
            </w:r>
            <w:r w:rsidR="00597D67">
              <w:rPr>
                <w:noProof/>
                <w:webHidden/>
              </w:rPr>
              <w:instrText xml:space="preserve"> PAGEREF _Toc55828274 \h </w:instrText>
            </w:r>
            <w:r w:rsidR="00597D67">
              <w:rPr>
                <w:noProof/>
                <w:webHidden/>
              </w:rPr>
            </w:r>
            <w:r w:rsidR="00597D67">
              <w:rPr>
                <w:noProof/>
                <w:webHidden/>
              </w:rPr>
              <w:fldChar w:fldCharType="separate"/>
            </w:r>
            <w:r>
              <w:rPr>
                <w:noProof/>
                <w:webHidden/>
              </w:rPr>
              <w:t>8</w:t>
            </w:r>
            <w:r w:rsidR="00597D67">
              <w:rPr>
                <w:noProof/>
                <w:webHidden/>
              </w:rPr>
              <w:fldChar w:fldCharType="end"/>
            </w:r>
          </w:hyperlink>
        </w:p>
        <w:p w14:paraId="0B65BEFF" w14:textId="4FE37D2A" w:rsidR="00597D67" w:rsidRDefault="00E00BB3">
          <w:pPr>
            <w:pStyle w:val="TOC2"/>
            <w:tabs>
              <w:tab w:val="right" w:leader="dot" w:pos="9628"/>
            </w:tabs>
            <w:rPr>
              <w:rFonts w:asciiTheme="minorHAnsi" w:eastAsiaTheme="minorEastAsia" w:hAnsiTheme="minorHAnsi" w:cstheme="minorBidi"/>
              <w:noProof/>
              <w:lang w:eastAsia="en-AU"/>
            </w:rPr>
          </w:pPr>
          <w:hyperlink w:anchor="_Toc55828275" w:history="1">
            <w:r w:rsidR="00597D67" w:rsidRPr="00CC3D23">
              <w:rPr>
                <w:rStyle w:val="Hyperlink"/>
                <w:rFonts w:ascii="Century Gothic" w:eastAsia="Times New Roman" w:hAnsi="Century Gothic"/>
                <w:b/>
                <w:bCs/>
                <w:noProof/>
              </w:rPr>
              <w:t>3.3 Actions for ARPANSA</w:t>
            </w:r>
            <w:r w:rsidR="00597D67">
              <w:rPr>
                <w:noProof/>
                <w:webHidden/>
              </w:rPr>
              <w:tab/>
            </w:r>
            <w:r w:rsidR="00597D67">
              <w:rPr>
                <w:noProof/>
                <w:webHidden/>
              </w:rPr>
              <w:fldChar w:fldCharType="begin"/>
            </w:r>
            <w:r w:rsidR="00597D67">
              <w:rPr>
                <w:noProof/>
                <w:webHidden/>
              </w:rPr>
              <w:instrText xml:space="preserve"> PAGEREF _Toc55828275 \h </w:instrText>
            </w:r>
            <w:r w:rsidR="00597D67">
              <w:rPr>
                <w:noProof/>
                <w:webHidden/>
              </w:rPr>
            </w:r>
            <w:r w:rsidR="00597D67">
              <w:rPr>
                <w:noProof/>
                <w:webHidden/>
              </w:rPr>
              <w:fldChar w:fldCharType="separate"/>
            </w:r>
            <w:r>
              <w:rPr>
                <w:noProof/>
                <w:webHidden/>
              </w:rPr>
              <w:t>9</w:t>
            </w:r>
            <w:r w:rsidR="00597D67">
              <w:rPr>
                <w:noProof/>
                <w:webHidden/>
              </w:rPr>
              <w:fldChar w:fldCharType="end"/>
            </w:r>
          </w:hyperlink>
        </w:p>
        <w:p w14:paraId="595CFA4D" w14:textId="389444D1" w:rsidR="00597D67" w:rsidRDefault="00E00BB3">
          <w:pPr>
            <w:pStyle w:val="TOC1"/>
            <w:tabs>
              <w:tab w:val="left" w:pos="440"/>
              <w:tab w:val="right" w:leader="dot" w:pos="9628"/>
            </w:tabs>
            <w:rPr>
              <w:rFonts w:asciiTheme="minorHAnsi" w:eastAsiaTheme="minorEastAsia" w:hAnsiTheme="minorHAnsi" w:cstheme="minorBidi"/>
              <w:noProof/>
              <w:lang w:eastAsia="en-AU"/>
            </w:rPr>
          </w:pPr>
          <w:hyperlink w:anchor="_Toc55828276" w:history="1">
            <w:r w:rsidR="00597D67" w:rsidRPr="00CC3D23">
              <w:rPr>
                <w:rStyle w:val="Hyperlink"/>
                <w:rFonts w:ascii="Century Gothic" w:eastAsia="Times New Roman" w:hAnsi="Century Gothic"/>
                <w:b/>
                <w:bCs/>
                <w:noProof/>
              </w:rPr>
              <w:t>4.</w:t>
            </w:r>
            <w:r w:rsidR="00597D67">
              <w:rPr>
                <w:rFonts w:asciiTheme="minorHAnsi" w:eastAsiaTheme="minorEastAsia" w:hAnsiTheme="minorHAnsi" w:cstheme="minorBidi"/>
                <w:noProof/>
                <w:lang w:eastAsia="en-AU"/>
              </w:rPr>
              <w:tab/>
            </w:r>
            <w:r w:rsidR="00597D67" w:rsidRPr="00CC3D23">
              <w:rPr>
                <w:rStyle w:val="Hyperlink"/>
                <w:rFonts w:ascii="Century Gothic" w:eastAsia="Times New Roman" w:hAnsi="Century Gothic"/>
                <w:b/>
                <w:bCs/>
                <w:noProof/>
              </w:rPr>
              <w:t>Preparations for the follow-up IRRS mission</w:t>
            </w:r>
            <w:r w:rsidR="00597D67">
              <w:rPr>
                <w:noProof/>
                <w:webHidden/>
              </w:rPr>
              <w:tab/>
            </w:r>
            <w:r w:rsidR="00597D67">
              <w:rPr>
                <w:noProof/>
                <w:webHidden/>
              </w:rPr>
              <w:fldChar w:fldCharType="begin"/>
            </w:r>
            <w:r w:rsidR="00597D67">
              <w:rPr>
                <w:noProof/>
                <w:webHidden/>
              </w:rPr>
              <w:instrText xml:space="preserve"> PAGEREF _Toc55828276 \h </w:instrText>
            </w:r>
            <w:r w:rsidR="00597D67">
              <w:rPr>
                <w:noProof/>
                <w:webHidden/>
              </w:rPr>
            </w:r>
            <w:r w:rsidR="00597D67">
              <w:rPr>
                <w:noProof/>
                <w:webHidden/>
              </w:rPr>
              <w:fldChar w:fldCharType="separate"/>
            </w:r>
            <w:r>
              <w:rPr>
                <w:noProof/>
                <w:webHidden/>
              </w:rPr>
              <w:t>9</w:t>
            </w:r>
            <w:r w:rsidR="00597D67">
              <w:rPr>
                <w:noProof/>
                <w:webHidden/>
              </w:rPr>
              <w:fldChar w:fldCharType="end"/>
            </w:r>
          </w:hyperlink>
        </w:p>
        <w:p w14:paraId="5EFB489E" w14:textId="23A03D22" w:rsidR="00597D67" w:rsidRPr="001055C7" w:rsidRDefault="00E00BB3">
          <w:pPr>
            <w:pStyle w:val="TOC1"/>
            <w:tabs>
              <w:tab w:val="left" w:pos="440"/>
              <w:tab w:val="right" w:leader="dot" w:pos="9628"/>
            </w:tabs>
            <w:rPr>
              <w:rStyle w:val="Hyperlink"/>
              <w:rFonts w:ascii="Century Gothic" w:eastAsia="Times New Roman" w:hAnsi="Century Gothic"/>
              <w:b/>
              <w:bCs/>
            </w:rPr>
          </w:pPr>
          <w:hyperlink w:anchor="_Toc55828277" w:history="1">
            <w:r w:rsidR="00597D67" w:rsidRPr="001055C7">
              <w:rPr>
                <w:rStyle w:val="Hyperlink"/>
                <w:rFonts w:ascii="Century Gothic" w:eastAsia="Times New Roman" w:hAnsi="Century Gothic"/>
                <w:b/>
                <w:bCs/>
                <w:noProof/>
              </w:rPr>
              <w:t>1</w:t>
            </w:r>
            <w:r w:rsidR="00597D67" w:rsidRPr="001055C7">
              <w:rPr>
                <w:rStyle w:val="Hyperlink"/>
                <w:rFonts w:ascii="Century Gothic" w:eastAsia="Times New Roman" w:hAnsi="Century Gothic"/>
                <w:b/>
                <w:bCs/>
              </w:rPr>
              <w:tab/>
            </w:r>
            <w:r w:rsidR="00597D67" w:rsidRPr="001055C7">
              <w:rPr>
                <w:rStyle w:val="Hyperlink"/>
                <w:rFonts w:ascii="Century Gothic" w:eastAsia="Times New Roman" w:hAnsi="Century Gothic"/>
                <w:b/>
                <w:bCs/>
                <w:noProof/>
              </w:rPr>
              <w:t>Appendix: Planning Matrix</w:t>
            </w:r>
            <w:r w:rsidR="00597D67" w:rsidRPr="001055C7">
              <w:rPr>
                <w:rStyle w:val="Hyperlink"/>
                <w:rFonts w:ascii="Century Gothic" w:eastAsia="Times New Roman" w:hAnsi="Century Gothic"/>
                <w:b/>
                <w:bCs/>
                <w:webHidden/>
              </w:rPr>
              <w:tab/>
            </w:r>
            <w:r w:rsidR="00597D67" w:rsidRPr="001055C7">
              <w:rPr>
                <w:rStyle w:val="Hyperlink"/>
                <w:rFonts w:ascii="Century Gothic" w:eastAsia="Times New Roman" w:hAnsi="Century Gothic"/>
                <w:b/>
                <w:bCs/>
                <w:webHidden/>
              </w:rPr>
              <w:fldChar w:fldCharType="begin"/>
            </w:r>
            <w:r w:rsidR="00597D67" w:rsidRPr="001055C7">
              <w:rPr>
                <w:rStyle w:val="Hyperlink"/>
                <w:rFonts w:ascii="Century Gothic" w:eastAsia="Times New Roman" w:hAnsi="Century Gothic"/>
                <w:b/>
                <w:bCs/>
                <w:webHidden/>
              </w:rPr>
              <w:instrText xml:space="preserve"> PAGEREF _Toc55828277 \h </w:instrText>
            </w:r>
            <w:r w:rsidR="00597D67" w:rsidRPr="001055C7">
              <w:rPr>
                <w:rStyle w:val="Hyperlink"/>
                <w:rFonts w:ascii="Century Gothic" w:eastAsia="Times New Roman" w:hAnsi="Century Gothic"/>
                <w:b/>
                <w:bCs/>
                <w:webHidden/>
              </w:rPr>
            </w:r>
            <w:r w:rsidR="00597D67" w:rsidRPr="001055C7">
              <w:rPr>
                <w:rStyle w:val="Hyperlink"/>
                <w:rFonts w:ascii="Century Gothic" w:eastAsia="Times New Roman" w:hAnsi="Century Gothic"/>
                <w:b/>
                <w:bCs/>
                <w:webHidden/>
              </w:rPr>
              <w:fldChar w:fldCharType="separate"/>
            </w:r>
            <w:r>
              <w:rPr>
                <w:rStyle w:val="Hyperlink"/>
                <w:rFonts w:ascii="Century Gothic" w:eastAsia="Times New Roman" w:hAnsi="Century Gothic"/>
                <w:b/>
                <w:bCs/>
                <w:noProof/>
                <w:webHidden/>
              </w:rPr>
              <w:t>10</w:t>
            </w:r>
            <w:r w:rsidR="00597D67" w:rsidRPr="001055C7">
              <w:rPr>
                <w:rStyle w:val="Hyperlink"/>
                <w:rFonts w:ascii="Century Gothic" w:eastAsia="Times New Roman" w:hAnsi="Century Gothic"/>
                <w:b/>
                <w:bCs/>
                <w:webHidden/>
              </w:rPr>
              <w:fldChar w:fldCharType="end"/>
            </w:r>
          </w:hyperlink>
        </w:p>
        <w:p w14:paraId="691DBDC5" w14:textId="5F16C9BF" w:rsidR="00597D67" w:rsidRDefault="00E00BB3">
          <w:pPr>
            <w:pStyle w:val="TOC2"/>
            <w:tabs>
              <w:tab w:val="left" w:pos="660"/>
              <w:tab w:val="right" w:leader="dot" w:pos="9628"/>
            </w:tabs>
            <w:rPr>
              <w:rFonts w:asciiTheme="minorHAnsi" w:eastAsiaTheme="minorEastAsia" w:hAnsiTheme="minorHAnsi" w:cstheme="minorBidi"/>
              <w:noProof/>
              <w:lang w:eastAsia="en-AU"/>
            </w:rPr>
          </w:pPr>
          <w:hyperlink w:anchor="_Toc55828278" w:history="1">
            <w:r w:rsidR="00597D67" w:rsidRPr="00CC3D23">
              <w:rPr>
                <w:rStyle w:val="Hyperlink"/>
                <w:noProof/>
                <w14:scene3d>
                  <w14:camera w14:prst="orthographicFront"/>
                  <w14:lightRig w14:rig="threePt" w14:dir="t">
                    <w14:rot w14:lat="0" w14:lon="0" w14:rev="0"/>
                  </w14:lightRig>
                </w14:scene3d>
              </w:rPr>
              <w:t>A.</w:t>
            </w:r>
            <w:r w:rsidR="00597D67">
              <w:rPr>
                <w:rFonts w:asciiTheme="minorHAnsi" w:eastAsiaTheme="minorEastAsia" w:hAnsiTheme="minorHAnsi" w:cstheme="minorBidi"/>
                <w:noProof/>
                <w:lang w:eastAsia="en-AU"/>
              </w:rPr>
              <w:tab/>
            </w:r>
            <w:r w:rsidR="00597D67" w:rsidRPr="00CC3D23">
              <w:rPr>
                <w:rStyle w:val="Hyperlink"/>
                <w:noProof/>
              </w:rPr>
              <w:t>Findings addressed to the Commonwealth Government</w:t>
            </w:r>
            <w:r w:rsidR="00597D67">
              <w:rPr>
                <w:noProof/>
                <w:webHidden/>
              </w:rPr>
              <w:tab/>
            </w:r>
            <w:r w:rsidR="00597D67">
              <w:rPr>
                <w:noProof/>
                <w:webHidden/>
              </w:rPr>
              <w:fldChar w:fldCharType="begin"/>
            </w:r>
            <w:r w:rsidR="00597D67">
              <w:rPr>
                <w:noProof/>
                <w:webHidden/>
              </w:rPr>
              <w:instrText xml:space="preserve"> PAGEREF _Toc55828278 \h </w:instrText>
            </w:r>
            <w:r w:rsidR="00597D67">
              <w:rPr>
                <w:noProof/>
                <w:webHidden/>
              </w:rPr>
            </w:r>
            <w:r w:rsidR="00597D67">
              <w:rPr>
                <w:noProof/>
                <w:webHidden/>
              </w:rPr>
              <w:fldChar w:fldCharType="separate"/>
            </w:r>
            <w:r>
              <w:rPr>
                <w:noProof/>
                <w:webHidden/>
              </w:rPr>
              <w:t>10</w:t>
            </w:r>
            <w:r w:rsidR="00597D67">
              <w:rPr>
                <w:noProof/>
                <w:webHidden/>
              </w:rPr>
              <w:fldChar w:fldCharType="end"/>
            </w:r>
          </w:hyperlink>
        </w:p>
        <w:p w14:paraId="35062FBE" w14:textId="12E9AE4E" w:rsidR="00597D67" w:rsidRDefault="00E00BB3">
          <w:pPr>
            <w:pStyle w:val="TOC2"/>
            <w:tabs>
              <w:tab w:val="left" w:pos="660"/>
              <w:tab w:val="right" w:leader="dot" w:pos="9628"/>
            </w:tabs>
            <w:rPr>
              <w:rFonts w:asciiTheme="minorHAnsi" w:eastAsiaTheme="minorEastAsia" w:hAnsiTheme="minorHAnsi" w:cstheme="minorBidi"/>
              <w:noProof/>
              <w:lang w:eastAsia="en-AU"/>
            </w:rPr>
          </w:pPr>
          <w:hyperlink w:anchor="_Toc55828279" w:history="1">
            <w:r w:rsidR="00597D67" w:rsidRPr="00CC3D23">
              <w:rPr>
                <w:rStyle w:val="Hyperlink"/>
                <w:noProof/>
                <w14:scene3d>
                  <w14:camera w14:prst="orthographicFront"/>
                  <w14:lightRig w14:rig="threePt" w14:dir="t">
                    <w14:rot w14:lat="0" w14:lon="0" w14:rev="0"/>
                  </w14:lightRig>
                </w14:scene3d>
              </w:rPr>
              <w:t>B.</w:t>
            </w:r>
            <w:r w:rsidR="00597D67">
              <w:rPr>
                <w:rFonts w:asciiTheme="minorHAnsi" w:eastAsiaTheme="minorEastAsia" w:hAnsiTheme="minorHAnsi" w:cstheme="minorBidi"/>
                <w:noProof/>
                <w:lang w:eastAsia="en-AU"/>
              </w:rPr>
              <w:tab/>
            </w:r>
            <w:r w:rsidR="00597D67" w:rsidRPr="00CC3D23">
              <w:rPr>
                <w:rStyle w:val="Hyperlink"/>
                <w:noProof/>
              </w:rPr>
              <w:t>Findings addressed to the Commonwealth Government, in conjunction with States/Territory Governments (or to ‘the Governments’)</w:t>
            </w:r>
            <w:r w:rsidR="00597D67">
              <w:rPr>
                <w:noProof/>
                <w:webHidden/>
              </w:rPr>
              <w:tab/>
            </w:r>
            <w:r w:rsidR="00597D67">
              <w:rPr>
                <w:noProof/>
                <w:webHidden/>
              </w:rPr>
              <w:fldChar w:fldCharType="begin"/>
            </w:r>
            <w:r w:rsidR="00597D67">
              <w:rPr>
                <w:noProof/>
                <w:webHidden/>
              </w:rPr>
              <w:instrText xml:space="preserve"> PAGEREF _Toc55828279 \h </w:instrText>
            </w:r>
            <w:r w:rsidR="00597D67">
              <w:rPr>
                <w:noProof/>
                <w:webHidden/>
              </w:rPr>
            </w:r>
            <w:r w:rsidR="00597D67">
              <w:rPr>
                <w:noProof/>
                <w:webHidden/>
              </w:rPr>
              <w:fldChar w:fldCharType="separate"/>
            </w:r>
            <w:r>
              <w:rPr>
                <w:noProof/>
                <w:webHidden/>
              </w:rPr>
              <w:t>11</w:t>
            </w:r>
            <w:r w:rsidR="00597D67">
              <w:rPr>
                <w:noProof/>
                <w:webHidden/>
              </w:rPr>
              <w:fldChar w:fldCharType="end"/>
            </w:r>
          </w:hyperlink>
        </w:p>
        <w:p w14:paraId="49626B8F" w14:textId="46278A04" w:rsidR="00597D67" w:rsidRDefault="00E00BB3">
          <w:pPr>
            <w:pStyle w:val="TOC2"/>
            <w:tabs>
              <w:tab w:val="left" w:pos="660"/>
              <w:tab w:val="right" w:leader="dot" w:pos="9628"/>
            </w:tabs>
            <w:rPr>
              <w:rFonts w:asciiTheme="minorHAnsi" w:eastAsiaTheme="minorEastAsia" w:hAnsiTheme="minorHAnsi" w:cstheme="minorBidi"/>
              <w:noProof/>
              <w:lang w:eastAsia="en-AU"/>
            </w:rPr>
          </w:pPr>
          <w:hyperlink w:anchor="_Toc55828280" w:history="1">
            <w:r w:rsidR="00597D67" w:rsidRPr="00CC3D23">
              <w:rPr>
                <w:rStyle w:val="Hyperlink"/>
                <w:noProof/>
                <w14:scene3d>
                  <w14:camera w14:prst="orthographicFront"/>
                  <w14:lightRig w14:rig="threePt" w14:dir="t">
                    <w14:rot w14:lat="0" w14:lon="0" w14:rev="0"/>
                  </w14:lightRig>
                </w14:scene3d>
              </w:rPr>
              <w:t>C.</w:t>
            </w:r>
            <w:r w:rsidR="00597D67">
              <w:rPr>
                <w:rFonts w:asciiTheme="minorHAnsi" w:eastAsiaTheme="minorEastAsia" w:hAnsiTheme="minorHAnsi" w:cstheme="minorBidi"/>
                <w:noProof/>
                <w:lang w:eastAsia="en-AU"/>
              </w:rPr>
              <w:tab/>
            </w:r>
            <w:r w:rsidR="00597D67" w:rsidRPr="00CC3D23">
              <w:rPr>
                <w:rStyle w:val="Hyperlink"/>
                <w:noProof/>
              </w:rPr>
              <w:t>Findings addressed to ARPANSA and State/Territory regulators (or to ‘regulatory bodies’)</w:t>
            </w:r>
            <w:r w:rsidR="00597D67">
              <w:rPr>
                <w:noProof/>
                <w:webHidden/>
              </w:rPr>
              <w:tab/>
            </w:r>
            <w:r w:rsidR="00597D67">
              <w:rPr>
                <w:noProof/>
                <w:webHidden/>
              </w:rPr>
              <w:fldChar w:fldCharType="begin"/>
            </w:r>
            <w:r w:rsidR="00597D67">
              <w:rPr>
                <w:noProof/>
                <w:webHidden/>
              </w:rPr>
              <w:instrText xml:space="preserve"> PAGEREF _Toc55828280 \h </w:instrText>
            </w:r>
            <w:r w:rsidR="00597D67">
              <w:rPr>
                <w:noProof/>
                <w:webHidden/>
              </w:rPr>
            </w:r>
            <w:r w:rsidR="00597D67">
              <w:rPr>
                <w:noProof/>
                <w:webHidden/>
              </w:rPr>
              <w:fldChar w:fldCharType="separate"/>
            </w:r>
            <w:r>
              <w:rPr>
                <w:noProof/>
                <w:webHidden/>
              </w:rPr>
              <w:t>17</w:t>
            </w:r>
            <w:r w:rsidR="00597D67">
              <w:rPr>
                <w:noProof/>
                <w:webHidden/>
              </w:rPr>
              <w:fldChar w:fldCharType="end"/>
            </w:r>
          </w:hyperlink>
        </w:p>
        <w:p w14:paraId="5FC51720" w14:textId="27902BBA" w:rsidR="00597D67" w:rsidRDefault="00E00BB3">
          <w:pPr>
            <w:pStyle w:val="TOC2"/>
            <w:tabs>
              <w:tab w:val="left" w:pos="660"/>
              <w:tab w:val="right" w:leader="dot" w:pos="9628"/>
            </w:tabs>
            <w:rPr>
              <w:rFonts w:asciiTheme="minorHAnsi" w:eastAsiaTheme="minorEastAsia" w:hAnsiTheme="minorHAnsi" w:cstheme="minorBidi"/>
              <w:noProof/>
              <w:lang w:eastAsia="en-AU"/>
            </w:rPr>
          </w:pPr>
          <w:hyperlink w:anchor="_Toc55828281" w:history="1">
            <w:r w:rsidR="00597D67" w:rsidRPr="00CC3D23">
              <w:rPr>
                <w:rStyle w:val="Hyperlink"/>
                <w:noProof/>
                <w14:scene3d>
                  <w14:camera w14:prst="orthographicFront"/>
                  <w14:lightRig w14:rig="threePt" w14:dir="t">
                    <w14:rot w14:lat="0" w14:lon="0" w14:rev="0"/>
                  </w14:lightRig>
                </w14:scene3d>
              </w:rPr>
              <w:t>D.</w:t>
            </w:r>
            <w:r w:rsidR="00597D67">
              <w:rPr>
                <w:rFonts w:asciiTheme="minorHAnsi" w:eastAsiaTheme="minorEastAsia" w:hAnsiTheme="minorHAnsi" w:cstheme="minorBidi"/>
                <w:noProof/>
                <w:lang w:eastAsia="en-AU"/>
              </w:rPr>
              <w:tab/>
            </w:r>
            <w:r w:rsidR="00597D67" w:rsidRPr="00CC3D23">
              <w:rPr>
                <w:rStyle w:val="Hyperlink"/>
                <w:noProof/>
              </w:rPr>
              <w:t>Findings addressed to state and territory regulators</w:t>
            </w:r>
            <w:r w:rsidR="00597D67">
              <w:rPr>
                <w:noProof/>
                <w:webHidden/>
              </w:rPr>
              <w:tab/>
            </w:r>
            <w:r w:rsidR="00597D67">
              <w:rPr>
                <w:noProof/>
                <w:webHidden/>
              </w:rPr>
              <w:fldChar w:fldCharType="begin"/>
            </w:r>
            <w:r w:rsidR="00597D67">
              <w:rPr>
                <w:noProof/>
                <w:webHidden/>
              </w:rPr>
              <w:instrText xml:space="preserve"> PAGEREF _Toc55828281 \h </w:instrText>
            </w:r>
            <w:r w:rsidR="00597D67">
              <w:rPr>
                <w:noProof/>
                <w:webHidden/>
              </w:rPr>
            </w:r>
            <w:r w:rsidR="00597D67">
              <w:rPr>
                <w:noProof/>
                <w:webHidden/>
              </w:rPr>
              <w:fldChar w:fldCharType="separate"/>
            </w:r>
            <w:r>
              <w:rPr>
                <w:noProof/>
                <w:webHidden/>
              </w:rPr>
              <w:t>20</w:t>
            </w:r>
            <w:r w:rsidR="00597D67">
              <w:rPr>
                <w:noProof/>
                <w:webHidden/>
              </w:rPr>
              <w:fldChar w:fldCharType="end"/>
            </w:r>
          </w:hyperlink>
        </w:p>
        <w:p w14:paraId="27152016" w14:textId="140D4258" w:rsidR="00597D67" w:rsidRDefault="00E00BB3">
          <w:pPr>
            <w:pStyle w:val="TOC2"/>
            <w:tabs>
              <w:tab w:val="left" w:pos="660"/>
              <w:tab w:val="right" w:leader="dot" w:pos="9628"/>
            </w:tabs>
            <w:rPr>
              <w:rFonts w:asciiTheme="minorHAnsi" w:eastAsiaTheme="minorEastAsia" w:hAnsiTheme="minorHAnsi" w:cstheme="minorBidi"/>
              <w:noProof/>
              <w:lang w:eastAsia="en-AU"/>
            </w:rPr>
          </w:pPr>
          <w:hyperlink w:anchor="_Toc55828282" w:history="1">
            <w:r w:rsidR="00597D67" w:rsidRPr="00CC3D23">
              <w:rPr>
                <w:rStyle w:val="Hyperlink"/>
                <w:noProof/>
                <w14:scene3d>
                  <w14:camera w14:prst="orthographicFront"/>
                  <w14:lightRig w14:rig="threePt" w14:dir="t">
                    <w14:rot w14:lat="0" w14:lon="0" w14:rev="0"/>
                  </w14:lightRig>
                </w14:scene3d>
              </w:rPr>
              <w:t>E.</w:t>
            </w:r>
            <w:r w:rsidR="00597D67">
              <w:rPr>
                <w:rFonts w:asciiTheme="minorHAnsi" w:eastAsiaTheme="minorEastAsia" w:hAnsiTheme="minorHAnsi" w:cstheme="minorBidi"/>
                <w:noProof/>
                <w:lang w:eastAsia="en-AU"/>
              </w:rPr>
              <w:tab/>
            </w:r>
            <w:r w:rsidR="00597D67" w:rsidRPr="00CC3D23">
              <w:rPr>
                <w:rStyle w:val="Hyperlink"/>
                <w:noProof/>
              </w:rPr>
              <w:t>Findings addressed to ARPANSA</w:t>
            </w:r>
            <w:r w:rsidR="00597D67">
              <w:rPr>
                <w:noProof/>
                <w:webHidden/>
              </w:rPr>
              <w:tab/>
            </w:r>
            <w:r w:rsidR="00597D67">
              <w:rPr>
                <w:noProof/>
                <w:webHidden/>
              </w:rPr>
              <w:fldChar w:fldCharType="begin"/>
            </w:r>
            <w:r w:rsidR="00597D67">
              <w:rPr>
                <w:noProof/>
                <w:webHidden/>
              </w:rPr>
              <w:instrText xml:space="preserve"> PAGEREF _Toc55828282 \h </w:instrText>
            </w:r>
            <w:r w:rsidR="00597D67">
              <w:rPr>
                <w:noProof/>
                <w:webHidden/>
              </w:rPr>
            </w:r>
            <w:r w:rsidR="00597D67">
              <w:rPr>
                <w:noProof/>
                <w:webHidden/>
              </w:rPr>
              <w:fldChar w:fldCharType="separate"/>
            </w:r>
            <w:r>
              <w:rPr>
                <w:noProof/>
                <w:webHidden/>
              </w:rPr>
              <w:t>21</w:t>
            </w:r>
            <w:r w:rsidR="00597D67">
              <w:rPr>
                <w:noProof/>
                <w:webHidden/>
              </w:rPr>
              <w:fldChar w:fldCharType="end"/>
            </w:r>
          </w:hyperlink>
        </w:p>
        <w:p w14:paraId="3C002E5A" w14:textId="1BC68083" w:rsidR="004433D7" w:rsidRDefault="004433D7">
          <w:r>
            <w:rPr>
              <w:b/>
              <w:bCs/>
              <w:noProof/>
            </w:rPr>
            <w:fldChar w:fldCharType="end"/>
          </w:r>
        </w:p>
      </w:sdtContent>
    </w:sdt>
    <w:p w14:paraId="65AC7B31" w14:textId="058C2147" w:rsidR="00AA47B8" w:rsidRPr="00785D7C" w:rsidRDefault="00D656B3" w:rsidP="00FB10CF">
      <w:pPr>
        <w:rPr>
          <w:rFonts w:ascii="Garamond" w:hAnsi="Garamond" w:cs="Arial"/>
          <w:sz w:val="28"/>
          <w:highlight w:val="yellow"/>
        </w:rPr>
      </w:pPr>
      <w:r w:rsidRPr="00785D7C">
        <w:rPr>
          <w:rFonts w:ascii="Garamond" w:hAnsi="Garamond"/>
          <w:sz w:val="24"/>
        </w:rPr>
        <w:tab/>
      </w:r>
    </w:p>
    <w:p w14:paraId="0FF3E03D" w14:textId="77777777" w:rsidR="00640A48" w:rsidRDefault="00586949" w:rsidP="004433D7">
      <w:pPr>
        <w:pStyle w:val="Heading1"/>
        <w:numPr>
          <w:ilvl w:val="0"/>
          <w:numId w:val="0"/>
        </w:numPr>
        <w:ind w:left="567" w:hanging="567"/>
      </w:pPr>
      <w:bookmarkStart w:id="2" w:name="_Toc425775896"/>
      <w:bookmarkStart w:id="3" w:name="_Toc426039326"/>
      <w:r>
        <w:br w:type="page"/>
      </w:r>
      <w:bookmarkStart w:id="4" w:name="_Toc12344140"/>
      <w:bookmarkStart w:id="5" w:name="_Toc23428329"/>
      <w:bookmarkStart w:id="6" w:name="_Toc55828266"/>
      <w:bookmarkEnd w:id="2"/>
      <w:bookmarkEnd w:id="3"/>
      <w:r w:rsidR="00640A48" w:rsidRPr="00395846">
        <w:lastRenderedPageBreak/>
        <w:t>Foreword</w:t>
      </w:r>
      <w:bookmarkEnd w:id="4"/>
      <w:bookmarkEnd w:id="5"/>
      <w:bookmarkEnd w:id="6"/>
    </w:p>
    <w:p w14:paraId="6A6B09DC" w14:textId="77777777" w:rsidR="00D26C74" w:rsidRDefault="00D26C74" w:rsidP="001055C7">
      <w:pPr>
        <w:pStyle w:val="TOC1"/>
        <w:tabs>
          <w:tab w:val="left" w:pos="440"/>
          <w:tab w:val="right" w:leader="dot" w:pos="9628"/>
        </w:tabs>
      </w:pPr>
      <w:r>
        <w:t xml:space="preserve">In December 2015, the Australian Radiation Protection and Nuclear Safety Agency (ARPANSA) requested the International Atomic Energy Agency (IAEA) to organise and co-ordinate an Integrated Regulatory Review Service (IRRS) mission to Australia, to review Australia’s national arrangements for radiation protection and nuclear safety. The mission, involving 15 international experts, three IAEA staff and two observers, took place in November 2018. </w:t>
      </w:r>
    </w:p>
    <w:p w14:paraId="27663003" w14:textId="77777777" w:rsidR="00D26C74" w:rsidRDefault="00D26C74" w:rsidP="00D26C74">
      <w:r>
        <w:t xml:space="preserve">This was the second IRRS mission to Australia. The first mission, which was carried out in 2007 and subsequently followed up in 2011, covered ARPANSA’s regulatory activities, including regulation of all nuclear installations as defined in Commonwealth legislation.  </w:t>
      </w:r>
    </w:p>
    <w:p w14:paraId="164CBCEF" w14:textId="77777777" w:rsidR="00D26C74" w:rsidRDefault="00D26C74" w:rsidP="00D26C74">
      <w:r>
        <w:t>However, the largest number of entities using or producing radiation in Australia are regulated by the States and Territories. All States and Territories were invited to participate in the 2018 IRRS mission. The 2018 mission was the largest multi-jurisdictional IRRS carried out in any IAEA member state to date. It provided a comprehensive review of Australia’s national system for radiation protection and nuclear safety, and its implementation in the Commonwealth, the States and the Territories. Matters that concern uniformity of regulation in a multi-jurisdictional context were identified and discussed during the mission.</w:t>
      </w:r>
    </w:p>
    <w:p w14:paraId="18F8C823" w14:textId="0C0D257D" w:rsidR="00D26C74" w:rsidRDefault="00D26C74" w:rsidP="00D26C74">
      <w:r>
        <w:t>This Action Plan builds on the Advance Reference Material provided to the IAEA ahead of the mission, responds to the recommendations and suggestions contained in the Mission Report and input provided by regulators in all nine jurisdictions under the auspices of the Environmental Health Standing Committee (</w:t>
      </w:r>
      <w:proofErr w:type="spellStart"/>
      <w:r>
        <w:t>enHealth</w:t>
      </w:r>
      <w:proofErr w:type="spellEnd"/>
      <w:r>
        <w:t xml:space="preserve">) of the Australian Health Protection Principal Committee (AHPPC). </w:t>
      </w:r>
      <w:proofErr w:type="spellStart"/>
      <w:r>
        <w:t>EnHealth</w:t>
      </w:r>
      <w:proofErr w:type="spellEnd"/>
      <w:r>
        <w:t xml:space="preserve"> will guide the actions Australia takes in response to the mission report. A follow-up IRRS mission to assess progress against all recommendations and suggestions is planned for 2022.</w:t>
      </w:r>
    </w:p>
    <w:p w14:paraId="1B2299BE" w14:textId="4977BF2A" w:rsidR="00D26C74" w:rsidRDefault="00D26C74" w:rsidP="00D26C74">
      <w:r>
        <w:t>We would like to express our sincere gratitude to all contributors from regulatory agencies and health departments across Australia for their efforts and dedicated work to strengthen radiation protection and nuclear safety in Australia.</w:t>
      </w:r>
    </w:p>
    <w:p w14:paraId="11ED8135" w14:textId="111A9EB5" w:rsidR="00E522BC" w:rsidRDefault="00E522BC" w:rsidP="00D26C74"/>
    <w:p w14:paraId="45473243" w14:textId="2A5AD698" w:rsidR="00E522BC" w:rsidRDefault="00E522BC" w:rsidP="00D26C74"/>
    <w:p w14:paraId="79E75577" w14:textId="2682BEDD" w:rsidR="00E522BC" w:rsidRDefault="00E522BC" w:rsidP="00B614D5">
      <w:pPr>
        <w:spacing w:after="0"/>
        <w:ind w:left="4321" w:firstLine="720"/>
      </w:pPr>
    </w:p>
    <w:p w14:paraId="1970DC40" w14:textId="0588A5EB" w:rsidR="00D26C74" w:rsidRDefault="00D26C74" w:rsidP="00D26C74">
      <w:pPr>
        <w:spacing w:after="0"/>
      </w:pPr>
      <w:r>
        <w:rPr>
          <w:b/>
        </w:rPr>
        <w:t xml:space="preserve">Professor </w:t>
      </w:r>
      <w:r w:rsidR="004433D7">
        <w:rPr>
          <w:b/>
        </w:rPr>
        <w:t>Paul Kelly</w:t>
      </w:r>
      <w:r>
        <w:tab/>
      </w:r>
      <w:r>
        <w:tab/>
      </w:r>
      <w:r>
        <w:tab/>
      </w:r>
      <w:r w:rsidR="004433D7">
        <w:tab/>
      </w:r>
      <w:r w:rsidR="004433D7">
        <w:tab/>
      </w:r>
      <w:r>
        <w:rPr>
          <w:b/>
        </w:rPr>
        <w:t xml:space="preserve">Dr Carl-Magnus Larsson </w:t>
      </w:r>
      <w:r>
        <w:t xml:space="preserve"> </w:t>
      </w:r>
    </w:p>
    <w:p w14:paraId="19BE4F01" w14:textId="188FF87A" w:rsidR="00D26C74" w:rsidRDefault="00F56A64" w:rsidP="00D26C74">
      <w:pPr>
        <w:spacing w:after="0"/>
      </w:pPr>
      <w:r>
        <w:t>Chair</w:t>
      </w:r>
      <w:r>
        <w:tab/>
      </w:r>
      <w:r>
        <w:tab/>
      </w:r>
      <w:r>
        <w:tab/>
      </w:r>
      <w:r w:rsidR="00D26C74">
        <w:tab/>
      </w:r>
      <w:r w:rsidR="00D26C74">
        <w:tab/>
      </w:r>
      <w:r w:rsidR="00D26C74">
        <w:tab/>
      </w:r>
      <w:r w:rsidR="00D26C74">
        <w:tab/>
        <w:t>Chief Executive Officer</w:t>
      </w:r>
    </w:p>
    <w:p w14:paraId="34E9A557" w14:textId="246D6B1D" w:rsidR="00D26C74" w:rsidRDefault="00F56A64" w:rsidP="00F56A64">
      <w:pPr>
        <w:spacing w:after="120"/>
        <w:ind w:left="5040" w:hanging="5040"/>
      </w:pPr>
      <w:r>
        <w:t>Australian Health Protection</w:t>
      </w:r>
      <w:r w:rsidR="00281E46">
        <w:t xml:space="preserve"> Principal</w:t>
      </w:r>
      <w:r>
        <w:t xml:space="preserve"> Committee </w:t>
      </w:r>
      <w:r>
        <w:tab/>
      </w:r>
      <w:r w:rsidR="00D26C74">
        <w:t>Australian Radiation Protection and Nuclear Safety Agency</w:t>
      </w:r>
    </w:p>
    <w:p w14:paraId="0278DB7E" w14:textId="77777777" w:rsidR="00D26C74" w:rsidRDefault="00D26C74" w:rsidP="00D26C74">
      <w:pPr>
        <w:spacing w:after="0"/>
      </w:pPr>
      <w:r>
        <w:lastRenderedPageBreak/>
        <w:br w:type="page"/>
      </w:r>
    </w:p>
    <w:p w14:paraId="71891EED" w14:textId="77777777" w:rsidR="00D26C74" w:rsidRDefault="00D26C74" w:rsidP="00FF23F5">
      <w:pPr>
        <w:keepNext/>
        <w:keepLines/>
        <w:numPr>
          <w:ilvl w:val="0"/>
          <w:numId w:val="5"/>
        </w:numPr>
        <w:spacing w:before="480"/>
        <w:outlineLvl w:val="0"/>
        <w:rPr>
          <w:rFonts w:ascii="Century Gothic" w:eastAsia="Times New Roman" w:hAnsi="Century Gothic"/>
          <w:b/>
          <w:bCs/>
          <w:color w:val="0070C0"/>
          <w:sz w:val="28"/>
          <w:szCs w:val="28"/>
        </w:rPr>
      </w:pPr>
      <w:bookmarkStart w:id="7" w:name="_Toc55828267"/>
      <w:r>
        <w:rPr>
          <w:rFonts w:ascii="Century Gothic" w:eastAsia="Times New Roman" w:hAnsi="Century Gothic"/>
          <w:b/>
          <w:bCs/>
          <w:color w:val="0070C0"/>
          <w:sz w:val="28"/>
          <w:szCs w:val="28"/>
        </w:rPr>
        <w:lastRenderedPageBreak/>
        <w:t>The Australian regulatory framework for radiation protection and nuclear safety</w:t>
      </w:r>
      <w:bookmarkEnd w:id="7"/>
    </w:p>
    <w:p w14:paraId="3474661B" w14:textId="14ED8277" w:rsidR="00D26C74" w:rsidRDefault="00D26C74" w:rsidP="00D26C74">
      <w:r>
        <w:t xml:space="preserve">Each Australian </w:t>
      </w:r>
      <w:r w:rsidR="004433D7">
        <w:t>s</w:t>
      </w:r>
      <w:r>
        <w:t xml:space="preserve">tate and </w:t>
      </w:r>
      <w:r w:rsidR="004433D7">
        <w:t>territory</w:t>
      </w:r>
      <w:r>
        <w:t xml:space="preserve">, and the Commonwealth, has one or more regulatory authorities with responsibilities for regulatory management of radiation risks. The IAEA uses the term ‘regulatory body’, which may be a single authority or a system of authorities that collectively carry out regulatory functions. The federal system of government in Australia means that authorities of the Commonwealth, States and Territories carry out such functions. </w:t>
      </w:r>
    </w:p>
    <w:p w14:paraId="707DFBE3" w14:textId="14BA77DB" w:rsidR="00D26C74" w:rsidRDefault="00D26C74" w:rsidP="00D26C74">
      <w:r>
        <w:t>Each jurisdiction’s regulatory body operates under its own legislation. These Acts either directly establish the regulatory bodies, or establish them under administrative arrangements with powers assigned to an individual, such as the Chief Health Officer within a state or territory or the CEO of ARPANSA</w:t>
      </w:r>
      <w:r w:rsidR="0084341F">
        <w:t xml:space="preserve"> at the Commonwealth level</w:t>
      </w:r>
      <w:r>
        <w:t xml:space="preserve">. </w:t>
      </w:r>
    </w:p>
    <w:p w14:paraId="2C352AC1" w14:textId="77777777" w:rsidR="00D26C74" w:rsidRDefault="00D26C74" w:rsidP="00D26C74">
      <w:r>
        <w:t xml:space="preserve">Jurisdictions may have separate authorities for resource and mining activities, environmental protection, workplace health and safety, and public health. All of these can have specific roles in the control of radiation risks. Some regulatory functions, for example approval and inspection powers, may be split between separate authorities. </w:t>
      </w:r>
    </w:p>
    <w:p w14:paraId="73992425" w14:textId="17CB6A6E" w:rsidR="00D26C74" w:rsidRDefault="00D26C74" w:rsidP="00D26C74">
      <w:r>
        <w:t>Most regulatory bodies with primary responsibility for radiation regulation are within their respective jurisdiction’s health portfolio and report to their health minister directly or through their department. Two regulatory bodies (in South Australia and New South Wales) sit in the environment portfolios and collaborate with their health portfolio counterparts on relevant issues. AR</w:t>
      </w:r>
      <w:r w:rsidR="0084341F">
        <w:t>P</w:t>
      </w:r>
      <w:r>
        <w:t xml:space="preserve">ANSA is an agency under the health portfolio, with direct reporting lines to </w:t>
      </w:r>
      <w:r w:rsidR="008346C4">
        <w:t xml:space="preserve">Senator </w:t>
      </w:r>
      <w:r>
        <w:t xml:space="preserve">the </w:t>
      </w:r>
      <w:r w:rsidR="008346C4">
        <w:t xml:space="preserve">Hon Richard </w:t>
      </w:r>
      <w:proofErr w:type="spellStart"/>
      <w:r w:rsidR="008346C4">
        <w:t>Colbeck</w:t>
      </w:r>
      <w:proofErr w:type="spellEnd"/>
      <w:r w:rsidR="008346C4">
        <w:t xml:space="preserve">, the </w:t>
      </w:r>
      <w:r>
        <w:t xml:space="preserve">Minister </w:t>
      </w:r>
      <w:r w:rsidR="008346C4">
        <w:t xml:space="preserve">for Aged Care and Senior Australians, and the Minister for Youth and Sport, </w:t>
      </w:r>
      <w:r>
        <w:t xml:space="preserve">and </w:t>
      </w:r>
      <w:r w:rsidR="008346C4">
        <w:t xml:space="preserve">to </w:t>
      </w:r>
      <w:r>
        <w:t>Parliament.</w:t>
      </w:r>
    </w:p>
    <w:p w14:paraId="550C8DCF" w14:textId="77777777" w:rsidR="00D26C74" w:rsidRDefault="00D26C74" w:rsidP="00D26C74">
      <w:r>
        <w:t xml:space="preserve">The multiple legal frameworks for control of radiation risks in Australia, and the multiple authorities that make up the regulatory body in different jurisdictions, was a challenge for the 2018 IRRS mission. It will also be a challenge for a nationally consistent response to the recommendations and suggestions contained in the Mission Report. However, the IRRS has also led to acknowledgement of the need for strengthened governance of the process for achieving consistency, and this Action Plan is evidence that these new governance arrangements are beginning to take effect. </w:t>
      </w:r>
    </w:p>
    <w:p w14:paraId="5DA92D77" w14:textId="77777777" w:rsidR="00D26C74" w:rsidRDefault="00D26C74" w:rsidP="00D26C74">
      <w:r>
        <w:t xml:space="preserve">The Action Plan presented in this document is the result of collaboration between regulatory bodies across all jurisdictions. While it is based on the IRRS, it is also an outcome of a strengthened national approach to achieve regulatory outcomes that ensure that Australia addresses the most significant challenge that was identified in the IRRS Mission Report, namely, to “ensure a consistent level of safety and protection of people and the environment across all jurisdictions, in principle and in practice”.   </w:t>
      </w:r>
    </w:p>
    <w:p w14:paraId="3E422451" w14:textId="77777777" w:rsidR="00D26C74" w:rsidRDefault="00D26C74" w:rsidP="00D26C74">
      <w:pPr>
        <w:spacing w:after="0" w:line="240" w:lineRule="auto"/>
        <w:rPr>
          <w:rFonts w:ascii="Century Gothic" w:eastAsia="Times New Roman" w:hAnsi="Century Gothic"/>
          <w:b/>
          <w:bCs/>
          <w:color w:val="0070C0"/>
          <w:sz w:val="28"/>
          <w:szCs w:val="28"/>
        </w:rPr>
      </w:pPr>
      <w:r>
        <w:lastRenderedPageBreak/>
        <w:br w:type="page"/>
      </w:r>
    </w:p>
    <w:p w14:paraId="0A781B75" w14:textId="77777777" w:rsidR="00D26C74" w:rsidRDefault="00D26C74" w:rsidP="00FF23F5">
      <w:pPr>
        <w:keepNext/>
        <w:keepLines/>
        <w:numPr>
          <w:ilvl w:val="0"/>
          <w:numId w:val="5"/>
        </w:numPr>
        <w:spacing w:before="480"/>
        <w:outlineLvl w:val="0"/>
        <w:rPr>
          <w:rFonts w:ascii="Century Gothic" w:eastAsia="Times New Roman" w:hAnsi="Century Gothic"/>
          <w:b/>
          <w:bCs/>
          <w:color w:val="0070C0"/>
          <w:sz w:val="28"/>
          <w:szCs w:val="28"/>
        </w:rPr>
      </w:pPr>
      <w:bookmarkStart w:id="8" w:name="_Toc55828268"/>
      <w:r>
        <w:rPr>
          <w:rFonts w:ascii="Century Gothic" w:eastAsia="Times New Roman" w:hAnsi="Century Gothic"/>
          <w:b/>
          <w:bCs/>
          <w:color w:val="0070C0"/>
          <w:sz w:val="28"/>
          <w:szCs w:val="28"/>
        </w:rPr>
        <w:lastRenderedPageBreak/>
        <w:t>The Australian IRRS</w:t>
      </w:r>
      <w:bookmarkEnd w:id="8"/>
    </w:p>
    <w:p w14:paraId="3CC21DCA" w14:textId="77777777" w:rsidR="00D26C74" w:rsidRDefault="00D26C74" w:rsidP="00D26C74">
      <w:r>
        <w:t xml:space="preserve">In 2015, the Australian Government, via the Australian Permanent Mission to the United Nations in Vienna, requested the IAEA to co-ordinate an international team of senior nuclear and radiation safety experts to perform a peer review of Australia’s regulatory framework for radiation protection and nuclear safety. Accordingly, IAEA assembled a team of 15 international experts and three IAEA staff to carry out an IRRS, covering the relevant national arrangements in Australia. An IRRS </w:t>
      </w:r>
      <w:r>
        <w:rPr>
          <w:i/>
        </w:rPr>
        <w:t>mission</w:t>
      </w:r>
      <w:r>
        <w:t xml:space="preserve"> to Australia was conducted from 5 to 16 November 2018, hosted at ARPANSA’s facilities in Yallambie (Melbourne, Victoria). Two experts from Singapore’s National Environment Agency participated in the mission, as observers. </w:t>
      </w:r>
    </w:p>
    <w:p w14:paraId="7DFD9064" w14:textId="77777777" w:rsidR="00D26C74" w:rsidRDefault="00D26C74" w:rsidP="00D26C74">
      <w:pPr>
        <w:keepNext/>
        <w:keepLines/>
        <w:spacing w:before="200"/>
        <w:outlineLvl w:val="1"/>
        <w:rPr>
          <w:rFonts w:ascii="Century Gothic" w:eastAsia="Times New Roman" w:hAnsi="Century Gothic"/>
          <w:b/>
          <w:bCs/>
          <w:color w:val="4F81BD"/>
          <w:szCs w:val="26"/>
        </w:rPr>
      </w:pPr>
      <w:bookmarkStart w:id="9" w:name="_Toc55828269"/>
      <w:r>
        <w:rPr>
          <w:rFonts w:ascii="Century Gothic" w:eastAsia="Times New Roman" w:hAnsi="Century Gothic"/>
          <w:b/>
          <w:bCs/>
          <w:color w:val="4F81BD"/>
          <w:szCs w:val="26"/>
        </w:rPr>
        <w:t>2.1 Scope</w:t>
      </w:r>
      <w:bookmarkEnd w:id="9"/>
    </w:p>
    <w:p w14:paraId="03994D82" w14:textId="55FDF020" w:rsidR="00D26C74" w:rsidRDefault="00D26C74" w:rsidP="00D26C74">
      <w:r>
        <w:t xml:space="preserve">An IRRS mission has a modular structure that covers legislation, international engagement, the regulatory body, management systems, authorisation, review and assessment, inspection, enforcement, regulations and guides, emergency arrangements and interface with security. It also covers medical, occupational and public exposures to radiation, as well as discharges, clearance and existing exposure situations. The IAEA has published detailed guidelines for the conduct of an IRRS, see </w:t>
      </w:r>
      <w:r w:rsidR="007C5E7E">
        <w:br/>
      </w:r>
      <w:hyperlink r:id="rId12" w:history="1">
        <w:r w:rsidR="007C5E7E" w:rsidRPr="00C042B9">
          <w:rPr>
            <w:rStyle w:val="Hyperlink"/>
          </w:rPr>
          <w:t>https://www-pub.iaea.org/MTCD/Publications/PDF/SVS-23_web.pdf</w:t>
        </w:r>
      </w:hyperlink>
      <w:r>
        <w:rPr>
          <w:vertAlign w:val="superscript"/>
        </w:rPr>
        <w:footnoteReference w:id="2"/>
      </w:r>
      <w:r>
        <w:t xml:space="preserve">. </w:t>
      </w:r>
    </w:p>
    <w:p w14:paraId="2B3F2D66" w14:textId="0C51F3A2" w:rsidR="00D26C74" w:rsidRDefault="00D26C74" w:rsidP="00D26C74">
      <w:r>
        <w:t xml:space="preserve">The mission scope included ARPANSA’s role and responsibilities as the Commonwealth regulator for radiation protection and nuclear safety in all modules. In addition, all </w:t>
      </w:r>
      <w:r w:rsidR="004433D7">
        <w:t>state and territory</w:t>
      </w:r>
      <w:r>
        <w:t xml:space="preserve"> regulatory bodies provided information relevant for the modules on authorisation, review and assessment, inspection, enforcement, and regulations and guides; and for specific areas (radiation sources control, transport, and medical exposure control). The mission also included a policy issue discussion on national uniformity of radiation protection and nuclear safety policy and practices across the Commonwealth, States and Territories.</w:t>
      </w:r>
    </w:p>
    <w:p w14:paraId="31BD6C3C" w14:textId="77777777" w:rsidR="00D26C74" w:rsidRDefault="00D26C74" w:rsidP="00D26C74">
      <w:r>
        <w:t>The scope did not include the uranium mining and milling industry and the management of waste containing naturally occurring radioactive material.</w:t>
      </w:r>
    </w:p>
    <w:p w14:paraId="4AEE0CE4" w14:textId="77777777" w:rsidR="00D26C74" w:rsidRDefault="00D26C74" w:rsidP="00D26C74">
      <w:pPr>
        <w:keepNext/>
        <w:keepLines/>
        <w:spacing w:before="200"/>
        <w:outlineLvl w:val="1"/>
        <w:rPr>
          <w:rFonts w:ascii="Century Gothic" w:eastAsia="Times New Roman" w:hAnsi="Century Gothic"/>
          <w:b/>
          <w:bCs/>
          <w:color w:val="4F81BD"/>
          <w:szCs w:val="26"/>
        </w:rPr>
      </w:pPr>
      <w:bookmarkStart w:id="10" w:name="_Toc55828270"/>
      <w:r>
        <w:rPr>
          <w:rFonts w:ascii="Century Gothic" w:eastAsia="Times New Roman" w:hAnsi="Century Gothic"/>
          <w:b/>
          <w:bCs/>
          <w:color w:val="4F81BD"/>
          <w:szCs w:val="26"/>
        </w:rPr>
        <w:t>2.2 Conduct</w:t>
      </w:r>
      <w:bookmarkEnd w:id="10"/>
    </w:p>
    <w:p w14:paraId="29717187" w14:textId="77777777" w:rsidR="00D26C74" w:rsidRDefault="00D26C74" w:rsidP="00D26C74">
      <w:r>
        <w:t xml:space="preserve">ARPANSA coordinated the compilation of the Advance Reference Material (ARM), which was submitted to IAEA two months before the IRRS mission. The ARM included self-assessments, a Summary Report with a draft Action Plan, and a large number of supporting </w:t>
      </w:r>
      <w:r>
        <w:lastRenderedPageBreak/>
        <w:t xml:space="preserve">documentation. During the mission, the IRRS team verified the information contained in the ARM, and requested and reviewed supplementary documentation as necessary. </w:t>
      </w:r>
    </w:p>
    <w:p w14:paraId="001D14B3" w14:textId="0F4F0F3D" w:rsidR="00D26C74" w:rsidRDefault="00D26C74" w:rsidP="00D26C74">
      <w:r>
        <w:t>The IRRS team met with representatives of Queensland Health, the New South Wales Environment Protection Authority, Victoria’s Department of Health and Human Services, South Australia’s Environment Protection Authority, Tasmania’s Department of Health, Western Australia’s Radiological Council, the Northern Territory’s Department of Health, the Australian Capital Territory’s Health Protection Service</w:t>
      </w:r>
      <w:r w:rsidR="00215B0E">
        <w:t xml:space="preserve">, the Commonwealth’s Department of Health and </w:t>
      </w:r>
      <w:r>
        <w:t>ARPANSA.</w:t>
      </w:r>
    </w:p>
    <w:p w14:paraId="76AFC388" w14:textId="77777777" w:rsidR="00D26C74" w:rsidRDefault="00D26C74" w:rsidP="00D26C74">
      <w:r>
        <w:t xml:space="preserve">An IRRS mission does not grade </w:t>
      </w:r>
      <w:r w:rsidRPr="00F56A64">
        <w:t>a member state’s</w:t>
      </w:r>
      <w:r>
        <w:t xml:space="preserve"> system for radiation protection and nuclear safety. It provides a peer evaluation of the host state’s regulatory infrastructure in relation to the IAEA safety standards</w:t>
      </w:r>
      <w:r>
        <w:rPr>
          <w:vertAlign w:val="superscript"/>
        </w:rPr>
        <w:footnoteReference w:id="3"/>
      </w:r>
      <w:r>
        <w:t xml:space="preserve">, in particular the safety requirements. IRRS missions provide for discussion among experienced regulators regarding both technical and policy issues of a regulatory nature. Regulatory experiences are shared and regulatory approaches are harmonised among states, with due consideration to the national context. Both technical and policy discussions conducted during IRRS missions take into account issues identified during the states’ self-assessment, and the review of regulatory technical areas. </w:t>
      </w:r>
    </w:p>
    <w:p w14:paraId="4FED3490" w14:textId="5BCC8936" w:rsidR="00D26C74" w:rsidRDefault="00D26C74" w:rsidP="00D26C74">
      <w:r>
        <w:t>The IRRS team issues recommendations and suggestions to the host, and identifies good practices</w:t>
      </w:r>
      <w:r w:rsidR="0084341F">
        <w:t>.</w:t>
      </w:r>
      <w:r>
        <w:t xml:space="preserve"> </w:t>
      </w:r>
      <w:r w:rsidR="0084341F">
        <w:t>T</w:t>
      </w:r>
      <w:r>
        <w:t xml:space="preserve">he </w:t>
      </w:r>
      <w:r>
        <w:rPr>
          <w:i/>
        </w:rPr>
        <w:t>number</w:t>
      </w:r>
      <w:r>
        <w:t xml:space="preserve"> of recommendations, suggestions and good practices is not a measure of the status of the national system for radiation protection and nuclear safety.</w:t>
      </w:r>
    </w:p>
    <w:p w14:paraId="5A065FCA" w14:textId="77777777" w:rsidR="00D26C74" w:rsidRDefault="00D26C74" w:rsidP="00FF23F5">
      <w:pPr>
        <w:numPr>
          <w:ilvl w:val="0"/>
          <w:numId w:val="6"/>
        </w:numPr>
        <w:spacing w:after="200"/>
      </w:pPr>
      <w:r>
        <w:rPr>
          <w:b/>
        </w:rPr>
        <w:t>Recommendations</w:t>
      </w:r>
      <w:r>
        <w:t xml:space="preserve"> are given where aspects relative to the safety requirements are missing, incomplete, or inadequately implemented. </w:t>
      </w:r>
    </w:p>
    <w:p w14:paraId="41959C4D" w14:textId="77777777" w:rsidR="00D26C74" w:rsidRDefault="00D26C74" w:rsidP="00FF23F5">
      <w:pPr>
        <w:numPr>
          <w:ilvl w:val="0"/>
          <w:numId w:val="6"/>
        </w:numPr>
        <w:spacing w:after="200"/>
      </w:pPr>
      <w:r>
        <w:rPr>
          <w:b/>
        </w:rPr>
        <w:t>Suggestions</w:t>
      </w:r>
      <w:r>
        <w:t xml:space="preserve"> identify opportunities for improvement not directly related to inadequate conformance with the safety requirements, but which should be shared with the host country. Suggestions may contribute to improvements in national regulatory arrangements but are primarily intended to make the regulatory body’s performance more effective or efficient, to indicate useful expansions of existing programmes and to point out possibly better alternatives to current regulatory, technical or policy activities. </w:t>
      </w:r>
    </w:p>
    <w:p w14:paraId="239A2099" w14:textId="77777777" w:rsidR="00D26C74" w:rsidRDefault="00D26C74" w:rsidP="00FF23F5">
      <w:pPr>
        <w:numPr>
          <w:ilvl w:val="0"/>
          <w:numId w:val="6"/>
        </w:numPr>
        <w:spacing w:after="200"/>
      </w:pPr>
      <w:r>
        <w:t xml:space="preserve">A </w:t>
      </w:r>
      <w:r>
        <w:rPr>
          <w:b/>
        </w:rPr>
        <w:t xml:space="preserve">good practice </w:t>
      </w:r>
      <w:r>
        <w:t>is identified in recognition of an outstanding organisation, arrangement, programme or performance, superior to those generally observed elsewhere.</w:t>
      </w:r>
    </w:p>
    <w:p w14:paraId="6AE15343" w14:textId="49867694" w:rsidR="00D26C74" w:rsidRDefault="00D26C74" w:rsidP="00D26C74">
      <w:r>
        <w:lastRenderedPageBreak/>
        <w:t xml:space="preserve">In addition to addressing the technical safety requirements for effective regulatory control, it is important to consider the broader policy implications for </w:t>
      </w:r>
      <w:r w:rsidR="008346C4" w:rsidRPr="00F56A64">
        <w:t>member states</w:t>
      </w:r>
      <w:r w:rsidR="008346C4">
        <w:t xml:space="preserve"> </w:t>
      </w:r>
      <w:r>
        <w:t xml:space="preserve">receiving peer reviews and to share insights with the wider international community. Consideration of both the technical and policy issues provides opportunities for improvements to regulatory infrastructure and identifies strategies that might be shared with other </w:t>
      </w:r>
      <w:r w:rsidR="008346C4">
        <w:t>member states</w:t>
      </w:r>
      <w:r>
        <w:t xml:space="preserve">. The importance of international peer reviews in this regard has been acknowledged at the periodic review meetings under the terms of the Convention on Nuclear Safety, and the Joint Convention on the Safety of Spent Fuel Management and on the Safety of Radioactive Waste Management. Australia is party to both of these conventions. </w:t>
      </w:r>
    </w:p>
    <w:p w14:paraId="61442EB1" w14:textId="77777777" w:rsidR="00D26C74" w:rsidRDefault="00D26C74" w:rsidP="00D26C74">
      <w:r>
        <w:t>A follow-up mission should be undertaken in due course, and within four years of the initial mission. A follow up IRRS mission to Australia is planned for early 2022. During the follow-up mission, the host country and IRRS team assess progress in implementing the recommendations and suggestions in the period since the initial review. The team may conclude that a specific recommendation or suggestion can be closed on the basis of the implementation being complete; closed on the basis of progress and confidence; or remain open. The IRRS follow-up mission also provides the opportunity for the IAEA, international reviewers and host country to identify additional technical and policy issues for review, to identify further good practices and through feedback, provide input for the review of the IAEA safety standards.</w:t>
      </w:r>
    </w:p>
    <w:p w14:paraId="0FC03829" w14:textId="77777777" w:rsidR="00D26C74" w:rsidRDefault="00D26C74" w:rsidP="00D26C74">
      <w:pPr>
        <w:keepNext/>
        <w:keepLines/>
        <w:spacing w:before="200"/>
        <w:outlineLvl w:val="1"/>
        <w:rPr>
          <w:rFonts w:ascii="Century Gothic" w:eastAsia="Times New Roman" w:hAnsi="Century Gothic"/>
          <w:b/>
          <w:bCs/>
          <w:color w:val="4F81BD"/>
          <w:szCs w:val="26"/>
        </w:rPr>
      </w:pPr>
      <w:bookmarkStart w:id="11" w:name="_Toc55828271"/>
      <w:r>
        <w:rPr>
          <w:rFonts w:ascii="Century Gothic" w:eastAsia="Times New Roman" w:hAnsi="Century Gothic"/>
          <w:b/>
          <w:bCs/>
          <w:color w:val="4F81BD"/>
          <w:szCs w:val="26"/>
        </w:rPr>
        <w:t>2. 3 Outcomes overview</w:t>
      </w:r>
      <w:bookmarkEnd w:id="11"/>
    </w:p>
    <w:p w14:paraId="5C373A09" w14:textId="77777777" w:rsidR="00D26C74" w:rsidRDefault="00D26C74" w:rsidP="00D26C74">
      <w:r>
        <w:t xml:space="preserve">ARPANSA published the final report from </w:t>
      </w:r>
      <w:hyperlink r:id="rId13" w:history="1">
        <w:r>
          <w:rPr>
            <w:rStyle w:val="Hyperlink"/>
          </w:rPr>
          <w:t>Australia’s IRRS mission on 13 February 2019</w:t>
        </w:r>
      </w:hyperlink>
      <w:r>
        <w:t>.</w:t>
      </w:r>
    </w:p>
    <w:p w14:paraId="4DBA4D80" w14:textId="76B6A041" w:rsidR="00D26C74" w:rsidRDefault="00D26C74" w:rsidP="00D26C74">
      <w:r>
        <w:t>This was the first IRRS to undertake a comprehensive multi-jurisdictional review of a federated constitution in which all of the jurisdictions are self-governing. This was identified as a good practice by the IRRS team and a model that other federa</w:t>
      </w:r>
      <w:r w:rsidR="0084341F">
        <w:t>ted</w:t>
      </w:r>
      <w:r>
        <w:t xml:space="preserve"> countries may want to consider when planning for future IRRS missions. The IRRS team observed a high level of engagement by participants from the Commonwealth, States and Territories, demonstrating a strong commitment to continuous improvement in radiation protection and nuclear safety.</w:t>
      </w:r>
    </w:p>
    <w:p w14:paraId="7F3C065B" w14:textId="77777777" w:rsidR="00D26C74" w:rsidRDefault="00D26C74" w:rsidP="00D26C74">
      <w:pPr>
        <w:spacing w:after="120"/>
      </w:pPr>
      <w:r>
        <w:t xml:space="preserve">Other good practices identified by the IRRS team were: </w:t>
      </w:r>
    </w:p>
    <w:p w14:paraId="3CCCCF9D" w14:textId="77777777" w:rsidR="00D26C74" w:rsidRDefault="00D26C74" w:rsidP="00FF23F5">
      <w:pPr>
        <w:numPr>
          <w:ilvl w:val="0"/>
          <w:numId w:val="7"/>
        </w:numPr>
        <w:spacing w:after="120"/>
        <w:ind w:left="714" w:hanging="357"/>
      </w:pPr>
      <w:r>
        <w:t>the availability of comprehensive guidance for radiation protection in existing exposure situations</w:t>
      </w:r>
    </w:p>
    <w:p w14:paraId="18458BEF" w14:textId="77777777" w:rsidR="00D26C74" w:rsidRDefault="00D26C74" w:rsidP="00FF23F5">
      <w:pPr>
        <w:numPr>
          <w:ilvl w:val="0"/>
          <w:numId w:val="7"/>
        </w:numPr>
        <w:spacing w:after="120"/>
        <w:ind w:left="714" w:hanging="357"/>
      </w:pPr>
      <w:r>
        <w:t>ARPANSA’s succession planning for all positions</w:t>
      </w:r>
    </w:p>
    <w:p w14:paraId="3F1617C1" w14:textId="77777777" w:rsidR="00D26C74" w:rsidRDefault="00D26C74" w:rsidP="00FF23F5">
      <w:pPr>
        <w:numPr>
          <w:ilvl w:val="0"/>
          <w:numId w:val="7"/>
        </w:numPr>
        <w:ind w:left="714" w:hanging="357"/>
      </w:pPr>
      <w:r>
        <w:t>ARPANSA’s holistic integration of risks in the management processes.</w:t>
      </w:r>
    </w:p>
    <w:p w14:paraId="4D9A2F57" w14:textId="77777777" w:rsidR="00D26C74" w:rsidRDefault="00D26C74" w:rsidP="00D26C74">
      <w:r>
        <w:lastRenderedPageBreak/>
        <w:t>A total of 23 recommendations and 12 suggestions were issued; these are listed in Appendix I. The IRRS team recognised that many of the recommendations and suggestions confirmed or elaborated on the actions identified by Australia’s jurisdictions as a result of their self-assessments. The IRRS team identified the following key issues warranting attention or improvement and believes that consideration of these would enhance the overall performance of the regulatory systems.</w:t>
      </w:r>
    </w:p>
    <w:p w14:paraId="2F16E97C" w14:textId="77777777" w:rsidR="00D26C74" w:rsidRDefault="00D26C74" w:rsidP="00FF23F5">
      <w:pPr>
        <w:numPr>
          <w:ilvl w:val="0"/>
          <w:numId w:val="8"/>
        </w:numPr>
        <w:spacing w:after="120"/>
        <w:ind w:left="714" w:hanging="357"/>
      </w:pPr>
      <w:r>
        <w:t>The Commonwealth Government should make a firm commitment and take actions with specific milestones to address decommissioning of facilities and radioactive waste management by assuring the strategy, programmes, funding and technical expertise for safe completion are in place.</w:t>
      </w:r>
    </w:p>
    <w:p w14:paraId="1D07FB76" w14:textId="6268FB1C" w:rsidR="00D26C74" w:rsidRDefault="00D26C74" w:rsidP="00FF23F5">
      <w:pPr>
        <w:numPr>
          <w:ilvl w:val="0"/>
          <w:numId w:val="8"/>
        </w:numPr>
        <w:spacing w:after="120"/>
        <w:ind w:left="714" w:hanging="357"/>
      </w:pPr>
      <w:r>
        <w:t xml:space="preserve">The Commonwealth Government, in conjunction with </w:t>
      </w:r>
      <w:r w:rsidR="004433D7">
        <w:t>state and territory</w:t>
      </w:r>
      <w:r>
        <w:t xml:space="preserve"> </w:t>
      </w:r>
      <w:r w:rsidR="0084341F">
        <w:t>g</w:t>
      </w:r>
      <w:r>
        <w:t xml:space="preserve">overnments, should ensure full implementation of the Code of Conduct on the Safety and Security of Radioactive Sources, continuing to promote the safe and secure use of radioactive sources. This will contribute to the safety and security of the domestic and international communities and fulfil Australia’s commitment to this important international instrument. </w:t>
      </w:r>
    </w:p>
    <w:p w14:paraId="5646A74C" w14:textId="314485C4" w:rsidR="00D26C74" w:rsidRDefault="00D26C74" w:rsidP="00FF23F5">
      <w:pPr>
        <w:numPr>
          <w:ilvl w:val="0"/>
          <w:numId w:val="8"/>
        </w:numPr>
        <w:spacing w:after="120"/>
        <w:ind w:left="714" w:hanging="357"/>
      </w:pPr>
      <w:r>
        <w:t xml:space="preserve">The Commonwealth, </w:t>
      </w:r>
      <w:r w:rsidR="004433D7">
        <w:t>state and territory</w:t>
      </w:r>
      <w:r>
        <w:t xml:space="preserve"> governments should ensure that all parties having responsibilities for safety of facilities and regulatory activities have the necessary competence and resources to carry out their responsibilities.</w:t>
      </w:r>
    </w:p>
    <w:p w14:paraId="6F8CE8BF" w14:textId="24B8461A" w:rsidR="00D26C74" w:rsidRDefault="00D26C74" w:rsidP="00FF23F5">
      <w:pPr>
        <w:numPr>
          <w:ilvl w:val="0"/>
          <w:numId w:val="8"/>
        </w:numPr>
        <w:spacing w:after="120"/>
        <w:ind w:left="714" w:hanging="357"/>
      </w:pPr>
      <w:r>
        <w:t xml:space="preserve">State and </w:t>
      </w:r>
      <w:r w:rsidR="004433D7">
        <w:t xml:space="preserve">territory </w:t>
      </w:r>
      <w:r>
        <w:t>regulatory bodies should establish a strategy and allocate resources to ensure that inspections of facilities and activities are conducted consistently and in accordance with a graded approach.</w:t>
      </w:r>
    </w:p>
    <w:p w14:paraId="0BC9D4EF" w14:textId="77777777" w:rsidR="00D26C74" w:rsidRDefault="00D26C74" w:rsidP="00FF23F5">
      <w:pPr>
        <w:numPr>
          <w:ilvl w:val="0"/>
          <w:numId w:val="8"/>
        </w:numPr>
        <w:spacing w:after="120"/>
        <w:ind w:left="714" w:hanging="357"/>
      </w:pPr>
      <w:r>
        <w:t>Regulatory bodies in all jurisdictions should assess domestic and international experience related to nuclear and radiation safety and evaluate the need for updating their processes for authorization, review and assessment, inspections and regulations.</w:t>
      </w:r>
    </w:p>
    <w:p w14:paraId="58FA9DE1" w14:textId="77777777" w:rsidR="00D26C74" w:rsidRDefault="00D26C74" w:rsidP="00FF23F5">
      <w:pPr>
        <w:numPr>
          <w:ilvl w:val="0"/>
          <w:numId w:val="8"/>
        </w:numPr>
        <w:spacing w:after="120"/>
        <w:ind w:left="714" w:hanging="357"/>
      </w:pPr>
      <w:r>
        <w:t>ARPANSA should establish criteria to evaluate the effectiveness of licensee’s emergency exercises and assign roles and responsibilities for its staff during emergency situations.</w:t>
      </w:r>
    </w:p>
    <w:p w14:paraId="21879E67" w14:textId="77777777" w:rsidR="00D26C74" w:rsidRDefault="00D26C74" w:rsidP="00FF23F5">
      <w:pPr>
        <w:numPr>
          <w:ilvl w:val="0"/>
          <w:numId w:val="8"/>
        </w:numPr>
        <w:spacing w:after="120"/>
        <w:ind w:left="714" w:hanging="357"/>
      </w:pPr>
      <w:r>
        <w:t>ARPANSA should complete its work on the integrated management system including promotion of leadership and management for safety.</w:t>
      </w:r>
    </w:p>
    <w:p w14:paraId="6AD48AD7" w14:textId="77777777" w:rsidR="00D26C74" w:rsidRDefault="00D26C74" w:rsidP="00D26C74">
      <w:r>
        <w:t>The most significant challenge to Australia, in the view of the IRRS team, is to establish a national framework for radiation safety that assures a consistent level of safety and protection of people and the environment across all jurisdictions, in principle and in practice. While there are on-going activities to address consistency in the Australian radiation safety programmes, the IRRS team noted several areas where further efforts are warranted.</w:t>
      </w:r>
    </w:p>
    <w:p w14:paraId="76DF477F" w14:textId="77777777" w:rsidR="00D26C74" w:rsidRDefault="00D26C74" w:rsidP="00FF23F5">
      <w:pPr>
        <w:keepNext/>
        <w:keepLines/>
        <w:numPr>
          <w:ilvl w:val="0"/>
          <w:numId w:val="5"/>
        </w:numPr>
        <w:spacing w:before="480"/>
        <w:outlineLvl w:val="0"/>
        <w:rPr>
          <w:rFonts w:ascii="Century Gothic" w:eastAsia="Times New Roman" w:hAnsi="Century Gothic"/>
          <w:b/>
          <w:bCs/>
          <w:color w:val="0070C0"/>
          <w:sz w:val="28"/>
          <w:szCs w:val="28"/>
        </w:rPr>
      </w:pPr>
      <w:bookmarkStart w:id="12" w:name="_Toc55828272"/>
      <w:r>
        <w:rPr>
          <w:rFonts w:ascii="Century Gothic" w:eastAsia="Times New Roman" w:hAnsi="Century Gothic"/>
          <w:b/>
          <w:bCs/>
          <w:color w:val="0070C0"/>
          <w:sz w:val="28"/>
          <w:szCs w:val="28"/>
        </w:rPr>
        <w:lastRenderedPageBreak/>
        <w:t>The Action Plan</w:t>
      </w:r>
      <w:bookmarkEnd w:id="12"/>
    </w:p>
    <w:p w14:paraId="6EC6DAD4" w14:textId="77777777" w:rsidR="00D26C74" w:rsidRDefault="00D26C74" w:rsidP="00D26C74">
      <w:pPr>
        <w:rPr>
          <w:lang w:val="en-US"/>
        </w:rPr>
      </w:pPr>
      <w:r>
        <w:rPr>
          <w:lang w:val="en-US"/>
        </w:rPr>
        <w:t>As per the IRRS guidelines, Australia developed a draft Action Plan as part of preparing the Advance Reference Material. The draft was included in the Summary Report. The guidelines also recommend host countries amend the plan to address the recommendations and suggestions contained in the Mission Report. This document is the amended Action Plan.</w:t>
      </w:r>
    </w:p>
    <w:p w14:paraId="5DC5F56B" w14:textId="77777777" w:rsidR="00D26C74" w:rsidRDefault="00D26C74" w:rsidP="00D26C74">
      <w:r>
        <w:t>A planning matrix that lists all recommendations and suggestions is at Appendix I. The matrix identifies responsibilities, actions and time-frames. It will assist in monitoring progress, while details will be delegated to those identified as responsible for each specific action. ARPANSA will maintain the matrix current as work progresses with implementation of recommendations and suggestions contained in the Mission Report.</w:t>
      </w:r>
    </w:p>
    <w:p w14:paraId="0E64F433" w14:textId="77777777" w:rsidR="00D26C74" w:rsidRDefault="00D26C74" w:rsidP="00D26C74">
      <w:r>
        <w:t>The matrix divides the recommendations and suggestions into five categories, depending on the specified audience:</w:t>
      </w:r>
    </w:p>
    <w:p w14:paraId="51F8F256" w14:textId="77777777" w:rsidR="00D26C74" w:rsidRDefault="00D26C74" w:rsidP="00FF23F5">
      <w:pPr>
        <w:numPr>
          <w:ilvl w:val="0"/>
          <w:numId w:val="9"/>
        </w:numPr>
        <w:spacing w:after="120"/>
        <w:ind w:left="714" w:hanging="357"/>
      </w:pPr>
      <w:r>
        <w:t>The Australian Government – two recommendations (Appendix I.A)</w:t>
      </w:r>
    </w:p>
    <w:p w14:paraId="5675B4B8" w14:textId="77777777" w:rsidR="00D26C74" w:rsidRDefault="00D26C74" w:rsidP="00FF23F5">
      <w:pPr>
        <w:numPr>
          <w:ilvl w:val="0"/>
          <w:numId w:val="9"/>
        </w:numPr>
        <w:spacing w:after="120"/>
        <w:ind w:left="714" w:hanging="357"/>
      </w:pPr>
      <w:r>
        <w:t>Australian Governments, meaning all nine jurisdictions – seven recommendations and three suggestions (Appendix I.B)</w:t>
      </w:r>
    </w:p>
    <w:p w14:paraId="7CA2CAC3" w14:textId="77777777" w:rsidR="00D26C74" w:rsidRDefault="00D26C74" w:rsidP="00FF23F5">
      <w:pPr>
        <w:numPr>
          <w:ilvl w:val="0"/>
          <w:numId w:val="9"/>
        </w:numPr>
        <w:spacing w:after="120"/>
        <w:ind w:left="714" w:hanging="357"/>
      </w:pPr>
      <w:r>
        <w:t>Regulators, meaning all nine regulatory bodies – four recommendations and two suggestions (Appendix I.C)</w:t>
      </w:r>
    </w:p>
    <w:p w14:paraId="0C498577" w14:textId="6F83E478" w:rsidR="00D26C74" w:rsidRDefault="00D26C74" w:rsidP="00FF23F5">
      <w:pPr>
        <w:numPr>
          <w:ilvl w:val="0"/>
          <w:numId w:val="9"/>
        </w:numPr>
        <w:spacing w:after="120"/>
        <w:ind w:left="714" w:hanging="357"/>
      </w:pPr>
      <w:r>
        <w:t xml:space="preserve">State and </w:t>
      </w:r>
      <w:r w:rsidR="004433D7">
        <w:t>t</w:t>
      </w:r>
      <w:r>
        <w:t>erritory regulators only – two recommendations and one suggestion (Appendix I.D)</w:t>
      </w:r>
    </w:p>
    <w:p w14:paraId="7B91EBFC" w14:textId="77777777" w:rsidR="00D26C74" w:rsidRDefault="00D26C74" w:rsidP="00FF23F5">
      <w:pPr>
        <w:numPr>
          <w:ilvl w:val="0"/>
          <w:numId w:val="9"/>
        </w:numPr>
        <w:ind w:left="714" w:hanging="357"/>
      </w:pPr>
      <w:r>
        <w:t>ARPANSA only – eight recommendations and six suggestions (Appendix I.E).</w:t>
      </w:r>
    </w:p>
    <w:p w14:paraId="281726DF" w14:textId="77777777" w:rsidR="00D26C74" w:rsidRDefault="00D26C74" w:rsidP="00D26C74">
      <w:pPr>
        <w:keepNext/>
        <w:keepLines/>
        <w:spacing w:before="200"/>
        <w:outlineLvl w:val="1"/>
        <w:rPr>
          <w:rFonts w:ascii="Century Gothic" w:eastAsia="Times New Roman" w:hAnsi="Century Gothic"/>
          <w:b/>
          <w:bCs/>
          <w:color w:val="4F81BD"/>
          <w:szCs w:val="26"/>
        </w:rPr>
      </w:pPr>
      <w:bookmarkStart w:id="13" w:name="_Toc55828273"/>
      <w:r>
        <w:rPr>
          <w:rFonts w:ascii="Century Gothic" w:eastAsia="Times New Roman" w:hAnsi="Century Gothic"/>
          <w:b/>
          <w:bCs/>
          <w:color w:val="4F81BD"/>
          <w:szCs w:val="26"/>
        </w:rPr>
        <w:t>3.1 Actions for the Australian Government</w:t>
      </w:r>
      <w:bookmarkEnd w:id="13"/>
    </w:p>
    <w:p w14:paraId="1B3B0A76" w14:textId="77777777" w:rsidR="00D26C74" w:rsidRDefault="00D26C74" w:rsidP="00D26C74">
      <w:r>
        <w:t xml:space="preserve">Both recommendations to the Australian Government relate to policy matters for the national radioactive waste management facility and for addressing issues associated with decommissioning. </w:t>
      </w:r>
    </w:p>
    <w:p w14:paraId="430D155A" w14:textId="14CF289B" w:rsidR="00D26C74" w:rsidRDefault="00D26C74" w:rsidP="00D26C74">
      <w:r>
        <w:t>The Commonwealth Department of Industry, Science, Energy and Resources (DISER)</w:t>
      </w:r>
      <w:r w:rsidR="00374680">
        <w:t xml:space="preserve"> and the Australian Radioactive Waste Agency</w:t>
      </w:r>
      <w:r>
        <w:t xml:space="preserve"> is the appropriate agency to implement these recommendations. DISER will report on its progress against the two recommendations to ARPANSA.</w:t>
      </w:r>
    </w:p>
    <w:p w14:paraId="67F8F848" w14:textId="4DDD00F0" w:rsidR="00D26C74" w:rsidRDefault="00D26C74" w:rsidP="00D26C74">
      <w:pPr>
        <w:keepNext/>
        <w:keepLines/>
        <w:spacing w:before="200"/>
        <w:outlineLvl w:val="1"/>
        <w:rPr>
          <w:rFonts w:ascii="Century Gothic" w:eastAsia="Times New Roman" w:hAnsi="Century Gothic"/>
          <w:b/>
          <w:bCs/>
          <w:color w:val="4F81BD"/>
          <w:szCs w:val="26"/>
        </w:rPr>
      </w:pPr>
      <w:bookmarkStart w:id="14" w:name="_Toc55828274"/>
      <w:r>
        <w:rPr>
          <w:rFonts w:ascii="Century Gothic" w:eastAsia="Times New Roman" w:hAnsi="Century Gothic"/>
          <w:b/>
          <w:bCs/>
          <w:color w:val="4F81BD"/>
          <w:szCs w:val="26"/>
        </w:rPr>
        <w:lastRenderedPageBreak/>
        <w:t xml:space="preserve">3.2 Actions for the Australian Governments and all, or only </w:t>
      </w:r>
      <w:r w:rsidR="004433D7">
        <w:rPr>
          <w:rFonts w:ascii="Century Gothic" w:eastAsia="Times New Roman" w:hAnsi="Century Gothic"/>
          <w:b/>
          <w:bCs/>
          <w:color w:val="4F81BD"/>
          <w:szCs w:val="26"/>
        </w:rPr>
        <w:t xml:space="preserve">state </w:t>
      </w:r>
      <w:r>
        <w:rPr>
          <w:rFonts w:ascii="Century Gothic" w:eastAsia="Times New Roman" w:hAnsi="Century Gothic"/>
          <w:b/>
          <w:bCs/>
          <w:color w:val="4F81BD"/>
          <w:szCs w:val="26"/>
        </w:rPr>
        <w:t xml:space="preserve">and </w:t>
      </w:r>
      <w:r w:rsidR="004433D7">
        <w:rPr>
          <w:rFonts w:ascii="Century Gothic" w:eastAsia="Times New Roman" w:hAnsi="Century Gothic"/>
          <w:b/>
          <w:bCs/>
          <w:color w:val="4F81BD"/>
          <w:szCs w:val="26"/>
        </w:rPr>
        <w:t>territory</w:t>
      </w:r>
      <w:r>
        <w:rPr>
          <w:rFonts w:ascii="Century Gothic" w:eastAsia="Times New Roman" w:hAnsi="Century Gothic"/>
          <w:b/>
          <w:bCs/>
          <w:color w:val="4F81BD"/>
          <w:szCs w:val="26"/>
        </w:rPr>
        <w:t>, regulators</w:t>
      </w:r>
      <w:bookmarkEnd w:id="14"/>
    </w:p>
    <w:p w14:paraId="5559D326" w14:textId="77777777" w:rsidR="00D26C74" w:rsidRDefault="00D26C74" w:rsidP="00D26C74">
      <w:r>
        <w:t>The IRRS mission was a multi-jurisdictional exercise that reviewed all nine Australian regulatory bodies. One of the main findings of the mission was that Australia should work towards a nationally uniform approach for radiation protection to ensure a consistent level of safety for people and the environment. As such, a significant number of recommendations and suggestions are addressed to all nine jurisdictions.</w:t>
      </w:r>
    </w:p>
    <w:p w14:paraId="72062F58" w14:textId="13B397EB" w:rsidR="00D26C74" w:rsidRDefault="00D26C74" w:rsidP="00D26C74">
      <w:r>
        <w:t xml:space="preserve">The governance of these recommendations and suggestions in this IRRS Action Plan will occur through existing mechanisms. The Australian Health Protection Principal Committee (AHPPC) endorsed this plan in </w:t>
      </w:r>
      <w:r w:rsidR="009C4659">
        <w:t>December</w:t>
      </w:r>
      <w:r>
        <w:t xml:space="preserve"> </w:t>
      </w:r>
      <w:r w:rsidR="009C4659">
        <w:t>2020</w:t>
      </w:r>
      <w:r>
        <w:t>. The AHPPC provides health protection policy oversight and manages responses to national health emergencies, via the Environmental Health Standing Committee (</w:t>
      </w:r>
      <w:proofErr w:type="spellStart"/>
      <w:r>
        <w:t>enHealth</w:t>
      </w:r>
      <w:proofErr w:type="spellEnd"/>
      <w:r>
        <w:t>).</w:t>
      </w:r>
    </w:p>
    <w:p w14:paraId="72533B4D" w14:textId="77777777" w:rsidR="00D26C74" w:rsidRDefault="00D26C74" w:rsidP="00D26C74">
      <w:proofErr w:type="spellStart"/>
      <w:proofErr w:type="gramStart"/>
      <w:r>
        <w:t>enHealth</w:t>
      </w:r>
      <w:proofErr w:type="spellEnd"/>
      <w:proofErr w:type="gramEnd"/>
      <w:r>
        <w:t xml:space="preserve"> will have general oversight of the process of implementing the multi-jurisdictional recommendations and suggestions. However, day-to-day oversight of the process will be delegated to the Radiation Health Expert Reference Panel, which operates under terms of reference developed by the Commonwealth Department of Health. The Panel will meet as required under the chairmanship of the chair of </w:t>
      </w:r>
      <w:proofErr w:type="spellStart"/>
      <w:r>
        <w:t>enHealth</w:t>
      </w:r>
      <w:proofErr w:type="spellEnd"/>
      <w:r>
        <w:t xml:space="preserve"> and consist of representatives from each jurisdiction. The representatives will be experts in radiation protection regulation. </w:t>
      </w:r>
    </w:p>
    <w:p w14:paraId="7E16EE62" w14:textId="27DAD208" w:rsidR="00D26C74" w:rsidRDefault="00D26C74" w:rsidP="00D26C74">
      <w:proofErr w:type="spellStart"/>
      <w:proofErr w:type="gramStart"/>
      <w:r>
        <w:t>enHealth</w:t>
      </w:r>
      <w:proofErr w:type="spellEnd"/>
      <w:proofErr w:type="gramEnd"/>
      <w:r>
        <w:t xml:space="preserve"> will develop specific work programs to address each of the findings from the IRRS report. These work programs will ensure that existing work under the Radiation Health Committee and other groups, plus any new initiatives are progressed consistently and with adequate resources. </w:t>
      </w:r>
      <w:proofErr w:type="spellStart"/>
      <w:proofErr w:type="gramStart"/>
      <w:r>
        <w:t>enHealth</w:t>
      </w:r>
      <w:proofErr w:type="spellEnd"/>
      <w:proofErr w:type="gramEnd"/>
      <w:r>
        <w:t xml:space="preserve"> will also progress development of a national strategy for radiation protection, which not only addresses a specific recommendation from the </w:t>
      </w:r>
      <w:r w:rsidR="00025ED3">
        <w:t>IRRS but</w:t>
      </w:r>
      <w:r>
        <w:t xml:space="preserve"> will be the basis for pursuing consistency in application of radiation protection across the jurisdictions. The work programs will be used to generate progress reports against this action plan. </w:t>
      </w:r>
    </w:p>
    <w:p w14:paraId="50C417B7" w14:textId="77777777" w:rsidR="00D26C74" w:rsidRDefault="00D26C74" w:rsidP="00D26C74">
      <w:pPr>
        <w:keepNext/>
        <w:keepLines/>
        <w:spacing w:before="200"/>
        <w:outlineLvl w:val="1"/>
        <w:rPr>
          <w:rFonts w:ascii="Century Gothic" w:eastAsia="Times New Roman" w:hAnsi="Century Gothic"/>
          <w:b/>
          <w:bCs/>
          <w:color w:val="4F81BD"/>
          <w:szCs w:val="26"/>
        </w:rPr>
      </w:pPr>
      <w:bookmarkStart w:id="15" w:name="_Toc55828275"/>
      <w:r>
        <w:rPr>
          <w:rFonts w:ascii="Century Gothic" w:eastAsia="Times New Roman" w:hAnsi="Century Gothic"/>
          <w:b/>
          <w:bCs/>
          <w:color w:val="4F81BD"/>
          <w:szCs w:val="26"/>
        </w:rPr>
        <w:t>3.3 Actions for ARPANSA</w:t>
      </w:r>
      <w:bookmarkEnd w:id="15"/>
    </w:p>
    <w:p w14:paraId="0DCEB9E6" w14:textId="77777777" w:rsidR="00D26C74" w:rsidRDefault="00D26C74" w:rsidP="00D26C74">
      <w:r>
        <w:t xml:space="preserve">The actions for ARPANSA are able to be implemented by ARPANSA. </w:t>
      </w:r>
      <w:proofErr w:type="spellStart"/>
      <w:proofErr w:type="gramStart"/>
      <w:r>
        <w:t>enHealth</w:t>
      </w:r>
      <w:proofErr w:type="spellEnd"/>
      <w:proofErr w:type="gramEnd"/>
      <w:r>
        <w:t xml:space="preserve"> and the Radiation Health Committee will be informed of actions and progress, and as necessary consulted. ARPANSA has developed a governance structure to document progress of implementation. The progress against each recommendation and suggestion is reported to ARPANSA’s Executive Group every six months. </w:t>
      </w:r>
    </w:p>
    <w:p w14:paraId="4EBE6E0B" w14:textId="77777777" w:rsidR="00D26C74" w:rsidRDefault="00D26C74" w:rsidP="00FF23F5">
      <w:pPr>
        <w:keepNext/>
        <w:keepLines/>
        <w:numPr>
          <w:ilvl w:val="0"/>
          <w:numId w:val="5"/>
        </w:numPr>
        <w:spacing w:before="480"/>
        <w:outlineLvl w:val="0"/>
        <w:rPr>
          <w:rFonts w:ascii="Century Gothic" w:eastAsia="Times New Roman" w:hAnsi="Century Gothic"/>
          <w:b/>
          <w:bCs/>
          <w:color w:val="0070C0"/>
          <w:sz w:val="28"/>
          <w:szCs w:val="28"/>
        </w:rPr>
      </w:pPr>
      <w:bookmarkStart w:id="16" w:name="_Toc55828276"/>
      <w:r>
        <w:rPr>
          <w:rFonts w:ascii="Century Gothic" w:eastAsia="Times New Roman" w:hAnsi="Century Gothic"/>
          <w:b/>
          <w:bCs/>
          <w:color w:val="0070C0"/>
          <w:sz w:val="28"/>
          <w:szCs w:val="28"/>
        </w:rPr>
        <w:lastRenderedPageBreak/>
        <w:t>Preparations for the follow-up IRRS mission</w:t>
      </w:r>
      <w:bookmarkEnd w:id="16"/>
    </w:p>
    <w:p w14:paraId="7A906C64" w14:textId="77777777" w:rsidR="00D26C74" w:rsidRDefault="00D26C74" w:rsidP="00D26C74">
      <w:r>
        <w:t>Australia will seek to host a follow-up IRRS mission in early 2022. The follow-up mission will be coordinated by the IAEA and will review Australia’s progress in response to the initial IRRS mission recommendations and suggestions.</w:t>
      </w:r>
    </w:p>
    <w:p w14:paraId="03BA296B" w14:textId="1FB3A868" w:rsidR="00D26C74" w:rsidRDefault="00D26C74" w:rsidP="00597D67">
      <w:pPr>
        <w:spacing w:after="0" w:line="240" w:lineRule="auto"/>
      </w:pPr>
      <w:r>
        <w:t>This national action plan will assist in providing the basis for the Advance Reference Material for the follow-up mission– the main source of information that outlines Australia’s progress on implementing the outcomes of the initial mission. All jurisdictions have agreed to partic</w:t>
      </w:r>
      <w:r w:rsidR="00597D67">
        <w:t>ipate in the follow-up mission.</w:t>
      </w:r>
    </w:p>
    <w:p w14:paraId="6E216CE0" w14:textId="77777777" w:rsidR="00D26C74" w:rsidRPr="00D26C74" w:rsidRDefault="00D26C74" w:rsidP="00D26C74"/>
    <w:p w14:paraId="77AAA375" w14:textId="64CCBD71" w:rsidR="002E72C6" w:rsidRDefault="002E72C6" w:rsidP="00554B8E">
      <w:pPr>
        <w:sectPr w:rsidR="002E72C6" w:rsidSect="00275079">
          <w:footerReference w:type="default" r:id="rId14"/>
          <w:headerReference w:type="first" r:id="rId15"/>
          <w:type w:val="oddPage"/>
          <w:pgSz w:w="11906" w:h="16838" w:code="9"/>
          <w:pgMar w:top="1134" w:right="1134" w:bottom="1134" w:left="1134" w:header="567" w:footer="397" w:gutter="0"/>
          <w:cols w:space="708"/>
          <w:docGrid w:linePitch="360"/>
        </w:sectPr>
      </w:pPr>
      <w:bookmarkStart w:id="17" w:name="_Toc425775916"/>
      <w:bookmarkStart w:id="18" w:name="_Toc426039346"/>
    </w:p>
    <w:p w14:paraId="2DC5DD7C" w14:textId="3C770668" w:rsidR="00B261C3" w:rsidRPr="00B261C3" w:rsidRDefault="00B07C56" w:rsidP="00CA438A">
      <w:pPr>
        <w:pStyle w:val="Heading1"/>
      </w:pPr>
      <w:bookmarkStart w:id="19" w:name="_Toc12344148"/>
      <w:bookmarkStart w:id="20" w:name="_Toc23428340"/>
      <w:bookmarkStart w:id="21" w:name="_Toc55828277"/>
      <w:bookmarkStart w:id="22" w:name="_Toc511922227"/>
      <w:bookmarkEnd w:id="17"/>
      <w:bookmarkEnd w:id="18"/>
      <w:r>
        <w:lastRenderedPageBreak/>
        <w:t>A</w:t>
      </w:r>
      <w:r w:rsidR="00070833" w:rsidRPr="00581CF4">
        <w:t>ppendi</w:t>
      </w:r>
      <w:r w:rsidR="00070833">
        <w:t>x</w:t>
      </w:r>
      <w:r w:rsidR="00A309E1">
        <w:t>: Planning Matrix</w:t>
      </w:r>
      <w:bookmarkEnd w:id="19"/>
      <w:bookmarkEnd w:id="20"/>
      <w:bookmarkEnd w:id="21"/>
    </w:p>
    <w:p w14:paraId="0CA63376" w14:textId="6DD3E53F" w:rsidR="00C53182" w:rsidRPr="005262FD" w:rsidRDefault="00874CD5" w:rsidP="00074CC1">
      <w:pPr>
        <w:pStyle w:val="Heading2"/>
      </w:pPr>
      <w:bookmarkStart w:id="23" w:name="_Toc12344149"/>
      <w:bookmarkStart w:id="24" w:name="_Toc23428341"/>
      <w:bookmarkStart w:id="25" w:name="_Toc55828278"/>
      <w:r>
        <w:t>Findings addressed to the Commonwealth Government</w:t>
      </w:r>
      <w:bookmarkEnd w:id="23"/>
      <w:bookmarkEnd w:id="24"/>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525"/>
        <w:gridCol w:w="1969"/>
        <w:gridCol w:w="2167"/>
        <w:gridCol w:w="5052"/>
      </w:tblGrid>
      <w:tr w:rsidR="00AB7F97" w:rsidRPr="008E4BAB" w14:paraId="3D8782FD" w14:textId="77777777" w:rsidTr="007C5E7E">
        <w:trPr>
          <w:trHeight w:val="264"/>
          <w:tblHeader/>
          <w:jc w:val="center"/>
        </w:trPr>
        <w:tc>
          <w:tcPr>
            <w:tcW w:w="291" w:type="pct"/>
            <w:tcBorders>
              <w:right w:val="single" w:sz="4" w:space="0" w:color="FFFFFF" w:themeColor="background1"/>
            </w:tcBorders>
            <w:shd w:val="clear" w:color="auto" w:fill="0070C0"/>
            <w:vAlign w:val="center"/>
            <w:hideMark/>
          </w:tcPr>
          <w:bookmarkEnd w:id="22"/>
          <w:p w14:paraId="12CBE3A4" w14:textId="77777777" w:rsidR="00AB7F97" w:rsidRPr="00630FCD" w:rsidRDefault="00AB7F97" w:rsidP="00E01DB5">
            <w:pPr>
              <w:spacing w:before="120" w:after="120"/>
              <w:jc w:val="center"/>
              <w:rPr>
                <w:b/>
                <w:color w:val="FFFFFF" w:themeColor="background1"/>
                <w:lang w:eastAsia="en-AU"/>
              </w:rPr>
            </w:pPr>
            <w:r w:rsidRPr="00630FCD">
              <w:rPr>
                <w:b/>
                <w:color w:val="FFFFFF" w:themeColor="background1"/>
                <w:lang w:eastAsia="en-AU"/>
              </w:rPr>
              <w:t>No.</w:t>
            </w:r>
          </w:p>
        </w:tc>
        <w:tc>
          <w:tcPr>
            <w:tcW w:w="1554" w:type="pct"/>
            <w:tcBorders>
              <w:left w:val="single" w:sz="4" w:space="0" w:color="FFFFFF" w:themeColor="background1"/>
              <w:right w:val="single" w:sz="4" w:space="0" w:color="FFFFFF" w:themeColor="background1"/>
            </w:tcBorders>
            <w:shd w:val="clear" w:color="auto" w:fill="0070C0"/>
            <w:vAlign w:val="center"/>
            <w:hideMark/>
          </w:tcPr>
          <w:p w14:paraId="32E8BC1B" w14:textId="77777777" w:rsidR="00AB7F97" w:rsidRPr="00630FCD" w:rsidRDefault="00AB7F97" w:rsidP="00E01DB5">
            <w:pPr>
              <w:spacing w:before="120" w:after="120"/>
              <w:jc w:val="center"/>
              <w:rPr>
                <w:b/>
                <w:color w:val="FFFFFF" w:themeColor="background1"/>
                <w:lang w:eastAsia="en-AU"/>
              </w:rPr>
            </w:pPr>
            <w:r w:rsidRPr="00630FCD">
              <w:rPr>
                <w:b/>
                <w:color w:val="FFFFFF" w:themeColor="background1"/>
                <w:lang w:eastAsia="en-AU"/>
              </w:rPr>
              <w:t>Recommendations</w:t>
            </w:r>
          </w:p>
        </w:tc>
        <w:tc>
          <w:tcPr>
            <w:tcW w:w="676" w:type="pct"/>
            <w:tcBorders>
              <w:left w:val="single" w:sz="4" w:space="0" w:color="FFFFFF" w:themeColor="background1"/>
              <w:right w:val="single" w:sz="4" w:space="0" w:color="FFFFFF" w:themeColor="background1"/>
            </w:tcBorders>
            <w:shd w:val="clear" w:color="auto" w:fill="0070C0"/>
            <w:vAlign w:val="center"/>
            <w:hideMark/>
          </w:tcPr>
          <w:p w14:paraId="2585341F" w14:textId="22C1E547" w:rsidR="00AB7F97" w:rsidRPr="00630FCD" w:rsidRDefault="00AB7F97" w:rsidP="00E01DB5">
            <w:pPr>
              <w:spacing w:before="120" w:after="120"/>
              <w:jc w:val="center"/>
              <w:rPr>
                <w:b/>
                <w:color w:val="FFFFFF" w:themeColor="background1"/>
                <w:lang w:eastAsia="en-AU"/>
              </w:rPr>
            </w:pPr>
            <w:r w:rsidRPr="00630FCD">
              <w:rPr>
                <w:b/>
                <w:color w:val="FFFFFF" w:themeColor="background1"/>
                <w:lang w:eastAsia="en-AU"/>
              </w:rPr>
              <w:t>Lead agency</w:t>
            </w:r>
          </w:p>
        </w:tc>
        <w:tc>
          <w:tcPr>
            <w:tcW w:w="744" w:type="pct"/>
            <w:tcBorders>
              <w:left w:val="single" w:sz="4" w:space="0" w:color="FFFFFF" w:themeColor="background1"/>
              <w:right w:val="single" w:sz="4" w:space="0" w:color="FFFFFF" w:themeColor="background1"/>
            </w:tcBorders>
            <w:shd w:val="clear" w:color="auto" w:fill="0070C0"/>
            <w:vAlign w:val="center"/>
          </w:tcPr>
          <w:p w14:paraId="5B7BD4A2" w14:textId="085EF303" w:rsidR="00AB7F97" w:rsidRPr="00630FCD" w:rsidRDefault="00AB7F97" w:rsidP="00E01DB5">
            <w:pPr>
              <w:spacing w:before="120" w:after="120"/>
              <w:jc w:val="center"/>
              <w:rPr>
                <w:b/>
                <w:color w:val="FFFFFF" w:themeColor="background1"/>
                <w:lang w:eastAsia="en-AU"/>
              </w:rPr>
            </w:pPr>
            <w:r w:rsidRPr="00630FCD">
              <w:rPr>
                <w:b/>
                <w:color w:val="FFFFFF" w:themeColor="background1"/>
                <w:lang w:eastAsia="en-AU"/>
              </w:rPr>
              <w:t>Key Stakeholders</w:t>
            </w:r>
          </w:p>
        </w:tc>
        <w:tc>
          <w:tcPr>
            <w:tcW w:w="1735" w:type="pct"/>
            <w:tcBorders>
              <w:left w:val="single" w:sz="4" w:space="0" w:color="FFFFFF" w:themeColor="background1"/>
              <w:right w:val="single" w:sz="4" w:space="0" w:color="auto"/>
            </w:tcBorders>
            <w:shd w:val="clear" w:color="auto" w:fill="0070C0"/>
          </w:tcPr>
          <w:p w14:paraId="1A1A7587" w14:textId="32700D7C" w:rsidR="00AB7F97" w:rsidRPr="00630FCD" w:rsidRDefault="00AB7F97" w:rsidP="00E01DB5">
            <w:pPr>
              <w:spacing w:before="120" w:after="120"/>
              <w:jc w:val="center"/>
              <w:rPr>
                <w:b/>
                <w:color w:val="FFFFFF" w:themeColor="background1"/>
                <w:lang w:eastAsia="en-AU"/>
              </w:rPr>
            </w:pPr>
            <w:r>
              <w:rPr>
                <w:b/>
                <w:color w:val="FFFFFF" w:themeColor="background1"/>
                <w:lang w:eastAsia="en-AU"/>
              </w:rPr>
              <w:t>Proposed Actions</w:t>
            </w:r>
          </w:p>
        </w:tc>
      </w:tr>
      <w:tr w:rsidR="00AB7F97" w:rsidRPr="008E4BAB" w14:paraId="0928B17D" w14:textId="77777777" w:rsidTr="00BF6E3A">
        <w:trPr>
          <w:trHeight w:val="1198"/>
          <w:jc w:val="center"/>
        </w:trPr>
        <w:tc>
          <w:tcPr>
            <w:tcW w:w="291" w:type="pct"/>
            <w:shd w:val="clear" w:color="auto" w:fill="auto"/>
            <w:hideMark/>
          </w:tcPr>
          <w:p w14:paraId="5C44F36E" w14:textId="33D7C1FA" w:rsidR="00AB7F97" w:rsidRPr="008E4BAB" w:rsidRDefault="00AB7F97" w:rsidP="00E01DB5">
            <w:pPr>
              <w:spacing w:before="120" w:after="120"/>
              <w:jc w:val="center"/>
              <w:rPr>
                <w:color w:val="000000"/>
                <w:lang w:eastAsia="en-AU"/>
              </w:rPr>
            </w:pPr>
            <w:r>
              <w:rPr>
                <w:color w:val="000000"/>
                <w:lang w:eastAsia="en-AU"/>
              </w:rPr>
              <w:t>R2</w:t>
            </w:r>
          </w:p>
        </w:tc>
        <w:tc>
          <w:tcPr>
            <w:tcW w:w="1554" w:type="pct"/>
            <w:shd w:val="clear" w:color="auto" w:fill="auto"/>
            <w:hideMark/>
          </w:tcPr>
          <w:p w14:paraId="5C3BBAB2" w14:textId="36CEF976" w:rsidR="00AB7F97" w:rsidRPr="008E4BAB" w:rsidRDefault="00AB7F97" w:rsidP="00E01DB5">
            <w:pPr>
              <w:spacing w:before="120" w:after="120"/>
              <w:jc w:val="center"/>
              <w:rPr>
                <w:color w:val="000000"/>
                <w:lang w:eastAsia="en-AU"/>
              </w:rPr>
            </w:pPr>
            <w:r w:rsidRPr="00874CD5">
              <w:rPr>
                <w:color w:val="000000"/>
                <w:lang w:eastAsia="en-AU"/>
              </w:rPr>
              <w:t>The Commonwealth Government should establish and implement a strategy to give effect to the policy principles and goals in the Australian Radioac</w:t>
            </w:r>
            <w:r>
              <w:rPr>
                <w:color w:val="000000"/>
                <w:lang w:eastAsia="en-AU"/>
              </w:rPr>
              <w:t>tive Waste Management Framework</w:t>
            </w:r>
            <w:r w:rsidRPr="008E4BAB">
              <w:rPr>
                <w:color w:val="000000"/>
                <w:lang w:eastAsia="en-AU"/>
              </w:rPr>
              <w:t>.</w:t>
            </w:r>
          </w:p>
        </w:tc>
        <w:tc>
          <w:tcPr>
            <w:tcW w:w="676" w:type="pct"/>
            <w:shd w:val="clear" w:color="auto" w:fill="auto"/>
            <w:hideMark/>
          </w:tcPr>
          <w:p w14:paraId="7A76228A" w14:textId="62BF347C" w:rsidR="00AB7F97" w:rsidRPr="008E4BAB" w:rsidRDefault="00AB7F97" w:rsidP="00CF7A8D">
            <w:pPr>
              <w:spacing w:before="120" w:after="120"/>
              <w:jc w:val="center"/>
              <w:rPr>
                <w:color w:val="000000"/>
                <w:lang w:eastAsia="en-AU"/>
              </w:rPr>
            </w:pPr>
            <w:r>
              <w:rPr>
                <w:color w:val="000000"/>
                <w:lang w:eastAsia="en-AU"/>
              </w:rPr>
              <w:t xml:space="preserve">Department of Industry, Science, Energy and Resources (DISER) </w:t>
            </w:r>
          </w:p>
        </w:tc>
        <w:tc>
          <w:tcPr>
            <w:tcW w:w="744" w:type="pct"/>
          </w:tcPr>
          <w:p w14:paraId="66D963B2" w14:textId="4434442E" w:rsidR="00AB7F97" w:rsidRDefault="00AB7F97" w:rsidP="00E01DB5">
            <w:pPr>
              <w:spacing w:before="120" w:after="120"/>
              <w:jc w:val="center"/>
              <w:rPr>
                <w:color w:val="000000"/>
                <w:lang w:eastAsia="en-AU"/>
              </w:rPr>
            </w:pPr>
            <w:r>
              <w:rPr>
                <w:color w:val="000000"/>
                <w:lang w:eastAsia="en-AU"/>
              </w:rPr>
              <w:t>ANSTO, ARPANSA</w:t>
            </w:r>
          </w:p>
        </w:tc>
        <w:tc>
          <w:tcPr>
            <w:tcW w:w="1735" w:type="pct"/>
            <w:shd w:val="clear" w:color="auto" w:fill="auto"/>
          </w:tcPr>
          <w:p w14:paraId="6D4B93D5" w14:textId="77777777" w:rsidR="00AB7F97" w:rsidRPr="00BF6E3A" w:rsidRDefault="00AB7F97" w:rsidP="00FF23F5">
            <w:pPr>
              <w:pStyle w:val="ListParagraph"/>
              <w:numPr>
                <w:ilvl w:val="0"/>
                <w:numId w:val="20"/>
              </w:numPr>
              <w:spacing w:before="120" w:after="120"/>
              <w:rPr>
                <w:color w:val="000000"/>
                <w:lang w:eastAsia="en-AU"/>
              </w:rPr>
            </w:pPr>
            <w:r w:rsidRPr="00BF6E3A">
              <w:rPr>
                <w:color w:val="000000"/>
                <w:lang w:eastAsia="en-AU"/>
              </w:rPr>
              <w:t>DISER will establish a dedicated agency which will be responsible for the establishment of the National Radioactive Waste Management Facility (the Australian Radioactive Waste Agency – ARWA)</w:t>
            </w:r>
          </w:p>
          <w:p w14:paraId="2CB745CC" w14:textId="288AC8B2" w:rsidR="00AB7F97" w:rsidRPr="00BF6E3A" w:rsidRDefault="00AB7F97" w:rsidP="00FF23F5">
            <w:pPr>
              <w:pStyle w:val="ListParagraph"/>
              <w:numPr>
                <w:ilvl w:val="0"/>
                <w:numId w:val="20"/>
              </w:numPr>
              <w:spacing w:before="120" w:after="120"/>
              <w:rPr>
                <w:color w:val="000000"/>
                <w:lang w:eastAsia="en-AU"/>
              </w:rPr>
            </w:pPr>
            <w:r w:rsidRPr="00BF6E3A">
              <w:rPr>
                <w:color w:val="000000"/>
                <w:lang w:eastAsia="en-AU"/>
              </w:rPr>
              <w:t>ARWA will be responsible for implementing a strategy to give effect to the policy principles and goals in the Australian Radioactive Waste Management Framework.</w:t>
            </w:r>
          </w:p>
        </w:tc>
      </w:tr>
      <w:tr w:rsidR="00AB7F97" w:rsidRPr="008E4BAB" w14:paraId="43E9AC88" w14:textId="77777777" w:rsidTr="00BF6E3A">
        <w:trPr>
          <w:trHeight w:val="1099"/>
          <w:jc w:val="center"/>
        </w:trPr>
        <w:tc>
          <w:tcPr>
            <w:tcW w:w="291" w:type="pct"/>
            <w:shd w:val="clear" w:color="auto" w:fill="auto"/>
            <w:hideMark/>
          </w:tcPr>
          <w:p w14:paraId="6D09088E" w14:textId="65CFED34" w:rsidR="00AB7F97" w:rsidRPr="008E4BAB" w:rsidRDefault="00AB7F97" w:rsidP="00E01DB5">
            <w:pPr>
              <w:spacing w:before="120" w:after="120"/>
              <w:jc w:val="center"/>
              <w:rPr>
                <w:color w:val="000000"/>
                <w:lang w:eastAsia="en-AU"/>
              </w:rPr>
            </w:pPr>
            <w:r>
              <w:rPr>
                <w:color w:val="000000"/>
                <w:lang w:eastAsia="en-AU"/>
              </w:rPr>
              <w:t>R3</w:t>
            </w:r>
          </w:p>
        </w:tc>
        <w:tc>
          <w:tcPr>
            <w:tcW w:w="1554" w:type="pct"/>
            <w:shd w:val="clear" w:color="auto" w:fill="auto"/>
            <w:hideMark/>
          </w:tcPr>
          <w:p w14:paraId="0E9A1305" w14:textId="18C63173" w:rsidR="00AB7F97" w:rsidRPr="008E4BAB" w:rsidRDefault="00AB7F97" w:rsidP="00E01DB5">
            <w:pPr>
              <w:spacing w:before="120" w:after="120"/>
              <w:jc w:val="center"/>
              <w:rPr>
                <w:color w:val="000000"/>
                <w:lang w:eastAsia="en-AU"/>
              </w:rPr>
            </w:pPr>
            <w:r w:rsidRPr="00874CD5">
              <w:rPr>
                <w:color w:val="000000"/>
                <w:lang w:eastAsia="en-AU"/>
              </w:rPr>
              <w:t>The Commonwealth Government should establish a national policy and strategy for decommissioning of facilities</w:t>
            </w:r>
            <w:r w:rsidRPr="008E4BAB">
              <w:rPr>
                <w:color w:val="000000"/>
                <w:lang w:eastAsia="en-AU"/>
              </w:rPr>
              <w:t>.</w:t>
            </w:r>
          </w:p>
        </w:tc>
        <w:tc>
          <w:tcPr>
            <w:tcW w:w="676" w:type="pct"/>
            <w:shd w:val="clear" w:color="auto" w:fill="auto"/>
            <w:hideMark/>
          </w:tcPr>
          <w:p w14:paraId="47D85BCA" w14:textId="441F8656" w:rsidR="00AB7F97" w:rsidRPr="008E4BAB" w:rsidRDefault="00AB7F97" w:rsidP="00CF7A8D">
            <w:pPr>
              <w:spacing w:before="120" w:after="120"/>
              <w:jc w:val="center"/>
              <w:rPr>
                <w:color w:val="000000"/>
                <w:lang w:eastAsia="en-AU"/>
              </w:rPr>
            </w:pPr>
            <w:r>
              <w:rPr>
                <w:color w:val="000000"/>
                <w:lang w:eastAsia="en-AU"/>
              </w:rPr>
              <w:t>DISER</w:t>
            </w:r>
          </w:p>
        </w:tc>
        <w:tc>
          <w:tcPr>
            <w:tcW w:w="744" w:type="pct"/>
          </w:tcPr>
          <w:p w14:paraId="72CC4808" w14:textId="0F2CC55E" w:rsidR="00AB7F97" w:rsidRDefault="00AB7F97" w:rsidP="00E01DB5">
            <w:pPr>
              <w:spacing w:before="120" w:after="120"/>
              <w:jc w:val="center"/>
              <w:rPr>
                <w:color w:val="000000"/>
                <w:lang w:eastAsia="en-AU"/>
              </w:rPr>
            </w:pPr>
            <w:r>
              <w:rPr>
                <w:color w:val="000000"/>
                <w:lang w:eastAsia="en-AU"/>
              </w:rPr>
              <w:t>ANSTO, ARPANSA</w:t>
            </w:r>
          </w:p>
        </w:tc>
        <w:tc>
          <w:tcPr>
            <w:tcW w:w="1735" w:type="pct"/>
            <w:shd w:val="clear" w:color="auto" w:fill="auto"/>
          </w:tcPr>
          <w:p w14:paraId="50DD45E1" w14:textId="7DE30A98" w:rsidR="00AB7F97" w:rsidRPr="00BF6E3A" w:rsidRDefault="00AB7F97" w:rsidP="00FF23F5">
            <w:pPr>
              <w:pStyle w:val="ListParagraph"/>
              <w:numPr>
                <w:ilvl w:val="0"/>
                <w:numId w:val="21"/>
              </w:numPr>
              <w:spacing w:before="120" w:after="120"/>
              <w:rPr>
                <w:color w:val="000000"/>
                <w:lang w:eastAsia="en-AU"/>
              </w:rPr>
            </w:pPr>
            <w:r w:rsidRPr="00BF6E3A">
              <w:rPr>
                <w:color w:val="000000"/>
                <w:lang w:eastAsia="en-AU"/>
              </w:rPr>
              <w:t>The Australian Radioactive Waste Agency (ARWA) will be responsible for establishing a national policy and strategy for decommissioning of facilities.</w:t>
            </w:r>
          </w:p>
        </w:tc>
      </w:tr>
    </w:tbl>
    <w:p w14:paraId="394C6CF4" w14:textId="5BFFFB95" w:rsidR="007335BB" w:rsidRPr="005262FD" w:rsidRDefault="007335BB" w:rsidP="00B07C56">
      <w:pPr>
        <w:rPr>
          <w:rFonts w:ascii="Garamond" w:hAnsi="Garamond"/>
        </w:rPr>
      </w:pPr>
    </w:p>
    <w:p w14:paraId="7CF25A38" w14:textId="4EE50AC0" w:rsidR="00824E9C" w:rsidRPr="005262FD" w:rsidRDefault="00EE54C7" w:rsidP="00CE2FE6">
      <w:pPr>
        <w:pStyle w:val="Heading2"/>
      </w:pPr>
      <w:bookmarkStart w:id="26" w:name="_Toc12344150"/>
      <w:bookmarkStart w:id="27" w:name="_Toc23428342"/>
      <w:bookmarkStart w:id="28" w:name="_Toc55828279"/>
      <w:r w:rsidRPr="00EE54C7">
        <w:t xml:space="preserve">Findings </w:t>
      </w:r>
      <w:r w:rsidR="004433D7">
        <w:t>a</w:t>
      </w:r>
      <w:r w:rsidR="004433D7" w:rsidRPr="00EE54C7">
        <w:t xml:space="preserve">ddressed </w:t>
      </w:r>
      <w:r w:rsidRPr="00EE54C7">
        <w:t>to the Commonwealth Government, in conjunction with States/Territory Governments (or to ‘the Governments’)</w:t>
      </w:r>
      <w:bookmarkEnd w:id="26"/>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543"/>
        <w:gridCol w:w="1977"/>
        <w:gridCol w:w="2158"/>
        <w:gridCol w:w="5035"/>
      </w:tblGrid>
      <w:tr w:rsidR="00AB7F97" w:rsidRPr="008E4BAB" w14:paraId="0BA3C071" w14:textId="77777777" w:rsidTr="007C5E7E">
        <w:trPr>
          <w:trHeight w:val="381"/>
          <w:tblHeader/>
          <w:jc w:val="center"/>
        </w:trPr>
        <w:tc>
          <w:tcPr>
            <w:tcW w:w="291" w:type="pct"/>
            <w:tcBorders>
              <w:right w:val="single" w:sz="4" w:space="0" w:color="FFFFFF" w:themeColor="background1"/>
            </w:tcBorders>
            <w:shd w:val="clear" w:color="auto" w:fill="0070C0"/>
            <w:vAlign w:val="center"/>
          </w:tcPr>
          <w:p w14:paraId="1A4F4C85" w14:textId="77777777" w:rsidR="00AB7F97" w:rsidRPr="007607B5" w:rsidRDefault="00AB7F97" w:rsidP="00A03B18">
            <w:pPr>
              <w:spacing w:before="120" w:after="120"/>
              <w:jc w:val="center"/>
              <w:rPr>
                <w:b/>
                <w:color w:val="FFFFFF" w:themeColor="background1"/>
                <w:lang w:eastAsia="en-AU"/>
              </w:rPr>
            </w:pPr>
            <w:r w:rsidRPr="007607B5">
              <w:rPr>
                <w:b/>
                <w:color w:val="FFFFFF" w:themeColor="background1"/>
                <w:lang w:eastAsia="en-AU"/>
              </w:rPr>
              <w:t>No.</w:t>
            </w:r>
          </w:p>
        </w:tc>
        <w:tc>
          <w:tcPr>
            <w:tcW w:w="1560" w:type="pct"/>
            <w:tcBorders>
              <w:left w:val="single" w:sz="4" w:space="0" w:color="FFFFFF" w:themeColor="background1"/>
              <w:right w:val="single" w:sz="4" w:space="0" w:color="FFFFFF" w:themeColor="background1"/>
            </w:tcBorders>
            <w:shd w:val="clear" w:color="auto" w:fill="0070C0"/>
            <w:vAlign w:val="center"/>
          </w:tcPr>
          <w:p w14:paraId="6F374F2C" w14:textId="77777777" w:rsidR="00AB7F97" w:rsidRPr="007607B5" w:rsidRDefault="00AB7F97" w:rsidP="00A03B18">
            <w:pPr>
              <w:spacing w:before="120" w:after="120"/>
              <w:jc w:val="center"/>
              <w:rPr>
                <w:b/>
                <w:color w:val="FFFFFF" w:themeColor="background1"/>
                <w:lang w:eastAsia="en-AU"/>
              </w:rPr>
            </w:pPr>
            <w:r w:rsidRPr="007607B5">
              <w:rPr>
                <w:b/>
                <w:color w:val="FFFFFF" w:themeColor="background1"/>
                <w:lang w:eastAsia="en-AU"/>
              </w:rPr>
              <w:t>Recommendations</w:t>
            </w:r>
          </w:p>
        </w:tc>
        <w:tc>
          <w:tcPr>
            <w:tcW w:w="679" w:type="pct"/>
            <w:tcBorders>
              <w:left w:val="single" w:sz="4" w:space="0" w:color="FFFFFF" w:themeColor="background1"/>
              <w:right w:val="single" w:sz="4" w:space="0" w:color="FFFFFF" w:themeColor="background1"/>
            </w:tcBorders>
            <w:shd w:val="clear" w:color="auto" w:fill="0070C0"/>
            <w:vAlign w:val="center"/>
          </w:tcPr>
          <w:p w14:paraId="37E5486A" w14:textId="5B6C4EDD" w:rsidR="00AB7F97" w:rsidRPr="007607B5" w:rsidRDefault="00AB7F97" w:rsidP="00A03B18">
            <w:pPr>
              <w:spacing w:before="120" w:after="120"/>
              <w:jc w:val="center"/>
              <w:rPr>
                <w:b/>
                <w:color w:val="FFFFFF" w:themeColor="background1"/>
                <w:lang w:eastAsia="en-AU"/>
              </w:rPr>
            </w:pPr>
            <w:r w:rsidRPr="007607B5">
              <w:rPr>
                <w:b/>
                <w:color w:val="FFFFFF" w:themeColor="background1"/>
                <w:lang w:eastAsia="en-AU"/>
              </w:rPr>
              <w:t>Responsible committee</w:t>
            </w:r>
          </w:p>
        </w:tc>
        <w:tc>
          <w:tcPr>
            <w:tcW w:w="741" w:type="pct"/>
            <w:tcBorders>
              <w:left w:val="single" w:sz="4" w:space="0" w:color="FFFFFF" w:themeColor="background1"/>
              <w:right w:val="single" w:sz="4" w:space="0" w:color="FFFFFF" w:themeColor="background1"/>
            </w:tcBorders>
            <w:shd w:val="clear" w:color="auto" w:fill="0070C0"/>
            <w:vAlign w:val="center"/>
          </w:tcPr>
          <w:p w14:paraId="4844C368" w14:textId="44440A44" w:rsidR="00AB7F97" w:rsidRPr="007607B5" w:rsidRDefault="00AB7F97" w:rsidP="00A03B18">
            <w:pPr>
              <w:spacing w:before="120" w:after="120"/>
              <w:jc w:val="center"/>
              <w:rPr>
                <w:b/>
                <w:color w:val="FFFFFF" w:themeColor="background1"/>
                <w:lang w:eastAsia="en-AU"/>
              </w:rPr>
            </w:pPr>
            <w:r w:rsidRPr="007607B5">
              <w:rPr>
                <w:b/>
                <w:color w:val="FFFFFF" w:themeColor="background1"/>
                <w:lang w:eastAsia="en-AU"/>
              </w:rPr>
              <w:t>Key Stakeholders</w:t>
            </w:r>
          </w:p>
        </w:tc>
        <w:tc>
          <w:tcPr>
            <w:tcW w:w="1729" w:type="pct"/>
            <w:tcBorders>
              <w:left w:val="single" w:sz="4" w:space="0" w:color="FFFFFF" w:themeColor="background1"/>
              <w:right w:val="single" w:sz="4" w:space="0" w:color="auto"/>
            </w:tcBorders>
            <w:shd w:val="clear" w:color="auto" w:fill="0070C0"/>
            <w:vAlign w:val="center"/>
          </w:tcPr>
          <w:p w14:paraId="3C3309E7" w14:textId="784BB675" w:rsidR="00AB7F97" w:rsidRPr="007607B5" w:rsidRDefault="00AB7F97" w:rsidP="002A22AB">
            <w:pPr>
              <w:spacing w:before="120" w:after="120"/>
              <w:rPr>
                <w:b/>
                <w:color w:val="FFFFFF" w:themeColor="background1"/>
                <w:lang w:eastAsia="en-AU"/>
              </w:rPr>
            </w:pPr>
            <w:r>
              <w:rPr>
                <w:b/>
                <w:color w:val="FFFFFF" w:themeColor="background1"/>
                <w:lang w:eastAsia="en-AU"/>
              </w:rPr>
              <w:t>Proposed Actions</w:t>
            </w:r>
          </w:p>
        </w:tc>
      </w:tr>
      <w:tr w:rsidR="00AB7F97" w:rsidRPr="008E4BAB" w14:paraId="32B45466" w14:textId="77777777" w:rsidTr="003725E0">
        <w:trPr>
          <w:trHeight w:val="1215"/>
          <w:jc w:val="center"/>
        </w:trPr>
        <w:tc>
          <w:tcPr>
            <w:tcW w:w="291" w:type="pct"/>
            <w:shd w:val="clear" w:color="auto" w:fill="auto"/>
            <w:hideMark/>
          </w:tcPr>
          <w:p w14:paraId="241A593D" w14:textId="6F853C9B" w:rsidR="00AB7F97" w:rsidRPr="008E4BAB" w:rsidRDefault="00AB7F97" w:rsidP="00610904">
            <w:pPr>
              <w:spacing w:before="120" w:after="120"/>
              <w:jc w:val="center"/>
              <w:rPr>
                <w:color w:val="000000"/>
                <w:lang w:eastAsia="en-AU"/>
              </w:rPr>
            </w:pPr>
            <w:r>
              <w:rPr>
                <w:color w:val="000000"/>
                <w:lang w:eastAsia="en-AU"/>
              </w:rPr>
              <w:t>R1</w:t>
            </w:r>
          </w:p>
        </w:tc>
        <w:tc>
          <w:tcPr>
            <w:tcW w:w="1560" w:type="pct"/>
            <w:shd w:val="clear" w:color="auto" w:fill="auto"/>
            <w:hideMark/>
          </w:tcPr>
          <w:p w14:paraId="21DE36C1" w14:textId="1D44BB59" w:rsidR="00AB7F97" w:rsidRPr="008E4BAB" w:rsidRDefault="00AB7F97" w:rsidP="004433D7">
            <w:pPr>
              <w:spacing w:before="120" w:after="120"/>
              <w:jc w:val="center"/>
              <w:rPr>
                <w:color w:val="000000"/>
                <w:lang w:eastAsia="en-AU"/>
              </w:rPr>
            </w:pPr>
            <w:r w:rsidRPr="00EE54C7">
              <w:rPr>
                <w:color w:val="000000"/>
                <w:lang w:eastAsia="en-AU"/>
              </w:rPr>
              <w:t xml:space="preserve">The Commonwealth Government, in conjunction with </w:t>
            </w:r>
            <w:r>
              <w:rPr>
                <w:color w:val="000000"/>
                <w:lang w:eastAsia="en-AU"/>
              </w:rPr>
              <w:t>s</w:t>
            </w:r>
            <w:r w:rsidRPr="00EE54C7">
              <w:rPr>
                <w:color w:val="000000"/>
                <w:lang w:eastAsia="en-AU"/>
              </w:rPr>
              <w:t xml:space="preserve">tate and </w:t>
            </w:r>
            <w:r>
              <w:rPr>
                <w:color w:val="000000"/>
                <w:lang w:eastAsia="en-AU"/>
              </w:rPr>
              <w:t>t</w:t>
            </w:r>
            <w:r w:rsidRPr="00EE54C7">
              <w:rPr>
                <w:color w:val="000000"/>
                <w:lang w:eastAsia="en-AU"/>
              </w:rPr>
              <w:t>erritory Governments, should ensure a consistent level of protection of people and the environment through effective coordination and harmonized implementation of codes and guides by the Commonwealth, States, Territories and regulatory bodies.</w:t>
            </w:r>
          </w:p>
        </w:tc>
        <w:tc>
          <w:tcPr>
            <w:tcW w:w="679" w:type="pct"/>
            <w:shd w:val="clear" w:color="auto" w:fill="auto"/>
            <w:hideMark/>
          </w:tcPr>
          <w:p w14:paraId="64E7496D" w14:textId="36ABEC88" w:rsidR="00AB7F97" w:rsidRPr="008E4BAB" w:rsidRDefault="00AB7F97" w:rsidP="00610904">
            <w:pPr>
              <w:spacing w:before="120" w:after="120"/>
              <w:jc w:val="center"/>
              <w:rPr>
                <w:color w:val="000000"/>
                <w:lang w:eastAsia="en-AU"/>
              </w:rPr>
            </w:pPr>
            <w:proofErr w:type="spellStart"/>
            <w:r>
              <w:rPr>
                <w:color w:val="000000"/>
                <w:lang w:eastAsia="en-AU"/>
              </w:rPr>
              <w:t>enHealth</w:t>
            </w:r>
            <w:proofErr w:type="spellEnd"/>
          </w:p>
        </w:tc>
        <w:tc>
          <w:tcPr>
            <w:tcW w:w="741" w:type="pct"/>
          </w:tcPr>
          <w:p w14:paraId="2C544E85" w14:textId="01A47D61" w:rsidR="00AB7F97" w:rsidRPr="008E4BAB" w:rsidRDefault="00AB7F97" w:rsidP="00610904">
            <w:pPr>
              <w:spacing w:before="120" w:after="120"/>
              <w:jc w:val="center"/>
              <w:rPr>
                <w:color w:val="000000"/>
                <w:lang w:eastAsia="en-AU"/>
              </w:rPr>
            </w:pPr>
            <w:r w:rsidRPr="008E4BAB">
              <w:rPr>
                <w:color w:val="000000"/>
                <w:lang w:eastAsia="en-AU"/>
              </w:rPr>
              <w:t>ARPANSA</w:t>
            </w:r>
            <w:r>
              <w:rPr>
                <w:color w:val="000000"/>
                <w:lang w:eastAsia="en-AU"/>
              </w:rPr>
              <w:t>, S/T regulators, Radiation Health Expert Reference Panel</w:t>
            </w:r>
          </w:p>
        </w:tc>
        <w:tc>
          <w:tcPr>
            <w:tcW w:w="1729" w:type="pct"/>
          </w:tcPr>
          <w:p w14:paraId="67183F0C" w14:textId="1F237B7B" w:rsidR="00AB7F97" w:rsidRPr="00BF6E3A" w:rsidRDefault="00AB7F97" w:rsidP="00FF23F5">
            <w:pPr>
              <w:pStyle w:val="ListParagraph"/>
              <w:numPr>
                <w:ilvl w:val="0"/>
                <w:numId w:val="21"/>
              </w:numPr>
              <w:spacing w:before="120" w:after="120"/>
              <w:rPr>
                <w:color w:val="000000"/>
                <w:lang w:eastAsia="en-AU"/>
              </w:rPr>
            </w:pPr>
            <w:r w:rsidRPr="00BF6E3A">
              <w:rPr>
                <w:color w:val="000000"/>
                <w:lang w:eastAsia="en-AU"/>
              </w:rPr>
              <w:t xml:space="preserve">As committed to in response to S1, </w:t>
            </w:r>
            <w:proofErr w:type="spellStart"/>
            <w:r w:rsidRPr="00BF6E3A">
              <w:rPr>
                <w:color w:val="000000"/>
                <w:lang w:eastAsia="en-AU"/>
              </w:rPr>
              <w:t>enHealth</w:t>
            </w:r>
            <w:proofErr w:type="spellEnd"/>
            <w:r w:rsidRPr="00BF6E3A">
              <w:rPr>
                <w:color w:val="000000"/>
                <w:lang w:eastAsia="en-AU"/>
              </w:rPr>
              <w:t xml:space="preserve"> will develop a National Strategy for Radiation Protection (the National Strategy). Under the framework of the National Strategy, </w:t>
            </w:r>
            <w:proofErr w:type="spellStart"/>
            <w:r w:rsidRPr="00BF6E3A">
              <w:rPr>
                <w:color w:val="000000"/>
                <w:lang w:eastAsia="en-AU"/>
              </w:rPr>
              <w:t>enHealth</w:t>
            </w:r>
            <w:proofErr w:type="spellEnd"/>
            <w:r w:rsidRPr="00BF6E3A">
              <w:rPr>
                <w:color w:val="000000"/>
                <w:lang w:eastAsia="en-AU"/>
              </w:rPr>
              <w:t xml:space="preserve"> will develop an Intergovernmental Agreement (IGA) on radiation protection. This IGA will strengthen </w:t>
            </w:r>
            <w:r w:rsidR="004C5038" w:rsidRPr="00BF6E3A">
              <w:rPr>
                <w:color w:val="000000"/>
                <w:lang w:eastAsia="en-AU"/>
              </w:rPr>
              <w:t>harmonisation and</w:t>
            </w:r>
            <w:r w:rsidRPr="00BF6E3A">
              <w:rPr>
                <w:color w:val="000000"/>
                <w:lang w:eastAsia="en-AU"/>
              </w:rPr>
              <w:t xml:space="preserve"> implement a process for the resolution of inconsistences in implementation of national codes, referring advice on legislative changes to Ministers, as required.</w:t>
            </w:r>
          </w:p>
          <w:p w14:paraId="2F30D701" w14:textId="21A16AFD" w:rsidR="00AB7F97" w:rsidRPr="00BF6E3A" w:rsidRDefault="00AB7F97" w:rsidP="00FF23F5">
            <w:pPr>
              <w:pStyle w:val="ListParagraph"/>
              <w:numPr>
                <w:ilvl w:val="0"/>
                <w:numId w:val="21"/>
              </w:numPr>
              <w:spacing w:before="120" w:after="120"/>
              <w:rPr>
                <w:color w:val="000000"/>
                <w:lang w:eastAsia="en-AU"/>
              </w:rPr>
            </w:pPr>
            <w:r w:rsidRPr="00BF6E3A">
              <w:rPr>
                <w:color w:val="000000"/>
                <w:lang w:eastAsia="en-AU"/>
              </w:rPr>
              <w:t>See also R15, S10.</w:t>
            </w:r>
          </w:p>
        </w:tc>
      </w:tr>
      <w:tr w:rsidR="003725E0" w:rsidRPr="008E4BAB" w14:paraId="0E16A694" w14:textId="77777777" w:rsidTr="003725E0">
        <w:trPr>
          <w:trHeight w:val="2822"/>
          <w:jc w:val="center"/>
        </w:trPr>
        <w:tc>
          <w:tcPr>
            <w:tcW w:w="291" w:type="pct"/>
            <w:shd w:val="clear" w:color="auto" w:fill="auto"/>
            <w:hideMark/>
          </w:tcPr>
          <w:p w14:paraId="4B168DB8" w14:textId="020AFA09" w:rsidR="003725E0" w:rsidRPr="008E4BAB" w:rsidRDefault="003725E0" w:rsidP="002A22AB">
            <w:pPr>
              <w:spacing w:before="120" w:after="120"/>
              <w:jc w:val="center"/>
              <w:rPr>
                <w:color w:val="000000"/>
                <w:lang w:eastAsia="en-AU"/>
              </w:rPr>
            </w:pPr>
            <w:r>
              <w:rPr>
                <w:color w:val="000000"/>
                <w:lang w:eastAsia="en-AU"/>
              </w:rPr>
              <w:t>R4</w:t>
            </w:r>
          </w:p>
        </w:tc>
        <w:tc>
          <w:tcPr>
            <w:tcW w:w="1560" w:type="pct"/>
            <w:shd w:val="clear" w:color="auto" w:fill="auto"/>
            <w:hideMark/>
          </w:tcPr>
          <w:p w14:paraId="3B479C51" w14:textId="4D3D2E86" w:rsidR="003725E0" w:rsidRPr="008E4BAB" w:rsidRDefault="003725E0" w:rsidP="004433D7">
            <w:pPr>
              <w:spacing w:before="120" w:after="120"/>
              <w:jc w:val="center"/>
              <w:rPr>
                <w:color w:val="000000"/>
                <w:lang w:eastAsia="en-AU"/>
              </w:rPr>
            </w:pPr>
            <w:r w:rsidRPr="00464A60">
              <w:rPr>
                <w:color w:val="000000"/>
                <w:lang w:eastAsia="en-AU"/>
              </w:rPr>
              <w:t xml:space="preserve">The Commonwealth Government, in conjunction with </w:t>
            </w:r>
            <w:r>
              <w:rPr>
                <w:color w:val="000000"/>
                <w:lang w:eastAsia="en-AU"/>
              </w:rPr>
              <w:t>s</w:t>
            </w:r>
            <w:r w:rsidRPr="00464A60">
              <w:rPr>
                <w:color w:val="000000"/>
                <w:lang w:eastAsia="en-AU"/>
              </w:rPr>
              <w:t xml:space="preserve">tate and </w:t>
            </w:r>
            <w:r>
              <w:rPr>
                <w:color w:val="000000"/>
                <w:lang w:eastAsia="en-AU"/>
              </w:rPr>
              <w:t>t</w:t>
            </w:r>
            <w:r w:rsidRPr="00464A60">
              <w:rPr>
                <w:color w:val="000000"/>
                <w:lang w:eastAsia="en-AU"/>
              </w:rPr>
              <w:t>erritory Governments, should ensure that financial provisions are provided to enable the management of disused radioactive sources.</w:t>
            </w:r>
          </w:p>
        </w:tc>
        <w:tc>
          <w:tcPr>
            <w:tcW w:w="679" w:type="pct"/>
            <w:shd w:val="clear" w:color="auto" w:fill="auto"/>
            <w:hideMark/>
          </w:tcPr>
          <w:p w14:paraId="4544AC69" w14:textId="0A43E0D2" w:rsidR="003725E0" w:rsidRPr="008E4BAB" w:rsidRDefault="003725E0" w:rsidP="002A22AB">
            <w:pPr>
              <w:spacing w:before="120" w:after="120"/>
              <w:jc w:val="center"/>
              <w:rPr>
                <w:color w:val="000000"/>
                <w:lang w:eastAsia="en-AU"/>
              </w:rPr>
            </w:pPr>
            <w:proofErr w:type="spellStart"/>
            <w:r>
              <w:rPr>
                <w:color w:val="000000"/>
                <w:lang w:eastAsia="en-AU"/>
              </w:rPr>
              <w:t>enHealth</w:t>
            </w:r>
            <w:proofErr w:type="spellEnd"/>
          </w:p>
        </w:tc>
        <w:tc>
          <w:tcPr>
            <w:tcW w:w="741" w:type="pct"/>
          </w:tcPr>
          <w:p w14:paraId="10E8BC6A" w14:textId="74708259" w:rsidR="003725E0" w:rsidRPr="008E4BAB" w:rsidRDefault="003725E0" w:rsidP="002A22AB">
            <w:pPr>
              <w:spacing w:before="120" w:after="120"/>
              <w:jc w:val="center"/>
              <w:rPr>
                <w:color w:val="000000"/>
                <w:lang w:eastAsia="en-AU"/>
              </w:rPr>
            </w:pPr>
            <w:r w:rsidRPr="008E4BAB">
              <w:rPr>
                <w:color w:val="000000"/>
                <w:lang w:eastAsia="en-AU"/>
              </w:rPr>
              <w:t>ARPANSA</w:t>
            </w:r>
            <w:r>
              <w:rPr>
                <w:color w:val="000000"/>
                <w:lang w:eastAsia="en-AU"/>
              </w:rPr>
              <w:t>, S/T regulators, Radiation Health Expert Reference Panel</w:t>
            </w:r>
          </w:p>
        </w:tc>
        <w:tc>
          <w:tcPr>
            <w:tcW w:w="1729" w:type="pct"/>
          </w:tcPr>
          <w:p w14:paraId="0686EE34" w14:textId="77777777" w:rsidR="003725E0" w:rsidRPr="003725E0" w:rsidRDefault="003725E0" w:rsidP="00FF23F5">
            <w:pPr>
              <w:pStyle w:val="ListParagraph"/>
              <w:numPr>
                <w:ilvl w:val="0"/>
                <w:numId w:val="26"/>
              </w:numPr>
              <w:spacing w:before="120" w:after="120"/>
              <w:rPr>
                <w:color w:val="000000"/>
                <w:lang w:eastAsia="en-AU"/>
              </w:rPr>
            </w:pPr>
            <w:r w:rsidRPr="003725E0">
              <w:rPr>
                <w:color w:val="000000"/>
                <w:lang w:eastAsia="en-AU"/>
              </w:rPr>
              <w:t>NDRP2 is to be updated with the requirement for jurisdictions to ensure financial provisions are provided for the management of end of life or disused sources.</w:t>
            </w:r>
          </w:p>
          <w:p w14:paraId="600CE0A4" w14:textId="53D51E0F" w:rsidR="003725E0" w:rsidRPr="003725E0" w:rsidRDefault="003725E0" w:rsidP="00FF23F5">
            <w:pPr>
              <w:pStyle w:val="ListParagraph"/>
              <w:numPr>
                <w:ilvl w:val="0"/>
                <w:numId w:val="26"/>
              </w:numPr>
              <w:spacing w:before="120" w:after="120"/>
              <w:rPr>
                <w:color w:val="000000"/>
                <w:lang w:eastAsia="en-AU"/>
              </w:rPr>
            </w:pPr>
            <w:proofErr w:type="spellStart"/>
            <w:r w:rsidRPr="003725E0">
              <w:rPr>
                <w:color w:val="000000" w:themeColor="text1"/>
                <w:lang w:eastAsia="en-AU"/>
              </w:rPr>
              <w:t>EnHealth</w:t>
            </w:r>
            <w:proofErr w:type="spellEnd"/>
            <w:r w:rsidRPr="003725E0">
              <w:rPr>
                <w:color w:val="000000" w:themeColor="text1"/>
                <w:lang w:eastAsia="en-AU"/>
              </w:rPr>
              <w:t xml:space="preserve"> will develop a policy paper addressing the management of end of life or disused radioactive sources, including consideration of financial provisions.</w:t>
            </w:r>
          </w:p>
        </w:tc>
      </w:tr>
      <w:tr w:rsidR="00AB7F97" w:rsidRPr="008E4BAB" w14:paraId="0B32D341" w14:textId="77777777" w:rsidTr="003725E0">
        <w:trPr>
          <w:trHeight w:val="2094"/>
          <w:jc w:val="center"/>
        </w:trPr>
        <w:tc>
          <w:tcPr>
            <w:tcW w:w="291" w:type="pct"/>
            <w:shd w:val="clear" w:color="auto" w:fill="auto"/>
            <w:hideMark/>
          </w:tcPr>
          <w:p w14:paraId="16014220" w14:textId="7C29214C" w:rsidR="00AB7F97" w:rsidRPr="008E4BAB" w:rsidRDefault="00AB7F97" w:rsidP="002A22AB">
            <w:pPr>
              <w:spacing w:before="120" w:after="120"/>
              <w:jc w:val="center"/>
              <w:rPr>
                <w:color w:val="000000"/>
                <w:lang w:eastAsia="en-AU"/>
              </w:rPr>
            </w:pPr>
            <w:r>
              <w:rPr>
                <w:color w:val="000000"/>
                <w:lang w:eastAsia="en-AU"/>
              </w:rPr>
              <w:t>R5</w:t>
            </w:r>
          </w:p>
        </w:tc>
        <w:tc>
          <w:tcPr>
            <w:tcW w:w="1560" w:type="pct"/>
            <w:shd w:val="clear" w:color="auto" w:fill="auto"/>
            <w:hideMark/>
          </w:tcPr>
          <w:p w14:paraId="49528E9B" w14:textId="02533597" w:rsidR="00AB7F97" w:rsidRPr="008E4BAB" w:rsidRDefault="00AB7F97" w:rsidP="002A22AB">
            <w:pPr>
              <w:spacing w:before="120" w:after="120"/>
              <w:jc w:val="center"/>
              <w:rPr>
                <w:color w:val="000000"/>
                <w:lang w:eastAsia="en-AU"/>
              </w:rPr>
            </w:pPr>
            <w:r w:rsidRPr="00464A60">
              <w:rPr>
                <w:color w:val="000000"/>
                <w:lang w:eastAsia="en-AU"/>
              </w:rPr>
              <w:t>The Governments should ensure that all parties having responsibilities for safety of facilities and regulatory activities have the necessary competence and resources to carry out their responsibilities.</w:t>
            </w:r>
          </w:p>
        </w:tc>
        <w:tc>
          <w:tcPr>
            <w:tcW w:w="679" w:type="pct"/>
            <w:shd w:val="clear" w:color="auto" w:fill="auto"/>
            <w:hideMark/>
          </w:tcPr>
          <w:p w14:paraId="7F35A6FF" w14:textId="1164B23B" w:rsidR="00AB7F97" w:rsidRPr="008E4BAB" w:rsidRDefault="00AB7F97" w:rsidP="002A22AB">
            <w:pPr>
              <w:spacing w:before="120" w:after="120"/>
              <w:jc w:val="center"/>
              <w:rPr>
                <w:color w:val="000000"/>
                <w:lang w:eastAsia="en-AU"/>
              </w:rPr>
            </w:pPr>
            <w:proofErr w:type="spellStart"/>
            <w:r>
              <w:rPr>
                <w:color w:val="000000"/>
                <w:lang w:eastAsia="en-AU"/>
              </w:rPr>
              <w:t>enHealth</w:t>
            </w:r>
            <w:proofErr w:type="spellEnd"/>
          </w:p>
        </w:tc>
        <w:tc>
          <w:tcPr>
            <w:tcW w:w="741" w:type="pct"/>
          </w:tcPr>
          <w:p w14:paraId="110F08A7" w14:textId="7EB660A3" w:rsidR="00AB7F97" w:rsidRPr="008E4BAB" w:rsidRDefault="00AB7F97" w:rsidP="00F41E46">
            <w:pPr>
              <w:spacing w:before="120" w:after="120"/>
              <w:jc w:val="center"/>
              <w:rPr>
                <w:color w:val="000000"/>
                <w:lang w:eastAsia="en-AU"/>
              </w:rPr>
            </w:pPr>
            <w:r w:rsidRPr="008E4BAB">
              <w:rPr>
                <w:color w:val="000000"/>
                <w:lang w:eastAsia="en-AU"/>
              </w:rPr>
              <w:t>ARPANSA</w:t>
            </w:r>
            <w:r>
              <w:rPr>
                <w:color w:val="000000"/>
                <w:lang w:eastAsia="en-AU"/>
              </w:rPr>
              <w:t>, S/T regulators</w:t>
            </w:r>
          </w:p>
        </w:tc>
        <w:tc>
          <w:tcPr>
            <w:tcW w:w="1729" w:type="pct"/>
          </w:tcPr>
          <w:p w14:paraId="1F1D1019" w14:textId="7E4B39A8" w:rsidR="00AB7F97" w:rsidRPr="00BF6E3A" w:rsidRDefault="00AB7F97" w:rsidP="00FF23F5">
            <w:pPr>
              <w:pStyle w:val="ListParagraph"/>
              <w:numPr>
                <w:ilvl w:val="0"/>
                <w:numId w:val="22"/>
              </w:numPr>
              <w:spacing w:before="120" w:after="120"/>
              <w:rPr>
                <w:color w:val="000000" w:themeColor="text1"/>
                <w:lang w:eastAsia="en-AU"/>
              </w:rPr>
            </w:pPr>
            <w:r w:rsidRPr="00BF6E3A">
              <w:rPr>
                <w:color w:val="000000" w:themeColor="text1"/>
                <w:lang w:eastAsia="en-AU"/>
              </w:rPr>
              <w:t xml:space="preserve">Competency requirements will be progressed by </w:t>
            </w:r>
            <w:proofErr w:type="spellStart"/>
            <w:r w:rsidRPr="00BF6E3A">
              <w:rPr>
                <w:color w:val="000000" w:themeColor="text1"/>
                <w:lang w:eastAsia="en-AU"/>
              </w:rPr>
              <w:t>enHealth</w:t>
            </w:r>
            <w:proofErr w:type="spellEnd"/>
            <w:r w:rsidRPr="00BF6E3A">
              <w:rPr>
                <w:color w:val="000000" w:themeColor="text1"/>
                <w:lang w:eastAsia="en-AU"/>
              </w:rPr>
              <w:t xml:space="preserve"> through the development of the </w:t>
            </w:r>
            <w:r w:rsidRPr="00BF6E3A">
              <w:rPr>
                <w:i/>
                <w:iCs/>
                <w:color w:val="000000" w:themeColor="text1"/>
                <w:lang w:eastAsia="en-AU"/>
              </w:rPr>
              <w:t>National Strategy</w:t>
            </w:r>
            <w:r w:rsidRPr="00BF6E3A">
              <w:rPr>
                <w:color w:val="000000" w:themeColor="text1"/>
                <w:lang w:eastAsia="en-AU"/>
              </w:rPr>
              <w:t xml:space="preserve">. </w:t>
            </w:r>
          </w:p>
          <w:p w14:paraId="3DA43F57" w14:textId="77777777" w:rsidR="00BF6E3A" w:rsidRPr="00BF6E3A" w:rsidRDefault="00AB7F97" w:rsidP="00FF23F5">
            <w:pPr>
              <w:pStyle w:val="ListParagraph"/>
              <w:numPr>
                <w:ilvl w:val="0"/>
                <w:numId w:val="22"/>
              </w:numPr>
              <w:spacing w:before="120" w:after="120"/>
              <w:rPr>
                <w:color w:val="000000"/>
                <w:lang w:eastAsia="en-AU"/>
              </w:rPr>
            </w:pPr>
            <w:r>
              <w:t>State and territory regulators will undertake a self-audit against the IAEA’s General Safety Guides 12 (</w:t>
            </w:r>
            <w:r w:rsidRPr="00BF6E3A">
              <w:rPr>
                <w:rFonts w:cs="Calibri"/>
              </w:rPr>
              <w:t>Organization, Management and Staffing of the Regulatory Body for Safety) and 13 (Functions and Processes of the Regulatory Body for Safety) to identify gaps. This will inform decisions about competencies and resources.</w:t>
            </w:r>
          </w:p>
          <w:p w14:paraId="143F3270" w14:textId="1AC97543" w:rsidR="00AB7F97" w:rsidRPr="00BF6E3A" w:rsidRDefault="00AB7F97" w:rsidP="00FF23F5">
            <w:pPr>
              <w:pStyle w:val="ListParagraph"/>
              <w:numPr>
                <w:ilvl w:val="0"/>
                <w:numId w:val="22"/>
              </w:numPr>
              <w:spacing w:before="120" w:after="120"/>
              <w:rPr>
                <w:color w:val="000000"/>
                <w:lang w:eastAsia="en-AU"/>
              </w:rPr>
            </w:pPr>
            <w:proofErr w:type="spellStart"/>
            <w:proofErr w:type="gramStart"/>
            <w:r w:rsidRPr="00BF6E3A">
              <w:rPr>
                <w:color w:val="000000" w:themeColor="text1"/>
                <w:lang w:eastAsia="en-AU"/>
              </w:rPr>
              <w:t>enHealth’s</w:t>
            </w:r>
            <w:proofErr w:type="spellEnd"/>
            <w:proofErr w:type="gramEnd"/>
            <w:r w:rsidRPr="00BF6E3A">
              <w:rPr>
                <w:color w:val="000000" w:themeColor="text1"/>
                <w:lang w:eastAsia="en-AU"/>
              </w:rPr>
              <w:t xml:space="preserve"> regulatory workforce project will also assist in undertaking a gap analysis of supply and demand in the workforce.</w:t>
            </w:r>
          </w:p>
        </w:tc>
      </w:tr>
      <w:tr w:rsidR="00AB7F97" w:rsidRPr="008E4BAB" w14:paraId="6105FE6D" w14:textId="77777777" w:rsidTr="003725E0">
        <w:trPr>
          <w:trHeight w:val="979"/>
          <w:jc w:val="center"/>
        </w:trPr>
        <w:tc>
          <w:tcPr>
            <w:tcW w:w="291" w:type="pct"/>
            <w:shd w:val="clear" w:color="auto" w:fill="auto"/>
          </w:tcPr>
          <w:p w14:paraId="7F3071D1" w14:textId="649F7994" w:rsidR="00AB7F97" w:rsidRDefault="00AB7F97" w:rsidP="00F41E46">
            <w:pPr>
              <w:spacing w:before="120" w:after="120"/>
              <w:jc w:val="center"/>
              <w:rPr>
                <w:color w:val="000000"/>
                <w:lang w:eastAsia="en-AU"/>
              </w:rPr>
            </w:pPr>
            <w:r>
              <w:rPr>
                <w:color w:val="000000"/>
                <w:lang w:eastAsia="en-AU"/>
              </w:rPr>
              <w:t>R6</w:t>
            </w:r>
          </w:p>
        </w:tc>
        <w:tc>
          <w:tcPr>
            <w:tcW w:w="1560" w:type="pct"/>
            <w:shd w:val="clear" w:color="auto" w:fill="auto"/>
          </w:tcPr>
          <w:p w14:paraId="008B5757" w14:textId="112178D0" w:rsidR="00AB7F97" w:rsidRPr="00464A60" w:rsidRDefault="00AB7F97" w:rsidP="004433D7">
            <w:pPr>
              <w:spacing w:before="120" w:after="120"/>
              <w:jc w:val="center"/>
              <w:rPr>
                <w:color w:val="000000"/>
                <w:lang w:eastAsia="en-AU"/>
              </w:rPr>
            </w:pPr>
            <w:r w:rsidRPr="00464A60">
              <w:rPr>
                <w:color w:val="000000"/>
                <w:lang w:eastAsia="en-AU"/>
              </w:rPr>
              <w:t xml:space="preserve">The Commonwealth Government, in conjunction with </w:t>
            </w:r>
            <w:r>
              <w:rPr>
                <w:color w:val="000000"/>
                <w:lang w:eastAsia="en-AU"/>
              </w:rPr>
              <w:t>s</w:t>
            </w:r>
            <w:r w:rsidRPr="00464A60">
              <w:rPr>
                <w:color w:val="000000"/>
                <w:lang w:eastAsia="en-AU"/>
              </w:rPr>
              <w:t xml:space="preserve">tate and </w:t>
            </w:r>
            <w:r>
              <w:rPr>
                <w:color w:val="000000"/>
                <w:lang w:eastAsia="en-AU"/>
              </w:rPr>
              <w:t>t</w:t>
            </w:r>
            <w:r w:rsidRPr="00464A60">
              <w:rPr>
                <w:color w:val="000000"/>
                <w:lang w:eastAsia="en-AU"/>
              </w:rPr>
              <w:t>erritory Governments should ensure full implementation of the Code of Conduct on the Safety and Security of Radioactive Sources.</w:t>
            </w:r>
          </w:p>
        </w:tc>
        <w:tc>
          <w:tcPr>
            <w:tcW w:w="679" w:type="pct"/>
            <w:shd w:val="clear" w:color="auto" w:fill="auto"/>
          </w:tcPr>
          <w:p w14:paraId="7CA2542E" w14:textId="38A8F63E" w:rsidR="00AB7F97" w:rsidRDefault="00AB7F97" w:rsidP="00F41E46">
            <w:pPr>
              <w:spacing w:before="120" w:after="120"/>
              <w:jc w:val="center"/>
              <w:rPr>
                <w:color w:val="000000"/>
                <w:lang w:eastAsia="en-AU"/>
              </w:rPr>
            </w:pPr>
            <w:proofErr w:type="spellStart"/>
            <w:r>
              <w:rPr>
                <w:color w:val="000000"/>
                <w:lang w:eastAsia="en-AU"/>
              </w:rPr>
              <w:t>enHealth</w:t>
            </w:r>
            <w:proofErr w:type="spellEnd"/>
          </w:p>
        </w:tc>
        <w:tc>
          <w:tcPr>
            <w:tcW w:w="741" w:type="pct"/>
          </w:tcPr>
          <w:p w14:paraId="0751B488" w14:textId="2D24BFF0" w:rsidR="00AB7F97" w:rsidRPr="008E4BAB" w:rsidRDefault="00AB7F97" w:rsidP="00F41E46">
            <w:pPr>
              <w:spacing w:before="120" w:after="120"/>
              <w:jc w:val="center"/>
              <w:rPr>
                <w:color w:val="000000"/>
                <w:lang w:eastAsia="en-AU"/>
              </w:rPr>
            </w:pPr>
            <w:r w:rsidRPr="008E4BAB">
              <w:rPr>
                <w:color w:val="000000"/>
                <w:lang w:eastAsia="en-AU"/>
              </w:rPr>
              <w:t>ARPANSA</w:t>
            </w:r>
            <w:r>
              <w:rPr>
                <w:color w:val="000000"/>
                <w:lang w:eastAsia="en-AU"/>
              </w:rPr>
              <w:t>, S/T regulators, Commonwealth Department of Health, S/T policy agencies</w:t>
            </w:r>
          </w:p>
        </w:tc>
        <w:tc>
          <w:tcPr>
            <w:tcW w:w="1729" w:type="pct"/>
          </w:tcPr>
          <w:p w14:paraId="26005522" w14:textId="77777777" w:rsidR="00AB7F97" w:rsidRPr="00BF6E3A" w:rsidRDefault="00AB7F97" w:rsidP="00FF23F5">
            <w:pPr>
              <w:pStyle w:val="ListParagraph"/>
              <w:numPr>
                <w:ilvl w:val="0"/>
                <w:numId w:val="23"/>
              </w:numPr>
              <w:spacing w:before="120" w:after="120"/>
              <w:rPr>
                <w:color w:val="000000"/>
                <w:lang w:eastAsia="en-AU"/>
              </w:rPr>
            </w:pPr>
            <w:r w:rsidRPr="00BF6E3A">
              <w:rPr>
                <w:color w:val="000000" w:themeColor="text1"/>
                <w:lang w:eastAsia="en-AU"/>
              </w:rPr>
              <w:t>NDRP2 is to be updated with the requirement to implement the IAEA Code of Conduct on the Safety and Security of Radioactive Sources.</w:t>
            </w:r>
          </w:p>
          <w:p w14:paraId="75CEB48B" w14:textId="77777777" w:rsidR="00AB7F97" w:rsidRPr="00BF6E3A" w:rsidRDefault="00AB7F97" w:rsidP="00FF23F5">
            <w:pPr>
              <w:pStyle w:val="ListParagraph"/>
              <w:numPr>
                <w:ilvl w:val="0"/>
                <w:numId w:val="23"/>
              </w:numPr>
              <w:spacing w:before="120" w:after="120"/>
              <w:rPr>
                <w:color w:val="000000" w:themeColor="text1"/>
                <w:lang w:eastAsia="en-AU"/>
              </w:rPr>
            </w:pPr>
            <w:r w:rsidRPr="00BF6E3A">
              <w:rPr>
                <w:color w:val="000000" w:themeColor="text1"/>
                <w:lang w:eastAsia="en-AU"/>
              </w:rPr>
              <w:t xml:space="preserve">The Radiation Health Committee has a project to investigate re-activating the Sealed Source Register, which would be a key tool in ensuring Australian compliance with the Code of Conduct. </w:t>
            </w:r>
          </w:p>
          <w:p w14:paraId="33880A99" w14:textId="278027CF" w:rsidR="00AB7F97" w:rsidRPr="00BF6E3A" w:rsidRDefault="00AB7F97" w:rsidP="00FF23F5">
            <w:pPr>
              <w:pStyle w:val="ListParagraph"/>
              <w:numPr>
                <w:ilvl w:val="0"/>
                <w:numId w:val="23"/>
              </w:numPr>
              <w:spacing w:before="120" w:after="120"/>
              <w:rPr>
                <w:color w:val="000000"/>
                <w:lang w:eastAsia="en-AU"/>
              </w:rPr>
            </w:pPr>
            <w:r w:rsidRPr="00BF6E3A">
              <w:rPr>
                <w:color w:val="000000" w:themeColor="text1"/>
                <w:lang w:eastAsia="en-AU"/>
              </w:rPr>
              <w:lastRenderedPageBreak/>
              <w:t xml:space="preserve">This will also be considered as part of the response to R4, in which </w:t>
            </w:r>
            <w:proofErr w:type="spellStart"/>
            <w:r w:rsidRPr="00BF6E3A">
              <w:rPr>
                <w:color w:val="000000" w:themeColor="text1"/>
                <w:lang w:eastAsia="en-AU"/>
              </w:rPr>
              <w:t>enHealth</w:t>
            </w:r>
            <w:proofErr w:type="spellEnd"/>
            <w:r w:rsidRPr="00BF6E3A">
              <w:rPr>
                <w:color w:val="000000" w:themeColor="text1"/>
                <w:lang w:eastAsia="en-AU"/>
              </w:rPr>
              <w:t xml:space="preserve"> will develop a policy paper on the management of end of life and disused radioactive sources.</w:t>
            </w:r>
          </w:p>
        </w:tc>
      </w:tr>
      <w:tr w:rsidR="00AB7F97" w:rsidRPr="008E4BAB" w14:paraId="229F936C" w14:textId="77777777" w:rsidTr="003725E0">
        <w:trPr>
          <w:trHeight w:val="2094"/>
          <w:jc w:val="center"/>
        </w:trPr>
        <w:tc>
          <w:tcPr>
            <w:tcW w:w="291" w:type="pct"/>
            <w:shd w:val="clear" w:color="auto" w:fill="auto"/>
          </w:tcPr>
          <w:p w14:paraId="17D31CD1" w14:textId="7446BC46" w:rsidR="00AB7F97" w:rsidRDefault="00AB7F97" w:rsidP="00F41E46">
            <w:pPr>
              <w:spacing w:before="120" w:after="120"/>
              <w:jc w:val="center"/>
              <w:rPr>
                <w:color w:val="000000"/>
                <w:lang w:eastAsia="en-AU"/>
              </w:rPr>
            </w:pPr>
            <w:r>
              <w:rPr>
                <w:color w:val="000000"/>
                <w:lang w:eastAsia="en-AU"/>
              </w:rPr>
              <w:lastRenderedPageBreak/>
              <w:t>R17</w:t>
            </w:r>
          </w:p>
        </w:tc>
        <w:tc>
          <w:tcPr>
            <w:tcW w:w="1560" w:type="pct"/>
            <w:shd w:val="clear" w:color="auto" w:fill="auto"/>
          </w:tcPr>
          <w:p w14:paraId="19054C87" w14:textId="680334CC" w:rsidR="00AB7F97" w:rsidRPr="00464A60" w:rsidRDefault="00AB7F97" w:rsidP="004433D7">
            <w:pPr>
              <w:spacing w:before="120" w:after="120"/>
              <w:jc w:val="center"/>
              <w:rPr>
                <w:color w:val="000000"/>
                <w:lang w:eastAsia="en-AU"/>
              </w:rPr>
            </w:pPr>
            <w:r w:rsidRPr="00E9117C">
              <w:rPr>
                <w:color w:val="000000"/>
                <w:lang w:eastAsia="en-AU"/>
              </w:rPr>
              <w:t xml:space="preserve">The Commonwealth Government, in conjunction with </w:t>
            </w:r>
            <w:r>
              <w:rPr>
                <w:color w:val="000000"/>
                <w:lang w:eastAsia="en-AU"/>
              </w:rPr>
              <w:t>s</w:t>
            </w:r>
            <w:r w:rsidRPr="00E9117C">
              <w:rPr>
                <w:color w:val="000000"/>
                <w:lang w:eastAsia="en-AU"/>
              </w:rPr>
              <w:t xml:space="preserve">tate and </w:t>
            </w:r>
            <w:r>
              <w:rPr>
                <w:color w:val="000000"/>
                <w:lang w:eastAsia="en-AU"/>
              </w:rPr>
              <w:t>t</w:t>
            </w:r>
            <w:r w:rsidRPr="00E9117C">
              <w:rPr>
                <w:color w:val="000000"/>
                <w:lang w:eastAsia="en-AU"/>
              </w:rPr>
              <w:t>erritory Governments should ensure that the roles and responsibilities of ARPANSA in emergency preparedness and response both for incidents involving its own licensees and for incidents in the States and Territories are clearly assigned and exercised.</w:t>
            </w:r>
          </w:p>
        </w:tc>
        <w:tc>
          <w:tcPr>
            <w:tcW w:w="679" w:type="pct"/>
            <w:shd w:val="clear" w:color="auto" w:fill="auto"/>
          </w:tcPr>
          <w:p w14:paraId="7B559F45" w14:textId="122D6EE2" w:rsidR="00AB7F97" w:rsidRDefault="00AB7F97" w:rsidP="00F41E46">
            <w:pPr>
              <w:spacing w:before="120" w:after="120"/>
              <w:jc w:val="center"/>
              <w:rPr>
                <w:color w:val="000000"/>
                <w:lang w:eastAsia="en-AU"/>
              </w:rPr>
            </w:pPr>
            <w:proofErr w:type="spellStart"/>
            <w:r>
              <w:rPr>
                <w:color w:val="000000"/>
                <w:lang w:eastAsia="en-AU"/>
              </w:rPr>
              <w:t>enHealth</w:t>
            </w:r>
            <w:proofErr w:type="spellEnd"/>
          </w:p>
        </w:tc>
        <w:tc>
          <w:tcPr>
            <w:tcW w:w="741" w:type="pct"/>
          </w:tcPr>
          <w:p w14:paraId="3B499261" w14:textId="029C6E7A" w:rsidR="00AB7F97" w:rsidRPr="008E4BAB" w:rsidRDefault="00AB7F97" w:rsidP="00F41E46">
            <w:pPr>
              <w:spacing w:before="120" w:after="120"/>
              <w:jc w:val="center"/>
              <w:rPr>
                <w:color w:val="000000"/>
                <w:lang w:eastAsia="en-AU"/>
              </w:rPr>
            </w:pPr>
            <w:r>
              <w:rPr>
                <w:color w:val="000000"/>
                <w:lang w:eastAsia="en-AU"/>
              </w:rPr>
              <w:t xml:space="preserve">AHPPC, </w:t>
            </w:r>
            <w:r w:rsidRPr="008E4BAB">
              <w:rPr>
                <w:color w:val="000000"/>
                <w:lang w:eastAsia="en-AU"/>
              </w:rPr>
              <w:t>ARPANSA</w:t>
            </w:r>
            <w:r>
              <w:rPr>
                <w:color w:val="000000"/>
                <w:lang w:eastAsia="en-AU"/>
              </w:rPr>
              <w:t>, S/T regulators, Commonwealth Department of Health, S/T policy agencies</w:t>
            </w:r>
          </w:p>
        </w:tc>
        <w:tc>
          <w:tcPr>
            <w:tcW w:w="1729" w:type="pct"/>
          </w:tcPr>
          <w:p w14:paraId="0E0A82B7" w14:textId="4B46BDC3" w:rsidR="00AB7F97" w:rsidRPr="00BF6E3A" w:rsidRDefault="00AB7F97" w:rsidP="00FF23F5">
            <w:pPr>
              <w:pStyle w:val="ListParagraph"/>
              <w:numPr>
                <w:ilvl w:val="0"/>
                <w:numId w:val="24"/>
              </w:numPr>
              <w:spacing w:before="120" w:after="120"/>
              <w:rPr>
                <w:color w:val="000000" w:themeColor="text1"/>
                <w:lang w:eastAsia="en-AU"/>
              </w:rPr>
            </w:pPr>
            <w:r w:rsidRPr="00BF6E3A">
              <w:rPr>
                <w:color w:val="000000" w:themeColor="text1"/>
                <w:lang w:eastAsia="en-AU"/>
              </w:rPr>
              <w:t xml:space="preserve">The Commonwealth will review the national planning framework for emergencies, engaging with jurisdictions and relevant groups, to ensure the framework remains current and appropriately articulates ARPANSA’s role. </w:t>
            </w:r>
          </w:p>
          <w:p w14:paraId="44455D67" w14:textId="38FC5E98" w:rsidR="00AB7F97" w:rsidRPr="00BF6E3A" w:rsidRDefault="00AB7F97" w:rsidP="00FF23F5">
            <w:pPr>
              <w:pStyle w:val="ListParagraph"/>
              <w:numPr>
                <w:ilvl w:val="0"/>
                <w:numId w:val="24"/>
              </w:numPr>
              <w:spacing w:before="120" w:after="120"/>
              <w:rPr>
                <w:color w:val="000000" w:themeColor="text1"/>
                <w:lang w:eastAsia="en-AU"/>
              </w:rPr>
            </w:pPr>
            <w:r w:rsidRPr="00BF6E3A">
              <w:rPr>
                <w:color w:val="000000" w:themeColor="text1"/>
                <w:lang w:eastAsia="en-AU"/>
              </w:rPr>
              <w:t xml:space="preserve">In conjunction with this, </w:t>
            </w:r>
            <w:proofErr w:type="spellStart"/>
            <w:r w:rsidRPr="00BF6E3A">
              <w:rPr>
                <w:color w:val="000000" w:themeColor="text1"/>
                <w:lang w:eastAsia="en-AU"/>
              </w:rPr>
              <w:t>enHealth</w:t>
            </w:r>
            <w:proofErr w:type="spellEnd"/>
            <w:r w:rsidRPr="00BF6E3A">
              <w:rPr>
                <w:color w:val="000000" w:themeColor="text1"/>
                <w:lang w:eastAsia="en-AU"/>
              </w:rPr>
              <w:t xml:space="preserve"> will develop a national framework for the management of radiation incidents of national significance for inclusion in the </w:t>
            </w:r>
            <w:r w:rsidRPr="00BF6E3A">
              <w:rPr>
                <w:i/>
                <w:iCs/>
                <w:color w:val="000000" w:themeColor="text1"/>
                <w:lang w:eastAsia="en-AU"/>
              </w:rPr>
              <w:t>National Strategy</w:t>
            </w:r>
            <w:r w:rsidRPr="00BF6E3A">
              <w:rPr>
                <w:color w:val="000000" w:themeColor="text1"/>
                <w:lang w:eastAsia="en-AU"/>
              </w:rPr>
              <w:t>.</w:t>
            </w:r>
          </w:p>
          <w:p w14:paraId="229B9D1D" w14:textId="10DE4CC8" w:rsidR="00AB7F97" w:rsidRPr="00BF6E3A" w:rsidRDefault="00AB7F97" w:rsidP="00FF23F5">
            <w:pPr>
              <w:pStyle w:val="ListParagraph"/>
              <w:numPr>
                <w:ilvl w:val="0"/>
                <w:numId w:val="24"/>
              </w:numPr>
              <w:spacing w:before="120" w:after="120"/>
              <w:rPr>
                <w:color w:val="000000"/>
                <w:lang w:eastAsia="en-AU"/>
              </w:rPr>
            </w:pPr>
            <w:r w:rsidRPr="00BF6E3A">
              <w:rPr>
                <w:color w:val="000000" w:themeColor="text1"/>
                <w:lang w:eastAsia="en-AU"/>
              </w:rPr>
              <w:t xml:space="preserve">Actions performed under this recommendation will be integrated with Australia’s proposed actions under the </w:t>
            </w:r>
            <w:hyperlink r:id="rId16" w:history="1">
              <w:r w:rsidRPr="006C4A86">
                <w:rPr>
                  <w:rStyle w:val="Hyperlink"/>
                  <w:lang w:eastAsia="en-AU"/>
                </w:rPr>
                <w:t>Joint External Evaluation National Action Plan.</w:t>
              </w:r>
            </w:hyperlink>
          </w:p>
        </w:tc>
      </w:tr>
      <w:tr w:rsidR="0033588E" w:rsidRPr="008E4BAB" w14:paraId="177D3D2B" w14:textId="77777777" w:rsidTr="001771D5">
        <w:trPr>
          <w:trHeight w:val="4365"/>
          <w:jc w:val="center"/>
        </w:trPr>
        <w:tc>
          <w:tcPr>
            <w:tcW w:w="291" w:type="pct"/>
            <w:shd w:val="clear" w:color="auto" w:fill="auto"/>
          </w:tcPr>
          <w:p w14:paraId="6F128B7B" w14:textId="251B6C86" w:rsidR="0033588E" w:rsidRDefault="0033588E" w:rsidP="00F41E46">
            <w:pPr>
              <w:spacing w:before="120" w:after="120"/>
              <w:jc w:val="center"/>
              <w:rPr>
                <w:color w:val="000000"/>
                <w:lang w:eastAsia="en-AU"/>
              </w:rPr>
            </w:pPr>
            <w:r>
              <w:rPr>
                <w:color w:val="000000"/>
                <w:lang w:eastAsia="en-AU"/>
              </w:rPr>
              <w:t>R20</w:t>
            </w:r>
          </w:p>
        </w:tc>
        <w:tc>
          <w:tcPr>
            <w:tcW w:w="1560" w:type="pct"/>
            <w:shd w:val="clear" w:color="auto" w:fill="auto"/>
          </w:tcPr>
          <w:p w14:paraId="357DF155" w14:textId="4348AE55" w:rsidR="0033588E" w:rsidRPr="00464A60" w:rsidRDefault="0033588E" w:rsidP="00F41E46">
            <w:pPr>
              <w:spacing w:before="120" w:after="120"/>
              <w:jc w:val="center"/>
              <w:rPr>
                <w:color w:val="000000"/>
                <w:lang w:eastAsia="en-AU"/>
              </w:rPr>
            </w:pPr>
            <w:r w:rsidRPr="00E9117C">
              <w:rPr>
                <w:color w:val="000000"/>
                <w:lang w:eastAsia="en-AU"/>
              </w:rPr>
              <w:t>The Governments should ensure the new Code for Radiation Protection in Medical Exposure is consistent with IAEA Safety Standards GSR Part 3 and take steps to adopt and implement it.</w:t>
            </w:r>
          </w:p>
        </w:tc>
        <w:tc>
          <w:tcPr>
            <w:tcW w:w="679" w:type="pct"/>
            <w:shd w:val="clear" w:color="auto" w:fill="auto"/>
          </w:tcPr>
          <w:p w14:paraId="3BA02943" w14:textId="2F3B7721" w:rsidR="0033588E" w:rsidRDefault="0033588E" w:rsidP="00F41E46">
            <w:pPr>
              <w:spacing w:before="120" w:after="120"/>
              <w:jc w:val="center"/>
              <w:rPr>
                <w:color w:val="000000"/>
                <w:lang w:eastAsia="en-AU"/>
              </w:rPr>
            </w:pPr>
            <w:proofErr w:type="spellStart"/>
            <w:r>
              <w:rPr>
                <w:color w:val="000000"/>
                <w:lang w:eastAsia="en-AU"/>
              </w:rPr>
              <w:t>enHealth</w:t>
            </w:r>
            <w:proofErr w:type="spellEnd"/>
          </w:p>
        </w:tc>
        <w:tc>
          <w:tcPr>
            <w:tcW w:w="741" w:type="pct"/>
          </w:tcPr>
          <w:p w14:paraId="4F177763" w14:textId="0A4AF71D" w:rsidR="0033588E" w:rsidRPr="008E4BAB" w:rsidRDefault="0033588E" w:rsidP="00F41E46">
            <w:pPr>
              <w:spacing w:before="120" w:after="120"/>
              <w:jc w:val="center"/>
              <w:rPr>
                <w:color w:val="000000"/>
                <w:lang w:eastAsia="en-AU"/>
              </w:rPr>
            </w:pPr>
            <w:r w:rsidRPr="008E4BAB">
              <w:rPr>
                <w:color w:val="000000"/>
                <w:lang w:eastAsia="en-AU"/>
              </w:rPr>
              <w:t>ARPANSA</w:t>
            </w:r>
            <w:r>
              <w:rPr>
                <w:color w:val="000000"/>
                <w:lang w:eastAsia="en-AU"/>
              </w:rPr>
              <w:t>, S/T regulators, Commonwealth Department of Health, S/T policy agencies</w:t>
            </w:r>
          </w:p>
        </w:tc>
        <w:tc>
          <w:tcPr>
            <w:tcW w:w="1729" w:type="pct"/>
          </w:tcPr>
          <w:p w14:paraId="521DCED3" w14:textId="77777777" w:rsidR="0033588E" w:rsidRPr="00BF6E3A" w:rsidRDefault="0033588E" w:rsidP="00FF23F5">
            <w:pPr>
              <w:pStyle w:val="ListParagraph"/>
              <w:numPr>
                <w:ilvl w:val="0"/>
                <w:numId w:val="25"/>
              </w:numPr>
              <w:spacing w:before="120" w:after="120"/>
              <w:rPr>
                <w:color w:val="000000"/>
                <w:lang w:eastAsia="en-AU"/>
              </w:rPr>
            </w:pPr>
            <w:r w:rsidRPr="00BF6E3A">
              <w:rPr>
                <w:color w:val="000000"/>
                <w:lang w:eastAsia="en-AU"/>
              </w:rPr>
              <w:t>Finalise Medical Code RPS C-5</w:t>
            </w:r>
          </w:p>
          <w:p w14:paraId="5C94633F" w14:textId="77777777" w:rsidR="0033588E" w:rsidRPr="003725E0" w:rsidRDefault="0033588E" w:rsidP="00FF23F5">
            <w:pPr>
              <w:pStyle w:val="ListParagraph"/>
              <w:numPr>
                <w:ilvl w:val="0"/>
                <w:numId w:val="25"/>
              </w:numPr>
              <w:spacing w:before="120" w:after="120"/>
              <w:rPr>
                <w:color w:val="000000"/>
                <w:lang w:eastAsia="en-AU"/>
              </w:rPr>
            </w:pPr>
            <w:r w:rsidRPr="003725E0">
              <w:rPr>
                <w:color w:val="000000"/>
                <w:lang w:eastAsia="en-AU"/>
              </w:rPr>
              <w:t>RHC approve Medical Code RPS C-5</w:t>
            </w:r>
          </w:p>
          <w:p w14:paraId="43B0459F" w14:textId="77777777" w:rsidR="0033588E" w:rsidRPr="003725E0" w:rsidRDefault="0033588E" w:rsidP="00FF23F5">
            <w:pPr>
              <w:pStyle w:val="ListParagraph"/>
              <w:numPr>
                <w:ilvl w:val="0"/>
                <w:numId w:val="25"/>
              </w:numPr>
              <w:spacing w:before="120" w:after="120"/>
              <w:rPr>
                <w:color w:val="000000"/>
                <w:lang w:eastAsia="en-AU"/>
              </w:rPr>
            </w:pPr>
            <w:r w:rsidRPr="003725E0">
              <w:rPr>
                <w:color w:val="000000"/>
                <w:lang w:eastAsia="en-AU"/>
              </w:rPr>
              <w:t>Publish Medical Code RPS C-5 on ARPANSA website</w:t>
            </w:r>
          </w:p>
          <w:p w14:paraId="5C6BC784" w14:textId="77777777" w:rsidR="0033588E" w:rsidRPr="003725E0" w:rsidRDefault="0033588E" w:rsidP="00FF23F5">
            <w:pPr>
              <w:pStyle w:val="ListParagraph"/>
              <w:numPr>
                <w:ilvl w:val="0"/>
                <w:numId w:val="25"/>
              </w:numPr>
              <w:spacing w:before="120" w:after="120"/>
              <w:rPr>
                <w:color w:val="000000" w:themeColor="text1"/>
                <w:lang w:eastAsia="en-AU"/>
              </w:rPr>
            </w:pPr>
            <w:r w:rsidRPr="003725E0">
              <w:rPr>
                <w:color w:val="000000" w:themeColor="text1"/>
                <w:lang w:eastAsia="en-AU"/>
              </w:rPr>
              <w:t xml:space="preserve">RHC will develop guidance on the technical application of the Medical Code for regulated entities and individuals. </w:t>
            </w:r>
          </w:p>
          <w:p w14:paraId="2DD1FC3B" w14:textId="77777777" w:rsidR="0033588E" w:rsidRPr="003725E0" w:rsidRDefault="0033588E" w:rsidP="00FF23F5">
            <w:pPr>
              <w:pStyle w:val="ListParagraph"/>
              <w:numPr>
                <w:ilvl w:val="0"/>
                <w:numId w:val="25"/>
              </w:numPr>
              <w:spacing w:before="120" w:after="120"/>
              <w:rPr>
                <w:color w:val="000000" w:themeColor="text1"/>
                <w:lang w:eastAsia="en-AU"/>
              </w:rPr>
            </w:pPr>
            <w:proofErr w:type="spellStart"/>
            <w:r w:rsidRPr="003725E0">
              <w:rPr>
                <w:color w:val="000000" w:themeColor="text1"/>
                <w:lang w:eastAsia="en-AU"/>
              </w:rPr>
              <w:t>EnHealth</w:t>
            </w:r>
            <w:proofErr w:type="spellEnd"/>
            <w:r w:rsidRPr="003725E0">
              <w:rPr>
                <w:color w:val="000000" w:themeColor="text1"/>
                <w:lang w:eastAsia="en-AU"/>
              </w:rPr>
              <w:t xml:space="preserve"> will develop guidance for regulators on the implementation of the code.</w:t>
            </w:r>
          </w:p>
          <w:p w14:paraId="2E0BF880" w14:textId="5D36DB66" w:rsidR="0033588E" w:rsidRPr="00BF6E3A" w:rsidRDefault="0033588E" w:rsidP="00FF23F5">
            <w:pPr>
              <w:pStyle w:val="ListParagraph"/>
              <w:numPr>
                <w:ilvl w:val="0"/>
                <w:numId w:val="25"/>
              </w:numPr>
              <w:spacing w:before="120" w:after="120"/>
              <w:rPr>
                <w:color w:val="000000"/>
                <w:lang w:eastAsia="en-AU"/>
              </w:rPr>
            </w:pPr>
            <w:r w:rsidRPr="003725E0">
              <w:rPr>
                <w:color w:val="000000"/>
                <w:lang w:eastAsia="en-AU"/>
              </w:rPr>
              <w:t>Medical Code to be endorsed by health ministers when NDRP2 is sent for approval</w:t>
            </w:r>
            <w:r w:rsidR="00C91B59">
              <w:rPr>
                <w:color w:val="000000"/>
                <w:lang w:eastAsia="en-AU"/>
              </w:rPr>
              <w:t>.</w:t>
            </w:r>
          </w:p>
        </w:tc>
      </w:tr>
      <w:tr w:rsidR="003725E0" w:rsidRPr="008E4BAB" w14:paraId="1BF4A33D" w14:textId="77777777" w:rsidTr="003725E0">
        <w:trPr>
          <w:trHeight w:val="2680"/>
          <w:jc w:val="center"/>
        </w:trPr>
        <w:tc>
          <w:tcPr>
            <w:tcW w:w="291" w:type="pct"/>
            <w:shd w:val="clear" w:color="auto" w:fill="auto"/>
          </w:tcPr>
          <w:p w14:paraId="7F648E8B" w14:textId="2F18035B" w:rsidR="003725E0" w:rsidRDefault="003725E0" w:rsidP="005400CD">
            <w:pPr>
              <w:spacing w:before="120" w:after="120"/>
              <w:jc w:val="center"/>
              <w:rPr>
                <w:color w:val="000000"/>
                <w:lang w:eastAsia="en-AU"/>
              </w:rPr>
            </w:pPr>
            <w:r>
              <w:rPr>
                <w:color w:val="000000"/>
                <w:lang w:eastAsia="en-AU"/>
              </w:rPr>
              <w:t>R22</w:t>
            </w:r>
          </w:p>
        </w:tc>
        <w:tc>
          <w:tcPr>
            <w:tcW w:w="1560" w:type="pct"/>
            <w:shd w:val="clear" w:color="auto" w:fill="auto"/>
          </w:tcPr>
          <w:p w14:paraId="4FBD6CCC" w14:textId="78A46C77" w:rsidR="003725E0" w:rsidRPr="00E9117C" w:rsidRDefault="003725E0" w:rsidP="004433D7">
            <w:pPr>
              <w:spacing w:before="120" w:after="120"/>
              <w:jc w:val="center"/>
              <w:rPr>
                <w:color w:val="000000"/>
                <w:lang w:eastAsia="en-AU"/>
              </w:rPr>
            </w:pPr>
            <w:r w:rsidRPr="00E9117C">
              <w:rPr>
                <w:color w:val="000000"/>
                <w:lang w:eastAsia="en-AU"/>
              </w:rPr>
              <w:t xml:space="preserve">The Commonwealth Government, in conjunction with the </w:t>
            </w:r>
            <w:r>
              <w:rPr>
                <w:color w:val="000000"/>
                <w:lang w:eastAsia="en-AU"/>
              </w:rPr>
              <w:t>s</w:t>
            </w:r>
            <w:r w:rsidRPr="00E9117C">
              <w:rPr>
                <w:color w:val="000000"/>
                <w:lang w:eastAsia="en-AU"/>
              </w:rPr>
              <w:t xml:space="preserve">tate and </w:t>
            </w:r>
            <w:r>
              <w:rPr>
                <w:color w:val="000000"/>
                <w:lang w:eastAsia="en-AU"/>
              </w:rPr>
              <w:t>t</w:t>
            </w:r>
            <w:r w:rsidRPr="00E9117C">
              <w:rPr>
                <w:color w:val="000000"/>
                <w:lang w:eastAsia="en-AU"/>
              </w:rPr>
              <w:t>erritory Governments, should progress the adoption and implementation of uniform clearance levels.</w:t>
            </w:r>
          </w:p>
        </w:tc>
        <w:tc>
          <w:tcPr>
            <w:tcW w:w="679" w:type="pct"/>
            <w:shd w:val="clear" w:color="auto" w:fill="auto"/>
          </w:tcPr>
          <w:p w14:paraId="3103A327" w14:textId="4A8037C3" w:rsidR="003725E0" w:rsidRDefault="003725E0" w:rsidP="005400CD">
            <w:pPr>
              <w:spacing w:before="120" w:after="120"/>
              <w:jc w:val="center"/>
              <w:rPr>
                <w:color w:val="000000"/>
                <w:lang w:eastAsia="en-AU"/>
              </w:rPr>
            </w:pPr>
            <w:proofErr w:type="spellStart"/>
            <w:r>
              <w:rPr>
                <w:color w:val="000000"/>
                <w:lang w:eastAsia="en-AU"/>
              </w:rPr>
              <w:t>enHealth</w:t>
            </w:r>
            <w:proofErr w:type="spellEnd"/>
          </w:p>
        </w:tc>
        <w:tc>
          <w:tcPr>
            <w:tcW w:w="741" w:type="pct"/>
          </w:tcPr>
          <w:p w14:paraId="466767E7" w14:textId="4218B1E5" w:rsidR="003725E0" w:rsidRDefault="003725E0" w:rsidP="005400CD">
            <w:pPr>
              <w:spacing w:before="120" w:after="120"/>
              <w:jc w:val="center"/>
              <w:rPr>
                <w:color w:val="000000"/>
                <w:lang w:eastAsia="en-AU"/>
              </w:rPr>
            </w:pPr>
            <w:r w:rsidRPr="008E4BAB">
              <w:rPr>
                <w:color w:val="000000"/>
                <w:lang w:eastAsia="en-AU"/>
              </w:rPr>
              <w:t>ARPANSA</w:t>
            </w:r>
            <w:r>
              <w:rPr>
                <w:color w:val="000000"/>
                <w:lang w:eastAsia="en-AU"/>
              </w:rPr>
              <w:t>, S/T regulators, Commonwealth Department of Health, S/T policy agencies</w:t>
            </w:r>
          </w:p>
        </w:tc>
        <w:tc>
          <w:tcPr>
            <w:tcW w:w="1729" w:type="pct"/>
          </w:tcPr>
          <w:p w14:paraId="288B1A6B" w14:textId="15C2B210" w:rsidR="003725E0" w:rsidRPr="003725E0" w:rsidRDefault="003725E0" w:rsidP="00FF23F5">
            <w:pPr>
              <w:pStyle w:val="ListParagraph"/>
              <w:numPr>
                <w:ilvl w:val="0"/>
                <w:numId w:val="25"/>
              </w:numPr>
              <w:spacing w:before="120" w:after="120"/>
              <w:rPr>
                <w:color w:val="000000"/>
                <w:lang w:eastAsia="en-AU"/>
              </w:rPr>
            </w:pPr>
            <w:r w:rsidRPr="003725E0">
              <w:rPr>
                <w:color w:val="000000"/>
                <w:lang w:eastAsia="en-AU"/>
              </w:rPr>
              <w:t>NDRP2 to be updated with the requirement for jurisdictions to adopt the clearance levels in Schedule 1 of GSR Part 3.</w:t>
            </w:r>
          </w:p>
          <w:p w14:paraId="38E9A3A1" w14:textId="3C791A5E" w:rsidR="003725E0" w:rsidRPr="003725E0" w:rsidRDefault="003725E0" w:rsidP="00FF23F5">
            <w:pPr>
              <w:pStyle w:val="ListParagraph"/>
              <w:numPr>
                <w:ilvl w:val="0"/>
                <w:numId w:val="25"/>
              </w:numPr>
              <w:spacing w:before="120" w:after="120"/>
              <w:rPr>
                <w:color w:val="000000" w:themeColor="text1"/>
                <w:lang w:eastAsia="en-AU"/>
              </w:rPr>
            </w:pPr>
            <w:proofErr w:type="spellStart"/>
            <w:proofErr w:type="gramStart"/>
            <w:r w:rsidRPr="003725E0">
              <w:rPr>
                <w:color w:val="000000" w:themeColor="text1"/>
                <w:lang w:eastAsia="en-AU"/>
              </w:rPr>
              <w:t>enHealth</w:t>
            </w:r>
            <w:proofErr w:type="spellEnd"/>
            <w:proofErr w:type="gramEnd"/>
            <w:r w:rsidRPr="003725E0">
              <w:rPr>
                <w:color w:val="000000" w:themeColor="text1"/>
                <w:lang w:eastAsia="en-AU"/>
              </w:rPr>
              <w:t xml:space="preserve"> will provide guidance on the application of clearance levels in accordance with Schedule 1 of GSR Part 3.</w:t>
            </w:r>
          </w:p>
        </w:tc>
      </w:tr>
      <w:tr w:rsidR="00AB7F97" w:rsidRPr="008E4BAB" w14:paraId="63456E2B" w14:textId="77777777" w:rsidTr="00C91B59">
        <w:trPr>
          <w:trHeight w:val="2094"/>
          <w:jc w:val="center"/>
        </w:trPr>
        <w:tc>
          <w:tcPr>
            <w:tcW w:w="291" w:type="pct"/>
            <w:shd w:val="clear" w:color="auto" w:fill="auto"/>
          </w:tcPr>
          <w:p w14:paraId="75A08405" w14:textId="48A61513" w:rsidR="00AB7F97" w:rsidRDefault="00AB7F97" w:rsidP="00746FA7">
            <w:pPr>
              <w:spacing w:before="120" w:after="120"/>
              <w:jc w:val="center"/>
              <w:rPr>
                <w:color w:val="000000"/>
                <w:lang w:eastAsia="en-AU"/>
              </w:rPr>
            </w:pPr>
            <w:r>
              <w:rPr>
                <w:color w:val="000000"/>
                <w:lang w:eastAsia="en-AU"/>
              </w:rPr>
              <w:t>S1</w:t>
            </w:r>
          </w:p>
        </w:tc>
        <w:tc>
          <w:tcPr>
            <w:tcW w:w="1560" w:type="pct"/>
          </w:tcPr>
          <w:p w14:paraId="29F5B345" w14:textId="7889CE9B" w:rsidR="00AB7F97" w:rsidRPr="00E9117C" w:rsidRDefault="00AB7F97" w:rsidP="00C91B59">
            <w:pPr>
              <w:spacing w:before="120" w:after="120"/>
              <w:jc w:val="center"/>
              <w:rPr>
                <w:color w:val="000000"/>
                <w:lang w:eastAsia="en-AU"/>
              </w:rPr>
            </w:pPr>
            <w:r w:rsidRPr="00E9117C">
              <w:rPr>
                <w:color w:val="000000"/>
                <w:lang w:eastAsia="en-AU"/>
              </w:rPr>
              <w:t xml:space="preserve">The Commonwealth Government, in conjunction with </w:t>
            </w:r>
            <w:r>
              <w:rPr>
                <w:color w:val="000000"/>
                <w:lang w:eastAsia="en-AU"/>
              </w:rPr>
              <w:t>s</w:t>
            </w:r>
            <w:r w:rsidRPr="00E9117C">
              <w:rPr>
                <w:color w:val="000000"/>
                <w:lang w:eastAsia="en-AU"/>
              </w:rPr>
              <w:t xml:space="preserve">tate and </w:t>
            </w:r>
            <w:r>
              <w:rPr>
                <w:color w:val="000000"/>
                <w:lang w:eastAsia="en-AU"/>
              </w:rPr>
              <w:t>t</w:t>
            </w:r>
            <w:r w:rsidRPr="00E9117C">
              <w:rPr>
                <w:color w:val="000000"/>
                <w:lang w:eastAsia="en-AU"/>
              </w:rPr>
              <w:t>erritory Governments, should consider formalizing the existing elements of the framework for safety into a comprehensive national policy and strategy for safety.</w:t>
            </w:r>
          </w:p>
        </w:tc>
        <w:tc>
          <w:tcPr>
            <w:tcW w:w="679" w:type="pct"/>
            <w:shd w:val="clear" w:color="auto" w:fill="auto"/>
          </w:tcPr>
          <w:p w14:paraId="51EB36DB" w14:textId="69EA1D9F" w:rsidR="00AB7F97" w:rsidRDefault="00AB7F97" w:rsidP="00746FA7">
            <w:pPr>
              <w:spacing w:before="120" w:after="120"/>
              <w:jc w:val="center"/>
              <w:rPr>
                <w:color w:val="000000"/>
                <w:lang w:eastAsia="en-AU"/>
              </w:rPr>
            </w:pPr>
            <w:proofErr w:type="spellStart"/>
            <w:r>
              <w:rPr>
                <w:color w:val="000000"/>
                <w:lang w:eastAsia="en-AU"/>
              </w:rPr>
              <w:t>enHealth</w:t>
            </w:r>
            <w:proofErr w:type="spellEnd"/>
          </w:p>
        </w:tc>
        <w:tc>
          <w:tcPr>
            <w:tcW w:w="741" w:type="pct"/>
          </w:tcPr>
          <w:p w14:paraId="7F55723F" w14:textId="454ED3C2" w:rsidR="00AB7F97" w:rsidRDefault="00AB7F97" w:rsidP="00746FA7">
            <w:pPr>
              <w:spacing w:before="120" w:after="120"/>
              <w:jc w:val="center"/>
              <w:rPr>
                <w:color w:val="000000"/>
                <w:lang w:eastAsia="en-AU"/>
              </w:rPr>
            </w:pPr>
            <w:r w:rsidRPr="008E4BAB">
              <w:rPr>
                <w:color w:val="000000"/>
                <w:lang w:eastAsia="en-AU"/>
              </w:rPr>
              <w:t>ARPANSA</w:t>
            </w:r>
            <w:r>
              <w:rPr>
                <w:color w:val="000000"/>
                <w:lang w:eastAsia="en-AU"/>
              </w:rPr>
              <w:t xml:space="preserve">, S/T regulators, </w:t>
            </w:r>
            <w:proofErr w:type="spellStart"/>
            <w:r>
              <w:rPr>
                <w:color w:val="000000"/>
                <w:lang w:eastAsia="en-AU"/>
              </w:rPr>
              <w:t>enHealth</w:t>
            </w:r>
            <w:proofErr w:type="spellEnd"/>
            <w:r>
              <w:rPr>
                <w:color w:val="000000"/>
                <w:lang w:eastAsia="en-AU"/>
              </w:rPr>
              <w:t>, RHERP</w:t>
            </w:r>
          </w:p>
        </w:tc>
        <w:tc>
          <w:tcPr>
            <w:tcW w:w="1729" w:type="pct"/>
          </w:tcPr>
          <w:p w14:paraId="236FF7A1" w14:textId="77777777" w:rsidR="00AB7F97" w:rsidRPr="003725E0" w:rsidRDefault="00AB7F97" w:rsidP="00FF23F5">
            <w:pPr>
              <w:pStyle w:val="ListParagraph"/>
              <w:numPr>
                <w:ilvl w:val="0"/>
                <w:numId w:val="25"/>
              </w:numPr>
              <w:spacing w:before="120" w:after="120"/>
              <w:rPr>
                <w:color w:val="000000" w:themeColor="text1"/>
                <w:lang w:eastAsia="en-AU"/>
              </w:rPr>
            </w:pPr>
            <w:proofErr w:type="spellStart"/>
            <w:proofErr w:type="gramStart"/>
            <w:r w:rsidRPr="003725E0">
              <w:rPr>
                <w:color w:val="000000" w:themeColor="text1"/>
                <w:lang w:eastAsia="en-AU"/>
              </w:rPr>
              <w:t>enHealth</w:t>
            </w:r>
            <w:proofErr w:type="spellEnd"/>
            <w:proofErr w:type="gramEnd"/>
            <w:r w:rsidRPr="003725E0">
              <w:rPr>
                <w:color w:val="000000" w:themeColor="text1"/>
                <w:lang w:eastAsia="en-AU"/>
              </w:rPr>
              <w:t xml:space="preserve"> will develop a National Strategy for Radiation Protection (the </w:t>
            </w:r>
            <w:r w:rsidRPr="003725E0">
              <w:rPr>
                <w:i/>
                <w:iCs/>
                <w:color w:val="000000" w:themeColor="text1"/>
                <w:lang w:eastAsia="en-AU"/>
              </w:rPr>
              <w:t>National Strategy</w:t>
            </w:r>
            <w:r w:rsidRPr="003725E0">
              <w:rPr>
                <w:color w:val="000000" w:themeColor="text1"/>
                <w:lang w:eastAsia="en-AU"/>
              </w:rPr>
              <w:t xml:space="preserve">). This strategy will be agreed by all jurisdictions through an Intergovernmental Agreement. The strategy will provide greater impetus and a clearer framework to strengthen harmonisation. </w:t>
            </w:r>
          </w:p>
          <w:p w14:paraId="3B921609" w14:textId="7DA92AA4" w:rsidR="00AB7F97" w:rsidRPr="003725E0" w:rsidRDefault="00AB7F97" w:rsidP="00FF23F5">
            <w:pPr>
              <w:pStyle w:val="ListParagraph"/>
              <w:numPr>
                <w:ilvl w:val="0"/>
                <w:numId w:val="25"/>
              </w:numPr>
              <w:spacing w:before="120" w:after="120"/>
              <w:rPr>
                <w:color w:val="000000"/>
                <w:lang w:eastAsia="en-AU"/>
              </w:rPr>
            </w:pPr>
            <w:r w:rsidRPr="003725E0">
              <w:rPr>
                <w:color w:val="000000" w:themeColor="text1"/>
                <w:lang w:eastAsia="en-AU"/>
              </w:rPr>
              <w:t xml:space="preserve">The </w:t>
            </w:r>
            <w:r w:rsidRPr="003725E0">
              <w:rPr>
                <w:i/>
                <w:iCs/>
                <w:color w:val="000000" w:themeColor="text1"/>
                <w:lang w:eastAsia="en-AU"/>
              </w:rPr>
              <w:t xml:space="preserve">National Strategy </w:t>
            </w:r>
            <w:r w:rsidRPr="003725E0">
              <w:rPr>
                <w:color w:val="000000" w:themeColor="text1"/>
                <w:lang w:eastAsia="en-AU"/>
              </w:rPr>
              <w:t>and Intergovernmental Agreement will provide the implementation mechanism for the response to other action items including R1 (ensuring a consistent level of protection and greater harmonisation in codes), and S10 (review of the regulatory framework to identify gaps).</w:t>
            </w:r>
          </w:p>
        </w:tc>
      </w:tr>
      <w:tr w:rsidR="00AB7F97" w:rsidRPr="008E4BAB" w14:paraId="6776FABF" w14:textId="77777777" w:rsidTr="003725E0">
        <w:trPr>
          <w:trHeight w:val="2094"/>
          <w:jc w:val="center"/>
        </w:trPr>
        <w:tc>
          <w:tcPr>
            <w:tcW w:w="291" w:type="pct"/>
            <w:shd w:val="clear" w:color="auto" w:fill="auto"/>
          </w:tcPr>
          <w:p w14:paraId="452EC208" w14:textId="536E2C91" w:rsidR="00AB7F97" w:rsidRDefault="00AB7F97" w:rsidP="00746FA7">
            <w:pPr>
              <w:spacing w:before="120" w:after="120"/>
              <w:jc w:val="center"/>
              <w:rPr>
                <w:color w:val="000000"/>
                <w:lang w:eastAsia="en-AU"/>
              </w:rPr>
            </w:pPr>
            <w:r>
              <w:rPr>
                <w:color w:val="000000"/>
                <w:lang w:eastAsia="en-AU"/>
              </w:rPr>
              <w:t>S9</w:t>
            </w:r>
          </w:p>
        </w:tc>
        <w:tc>
          <w:tcPr>
            <w:tcW w:w="1560" w:type="pct"/>
            <w:shd w:val="clear" w:color="auto" w:fill="auto"/>
          </w:tcPr>
          <w:p w14:paraId="2DD6743D" w14:textId="665F797E" w:rsidR="00AB7F97" w:rsidRPr="00E9117C" w:rsidRDefault="00AB7F97" w:rsidP="004433D7">
            <w:pPr>
              <w:spacing w:before="120" w:after="120"/>
              <w:jc w:val="center"/>
              <w:rPr>
                <w:color w:val="000000"/>
                <w:lang w:eastAsia="en-AU"/>
              </w:rPr>
            </w:pPr>
            <w:r w:rsidRPr="00E9117C">
              <w:rPr>
                <w:color w:val="000000"/>
                <w:lang w:eastAsia="en-AU"/>
              </w:rPr>
              <w:t xml:space="preserve">The Commonwealth Government, in conjunction with </w:t>
            </w:r>
            <w:r>
              <w:rPr>
                <w:color w:val="000000"/>
                <w:lang w:eastAsia="en-AU"/>
              </w:rPr>
              <w:t>s</w:t>
            </w:r>
            <w:r w:rsidRPr="00E9117C">
              <w:rPr>
                <w:color w:val="000000"/>
                <w:lang w:eastAsia="en-AU"/>
              </w:rPr>
              <w:t xml:space="preserve">tate and </w:t>
            </w:r>
            <w:r>
              <w:rPr>
                <w:color w:val="000000"/>
                <w:lang w:eastAsia="en-AU"/>
              </w:rPr>
              <w:t>t</w:t>
            </w:r>
            <w:r w:rsidRPr="00E9117C">
              <w:rPr>
                <w:color w:val="000000"/>
                <w:lang w:eastAsia="en-AU"/>
              </w:rPr>
              <w:t>erritory Governments should consider revising the process to maintain and update the NDRP and the means for implementing codes in order to support timely adoption and implementation of new national codes.</w:t>
            </w:r>
          </w:p>
        </w:tc>
        <w:tc>
          <w:tcPr>
            <w:tcW w:w="679" w:type="pct"/>
            <w:shd w:val="clear" w:color="auto" w:fill="auto"/>
          </w:tcPr>
          <w:p w14:paraId="17361F01" w14:textId="798235DA" w:rsidR="00AB7F97" w:rsidRDefault="00AB7F97" w:rsidP="00746FA7">
            <w:pPr>
              <w:spacing w:before="120" w:after="120"/>
              <w:jc w:val="center"/>
              <w:rPr>
                <w:color w:val="000000"/>
                <w:lang w:eastAsia="en-AU"/>
              </w:rPr>
            </w:pPr>
            <w:proofErr w:type="spellStart"/>
            <w:r>
              <w:rPr>
                <w:color w:val="000000"/>
                <w:lang w:eastAsia="en-AU"/>
              </w:rPr>
              <w:t>enHealth</w:t>
            </w:r>
            <w:proofErr w:type="spellEnd"/>
          </w:p>
        </w:tc>
        <w:tc>
          <w:tcPr>
            <w:tcW w:w="741" w:type="pct"/>
          </w:tcPr>
          <w:p w14:paraId="64D90C1E" w14:textId="367CA557" w:rsidR="00AB7F97" w:rsidRDefault="00AB7F97" w:rsidP="00746FA7">
            <w:pPr>
              <w:spacing w:before="120" w:after="120"/>
              <w:jc w:val="center"/>
              <w:rPr>
                <w:color w:val="000000"/>
                <w:lang w:eastAsia="en-AU"/>
              </w:rPr>
            </w:pPr>
            <w:r w:rsidRPr="008E4BAB">
              <w:rPr>
                <w:color w:val="000000"/>
                <w:lang w:eastAsia="en-AU"/>
              </w:rPr>
              <w:t>ARPANSA</w:t>
            </w:r>
            <w:r>
              <w:rPr>
                <w:color w:val="000000"/>
                <w:lang w:eastAsia="en-AU"/>
              </w:rPr>
              <w:t>, S/T regulators, Commonwealth Department of Health, S/T policy agencies</w:t>
            </w:r>
          </w:p>
        </w:tc>
        <w:tc>
          <w:tcPr>
            <w:tcW w:w="1729" w:type="pct"/>
          </w:tcPr>
          <w:p w14:paraId="164F3EBE" w14:textId="1D7A4D59" w:rsidR="00AB7F97" w:rsidRPr="001771D5" w:rsidRDefault="00AB7F97" w:rsidP="00FF23F5">
            <w:pPr>
              <w:pStyle w:val="ListParagraph"/>
              <w:numPr>
                <w:ilvl w:val="0"/>
                <w:numId w:val="27"/>
              </w:numPr>
              <w:spacing w:before="120" w:after="120"/>
              <w:rPr>
                <w:color w:val="000000"/>
                <w:lang w:eastAsia="en-AU"/>
              </w:rPr>
            </w:pPr>
            <w:r w:rsidRPr="001771D5">
              <w:rPr>
                <w:rFonts w:asciiTheme="minorHAnsi" w:eastAsia="Times New Roman" w:hAnsiTheme="minorHAnsi" w:cstheme="minorBidi"/>
                <w:color w:val="000000" w:themeColor="text1"/>
                <w:lang w:eastAsia="en-AU"/>
              </w:rPr>
              <w:t>Amend governance section in NDRP2 to provide for a more efficient process to maintain and update the NDRP and for timely incorporation of Codes in the NDRP.</w:t>
            </w:r>
          </w:p>
        </w:tc>
      </w:tr>
      <w:tr w:rsidR="00AB7F97" w:rsidRPr="008E4BAB" w14:paraId="4BCD3CDB" w14:textId="77777777" w:rsidTr="003725E0">
        <w:trPr>
          <w:trHeight w:val="2094"/>
          <w:jc w:val="center"/>
        </w:trPr>
        <w:tc>
          <w:tcPr>
            <w:tcW w:w="291" w:type="pct"/>
            <w:shd w:val="clear" w:color="auto" w:fill="auto"/>
          </w:tcPr>
          <w:p w14:paraId="5B841891" w14:textId="310C4992" w:rsidR="00AB7F97" w:rsidRDefault="00AB7F97" w:rsidP="00746FA7">
            <w:pPr>
              <w:spacing w:before="120" w:after="120"/>
              <w:jc w:val="center"/>
              <w:rPr>
                <w:color w:val="000000"/>
                <w:lang w:eastAsia="en-AU"/>
              </w:rPr>
            </w:pPr>
            <w:r>
              <w:rPr>
                <w:color w:val="000000"/>
                <w:lang w:eastAsia="en-AU"/>
              </w:rPr>
              <w:t>S11</w:t>
            </w:r>
          </w:p>
        </w:tc>
        <w:tc>
          <w:tcPr>
            <w:tcW w:w="1560" w:type="pct"/>
            <w:shd w:val="clear" w:color="auto" w:fill="auto"/>
          </w:tcPr>
          <w:p w14:paraId="75AF58CD" w14:textId="7803A4B9" w:rsidR="00AB7F97" w:rsidRPr="00E9117C" w:rsidRDefault="00AB7F97" w:rsidP="00746FA7">
            <w:pPr>
              <w:spacing w:before="120" w:after="120"/>
              <w:jc w:val="center"/>
              <w:rPr>
                <w:color w:val="000000"/>
                <w:lang w:eastAsia="en-AU"/>
              </w:rPr>
            </w:pPr>
            <w:r w:rsidRPr="00E9117C">
              <w:rPr>
                <w:color w:val="000000"/>
                <w:lang w:eastAsia="en-AU"/>
              </w:rPr>
              <w:t>The Governments should consider developing common competency requirements for relevant medical professionals in radiation protection and safety and ensuring consistent application across the jurisdictions</w:t>
            </w:r>
            <w:r>
              <w:rPr>
                <w:color w:val="000000"/>
                <w:lang w:eastAsia="en-AU"/>
              </w:rPr>
              <w:t>.</w:t>
            </w:r>
          </w:p>
        </w:tc>
        <w:tc>
          <w:tcPr>
            <w:tcW w:w="679" w:type="pct"/>
            <w:shd w:val="clear" w:color="auto" w:fill="auto"/>
          </w:tcPr>
          <w:p w14:paraId="62EEA06A" w14:textId="14708DDC" w:rsidR="00AB7F97" w:rsidRDefault="00AB7F97" w:rsidP="00746FA7">
            <w:pPr>
              <w:spacing w:before="120" w:after="120"/>
              <w:jc w:val="center"/>
              <w:rPr>
                <w:color w:val="000000"/>
                <w:lang w:eastAsia="en-AU"/>
              </w:rPr>
            </w:pPr>
            <w:proofErr w:type="spellStart"/>
            <w:r>
              <w:rPr>
                <w:color w:val="000000"/>
                <w:lang w:eastAsia="en-AU"/>
              </w:rPr>
              <w:t>enHealth</w:t>
            </w:r>
            <w:proofErr w:type="spellEnd"/>
          </w:p>
        </w:tc>
        <w:tc>
          <w:tcPr>
            <w:tcW w:w="741" w:type="pct"/>
          </w:tcPr>
          <w:p w14:paraId="65EBCFE3" w14:textId="0057E966" w:rsidR="00AB7F97" w:rsidRDefault="00AB7F97" w:rsidP="00746FA7">
            <w:pPr>
              <w:spacing w:before="120" w:after="120"/>
              <w:jc w:val="center"/>
              <w:rPr>
                <w:color w:val="000000"/>
                <w:lang w:eastAsia="en-AU"/>
              </w:rPr>
            </w:pPr>
            <w:r w:rsidRPr="008E4BAB">
              <w:rPr>
                <w:color w:val="000000"/>
                <w:lang w:eastAsia="en-AU"/>
              </w:rPr>
              <w:t>ARPANSA</w:t>
            </w:r>
            <w:r>
              <w:rPr>
                <w:color w:val="000000"/>
                <w:lang w:eastAsia="en-AU"/>
              </w:rPr>
              <w:t>, S/T regulators, Commonwealth Department of Health, S/T policy agencies</w:t>
            </w:r>
          </w:p>
        </w:tc>
        <w:tc>
          <w:tcPr>
            <w:tcW w:w="1729" w:type="pct"/>
          </w:tcPr>
          <w:p w14:paraId="2126B250" w14:textId="1B5BF051" w:rsidR="00AB7F97" w:rsidRPr="006623AE" w:rsidRDefault="00AB7F97" w:rsidP="00FF23F5">
            <w:pPr>
              <w:pStyle w:val="ListParagraph"/>
              <w:keepNext/>
              <w:keepLines/>
              <w:numPr>
                <w:ilvl w:val="0"/>
                <w:numId w:val="27"/>
              </w:numPr>
              <w:spacing w:before="120" w:after="120"/>
              <w:rPr>
                <w:color w:val="000000" w:themeColor="text1"/>
                <w:lang w:eastAsia="en-AU"/>
              </w:rPr>
            </w:pPr>
            <w:proofErr w:type="spellStart"/>
            <w:proofErr w:type="gramStart"/>
            <w:r w:rsidRPr="006623AE">
              <w:rPr>
                <w:color w:val="000000" w:themeColor="text1"/>
                <w:lang w:eastAsia="en-AU"/>
              </w:rPr>
              <w:t>enHealth</w:t>
            </w:r>
            <w:proofErr w:type="spellEnd"/>
            <w:proofErr w:type="gramEnd"/>
            <w:r w:rsidRPr="006623AE">
              <w:rPr>
                <w:color w:val="000000" w:themeColor="text1"/>
                <w:lang w:eastAsia="en-AU"/>
              </w:rPr>
              <w:t xml:space="preserve"> will engage with the Australian Health Practitioners’ Regulatory Agency (AHPRA) to determine whether AHPRA registration of a medical radiation professional is sufficient qualification to operate certain medical radiation equipment. </w:t>
            </w:r>
            <w:proofErr w:type="spellStart"/>
            <w:proofErr w:type="gramStart"/>
            <w:r w:rsidRPr="006623AE">
              <w:rPr>
                <w:color w:val="000000" w:themeColor="text1"/>
                <w:lang w:eastAsia="en-AU"/>
              </w:rPr>
              <w:t>enHealth</w:t>
            </w:r>
            <w:proofErr w:type="spellEnd"/>
            <w:proofErr w:type="gramEnd"/>
            <w:r w:rsidRPr="006623AE">
              <w:rPr>
                <w:color w:val="000000" w:themeColor="text1"/>
                <w:lang w:eastAsia="en-AU"/>
              </w:rPr>
              <w:t xml:space="preserve"> will take the advice of AHPRA and ensure it is incorporated in a consistent manner through the Intergovernmental Agreement.</w:t>
            </w:r>
          </w:p>
          <w:p w14:paraId="5C55AD46" w14:textId="62FB7904" w:rsidR="00AB7F97" w:rsidRDefault="00AB7F97" w:rsidP="00FF23F5">
            <w:pPr>
              <w:pStyle w:val="ListParagraph"/>
              <w:keepNext/>
              <w:keepLines/>
              <w:numPr>
                <w:ilvl w:val="0"/>
                <w:numId w:val="27"/>
              </w:numPr>
              <w:spacing w:before="120" w:after="120"/>
              <w:rPr>
                <w:color w:val="000000"/>
                <w:lang w:eastAsia="en-AU"/>
              </w:rPr>
            </w:pPr>
            <w:r w:rsidRPr="006623AE">
              <w:rPr>
                <w:color w:val="000000" w:themeColor="text1"/>
                <w:lang w:eastAsia="en-AU"/>
              </w:rPr>
              <w:t xml:space="preserve">This will also link in with broader work under the </w:t>
            </w:r>
            <w:r w:rsidRPr="006623AE">
              <w:rPr>
                <w:i/>
                <w:iCs/>
                <w:color w:val="000000" w:themeColor="text1"/>
                <w:lang w:eastAsia="en-AU"/>
              </w:rPr>
              <w:t>National Strategy</w:t>
            </w:r>
            <w:r w:rsidRPr="006623AE">
              <w:rPr>
                <w:color w:val="000000" w:themeColor="text1"/>
                <w:lang w:eastAsia="en-AU"/>
              </w:rPr>
              <w:t xml:space="preserve"> in response to R5 to determine competency and resourcing requirements for regulators.</w:t>
            </w:r>
          </w:p>
        </w:tc>
      </w:tr>
    </w:tbl>
    <w:p w14:paraId="3550E2FB" w14:textId="3A09DFBC" w:rsidR="005262FD" w:rsidRDefault="005262FD">
      <w:pPr>
        <w:spacing w:after="0"/>
      </w:pPr>
    </w:p>
    <w:p w14:paraId="76BA832C" w14:textId="1E9FC194" w:rsidR="00C17EA9" w:rsidRDefault="00C17EA9" w:rsidP="00643431">
      <w:pPr>
        <w:pStyle w:val="Heading2"/>
      </w:pPr>
      <w:bookmarkStart w:id="29" w:name="_Toc12344151"/>
      <w:bookmarkStart w:id="30" w:name="_Toc23428343"/>
      <w:bookmarkStart w:id="31" w:name="_Toc55828280"/>
      <w:r w:rsidRPr="00D140D9">
        <w:lastRenderedPageBreak/>
        <w:t xml:space="preserve">Findings </w:t>
      </w:r>
      <w:r w:rsidR="004433D7">
        <w:t>a</w:t>
      </w:r>
      <w:r w:rsidR="004433D7" w:rsidRPr="00D140D9">
        <w:t xml:space="preserve">ddressed </w:t>
      </w:r>
      <w:r w:rsidRPr="00D140D9">
        <w:t>to ARPANSA and State/Territory regulators (or to ‘regulatory bodies’</w:t>
      </w:r>
      <w:r>
        <w:t>)</w:t>
      </w:r>
      <w:bookmarkEnd w:id="29"/>
      <w:bookmarkEnd w:id="30"/>
      <w:bookmarkEnd w:id="3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oonotic Diseases"/>
        <w:tblDescription w:val="This table contains recommendations 14-16 under the zoonotic diseases capacity. "/>
      </w:tblPr>
      <w:tblGrid>
        <w:gridCol w:w="848"/>
        <w:gridCol w:w="4534"/>
        <w:gridCol w:w="2114"/>
        <w:gridCol w:w="2082"/>
        <w:gridCol w:w="4982"/>
      </w:tblGrid>
      <w:tr w:rsidR="00D46883" w:rsidRPr="002A3FD1" w14:paraId="3616CEDE" w14:textId="77777777" w:rsidTr="007C5E7E">
        <w:trPr>
          <w:trHeight w:val="739"/>
          <w:tblHeader/>
        </w:trPr>
        <w:tc>
          <w:tcPr>
            <w:tcW w:w="291" w:type="pct"/>
            <w:tcBorders>
              <w:right w:val="single" w:sz="4" w:space="0" w:color="FFFFFF" w:themeColor="background1"/>
            </w:tcBorders>
            <w:shd w:val="clear" w:color="auto" w:fill="0070C0"/>
            <w:vAlign w:val="center"/>
            <w:hideMark/>
          </w:tcPr>
          <w:p w14:paraId="2E599977" w14:textId="77777777" w:rsidR="00D46883" w:rsidRPr="00643431" w:rsidRDefault="00D46883" w:rsidP="00643431">
            <w:pPr>
              <w:spacing w:before="120" w:after="120"/>
              <w:jc w:val="center"/>
              <w:rPr>
                <w:b/>
                <w:color w:val="FFFFFF" w:themeColor="background1"/>
                <w:lang w:eastAsia="en-AU"/>
              </w:rPr>
            </w:pPr>
            <w:r w:rsidRPr="00643431">
              <w:rPr>
                <w:b/>
                <w:color w:val="FFFFFF" w:themeColor="background1"/>
                <w:lang w:eastAsia="en-AU"/>
              </w:rPr>
              <w:t>No.</w:t>
            </w:r>
          </w:p>
        </w:tc>
        <w:tc>
          <w:tcPr>
            <w:tcW w:w="1557" w:type="pct"/>
            <w:tcBorders>
              <w:left w:val="single" w:sz="4" w:space="0" w:color="FFFFFF" w:themeColor="background1"/>
              <w:right w:val="single" w:sz="4" w:space="0" w:color="FFFFFF" w:themeColor="background1"/>
            </w:tcBorders>
            <w:shd w:val="clear" w:color="auto" w:fill="0070C0"/>
            <w:vAlign w:val="center"/>
            <w:hideMark/>
          </w:tcPr>
          <w:p w14:paraId="3E613D67" w14:textId="77777777" w:rsidR="00D46883" w:rsidRPr="00643431" w:rsidRDefault="00D46883" w:rsidP="00643431">
            <w:pPr>
              <w:spacing w:before="120" w:after="120"/>
              <w:jc w:val="center"/>
              <w:rPr>
                <w:b/>
                <w:color w:val="FFFFFF" w:themeColor="background1"/>
                <w:lang w:eastAsia="en-AU"/>
              </w:rPr>
            </w:pPr>
            <w:r w:rsidRPr="00643431">
              <w:rPr>
                <w:b/>
                <w:color w:val="FFFFFF" w:themeColor="background1"/>
                <w:lang w:eastAsia="en-AU"/>
              </w:rPr>
              <w:t>Recommendations</w:t>
            </w:r>
          </w:p>
        </w:tc>
        <w:tc>
          <w:tcPr>
            <w:tcW w:w="726" w:type="pct"/>
            <w:tcBorders>
              <w:left w:val="single" w:sz="4" w:space="0" w:color="FFFFFF" w:themeColor="background1"/>
              <w:right w:val="single" w:sz="4" w:space="0" w:color="FFFFFF" w:themeColor="background1"/>
            </w:tcBorders>
            <w:shd w:val="clear" w:color="auto" w:fill="0070C0"/>
            <w:vAlign w:val="center"/>
            <w:hideMark/>
          </w:tcPr>
          <w:p w14:paraId="337D63B9" w14:textId="3CA9E8EA" w:rsidR="00D46883" w:rsidRPr="00643431" w:rsidRDefault="00D46883" w:rsidP="00643431">
            <w:pPr>
              <w:spacing w:before="120" w:after="120"/>
              <w:jc w:val="center"/>
              <w:rPr>
                <w:b/>
                <w:color w:val="FFFFFF" w:themeColor="background1"/>
                <w:lang w:eastAsia="en-AU"/>
              </w:rPr>
            </w:pPr>
            <w:r w:rsidRPr="00643431">
              <w:rPr>
                <w:b/>
                <w:color w:val="FFFFFF" w:themeColor="background1"/>
                <w:lang w:eastAsia="en-AU"/>
              </w:rPr>
              <w:t>Responsible committee</w:t>
            </w:r>
          </w:p>
        </w:tc>
        <w:tc>
          <w:tcPr>
            <w:tcW w:w="715" w:type="pct"/>
            <w:tcBorders>
              <w:left w:val="single" w:sz="4" w:space="0" w:color="FFFFFF" w:themeColor="background1"/>
              <w:right w:val="single" w:sz="4" w:space="0" w:color="FFFFFF" w:themeColor="background1"/>
            </w:tcBorders>
            <w:shd w:val="clear" w:color="auto" w:fill="0070C0"/>
            <w:vAlign w:val="center"/>
          </w:tcPr>
          <w:p w14:paraId="6C8E77FD" w14:textId="5314BB2C" w:rsidR="00D46883" w:rsidRPr="00643431" w:rsidRDefault="00D46883" w:rsidP="00643431">
            <w:pPr>
              <w:spacing w:before="120" w:after="120"/>
              <w:jc w:val="center"/>
              <w:rPr>
                <w:b/>
                <w:color w:val="FFFFFF" w:themeColor="background1"/>
                <w:lang w:eastAsia="en-AU"/>
              </w:rPr>
            </w:pPr>
            <w:r w:rsidRPr="00643431">
              <w:rPr>
                <w:b/>
                <w:color w:val="FFFFFF" w:themeColor="background1"/>
                <w:lang w:eastAsia="en-AU"/>
              </w:rPr>
              <w:t>Key Stakeholders</w:t>
            </w:r>
          </w:p>
        </w:tc>
        <w:tc>
          <w:tcPr>
            <w:tcW w:w="1711" w:type="pct"/>
            <w:tcBorders>
              <w:left w:val="single" w:sz="4" w:space="0" w:color="FFFFFF" w:themeColor="background1"/>
              <w:right w:val="single" w:sz="4" w:space="0" w:color="auto"/>
            </w:tcBorders>
            <w:shd w:val="clear" w:color="auto" w:fill="0070C0"/>
          </w:tcPr>
          <w:p w14:paraId="4ED6B0DF" w14:textId="5EECEE45" w:rsidR="00D46883" w:rsidRPr="00643431" w:rsidRDefault="00D46883" w:rsidP="00643431">
            <w:pPr>
              <w:spacing w:before="120" w:after="120"/>
              <w:jc w:val="center"/>
              <w:rPr>
                <w:b/>
                <w:color w:val="FFFFFF" w:themeColor="background1"/>
                <w:lang w:eastAsia="en-AU"/>
              </w:rPr>
            </w:pPr>
            <w:r>
              <w:rPr>
                <w:b/>
                <w:color w:val="FFFFFF" w:themeColor="background1"/>
                <w:lang w:eastAsia="en-AU"/>
              </w:rPr>
              <w:t>Proposed Actions</w:t>
            </w:r>
          </w:p>
        </w:tc>
      </w:tr>
      <w:tr w:rsidR="00D46883" w:rsidRPr="002A3FD1" w14:paraId="5F4BE323" w14:textId="77777777" w:rsidTr="006623AE">
        <w:trPr>
          <w:trHeight w:val="2114"/>
        </w:trPr>
        <w:tc>
          <w:tcPr>
            <w:tcW w:w="291" w:type="pct"/>
            <w:hideMark/>
          </w:tcPr>
          <w:p w14:paraId="240AEA26" w14:textId="77777777" w:rsidR="00D46883" w:rsidRPr="002A3FD1" w:rsidRDefault="00D46883" w:rsidP="00643431">
            <w:pPr>
              <w:spacing w:before="120" w:after="120"/>
              <w:jc w:val="center"/>
            </w:pPr>
            <w:bookmarkStart w:id="32" w:name="RANGE!A8"/>
            <w:bookmarkStart w:id="33" w:name="RANGE!A7"/>
            <w:bookmarkEnd w:id="32"/>
            <w:bookmarkEnd w:id="33"/>
            <w:r>
              <w:t>R7</w:t>
            </w:r>
          </w:p>
        </w:tc>
        <w:tc>
          <w:tcPr>
            <w:tcW w:w="1557" w:type="pct"/>
            <w:hideMark/>
          </w:tcPr>
          <w:p w14:paraId="51C582EE" w14:textId="3F09A2A5" w:rsidR="00D46883" w:rsidRPr="002A3FD1" w:rsidRDefault="00D46883" w:rsidP="00643431">
            <w:pPr>
              <w:spacing w:before="120" w:after="120"/>
              <w:jc w:val="center"/>
            </w:pPr>
            <w:r w:rsidRPr="00D140D9">
              <w:t>Regulatory bodies should assess the need for updating regulatory requirements or guidance, review and assessment, inspection and licensing processes after considering the events reported in ARIR, especially the noteworthy events highlighted in the annual ARIR report.</w:t>
            </w:r>
          </w:p>
        </w:tc>
        <w:tc>
          <w:tcPr>
            <w:tcW w:w="726" w:type="pct"/>
            <w:hideMark/>
          </w:tcPr>
          <w:p w14:paraId="213CB71C" w14:textId="77777777" w:rsidR="00D46883" w:rsidRPr="002A3FD1" w:rsidRDefault="00D46883" w:rsidP="00643431">
            <w:pPr>
              <w:spacing w:before="120" w:after="120"/>
              <w:jc w:val="center"/>
            </w:pPr>
            <w:proofErr w:type="spellStart"/>
            <w:r>
              <w:rPr>
                <w:color w:val="000000"/>
                <w:lang w:eastAsia="en-AU"/>
              </w:rPr>
              <w:t>enHealth</w:t>
            </w:r>
            <w:proofErr w:type="spellEnd"/>
          </w:p>
        </w:tc>
        <w:tc>
          <w:tcPr>
            <w:tcW w:w="715" w:type="pct"/>
            <w:shd w:val="clear" w:color="auto" w:fill="auto"/>
          </w:tcPr>
          <w:p w14:paraId="3AACE1C4" w14:textId="669C7AC2" w:rsidR="00D46883" w:rsidRPr="00CA02EB" w:rsidRDefault="00D46883" w:rsidP="00746FA7">
            <w:pPr>
              <w:spacing w:before="120" w:after="120"/>
              <w:jc w:val="center"/>
              <w:rPr>
                <w:color w:val="000000"/>
                <w:lang w:eastAsia="en-AU"/>
              </w:rPr>
            </w:pPr>
            <w:r w:rsidRPr="00CA02EB">
              <w:rPr>
                <w:color w:val="000000"/>
                <w:lang w:eastAsia="en-AU"/>
              </w:rPr>
              <w:t>ARPANSA, S/T regulators</w:t>
            </w:r>
          </w:p>
        </w:tc>
        <w:tc>
          <w:tcPr>
            <w:tcW w:w="1711" w:type="pct"/>
          </w:tcPr>
          <w:p w14:paraId="0EB14B16" w14:textId="68076311" w:rsidR="00D46883" w:rsidRPr="002A3FD1" w:rsidRDefault="00D46883" w:rsidP="00FF23F5">
            <w:pPr>
              <w:pStyle w:val="ListParagraph"/>
              <w:numPr>
                <w:ilvl w:val="0"/>
                <w:numId w:val="28"/>
              </w:numPr>
              <w:spacing w:before="120" w:after="120"/>
            </w:pPr>
            <w:proofErr w:type="spellStart"/>
            <w:r>
              <w:t>enHealth</w:t>
            </w:r>
            <w:proofErr w:type="spellEnd"/>
            <w:r>
              <w:t xml:space="preserve"> is to review existing incident reporting systems, including the ARIR, and work with stakeholders to design an improved national system for reporting and reviewing incidents, </w:t>
            </w:r>
            <w:r w:rsidRPr="007044CA">
              <w:t>including a feedback mechanism to improve regulatory policy and processes</w:t>
            </w:r>
            <w:r>
              <w:t xml:space="preserve">. </w:t>
            </w:r>
          </w:p>
        </w:tc>
      </w:tr>
      <w:tr w:rsidR="00D46883" w:rsidRPr="002A3FD1" w14:paraId="36947444" w14:textId="77777777" w:rsidTr="006623AE">
        <w:trPr>
          <w:trHeight w:val="1991"/>
        </w:trPr>
        <w:tc>
          <w:tcPr>
            <w:tcW w:w="291" w:type="pct"/>
            <w:hideMark/>
          </w:tcPr>
          <w:p w14:paraId="7D559745" w14:textId="77777777" w:rsidR="00D46883" w:rsidRPr="002A3FD1" w:rsidRDefault="00D46883" w:rsidP="00643431">
            <w:pPr>
              <w:spacing w:before="120" w:after="120"/>
              <w:jc w:val="center"/>
            </w:pPr>
            <w:r>
              <w:t>R12</w:t>
            </w:r>
          </w:p>
        </w:tc>
        <w:tc>
          <w:tcPr>
            <w:tcW w:w="1557" w:type="pct"/>
            <w:hideMark/>
          </w:tcPr>
          <w:p w14:paraId="57991EF0" w14:textId="77777777" w:rsidR="00D46883" w:rsidRPr="002A3FD1" w:rsidRDefault="00D46883" w:rsidP="00643431">
            <w:pPr>
              <w:spacing w:before="120" w:after="120"/>
              <w:jc w:val="center"/>
            </w:pPr>
            <w:r w:rsidRPr="00D140D9">
              <w:t>Regulatory bodies as well as the Civil Aviation Safety Authority and the Australian Maritime Safety Authority, should coordinate to ensure consistent review of applications for approval of package design and special form radioactive material design.</w:t>
            </w:r>
          </w:p>
        </w:tc>
        <w:tc>
          <w:tcPr>
            <w:tcW w:w="726" w:type="pct"/>
            <w:hideMark/>
          </w:tcPr>
          <w:p w14:paraId="2844B42E" w14:textId="60CEF3CC" w:rsidR="00D46883" w:rsidRPr="002A3FD1" w:rsidRDefault="00D46883" w:rsidP="00643431">
            <w:pPr>
              <w:spacing w:before="120" w:after="120"/>
              <w:jc w:val="center"/>
            </w:pPr>
            <w:proofErr w:type="spellStart"/>
            <w:r>
              <w:t>enHealth</w:t>
            </w:r>
            <w:proofErr w:type="spellEnd"/>
          </w:p>
        </w:tc>
        <w:tc>
          <w:tcPr>
            <w:tcW w:w="715" w:type="pct"/>
            <w:shd w:val="clear" w:color="auto" w:fill="auto"/>
          </w:tcPr>
          <w:p w14:paraId="522D64BA" w14:textId="619F2839" w:rsidR="00D46883" w:rsidRPr="00CA02EB" w:rsidRDefault="00D46883" w:rsidP="00A109D5">
            <w:pPr>
              <w:spacing w:before="120" w:after="120"/>
              <w:jc w:val="center"/>
              <w:rPr>
                <w:color w:val="000000"/>
              </w:rPr>
            </w:pPr>
            <w:r w:rsidRPr="00CA02EB">
              <w:rPr>
                <w:color w:val="000000"/>
                <w:lang w:eastAsia="en-AU"/>
              </w:rPr>
              <w:t xml:space="preserve">ARPANSA, S/T regulators, </w:t>
            </w:r>
            <w:r w:rsidRPr="00CA02EB">
              <w:t>Civil Aviation Safety Authority, Australian M</w:t>
            </w:r>
            <w:r>
              <w:t>aritime Safety Authority</w:t>
            </w:r>
          </w:p>
        </w:tc>
        <w:tc>
          <w:tcPr>
            <w:tcW w:w="1711" w:type="pct"/>
          </w:tcPr>
          <w:p w14:paraId="3515D3D7" w14:textId="2A4C0B55" w:rsidR="00D46883" w:rsidRPr="002A3FD1" w:rsidRDefault="00D46883" w:rsidP="00FF23F5">
            <w:pPr>
              <w:pStyle w:val="ListParagraph"/>
              <w:numPr>
                <w:ilvl w:val="0"/>
                <w:numId w:val="28"/>
              </w:numPr>
              <w:spacing w:before="120" w:after="120"/>
            </w:pPr>
            <w:proofErr w:type="spellStart"/>
            <w:proofErr w:type="gramStart"/>
            <w:r>
              <w:t>enHealth</w:t>
            </w:r>
            <w:proofErr w:type="spellEnd"/>
            <w:proofErr w:type="gramEnd"/>
            <w:r>
              <w:t xml:space="preserve"> and ARPANSA will re-establish a formal mechanism to coordinate with, CASA and AMSA to develop and implement a system for a nationally consistent approach to the review of applications for approval of package design and special form radioactive material design.</w:t>
            </w:r>
          </w:p>
        </w:tc>
      </w:tr>
      <w:tr w:rsidR="00D46883" w:rsidRPr="002A3FD1" w14:paraId="10DCDFAE" w14:textId="77777777" w:rsidTr="006623AE">
        <w:trPr>
          <w:trHeight w:val="70"/>
        </w:trPr>
        <w:tc>
          <w:tcPr>
            <w:tcW w:w="291" w:type="pct"/>
            <w:hideMark/>
          </w:tcPr>
          <w:p w14:paraId="783D1D01" w14:textId="77777777" w:rsidR="00D46883" w:rsidRPr="002A3FD1" w:rsidRDefault="00D46883" w:rsidP="00A109D5">
            <w:pPr>
              <w:spacing w:before="120" w:after="120"/>
              <w:jc w:val="center"/>
            </w:pPr>
            <w:r>
              <w:t>R15</w:t>
            </w:r>
          </w:p>
        </w:tc>
        <w:tc>
          <w:tcPr>
            <w:tcW w:w="1557" w:type="pct"/>
            <w:hideMark/>
          </w:tcPr>
          <w:p w14:paraId="5B8EBA6E" w14:textId="06C773FE" w:rsidR="00D46883" w:rsidRPr="002A3FD1" w:rsidRDefault="00D46883" w:rsidP="00A109D5">
            <w:pPr>
              <w:spacing w:before="120" w:after="120"/>
              <w:jc w:val="center"/>
            </w:pPr>
            <w:r w:rsidRPr="00D140D9">
              <w:t>Regulatory bodies should ensure that their regulations for the safe transport of radioactive material align with the latest revision of the Code for the Safe Transport of Radioactive Material (Radiation Protection Series C-2) and ensure that these regulations apply to all operations specified in the scope of the IAEA Regulations for the Safe Transport of Radioactive Material SSR-6.</w:t>
            </w:r>
          </w:p>
        </w:tc>
        <w:tc>
          <w:tcPr>
            <w:tcW w:w="726" w:type="pct"/>
            <w:hideMark/>
          </w:tcPr>
          <w:p w14:paraId="0D92EC99" w14:textId="77777777" w:rsidR="00D46883" w:rsidRPr="002A3FD1" w:rsidRDefault="00D46883" w:rsidP="00A109D5">
            <w:pPr>
              <w:spacing w:before="120" w:after="120"/>
              <w:jc w:val="center"/>
            </w:pPr>
            <w:proofErr w:type="spellStart"/>
            <w:r>
              <w:rPr>
                <w:color w:val="000000"/>
                <w:lang w:eastAsia="en-AU"/>
              </w:rPr>
              <w:t>enHealth</w:t>
            </w:r>
            <w:proofErr w:type="spellEnd"/>
          </w:p>
        </w:tc>
        <w:tc>
          <w:tcPr>
            <w:tcW w:w="715" w:type="pct"/>
            <w:shd w:val="clear" w:color="auto" w:fill="auto"/>
          </w:tcPr>
          <w:p w14:paraId="2859AC61" w14:textId="03063711" w:rsidR="00D46883" w:rsidRPr="00CA02EB" w:rsidRDefault="00D46883" w:rsidP="00A109D5">
            <w:pPr>
              <w:spacing w:before="120" w:after="120"/>
              <w:jc w:val="center"/>
              <w:rPr>
                <w:color w:val="000000"/>
                <w:lang w:eastAsia="en-AU"/>
              </w:rPr>
            </w:pPr>
            <w:r w:rsidRPr="00CA02EB">
              <w:rPr>
                <w:color w:val="000000"/>
                <w:lang w:eastAsia="en-AU"/>
              </w:rPr>
              <w:t xml:space="preserve">ARPANSA, S/T regulators, Commonwealth Department of Health, S/T policy </w:t>
            </w:r>
            <w:r>
              <w:rPr>
                <w:color w:val="000000"/>
                <w:lang w:eastAsia="en-AU"/>
              </w:rPr>
              <w:t>agencies</w:t>
            </w:r>
          </w:p>
        </w:tc>
        <w:tc>
          <w:tcPr>
            <w:tcW w:w="1711" w:type="pct"/>
          </w:tcPr>
          <w:p w14:paraId="2C0D66F9" w14:textId="77777777" w:rsidR="00D46883" w:rsidRPr="002A3FD1" w:rsidRDefault="00D46883" w:rsidP="00FF23F5">
            <w:pPr>
              <w:pStyle w:val="ListParagraph"/>
              <w:numPr>
                <w:ilvl w:val="0"/>
                <w:numId w:val="28"/>
              </w:numPr>
              <w:spacing w:before="120" w:after="120"/>
            </w:pPr>
            <w:proofErr w:type="spellStart"/>
            <w:proofErr w:type="gramStart"/>
            <w:r>
              <w:t>enHealth</w:t>
            </w:r>
            <w:proofErr w:type="spellEnd"/>
            <w:proofErr w:type="gramEnd"/>
            <w:r>
              <w:t xml:space="preserve"> will investigate the most efficient mechanisms for all jurisdictions to automatically adopt the Code.</w:t>
            </w:r>
          </w:p>
          <w:p w14:paraId="193422B8" w14:textId="77777777" w:rsidR="00D46883" w:rsidRPr="002A3FD1" w:rsidRDefault="00D46883" w:rsidP="00A109D5">
            <w:pPr>
              <w:spacing w:before="120" w:after="120"/>
              <w:jc w:val="center"/>
            </w:pPr>
          </w:p>
          <w:p w14:paraId="0024B288" w14:textId="77777777" w:rsidR="00D46883" w:rsidRPr="002A3FD1" w:rsidRDefault="00D46883" w:rsidP="00A109D5">
            <w:pPr>
              <w:spacing w:before="120" w:after="120"/>
              <w:jc w:val="center"/>
            </w:pPr>
          </w:p>
          <w:p w14:paraId="62565537" w14:textId="77777777" w:rsidR="00D46883" w:rsidRPr="002A3FD1" w:rsidRDefault="00D46883" w:rsidP="00A109D5">
            <w:pPr>
              <w:spacing w:before="120" w:after="120"/>
            </w:pPr>
          </w:p>
        </w:tc>
      </w:tr>
      <w:tr w:rsidR="006623AE" w:rsidRPr="002A3FD1" w14:paraId="4061CF1A" w14:textId="77777777" w:rsidTr="00FF23F5">
        <w:trPr>
          <w:trHeight w:val="5613"/>
        </w:trPr>
        <w:tc>
          <w:tcPr>
            <w:tcW w:w="291" w:type="pct"/>
          </w:tcPr>
          <w:p w14:paraId="047DD3CE" w14:textId="77777777" w:rsidR="006623AE" w:rsidRPr="002A3FD1" w:rsidRDefault="006623AE" w:rsidP="00A109D5">
            <w:pPr>
              <w:spacing w:before="120" w:after="120"/>
              <w:jc w:val="center"/>
            </w:pPr>
            <w:r>
              <w:t>R21</w:t>
            </w:r>
          </w:p>
        </w:tc>
        <w:tc>
          <w:tcPr>
            <w:tcW w:w="1557" w:type="pct"/>
          </w:tcPr>
          <w:p w14:paraId="6A334526" w14:textId="50BEF0B0" w:rsidR="006623AE" w:rsidRPr="002A3FD1" w:rsidRDefault="006623AE" w:rsidP="004433D7">
            <w:pPr>
              <w:spacing w:before="120" w:after="120"/>
              <w:jc w:val="center"/>
            </w:pPr>
            <w:r w:rsidRPr="00D140D9">
              <w:t xml:space="preserve">ARPANSA, in conjunction with </w:t>
            </w:r>
            <w:r>
              <w:t>s</w:t>
            </w:r>
            <w:r w:rsidRPr="00D140D9">
              <w:t xml:space="preserve">tate and </w:t>
            </w:r>
            <w:r>
              <w:t>t</w:t>
            </w:r>
            <w:r w:rsidRPr="00D140D9">
              <w:t>erritory regulatory bodies, should revise the current requirements on occupational radiation protection to ensure compliance with IAEA Safety Standards GSR Part 3.</w:t>
            </w:r>
          </w:p>
        </w:tc>
        <w:tc>
          <w:tcPr>
            <w:tcW w:w="726" w:type="pct"/>
          </w:tcPr>
          <w:p w14:paraId="4BF0AF4D" w14:textId="77777777" w:rsidR="006623AE" w:rsidRPr="002A3FD1" w:rsidRDefault="006623AE" w:rsidP="00A109D5">
            <w:pPr>
              <w:spacing w:before="120" w:after="120"/>
              <w:jc w:val="center"/>
            </w:pPr>
            <w:proofErr w:type="spellStart"/>
            <w:r>
              <w:rPr>
                <w:color w:val="000000"/>
                <w:lang w:eastAsia="en-AU"/>
              </w:rPr>
              <w:t>enHealth</w:t>
            </w:r>
            <w:proofErr w:type="spellEnd"/>
          </w:p>
        </w:tc>
        <w:tc>
          <w:tcPr>
            <w:tcW w:w="715" w:type="pct"/>
            <w:shd w:val="clear" w:color="auto" w:fill="auto"/>
          </w:tcPr>
          <w:p w14:paraId="38D70DEF" w14:textId="68735018" w:rsidR="006623AE" w:rsidRPr="00CA02EB" w:rsidRDefault="006623AE" w:rsidP="00A109D5">
            <w:pPr>
              <w:spacing w:before="120" w:after="120"/>
              <w:jc w:val="center"/>
              <w:rPr>
                <w:color w:val="000000"/>
                <w:lang w:eastAsia="en-AU"/>
              </w:rPr>
            </w:pPr>
            <w:r w:rsidRPr="00CA02EB">
              <w:rPr>
                <w:color w:val="000000"/>
                <w:lang w:eastAsia="en-AU"/>
              </w:rPr>
              <w:t>ARPANSA, S/T regulators, Commonwealth Department</w:t>
            </w:r>
            <w:r>
              <w:rPr>
                <w:color w:val="000000"/>
                <w:lang w:eastAsia="en-AU"/>
              </w:rPr>
              <w:t xml:space="preserve"> of Health, S/T policy agencies</w:t>
            </w:r>
          </w:p>
        </w:tc>
        <w:tc>
          <w:tcPr>
            <w:tcW w:w="1711" w:type="pct"/>
          </w:tcPr>
          <w:p w14:paraId="648470C9" w14:textId="77777777" w:rsidR="006623AE" w:rsidRPr="006623AE" w:rsidRDefault="006623AE" w:rsidP="00FF23F5">
            <w:pPr>
              <w:pStyle w:val="ListParagraph"/>
              <w:numPr>
                <w:ilvl w:val="0"/>
                <w:numId w:val="28"/>
              </w:numPr>
              <w:spacing w:before="120" w:after="120"/>
            </w:pPr>
            <w:r w:rsidRPr="006623AE">
              <w:t>The Planned Exposure Code (RPS C-1) is to be revised to include the following:</w:t>
            </w:r>
          </w:p>
          <w:p w14:paraId="47E7C52E" w14:textId="77777777" w:rsidR="006623AE" w:rsidRPr="006623AE" w:rsidRDefault="006623AE" w:rsidP="00FF23F5">
            <w:pPr>
              <w:pStyle w:val="ListParagraph"/>
              <w:numPr>
                <w:ilvl w:val="1"/>
                <w:numId w:val="28"/>
              </w:numPr>
              <w:spacing w:after="0"/>
            </w:pPr>
            <w:r w:rsidRPr="006623AE">
              <w:t>specific dose limits for apprentices and students from 16 to 18 years of age</w:t>
            </w:r>
          </w:p>
          <w:p w14:paraId="218460B6" w14:textId="77777777" w:rsidR="006623AE" w:rsidRPr="006623AE" w:rsidRDefault="006623AE" w:rsidP="00FF23F5">
            <w:pPr>
              <w:pStyle w:val="ListParagraph"/>
              <w:numPr>
                <w:ilvl w:val="1"/>
                <w:numId w:val="28"/>
              </w:numPr>
              <w:spacing w:after="0"/>
            </w:pPr>
            <w:r w:rsidRPr="006623AE">
              <w:t>conditions of service of workers have to be independent of whether they are or could be subject to occupational exposure and that no compensatory arrangements or preferential considerations can exist</w:t>
            </w:r>
          </w:p>
          <w:p w14:paraId="4A59421E" w14:textId="5564043B" w:rsidR="006623AE" w:rsidRPr="006623AE" w:rsidRDefault="006623AE" w:rsidP="00FF23F5">
            <w:pPr>
              <w:pStyle w:val="ListParagraph"/>
              <w:numPr>
                <w:ilvl w:val="1"/>
                <w:numId w:val="28"/>
              </w:numPr>
              <w:spacing w:after="0"/>
            </w:pPr>
            <w:r w:rsidRPr="006623AE">
              <w:t>health surveillance for exposed workers</w:t>
            </w:r>
          </w:p>
          <w:p w14:paraId="72A96C5C" w14:textId="1EA69420" w:rsidR="006623AE" w:rsidRPr="002A3FD1" w:rsidRDefault="006623AE" w:rsidP="00FF23F5">
            <w:pPr>
              <w:pStyle w:val="ListParagraph"/>
              <w:numPr>
                <w:ilvl w:val="0"/>
                <w:numId w:val="28"/>
              </w:numPr>
              <w:spacing w:after="0"/>
            </w:pPr>
            <w:proofErr w:type="spellStart"/>
            <w:r w:rsidRPr="006623AE">
              <w:t>EnHealth</w:t>
            </w:r>
            <w:proofErr w:type="spellEnd"/>
            <w:r w:rsidRPr="006623AE">
              <w:t xml:space="preserve"> will develop an implementation framework for the Planned Exposure Code including authorisation or approval of dosimetry services for the exposed workers</w:t>
            </w:r>
          </w:p>
        </w:tc>
      </w:tr>
      <w:tr w:rsidR="00D46883" w:rsidRPr="002A3FD1" w14:paraId="37A444D6" w14:textId="77777777" w:rsidTr="006623AE">
        <w:trPr>
          <w:trHeight w:val="70"/>
        </w:trPr>
        <w:tc>
          <w:tcPr>
            <w:tcW w:w="291" w:type="pct"/>
          </w:tcPr>
          <w:p w14:paraId="0352ED1E" w14:textId="77777777" w:rsidR="00D46883" w:rsidRPr="002A3FD1" w:rsidRDefault="00D46883" w:rsidP="00A109D5">
            <w:pPr>
              <w:spacing w:before="120" w:after="120"/>
              <w:jc w:val="center"/>
            </w:pPr>
            <w:r>
              <w:t>S2</w:t>
            </w:r>
          </w:p>
        </w:tc>
        <w:tc>
          <w:tcPr>
            <w:tcW w:w="1557" w:type="pct"/>
          </w:tcPr>
          <w:p w14:paraId="1F5F551E" w14:textId="721C8B1B" w:rsidR="00D46883" w:rsidRPr="002A3FD1" w:rsidRDefault="00D46883" w:rsidP="004433D7">
            <w:pPr>
              <w:spacing w:before="120" w:after="120"/>
              <w:jc w:val="center"/>
            </w:pPr>
            <w:r w:rsidRPr="00D140D9">
              <w:t xml:space="preserve">ARPANSA, in conjunction with the </w:t>
            </w:r>
            <w:r>
              <w:t>s</w:t>
            </w:r>
            <w:r w:rsidRPr="00D140D9">
              <w:t xml:space="preserve">tate and </w:t>
            </w:r>
            <w:r>
              <w:t>t</w:t>
            </w:r>
            <w:r w:rsidRPr="00D140D9">
              <w:t>erritory regulatory bodies, should consider improving on the methods to better disseminate national and international experience gained by the regulatory bodies across the Australian jurisdictions.</w:t>
            </w:r>
          </w:p>
        </w:tc>
        <w:tc>
          <w:tcPr>
            <w:tcW w:w="726" w:type="pct"/>
          </w:tcPr>
          <w:p w14:paraId="275122BD" w14:textId="77777777" w:rsidR="00D46883" w:rsidRPr="002A3FD1" w:rsidRDefault="00D46883" w:rsidP="00A109D5">
            <w:pPr>
              <w:spacing w:before="120" w:after="120"/>
              <w:jc w:val="center"/>
            </w:pPr>
            <w:proofErr w:type="spellStart"/>
            <w:r>
              <w:rPr>
                <w:color w:val="000000"/>
                <w:lang w:eastAsia="en-AU"/>
              </w:rPr>
              <w:t>enHealth</w:t>
            </w:r>
            <w:proofErr w:type="spellEnd"/>
          </w:p>
        </w:tc>
        <w:tc>
          <w:tcPr>
            <w:tcW w:w="715" w:type="pct"/>
            <w:shd w:val="clear" w:color="auto" w:fill="auto"/>
          </w:tcPr>
          <w:p w14:paraId="4B183E3C" w14:textId="0EDC921D" w:rsidR="00D46883" w:rsidRPr="00CA02EB" w:rsidRDefault="00D46883" w:rsidP="00A109D5">
            <w:pPr>
              <w:spacing w:before="120" w:after="120"/>
              <w:jc w:val="center"/>
              <w:rPr>
                <w:color w:val="000000"/>
                <w:lang w:eastAsia="en-AU"/>
              </w:rPr>
            </w:pPr>
            <w:r w:rsidRPr="00CA02EB">
              <w:rPr>
                <w:color w:val="000000"/>
                <w:lang w:eastAsia="en-AU"/>
              </w:rPr>
              <w:t>ARPANSA, S/T regulators, Commonwealth Department</w:t>
            </w:r>
            <w:r>
              <w:rPr>
                <w:color w:val="000000"/>
                <w:lang w:eastAsia="en-AU"/>
              </w:rPr>
              <w:t xml:space="preserve"> of Health, S/T policy agencies</w:t>
            </w:r>
          </w:p>
        </w:tc>
        <w:tc>
          <w:tcPr>
            <w:tcW w:w="1711" w:type="pct"/>
          </w:tcPr>
          <w:p w14:paraId="1DBF7991" w14:textId="3A3E666C" w:rsidR="00D46883" w:rsidRPr="002A3FD1" w:rsidRDefault="00D46883" w:rsidP="00FF23F5">
            <w:pPr>
              <w:pStyle w:val="ListParagraph"/>
              <w:numPr>
                <w:ilvl w:val="0"/>
                <w:numId w:val="28"/>
              </w:numPr>
              <w:spacing w:before="120" w:after="120"/>
            </w:pPr>
            <w:proofErr w:type="spellStart"/>
            <w:proofErr w:type="gramStart"/>
            <w:r>
              <w:t>enHealth</w:t>
            </w:r>
            <w:proofErr w:type="spellEnd"/>
            <w:proofErr w:type="gramEnd"/>
            <w:r>
              <w:t xml:space="preserve"> will develop and implement a system to effectively disseminate national and international experience gained by the regulatory bodies across the Australian jurisdictions. This will include establishing a Radiation Protection Network to enable information sharing across jurisdictions. </w:t>
            </w:r>
          </w:p>
        </w:tc>
      </w:tr>
      <w:tr w:rsidR="00D46883" w:rsidRPr="002A3FD1" w14:paraId="528AC0F3" w14:textId="77777777" w:rsidTr="006623AE">
        <w:trPr>
          <w:trHeight w:val="70"/>
        </w:trPr>
        <w:tc>
          <w:tcPr>
            <w:tcW w:w="291" w:type="pct"/>
          </w:tcPr>
          <w:p w14:paraId="33F1A8E0" w14:textId="77777777" w:rsidR="00D46883" w:rsidRPr="002A3FD1" w:rsidRDefault="00D46883" w:rsidP="00A109D5">
            <w:pPr>
              <w:spacing w:before="120" w:after="120"/>
              <w:jc w:val="center"/>
            </w:pPr>
            <w:r>
              <w:t>S10</w:t>
            </w:r>
          </w:p>
        </w:tc>
        <w:tc>
          <w:tcPr>
            <w:tcW w:w="1557" w:type="pct"/>
          </w:tcPr>
          <w:p w14:paraId="58E858C3" w14:textId="05E4F810" w:rsidR="00D46883" w:rsidRPr="002A3FD1" w:rsidRDefault="00D46883" w:rsidP="004433D7">
            <w:pPr>
              <w:spacing w:before="120" w:after="120"/>
              <w:jc w:val="center"/>
            </w:pPr>
            <w:r w:rsidRPr="00D140D9">
              <w:t xml:space="preserve">ARPANSA, in conjunction with the </w:t>
            </w:r>
            <w:r>
              <w:t>s</w:t>
            </w:r>
            <w:r w:rsidRPr="00D140D9">
              <w:t xml:space="preserve">tate and </w:t>
            </w:r>
            <w:r>
              <w:t>t</w:t>
            </w:r>
            <w:r w:rsidRPr="00D140D9">
              <w:t>erritory regulatory bodies should consider completing a review of the regulatory framework and prioritizing identified gaps to ensure that it is comprehensive and provides adequate coverage commensurate with the radiation risks associated with the facilities and activities in accordance with a graded approach</w:t>
            </w:r>
            <w:r>
              <w:t>.</w:t>
            </w:r>
          </w:p>
        </w:tc>
        <w:tc>
          <w:tcPr>
            <w:tcW w:w="726" w:type="pct"/>
          </w:tcPr>
          <w:p w14:paraId="64A2244D" w14:textId="77777777" w:rsidR="00D46883" w:rsidRPr="002A3FD1" w:rsidRDefault="00D46883" w:rsidP="00A109D5">
            <w:pPr>
              <w:spacing w:before="120" w:after="120"/>
              <w:jc w:val="center"/>
            </w:pPr>
            <w:proofErr w:type="spellStart"/>
            <w:r>
              <w:rPr>
                <w:color w:val="000000"/>
                <w:lang w:eastAsia="en-AU"/>
              </w:rPr>
              <w:t>enHealth</w:t>
            </w:r>
            <w:proofErr w:type="spellEnd"/>
          </w:p>
        </w:tc>
        <w:tc>
          <w:tcPr>
            <w:tcW w:w="715" w:type="pct"/>
            <w:shd w:val="clear" w:color="auto" w:fill="auto"/>
          </w:tcPr>
          <w:p w14:paraId="4E48A253" w14:textId="6290372E" w:rsidR="00D46883" w:rsidRPr="00CA02EB" w:rsidRDefault="00D46883" w:rsidP="00A109D5">
            <w:pPr>
              <w:spacing w:before="120" w:after="120"/>
              <w:jc w:val="center"/>
              <w:rPr>
                <w:color w:val="000000"/>
                <w:lang w:eastAsia="en-AU"/>
              </w:rPr>
            </w:pPr>
            <w:r w:rsidRPr="00CA02EB">
              <w:rPr>
                <w:color w:val="000000"/>
                <w:lang w:eastAsia="en-AU"/>
              </w:rPr>
              <w:t>ARPANSA, S/T regulators, Commonwealth Department of Health, S/T policy agencies.</w:t>
            </w:r>
          </w:p>
        </w:tc>
        <w:tc>
          <w:tcPr>
            <w:tcW w:w="1711" w:type="pct"/>
          </w:tcPr>
          <w:p w14:paraId="13512CCC" w14:textId="5A980E85" w:rsidR="00D46883" w:rsidRPr="002A3FD1" w:rsidRDefault="00D46883" w:rsidP="00FF23F5">
            <w:pPr>
              <w:pStyle w:val="ListParagraph"/>
              <w:numPr>
                <w:ilvl w:val="0"/>
                <w:numId w:val="28"/>
              </w:numPr>
              <w:spacing w:before="120" w:after="120"/>
            </w:pPr>
            <w:r>
              <w:t xml:space="preserve">As per the responses to S1 and R1, this will be implemented through the development of the </w:t>
            </w:r>
            <w:r w:rsidRPr="006623AE">
              <w:rPr>
                <w:i/>
                <w:iCs/>
              </w:rPr>
              <w:t xml:space="preserve">National Strategy </w:t>
            </w:r>
            <w:r w:rsidRPr="00DE588D">
              <w:t>and IGA</w:t>
            </w:r>
            <w:r>
              <w:t>.</w:t>
            </w:r>
          </w:p>
        </w:tc>
      </w:tr>
    </w:tbl>
    <w:p w14:paraId="1EAA30E6" w14:textId="703EFACC" w:rsidR="00C17EA9" w:rsidRDefault="00C17EA9">
      <w:pPr>
        <w:spacing w:after="0"/>
        <w:rPr>
          <w:rFonts w:ascii="Garamond" w:eastAsia="Times New Roman" w:hAnsi="Garamond"/>
          <w:b/>
          <w:bCs/>
          <w:color w:val="4F81BD"/>
          <w:sz w:val="26"/>
          <w:szCs w:val="26"/>
        </w:rPr>
      </w:pPr>
    </w:p>
    <w:p w14:paraId="31E302BD" w14:textId="675A25E6" w:rsidR="00C17EA9" w:rsidRDefault="00C17EA9" w:rsidP="004E6F45">
      <w:pPr>
        <w:pStyle w:val="Heading2"/>
      </w:pPr>
      <w:bookmarkStart w:id="34" w:name="_Toc12344152"/>
      <w:bookmarkStart w:id="35" w:name="_Toc23428344"/>
      <w:bookmarkStart w:id="36" w:name="_Toc55828281"/>
      <w:r w:rsidRPr="00C714AB">
        <w:lastRenderedPageBreak/>
        <w:t xml:space="preserve">Findings </w:t>
      </w:r>
      <w:r w:rsidR="004433D7">
        <w:t>a</w:t>
      </w:r>
      <w:r w:rsidR="004433D7" w:rsidRPr="00C714AB">
        <w:t xml:space="preserve">ddressed </w:t>
      </w:r>
      <w:r w:rsidRPr="00C714AB">
        <w:t xml:space="preserve">to </w:t>
      </w:r>
      <w:r w:rsidR="004433D7">
        <w:t>s</w:t>
      </w:r>
      <w:r w:rsidR="004433D7" w:rsidRPr="00C714AB">
        <w:t xml:space="preserve">tate </w:t>
      </w:r>
      <w:r w:rsidRPr="00C714AB">
        <w:t xml:space="preserve">and </w:t>
      </w:r>
      <w:r w:rsidR="004433D7">
        <w:t>t</w:t>
      </w:r>
      <w:r w:rsidR="004433D7" w:rsidRPr="00C714AB">
        <w:t xml:space="preserve">erritory </w:t>
      </w:r>
      <w:r w:rsidRPr="00C714AB">
        <w:t>regulators</w:t>
      </w:r>
      <w:bookmarkEnd w:id="34"/>
      <w:bookmarkEnd w:id="35"/>
      <w:bookmarkEnd w:id="36"/>
    </w:p>
    <w:tbl>
      <w:tblPr>
        <w:tblpPr w:leftFromText="180" w:rightFromText="180" w:tblpY="6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543"/>
        <w:gridCol w:w="2158"/>
        <w:gridCol w:w="2158"/>
        <w:gridCol w:w="4854"/>
      </w:tblGrid>
      <w:tr w:rsidR="00BF6E3A" w:rsidRPr="00D77AF1" w14:paraId="73957D8A" w14:textId="77777777" w:rsidTr="00BF6E3A">
        <w:trPr>
          <w:trHeight w:val="1007"/>
        </w:trPr>
        <w:tc>
          <w:tcPr>
            <w:tcW w:w="291" w:type="pct"/>
            <w:shd w:val="clear" w:color="auto" w:fill="0070C0"/>
            <w:vAlign w:val="center"/>
            <w:hideMark/>
          </w:tcPr>
          <w:p w14:paraId="14B07AB8" w14:textId="77777777" w:rsidR="00BF6E3A" w:rsidRPr="00C714AB" w:rsidRDefault="00BF6E3A" w:rsidP="00C714AB">
            <w:pPr>
              <w:spacing w:before="120" w:after="120"/>
              <w:jc w:val="center"/>
              <w:rPr>
                <w:b/>
                <w:color w:val="FFFFFF" w:themeColor="background1"/>
                <w:lang w:eastAsia="en-AU"/>
              </w:rPr>
            </w:pPr>
            <w:r w:rsidRPr="00C714AB">
              <w:rPr>
                <w:b/>
                <w:color w:val="FFFFFF" w:themeColor="background1"/>
                <w:lang w:eastAsia="en-AU"/>
              </w:rPr>
              <w:t>No.</w:t>
            </w:r>
          </w:p>
        </w:tc>
        <w:tc>
          <w:tcPr>
            <w:tcW w:w="1560" w:type="pct"/>
            <w:shd w:val="clear" w:color="auto" w:fill="0070C0"/>
            <w:vAlign w:val="center"/>
            <w:hideMark/>
          </w:tcPr>
          <w:p w14:paraId="5160B22B" w14:textId="77777777" w:rsidR="00BF6E3A" w:rsidRPr="00C714AB" w:rsidRDefault="00BF6E3A" w:rsidP="00C714AB">
            <w:pPr>
              <w:spacing w:before="120" w:after="120"/>
              <w:jc w:val="center"/>
              <w:rPr>
                <w:b/>
                <w:color w:val="FFFFFF" w:themeColor="background1"/>
                <w:lang w:eastAsia="en-AU"/>
              </w:rPr>
            </w:pPr>
            <w:r w:rsidRPr="00C714AB">
              <w:rPr>
                <w:b/>
                <w:color w:val="FFFFFF" w:themeColor="background1"/>
                <w:lang w:eastAsia="en-AU"/>
              </w:rPr>
              <w:t>Recommendations</w:t>
            </w:r>
          </w:p>
        </w:tc>
        <w:tc>
          <w:tcPr>
            <w:tcW w:w="741" w:type="pct"/>
            <w:shd w:val="clear" w:color="auto" w:fill="0070C0"/>
            <w:vAlign w:val="center"/>
            <w:hideMark/>
          </w:tcPr>
          <w:p w14:paraId="05A006D9" w14:textId="15C3DD6B" w:rsidR="00BF6E3A" w:rsidRPr="00C714AB" w:rsidRDefault="00BF6E3A" w:rsidP="00C714AB">
            <w:pPr>
              <w:spacing w:before="120" w:after="120"/>
              <w:jc w:val="center"/>
              <w:rPr>
                <w:b/>
                <w:color w:val="FFFFFF" w:themeColor="background1"/>
                <w:lang w:eastAsia="en-AU"/>
              </w:rPr>
            </w:pPr>
            <w:r w:rsidRPr="00C714AB">
              <w:rPr>
                <w:b/>
                <w:color w:val="FFFFFF" w:themeColor="background1"/>
                <w:lang w:eastAsia="en-AU"/>
              </w:rPr>
              <w:t>Responsible committee</w:t>
            </w:r>
          </w:p>
        </w:tc>
        <w:tc>
          <w:tcPr>
            <w:tcW w:w="741" w:type="pct"/>
            <w:shd w:val="clear" w:color="auto" w:fill="0070C0"/>
            <w:vAlign w:val="center"/>
          </w:tcPr>
          <w:p w14:paraId="5249736C" w14:textId="655D59F0" w:rsidR="00BF6E3A" w:rsidRPr="00C714AB" w:rsidRDefault="00BF6E3A" w:rsidP="00C714AB">
            <w:pPr>
              <w:spacing w:before="120" w:after="120"/>
              <w:jc w:val="center"/>
              <w:rPr>
                <w:b/>
                <w:color w:val="FFFFFF" w:themeColor="background1"/>
                <w:lang w:eastAsia="en-AU"/>
              </w:rPr>
            </w:pPr>
            <w:r w:rsidRPr="00C714AB">
              <w:rPr>
                <w:b/>
                <w:color w:val="FFFFFF" w:themeColor="background1"/>
                <w:lang w:eastAsia="en-AU"/>
              </w:rPr>
              <w:t>Key Stakeholders</w:t>
            </w:r>
          </w:p>
        </w:tc>
        <w:tc>
          <w:tcPr>
            <w:tcW w:w="1667" w:type="pct"/>
            <w:shd w:val="clear" w:color="auto" w:fill="0070C0"/>
            <w:vAlign w:val="center"/>
          </w:tcPr>
          <w:p w14:paraId="3615A4A8" w14:textId="65B5ADFB" w:rsidR="00BF6E3A" w:rsidRPr="00C714AB" w:rsidRDefault="00BF6E3A" w:rsidP="003D62FE">
            <w:pPr>
              <w:spacing w:before="120" w:after="120"/>
              <w:jc w:val="center"/>
              <w:rPr>
                <w:b/>
                <w:color w:val="FFFFFF" w:themeColor="background1"/>
                <w:lang w:eastAsia="en-AU"/>
              </w:rPr>
            </w:pPr>
            <w:r>
              <w:rPr>
                <w:b/>
                <w:color w:val="FFFFFF" w:themeColor="background1"/>
                <w:lang w:eastAsia="en-AU"/>
              </w:rPr>
              <w:t>Proposed Actions</w:t>
            </w:r>
          </w:p>
        </w:tc>
      </w:tr>
      <w:tr w:rsidR="00BF6E3A" w:rsidRPr="00D77AF1" w14:paraId="5EC182D6" w14:textId="77777777" w:rsidTr="00BF6E3A">
        <w:trPr>
          <w:trHeight w:val="1540"/>
        </w:trPr>
        <w:tc>
          <w:tcPr>
            <w:tcW w:w="291" w:type="pct"/>
            <w:shd w:val="clear" w:color="auto" w:fill="auto"/>
            <w:hideMark/>
          </w:tcPr>
          <w:p w14:paraId="48FE049A" w14:textId="77777777" w:rsidR="00BF6E3A" w:rsidRPr="00D77AF1" w:rsidRDefault="00BF6E3A" w:rsidP="007E7436">
            <w:pPr>
              <w:spacing w:before="120" w:after="120"/>
              <w:jc w:val="center"/>
              <w:rPr>
                <w:color w:val="000000"/>
                <w:lang w:eastAsia="en-AU"/>
              </w:rPr>
            </w:pPr>
            <w:r>
              <w:rPr>
                <w:color w:val="000000"/>
                <w:lang w:eastAsia="en-AU"/>
              </w:rPr>
              <w:t>R13</w:t>
            </w:r>
          </w:p>
        </w:tc>
        <w:tc>
          <w:tcPr>
            <w:tcW w:w="1560" w:type="pct"/>
            <w:shd w:val="clear" w:color="auto" w:fill="auto"/>
            <w:hideMark/>
          </w:tcPr>
          <w:p w14:paraId="54037052" w14:textId="4552719A" w:rsidR="00BF6E3A" w:rsidRPr="00D77AF1" w:rsidRDefault="00BF6E3A" w:rsidP="004433D7">
            <w:pPr>
              <w:spacing w:before="120" w:after="120"/>
              <w:jc w:val="center"/>
              <w:rPr>
                <w:color w:val="000000"/>
                <w:lang w:eastAsia="en-AU"/>
              </w:rPr>
            </w:pPr>
            <w:r w:rsidRPr="00D140D9">
              <w:rPr>
                <w:color w:val="000000"/>
                <w:lang w:eastAsia="en-AU"/>
              </w:rPr>
              <w:t xml:space="preserve">The </w:t>
            </w:r>
            <w:r>
              <w:rPr>
                <w:color w:val="000000"/>
                <w:lang w:eastAsia="en-AU"/>
              </w:rPr>
              <w:t>s</w:t>
            </w:r>
            <w:r w:rsidRPr="00D140D9">
              <w:rPr>
                <w:color w:val="000000"/>
                <w:lang w:eastAsia="en-AU"/>
              </w:rPr>
              <w:t xml:space="preserve">tate and </w:t>
            </w:r>
            <w:r>
              <w:rPr>
                <w:color w:val="000000"/>
                <w:lang w:eastAsia="en-AU"/>
              </w:rPr>
              <w:t>t</w:t>
            </w:r>
            <w:r w:rsidRPr="00D140D9">
              <w:rPr>
                <w:color w:val="000000"/>
                <w:lang w:eastAsia="en-AU"/>
              </w:rPr>
              <w:t>erritory regulatory bodies should develop an inspection strategy and carry out a resource allocation assessment.</w:t>
            </w:r>
          </w:p>
        </w:tc>
        <w:tc>
          <w:tcPr>
            <w:tcW w:w="741" w:type="pct"/>
            <w:shd w:val="clear" w:color="auto" w:fill="auto"/>
          </w:tcPr>
          <w:p w14:paraId="22F8D49B" w14:textId="14786D34" w:rsidR="00BF6E3A" w:rsidRPr="00D77AF1" w:rsidRDefault="00BF6E3A" w:rsidP="007E7436">
            <w:pPr>
              <w:spacing w:before="120" w:after="120"/>
              <w:jc w:val="center"/>
              <w:rPr>
                <w:color w:val="000000"/>
                <w:lang w:eastAsia="en-AU"/>
              </w:rPr>
            </w:pPr>
            <w:proofErr w:type="spellStart"/>
            <w:r>
              <w:rPr>
                <w:color w:val="000000"/>
                <w:lang w:eastAsia="en-AU"/>
              </w:rPr>
              <w:t>enHealth</w:t>
            </w:r>
            <w:proofErr w:type="spellEnd"/>
          </w:p>
        </w:tc>
        <w:tc>
          <w:tcPr>
            <w:tcW w:w="741" w:type="pct"/>
          </w:tcPr>
          <w:p w14:paraId="6A6C8D91" w14:textId="4ABDED76" w:rsidR="00BF6E3A" w:rsidRPr="00D77AF1" w:rsidRDefault="00BF6E3A" w:rsidP="007E7436">
            <w:pPr>
              <w:spacing w:before="120" w:after="120"/>
              <w:jc w:val="center"/>
              <w:rPr>
                <w:color w:val="000000"/>
                <w:lang w:eastAsia="en-AU"/>
              </w:rPr>
            </w:pPr>
            <w:r>
              <w:rPr>
                <w:color w:val="000000"/>
                <w:lang w:eastAsia="en-AU"/>
              </w:rPr>
              <w:t>S/T regulators, S/T policy agencies</w:t>
            </w:r>
          </w:p>
        </w:tc>
        <w:tc>
          <w:tcPr>
            <w:tcW w:w="1667" w:type="pct"/>
            <w:shd w:val="clear" w:color="auto" w:fill="auto"/>
          </w:tcPr>
          <w:p w14:paraId="64406FC7" w14:textId="383C956A" w:rsidR="00BF6E3A" w:rsidRPr="00BF6E3A" w:rsidRDefault="00BF6E3A" w:rsidP="00FF23F5">
            <w:pPr>
              <w:pStyle w:val="ListParagraph"/>
              <w:numPr>
                <w:ilvl w:val="0"/>
                <w:numId w:val="18"/>
              </w:numPr>
              <w:spacing w:before="120" w:after="120"/>
              <w:rPr>
                <w:color w:val="000000" w:themeColor="text1"/>
                <w:lang w:eastAsia="en-AU"/>
              </w:rPr>
            </w:pPr>
            <w:proofErr w:type="spellStart"/>
            <w:proofErr w:type="gramStart"/>
            <w:r w:rsidRPr="00BF6E3A">
              <w:rPr>
                <w:color w:val="000000" w:themeColor="text1"/>
                <w:lang w:eastAsia="en-AU"/>
              </w:rPr>
              <w:t>enHealth</w:t>
            </w:r>
            <w:proofErr w:type="spellEnd"/>
            <w:proofErr w:type="gramEnd"/>
            <w:r w:rsidRPr="00BF6E3A">
              <w:rPr>
                <w:color w:val="000000" w:themeColor="text1"/>
                <w:lang w:eastAsia="en-AU"/>
              </w:rPr>
              <w:t xml:space="preserve"> will establish a process for sharing regulatory practice tools via a Radiation Protection Network as committed to in response to S2. </w:t>
            </w:r>
          </w:p>
          <w:p w14:paraId="6913F8C5" w14:textId="6AD792A6" w:rsidR="00BF6E3A" w:rsidRPr="00FF23F5" w:rsidRDefault="00BF6E3A" w:rsidP="00FF23F5">
            <w:pPr>
              <w:pStyle w:val="ListParagraph"/>
              <w:numPr>
                <w:ilvl w:val="0"/>
                <w:numId w:val="18"/>
              </w:numPr>
              <w:spacing w:before="120" w:after="120"/>
              <w:rPr>
                <w:color w:val="000000" w:themeColor="text1"/>
                <w:lang w:eastAsia="en-AU"/>
              </w:rPr>
            </w:pPr>
            <w:r w:rsidRPr="00BF6E3A">
              <w:rPr>
                <w:color w:val="000000" w:themeColor="text1"/>
                <w:lang w:eastAsia="en-AU"/>
              </w:rPr>
              <w:t>As part of the response to R5, state and territory regulatory bodies will undertake a self-audit against IAEA GSG-12 and GSG-13. This will include consideration of inspection strategies and resourcing.</w:t>
            </w:r>
          </w:p>
        </w:tc>
      </w:tr>
      <w:tr w:rsidR="00BF6E3A" w:rsidRPr="00D77AF1" w14:paraId="548DC8B3" w14:textId="77777777" w:rsidTr="00BF6E3A">
        <w:trPr>
          <w:trHeight w:val="725"/>
        </w:trPr>
        <w:tc>
          <w:tcPr>
            <w:tcW w:w="291" w:type="pct"/>
            <w:shd w:val="clear" w:color="auto" w:fill="auto"/>
            <w:hideMark/>
          </w:tcPr>
          <w:p w14:paraId="40C5450D" w14:textId="77777777" w:rsidR="00BF6E3A" w:rsidRPr="00D77AF1" w:rsidRDefault="00BF6E3A" w:rsidP="007E7436">
            <w:pPr>
              <w:spacing w:before="120" w:after="120"/>
              <w:jc w:val="center"/>
              <w:rPr>
                <w:color w:val="000000"/>
                <w:lang w:eastAsia="en-AU"/>
              </w:rPr>
            </w:pPr>
            <w:r>
              <w:rPr>
                <w:color w:val="000000"/>
                <w:lang w:eastAsia="en-AU"/>
              </w:rPr>
              <w:t>R14</w:t>
            </w:r>
          </w:p>
        </w:tc>
        <w:tc>
          <w:tcPr>
            <w:tcW w:w="1560" w:type="pct"/>
            <w:shd w:val="clear" w:color="auto" w:fill="auto"/>
            <w:hideMark/>
          </w:tcPr>
          <w:p w14:paraId="6AF6E07B" w14:textId="428B001E" w:rsidR="00BF6E3A" w:rsidRPr="00D77AF1" w:rsidRDefault="00BF6E3A" w:rsidP="004433D7">
            <w:pPr>
              <w:spacing w:before="120" w:after="120"/>
              <w:jc w:val="center"/>
              <w:rPr>
                <w:color w:val="000000"/>
                <w:lang w:eastAsia="en-AU"/>
              </w:rPr>
            </w:pPr>
            <w:r w:rsidRPr="00D140D9">
              <w:rPr>
                <w:color w:val="000000"/>
                <w:lang w:eastAsia="en-AU"/>
              </w:rPr>
              <w:t xml:space="preserve">State and </w:t>
            </w:r>
            <w:r>
              <w:rPr>
                <w:color w:val="000000"/>
                <w:lang w:eastAsia="en-AU"/>
              </w:rPr>
              <w:t>t</w:t>
            </w:r>
            <w:r w:rsidRPr="00D140D9">
              <w:rPr>
                <w:color w:val="000000"/>
                <w:lang w:eastAsia="en-AU"/>
              </w:rPr>
              <w:t>erritory regulatory bodies should have an enforcement policy to provide staff direction in the application of enforcement actions commensurate to the significance and nature of any regulatory non-compliance.</w:t>
            </w:r>
          </w:p>
        </w:tc>
        <w:tc>
          <w:tcPr>
            <w:tcW w:w="741" w:type="pct"/>
            <w:shd w:val="clear" w:color="auto" w:fill="auto"/>
          </w:tcPr>
          <w:p w14:paraId="1C0EC9F1" w14:textId="69D25270" w:rsidR="00BF6E3A" w:rsidRPr="00D77AF1" w:rsidRDefault="00BF6E3A" w:rsidP="007E7436">
            <w:pPr>
              <w:spacing w:before="120" w:after="120"/>
              <w:jc w:val="center"/>
              <w:rPr>
                <w:color w:val="000000"/>
                <w:lang w:eastAsia="en-AU"/>
              </w:rPr>
            </w:pPr>
            <w:proofErr w:type="spellStart"/>
            <w:r>
              <w:rPr>
                <w:color w:val="000000"/>
                <w:lang w:eastAsia="en-AU"/>
              </w:rPr>
              <w:t>enHealth</w:t>
            </w:r>
            <w:proofErr w:type="spellEnd"/>
          </w:p>
        </w:tc>
        <w:tc>
          <w:tcPr>
            <w:tcW w:w="741" w:type="pct"/>
          </w:tcPr>
          <w:p w14:paraId="02772A8A" w14:textId="19E4165F" w:rsidR="00BF6E3A" w:rsidRPr="00D77AF1" w:rsidRDefault="00BF6E3A" w:rsidP="007E7436">
            <w:pPr>
              <w:spacing w:before="120" w:after="120"/>
              <w:jc w:val="center"/>
              <w:rPr>
                <w:color w:val="000000"/>
                <w:lang w:eastAsia="en-AU"/>
              </w:rPr>
            </w:pPr>
            <w:r>
              <w:rPr>
                <w:color w:val="000000"/>
                <w:lang w:eastAsia="en-AU"/>
              </w:rPr>
              <w:t>S/T regulators, S/T policy agencies</w:t>
            </w:r>
          </w:p>
        </w:tc>
        <w:tc>
          <w:tcPr>
            <w:tcW w:w="1667" w:type="pct"/>
            <w:shd w:val="clear" w:color="auto" w:fill="auto"/>
          </w:tcPr>
          <w:p w14:paraId="0C7D0A25" w14:textId="52D24755" w:rsidR="00BF6E3A" w:rsidRPr="00FF23F5" w:rsidRDefault="00BF6E3A" w:rsidP="00FF23F5">
            <w:pPr>
              <w:pStyle w:val="ListParagraph"/>
              <w:numPr>
                <w:ilvl w:val="0"/>
                <w:numId w:val="19"/>
              </w:numPr>
              <w:spacing w:before="120" w:after="120"/>
              <w:rPr>
                <w:color w:val="000000" w:themeColor="text1"/>
                <w:lang w:eastAsia="en-AU"/>
              </w:rPr>
            </w:pPr>
            <w:proofErr w:type="spellStart"/>
            <w:proofErr w:type="gramStart"/>
            <w:r w:rsidRPr="00BF6E3A">
              <w:rPr>
                <w:color w:val="000000" w:themeColor="text1"/>
                <w:lang w:eastAsia="en-AU"/>
              </w:rPr>
              <w:t>enHealth</w:t>
            </w:r>
            <w:proofErr w:type="spellEnd"/>
            <w:proofErr w:type="gramEnd"/>
            <w:r w:rsidRPr="00BF6E3A">
              <w:rPr>
                <w:color w:val="000000" w:themeColor="text1"/>
                <w:lang w:eastAsia="en-AU"/>
              </w:rPr>
              <w:t xml:space="preserve"> will develop nationally agreed enforcement principles, including application of the risk-based framework to non-compliance</w:t>
            </w:r>
            <w:r w:rsidR="00FF23F5">
              <w:rPr>
                <w:color w:val="000000" w:themeColor="text1"/>
                <w:lang w:eastAsia="en-AU"/>
              </w:rPr>
              <w:t>.</w:t>
            </w:r>
          </w:p>
        </w:tc>
      </w:tr>
      <w:tr w:rsidR="00BF6E3A" w:rsidRPr="00D77AF1" w14:paraId="490A8A22" w14:textId="77777777" w:rsidTr="00BF6E3A">
        <w:trPr>
          <w:trHeight w:val="1302"/>
        </w:trPr>
        <w:tc>
          <w:tcPr>
            <w:tcW w:w="291" w:type="pct"/>
            <w:shd w:val="clear" w:color="auto" w:fill="auto"/>
            <w:hideMark/>
          </w:tcPr>
          <w:p w14:paraId="5E596520" w14:textId="77777777" w:rsidR="00BF6E3A" w:rsidRPr="00D77AF1" w:rsidRDefault="00BF6E3A" w:rsidP="007E7436">
            <w:pPr>
              <w:spacing w:before="120" w:after="120"/>
              <w:jc w:val="center"/>
              <w:rPr>
                <w:color w:val="000000"/>
                <w:lang w:eastAsia="en-AU"/>
              </w:rPr>
            </w:pPr>
            <w:r>
              <w:rPr>
                <w:color w:val="000000"/>
                <w:lang w:eastAsia="en-AU"/>
              </w:rPr>
              <w:t>S5</w:t>
            </w:r>
          </w:p>
        </w:tc>
        <w:tc>
          <w:tcPr>
            <w:tcW w:w="1560" w:type="pct"/>
            <w:shd w:val="clear" w:color="auto" w:fill="auto"/>
            <w:hideMark/>
          </w:tcPr>
          <w:p w14:paraId="26895E42" w14:textId="56518567" w:rsidR="00BF6E3A" w:rsidRPr="00D77AF1" w:rsidRDefault="00BF6E3A" w:rsidP="004433D7">
            <w:pPr>
              <w:spacing w:before="120" w:after="120"/>
              <w:jc w:val="center"/>
              <w:rPr>
                <w:color w:val="000000"/>
                <w:lang w:eastAsia="en-AU"/>
              </w:rPr>
            </w:pPr>
            <w:r w:rsidRPr="00D140D9">
              <w:rPr>
                <w:color w:val="000000"/>
                <w:lang w:eastAsia="en-AU"/>
              </w:rPr>
              <w:t xml:space="preserve">The </w:t>
            </w:r>
            <w:r>
              <w:rPr>
                <w:color w:val="000000"/>
                <w:lang w:eastAsia="en-AU"/>
              </w:rPr>
              <w:t>s</w:t>
            </w:r>
            <w:r w:rsidRPr="00D140D9">
              <w:rPr>
                <w:color w:val="000000"/>
                <w:lang w:eastAsia="en-AU"/>
              </w:rPr>
              <w:t xml:space="preserve">tate and </w:t>
            </w:r>
            <w:r>
              <w:rPr>
                <w:color w:val="000000"/>
                <w:lang w:eastAsia="en-AU"/>
              </w:rPr>
              <w:t>t</w:t>
            </w:r>
            <w:r w:rsidRPr="00D140D9">
              <w:rPr>
                <w:color w:val="000000"/>
                <w:lang w:eastAsia="en-AU"/>
              </w:rPr>
              <w:t>erritory regulatory bodies should consider reviewing their requirements for authorization (authorization by licence vs authorization by registration and duration of an authorization), based on their regulatory experience and risks, with the goal of making better use of existing regulatory resources.</w:t>
            </w:r>
          </w:p>
        </w:tc>
        <w:tc>
          <w:tcPr>
            <w:tcW w:w="741" w:type="pct"/>
            <w:shd w:val="clear" w:color="auto" w:fill="auto"/>
          </w:tcPr>
          <w:p w14:paraId="7EF1D773" w14:textId="5C498D55" w:rsidR="00BF6E3A" w:rsidRPr="00D77AF1" w:rsidRDefault="00BF6E3A" w:rsidP="007E7436">
            <w:pPr>
              <w:spacing w:before="120" w:after="120"/>
              <w:jc w:val="center"/>
              <w:rPr>
                <w:color w:val="000000"/>
                <w:lang w:eastAsia="en-AU"/>
              </w:rPr>
            </w:pPr>
            <w:proofErr w:type="spellStart"/>
            <w:r>
              <w:rPr>
                <w:color w:val="000000"/>
                <w:lang w:eastAsia="en-AU"/>
              </w:rPr>
              <w:t>enHealth</w:t>
            </w:r>
            <w:proofErr w:type="spellEnd"/>
          </w:p>
        </w:tc>
        <w:tc>
          <w:tcPr>
            <w:tcW w:w="741" w:type="pct"/>
          </w:tcPr>
          <w:p w14:paraId="28707E0A" w14:textId="6E403DB2" w:rsidR="00BF6E3A" w:rsidRPr="00D77AF1" w:rsidRDefault="00BF6E3A" w:rsidP="007E7436">
            <w:pPr>
              <w:spacing w:before="120" w:after="120"/>
              <w:jc w:val="center"/>
              <w:rPr>
                <w:color w:val="000000"/>
                <w:lang w:eastAsia="en-AU"/>
              </w:rPr>
            </w:pPr>
            <w:r>
              <w:rPr>
                <w:color w:val="000000"/>
                <w:lang w:eastAsia="en-AU"/>
              </w:rPr>
              <w:t>S/T regulators, S/T policy agencies</w:t>
            </w:r>
          </w:p>
        </w:tc>
        <w:tc>
          <w:tcPr>
            <w:tcW w:w="1667" w:type="pct"/>
            <w:shd w:val="clear" w:color="auto" w:fill="auto"/>
          </w:tcPr>
          <w:p w14:paraId="3962B6C1" w14:textId="1F687359" w:rsidR="00BF6E3A" w:rsidRPr="00BF6E3A" w:rsidRDefault="00BF6E3A" w:rsidP="00FF23F5">
            <w:pPr>
              <w:pStyle w:val="ListParagraph"/>
              <w:numPr>
                <w:ilvl w:val="0"/>
                <w:numId w:val="19"/>
              </w:numPr>
              <w:spacing w:before="120" w:after="120"/>
              <w:rPr>
                <w:color w:val="000000"/>
                <w:lang w:eastAsia="en-AU"/>
              </w:rPr>
            </w:pPr>
            <w:proofErr w:type="spellStart"/>
            <w:r w:rsidRPr="00BF6E3A">
              <w:rPr>
                <w:color w:val="000000" w:themeColor="text1"/>
                <w:lang w:eastAsia="en-AU"/>
              </w:rPr>
              <w:t>EnHealth</w:t>
            </w:r>
            <w:proofErr w:type="spellEnd"/>
            <w:r w:rsidRPr="00BF6E3A">
              <w:rPr>
                <w:color w:val="000000" w:themeColor="text1"/>
                <w:lang w:eastAsia="en-AU"/>
              </w:rPr>
              <w:t xml:space="preserve"> will support this work through R1 (ensuring a consistent level of protection) and will undertake a project to examine authorization requirements.</w:t>
            </w:r>
          </w:p>
        </w:tc>
      </w:tr>
    </w:tbl>
    <w:p w14:paraId="32E82EE3" w14:textId="77777777" w:rsidR="00CE74B8" w:rsidRDefault="00CE74B8" w:rsidP="00962464">
      <w:bookmarkStart w:id="37" w:name="_Toc12344153"/>
      <w:bookmarkStart w:id="38" w:name="_Toc23428345"/>
    </w:p>
    <w:p w14:paraId="74E5CAED" w14:textId="7295027C" w:rsidR="003E6DBF" w:rsidRDefault="003E6DBF" w:rsidP="003E6DBF">
      <w:pPr>
        <w:pStyle w:val="Heading2"/>
      </w:pPr>
      <w:bookmarkStart w:id="39" w:name="_Toc55828282"/>
      <w:r>
        <w:t>Findings addressed to ARPANSA</w:t>
      </w:r>
      <w:bookmarkEnd w:id="37"/>
      <w:bookmarkEnd w:id="38"/>
      <w:bookmarkEnd w:id="39"/>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879"/>
        <w:gridCol w:w="2484"/>
        <w:gridCol w:w="7493"/>
      </w:tblGrid>
      <w:tr w:rsidR="00D46883" w:rsidRPr="005F2314" w14:paraId="5A849883" w14:textId="77777777" w:rsidTr="00154265">
        <w:trPr>
          <w:trHeight w:val="847"/>
          <w:tblHeader/>
        </w:trPr>
        <w:tc>
          <w:tcPr>
            <w:tcW w:w="242" w:type="pct"/>
            <w:tcBorders>
              <w:right w:val="single" w:sz="4" w:space="0" w:color="FFFFFF" w:themeColor="background1"/>
            </w:tcBorders>
            <w:shd w:val="clear" w:color="auto" w:fill="0070C0"/>
            <w:vAlign w:val="center"/>
            <w:hideMark/>
          </w:tcPr>
          <w:p w14:paraId="2E913278" w14:textId="77777777" w:rsidR="00D46883" w:rsidRPr="00C1205B" w:rsidRDefault="00D46883" w:rsidP="00154265">
            <w:pPr>
              <w:spacing w:before="120" w:after="120"/>
              <w:jc w:val="center"/>
              <w:rPr>
                <w:b/>
                <w:color w:val="FFFFFF" w:themeColor="background1"/>
                <w:lang w:eastAsia="en-AU"/>
              </w:rPr>
            </w:pPr>
            <w:r w:rsidRPr="00C1205B">
              <w:rPr>
                <w:b/>
                <w:color w:val="FFFFFF" w:themeColor="background1"/>
                <w:lang w:eastAsia="en-AU"/>
              </w:rPr>
              <w:t>No.</w:t>
            </w:r>
          </w:p>
        </w:tc>
        <w:tc>
          <w:tcPr>
            <w:tcW w:w="1332" w:type="pct"/>
            <w:tcBorders>
              <w:left w:val="single" w:sz="4" w:space="0" w:color="FFFFFF" w:themeColor="background1"/>
              <w:right w:val="single" w:sz="4" w:space="0" w:color="FFFFFF" w:themeColor="background1"/>
            </w:tcBorders>
            <w:shd w:val="clear" w:color="auto" w:fill="0070C0"/>
            <w:vAlign w:val="center"/>
            <w:hideMark/>
          </w:tcPr>
          <w:p w14:paraId="1349E8BC" w14:textId="77777777" w:rsidR="00D46883" w:rsidRPr="00C1205B" w:rsidRDefault="00D46883" w:rsidP="00154265">
            <w:pPr>
              <w:spacing w:before="120" w:after="120"/>
              <w:jc w:val="center"/>
              <w:rPr>
                <w:b/>
                <w:color w:val="FFFFFF" w:themeColor="background1"/>
                <w:lang w:eastAsia="en-AU"/>
              </w:rPr>
            </w:pPr>
            <w:r w:rsidRPr="00C1205B">
              <w:rPr>
                <w:b/>
                <w:color w:val="FFFFFF" w:themeColor="background1"/>
                <w:lang w:eastAsia="en-AU"/>
              </w:rPr>
              <w:t>Recommendations</w:t>
            </w:r>
          </w:p>
        </w:tc>
        <w:tc>
          <w:tcPr>
            <w:tcW w:w="853" w:type="pct"/>
            <w:tcBorders>
              <w:left w:val="single" w:sz="4" w:space="0" w:color="FFFFFF" w:themeColor="background1"/>
              <w:right w:val="single" w:sz="4" w:space="0" w:color="FFFFFF" w:themeColor="background1"/>
            </w:tcBorders>
            <w:shd w:val="clear" w:color="auto" w:fill="0070C0"/>
            <w:vAlign w:val="center"/>
            <w:hideMark/>
          </w:tcPr>
          <w:p w14:paraId="15721E2F" w14:textId="4079BD1D" w:rsidR="00D46883" w:rsidRPr="00C1205B" w:rsidRDefault="00D46883" w:rsidP="00154265">
            <w:pPr>
              <w:spacing w:before="120" w:after="120"/>
              <w:jc w:val="center"/>
              <w:rPr>
                <w:b/>
                <w:color w:val="FFFFFF" w:themeColor="background1"/>
                <w:lang w:eastAsia="en-AU"/>
              </w:rPr>
            </w:pPr>
            <w:r w:rsidRPr="00C1205B">
              <w:rPr>
                <w:b/>
                <w:color w:val="FFFFFF" w:themeColor="background1"/>
                <w:lang w:eastAsia="en-AU"/>
              </w:rPr>
              <w:t>Lead Branch/</w:t>
            </w:r>
            <w:r w:rsidR="00FF04F4">
              <w:rPr>
                <w:b/>
                <w:color w:val="FFFFFF" w:themeColor="background1"/>
                <w:lang w:eastAsia="en-AU"/>
              </w:rPr>
              <w:t xml:space="preserve">Office </w:t>
            </w:r>
            <w:r w:rsidRPr="00C1205B">
              <w:rPr>
                <w:b/>
                <w:color w:val="FFFFFF" w:themeColor="background1"/>
                <w:lang w:eastAsia="en-AU"/>
              </w:rPr>
              <w:t>(ARPANSA)</w:t>
            </w:r>
          </w:p>
        </w:tc>
        <w:tc>
          <w:tcPr>
            <w:tcW w:w="2573" w:type="pct"/>
            <w:tcBorders>
              <w:left w:val="single" w:sz="4" w:space="0" w:color="FFFFFF" w:themeColor="background1"/>
              <w:right w:val="single" w:sz="4" w:space="0" w:color="FFFFFF" w:themeColor="background1"/>
            </w:tcBorders>
            <w:shd w:val="clear" w:color="auto" w:fill="0070C0"/>
            <w:vAlign w:val="center"/>
          </w:tcPr>
          <w:p w14:paraId="377DC186" w14:textId="549B9231" w:rsidR="00D46883" w:rsidRPr="00C1205B" w:rsidRDefault="00D46883" w:rsidP="00154265">
            <w:pPr>
              <w:spacing w:before="120" w:after="120"/>
              <w:jc w:val="center"/>
              <w:rPr>
                <w:b/>
                <w:color w:val="FFFFFF" w:themeColor="background1"/>
                <w:lang w:eastAsia="en-AU"/>
              </w:rPr>
            </w:pPr>
            <w:r>
              <w:rPr>
                <w:b/>
                <w:color w:val="FFFFFF" w:themeColor="background1"/>
                <w:lang w:eastAsia="en-AU"/>
              </w:rPr>
              <w:t>Actions to perform</w:t>
            </w:r>
          </w:p>
        </w:tc>
      </w:tr>
      <w:tr w:rsidR="00D46883" w:rsidRPr="005F2314" w14:paraId="20951381" w14:textId="77777777" w:rsidTr="00154265">
        <w:trPr>
          <w:trHeight w:val="2020"/>
        </w:trPr>
        <w:tc>
          <w:tcPr>
            <w:tcW w:w="242" w:type="pct"/>
            <w:shd w:val="clear" w:color="auto" w:fill="auto"/>
            <w:hideMark/>
          </w:tcPr>
          <w:p w14:paraId="2BDBC21E" w14:textId="77777777" w:rsidR="00D46883" w:rsidRPr="005F2314" w:rsidRDefault="00D46883" w:rsidP="00154265">
            <w:pPr>
              <w:spacing w:before="120" w:after="120"/>
              <w:jc w:val="center"/>
              <w:rPr>
                <w:color w:val="000000"/>
                <w:lang w:eastAsia="en-AU"/>
              </w:rPr>
            </w:pPr>
            <w:r>
              <w:rPr>
                <w:color w:val="000000"/>
                <w:lang w:eastAsia="en-AU"/>
              </w:rPr>
              <w:t>R8</w:t>
            </w:r>
          </w:p>
        </w:tc>
        <w:tc>
          <w:tcPr>
            <w:tcW w:w="1332" w:type="pct"/>
            <w:shd w:val="clear" w:color="auto" w:fill="auto"/>
            <w:hideMark/>
          </w:tcPr>
          <w:p w14:paraId="28B2BB49" w14:textId="3522EE2B" w:rsidR="00D46883" w:rsidRPr="005F2314" w:rsidRDefault="00D46883" w:rsidP="00154265">
            <w:pPr>
              <w:spacing w:before="120" w:after="120"/>
              <w:jc w:val="center"/>
              <w:rPr>
                <w:color w:val="000000"/>
                <w:lang w:eastAsia="en-AU"/>
              </w:rPr>
            </w:pPr>
            <w:r w:rsidRPr="00E9117C">
              <w:rPr>
                <w:color w:val="000000"/>
                <w:lang w:eastAsia="en-AU"/>
              </w:rPr>
              <w:t>ARPANSA should enhance its human resource management to include an assessment of the number and capabilities of staff required to effectively perform their regulatory and emergency response duties and enhance their training programme based on an analysis of the necessary skills and competencies</w:t>
            </w:r>
            <w:r>
              <w:rPr>
                <w:color w:val="000000"/>
                <w:lang w:eastAsia="en-AU"/>
              </w:rPr>
              <w:t>.</w:t>
            </w:r>
          </w:p>
        </w:tc>
        <w:tc>
          <w:tcPr>
            <w:tcW w:w="853" w:type="pct"/>
            <w:shd w:val="clear" w:color="auto" w:fill="auto"/>
          </w:tcPr>
          <w:p w14:paraId="6BC7B6CF" w14:textId="04E83CF2" w:rsidR="00D46883" w:rsidRPr="005F2314" w:rsidRDefault="00E010A3" w:rsidP="00154265">
            <w:pPr>
              <w:spacing w:before="120" w:after="120"/>
              <w:jc w:val="center"/>
              <w:rPr>
                <w:color w:val="000000"/>
                <w:lang w:eastAsia="en-AU"/>
              </w:rPr>
            </w:pPr>
            <w:r w:rsidRPr="00E010A3">
              <w:rPr>
                <w:color w:val="000000"/>
                <w:lang w:eastAsia="en-AU"/>
              </w:rPr>
              <w:t xml:space="preserve">Office for People Strategies and Wellbeing </w:t>
            </w:r>
            <w:r>
              <w:rPr>
                <w:color w:val="000000"/>
                <w:lang w:eastAsia="en-AU"/>
              </w:rPr>
              <w:t>/</w:t>
            </w:r>
            <w:r w:rsidR="00D46883">
              <w:rPr>
                <w:color w:val="000000"/>
                <w:lang w:eastAsia="en-AU"/>
              </w:rPr>
              <w:t xml:space="preserve"> </w:t>
            </w:r>
            <w:r w:rsidR="00FF04F4" w:rsidRPr="00FF04F4">
              <w:rPr>
                <w:color w:val="000000"/>
                <w:lang w:eastAsia="en-AU"/>
              </w:rPr>
              <w:t>Radiation Health Services Branch</w:t>
            </w:r>
          </w:p>
        </w:tc>
        <w:tc>
          <w:tcPr>
            <w:tcW w:w="2573" w:type="pct"/>
          </w:tcPr>
          <w:p w14:paraId="39B18E41" w14:textId="701D9580" w:rsidR="00D46883" w:rsidRPr="00FF04F4" w:rsidRDefault="00D46883" w:rsidP="00FF23F5">
            <w:pPr>
              <w:pStyle w:val="ListParagraph"/>
              <w:numPr>
                <w:ilvl w:val="0"/>
                <w:numId w:val="16"/>
              </w:numPr>
              <w:spacing w:before="120" w:after="120"/>
              <w:rPr>
                <w:color w:val="000000"/>
                <w:lang w:eastAsia="en-AU"/>
              </w:rPr>
            </w:pPr>
            <w:r w:rsidRPr="00FF04F4">
              <w:rPr>
                <w:color w:val="000000"/>
                <w:lang w:eastAsia="en-AU"/>
              </w:rPr>
              <w:t>Undertake review of Regulatory Services Branch and Monitoring and Emergency Response Section (Radiation Health Services) to determine required capabilities and develop a service and learning matrix that outlines the essential knowledge, skills and abilities needed to perform the regulatory functions.</w:t>
            </w:r>
          </w:p>
          <w:p w14:paraId="3DDC0A92" w14:textId="06C3E77A" w:rsidR="00D46883" w:rsidRPr="00FF04F4" w:rsidRDefault="00D46883" w:rsidP="00FF23F5">
            <w:pPr>
              <w:pStyle w:val="ListParagraph"/>
              <w:numPr>
                <w:ilvl w:val="0"/>
                <w:numId w:val="16"/>
              </w:numPr>
              <w:spacing w:before="120" w:after="120"/>
              <w:rPr>
                <w:color w:val="000000"/>
                <w:lang w:eastAsia="en-AU"/>
              </w:rPr>
            </w:pPr>
            <w:r w:rsidRPr="00FF04F4">
              <w:rPr>
                <w:color w:val="000000"/>
                <w:lang w:eastAsia="en-AU"/>
              </w:rPr>
              <w:t>Review and enhance existing annual training programmes to support identified capability development.</w:t>
            </w:r>
          </w:p>
        </w:tc>
      </w:tr>
      <w:tr w:rsidR="00D46883" w:rsidRPr="005F2314" w14:paraId="19754E70" w14:textId="77777777" w:rsidTr="00154265">
        <w:trPr>
          <w:trHeight w:val="1315"/>
        </w:trPr>
        <w:tc>
          <w:tcPr>
            <w:tcW w:w="242" w:type="pct"/>
            <w:shd w:val="clear" w:color="auto" w:fill="auto"/>
            <w:hideMark/>
          </w:tcPr>
          <w:p w14:paraId="121A0C44" w14:textId="77777777" w:rsidR="00D46883" w:rsidRPr="005F2314" w:rsidRDefault="00D46883" w:rsidP="00154265">
            <w:pPr>
              <w:spacing w:before="120" w:after="120"/>
              <w:jc w:val="center"/>
              <w:rPr>
                <w:color w:val="000000"/>
                <w:lang w:eastAsia="en-AU"/>
              </w:rPr>
            </w:pPr>
            <w:r>
              <w:rPr>
                <w:color w:val="000000"/>
                <w:lang w:eastAsia="en-AU"/>
              </w:rPr>
              <w:t>R9</w:t>
            </w:r>
          </w:p>
        </w:tc>
        <w:tc>
          <w:tcPr>
            <w:tcW w:w="1332" w:type="pct"/>
            <w:shd w:val="clear" w:color="auto" w:fill="auto"/>
            <w:hideMark/>
          </w:tcPr>
          <w:p w14:paraId="0C553C5C" w14:textId="77777777" w:rsidR="00D46883" w:rsidRPr="005F2314" w:rsidRDefault="00D46883" w:rsidP="00154265">
            <w:pPr>
              <w:spacing w:before="120" w:after="120"/>
              <w:jc w:val="center"/>
              <w:rPr>
                <w:color w:val="000000"/>
                <w:lang w:eastAsia="en-AU"/>
              </w:rPr>
            </w:pPr>
            <w:r w:rsidRPr="00E9117C">
              <w:rPr>
                <w:color w:val="000000"/>
                <w:lang w:eastAsia="en-AU"/>
              </w:rPr>
              <w:t>ARPANSA should further define, develop, and document its processes including sequencing of the processes and the interactions between interfacing processes within the IMS</w:t>
            </w:r>
            <w:r>
              <w:rPr>
                <w:color w:val="000000"/>
                <w:lang w:eastAsia="en-AU"/>
              </w:rPr>
              <w:t>.</w:t>
            </w:r>
          </w:p>
        </w:tc>
        <w:tc>
          <w:tcPr>
            <w:tcW w:w="853" w:type="pct"/>
            <w:shd w:val="clear" w:color="auto" w:fill="auto"/>
          </w:tcPr>
          <w:p w14:paraId="3CF95CFB" w14:textId="1F814E51" w:rsidR="00D46883" w:rsidRPr="005F2314" w:rsidRDefault="00154265" w:rsidP="00154265">
            <w:pPr>
              <w:spacing w:before="120" w:after="120"/>
              <w:jc w:val="center"/>
              <w:rPr>
                <w:color w:val="000000"/>
                <w:lang w:eastAsia="en-AU"/>
              </w:rPr>
            </w:pPr>
            <w:r>
              <w:rPr>
                <w:color w:val="000000"/>
                <w:lang w:eastAsia="en-AU"/>
              </w:rPr>
              <w:t>Office of the CEO</w:t>
            </w:r>
          </w:p>
        </w:tc>
        <w:tc>
          <w:tcPr>
            <w:tcW w:w="2573" w:type="pct"/>
          </w:tcPr>
          <w:p w14:paraId="6F9705C5" w14:textId="2FA79607" w:rsidR="00D46883" w:rsidRPr="00BF6E3A" w:rsidRDefault="00D46883" w:rsidP="00FF23F5">
            <w:pPr>
              <w:pStyle w:val="ListParagraph"/>
              <w:numPr>
                <w:ilvl w:val="0"/>
                <w:numId w:val="16"/>
              </w:numPr>
              <w:spacing w:before="120" w:after="120"/>
              <w:rPr>
                <w:color w:val="000000"/>
                <w:lang w:eastAsia="en-AU"/>
              </w:rPr>
            </w:pPr>
            <w:r w:rsidRPr="00BF6E3A">
              <w:rPr>
                <w:color w:val="000000"/>
                <w:lang w:eastAsia="en-AU"/>
              </w:rPr>
              <w:t xml:space="preserve">Develop and implement processes for all non-laboratory activities, including regulatory processes and corporate support processes (such as finance, IT, human resources, </w:t>
            </w:r>
          </w:p>
          <w:p w14:paraId="55053B44" w14:textId="7D4FEB83" w:rsidR="00D46883" w:rsidRPr="00BF6E3A" w:rsidRDefault="00D46883" w:rsidP="00FF23F5">
            <w:pPr>
              <w:pStyle w:val="ListParagraph"/>
              <w:numPr>
                <w:ilvl w:val="0"/>
                <w:numId w:val="16"/>
              </w:numPr>
              <w:spacing w:before="120" w:after="120"/>
              <w:rPr>
                <w:color w:val="000000"/>
                <w:lang w:eastAsia="en-AU"/>
              </w:rPr>
            </w:pPr>
            <w:r w:rsidRPr="00BF6E3A">
              <w:rPr>
                <w:color w:val="000000"/>
                <w:lang w:eastAsia="en-AU"/>
              </w:rPr>
              <w:t>Enhance the interactions between interfacing processes within the IMS by implementing incremental improvements to the documentation and IMS portal (staff intranet)</w:t>
            </w:r>
          </w:p>
          <w:p w14:paraId="1AA7A8BD" w14:textId="21FCB483" w:rsidR="00D46883" w:rsidRPr="00BF6E3A" w:rsidRDefault="00D46883" w:rsidP="00FF23F5">
            <w:pPr>
              <w:pStyle w:val="ListParagraph"/>
              <w:numPr>
                <w:ilvl w:val="0"/>
                <w:numId w:val="16"/>
              </w:numPr>
              <w:spacing w:before="120" w:after="120"/>
              <w:rPr>
                <w:color w:val="000000"/>
                <w:lang w:eastAsia="en-AU"/>
              </w:rPr>
            </w:pPr>
            <w:r w:rsidRPr="00BF6E3A">
              <w:rPr>
                <w:color w:val="000000"/>
                <w:lang w:eastAsia="en-AU"/>
              </w:rPr>
              <w:t>Monitor and evaluate the implementation of new processes through internal and external audits, non-conformance reporting and management reviews.</w:t>
            </w:r>
          </w:p>
        </w:tc>
      </w:tr>
      <w:tr w:rsidR="00D46883" w:rsidRPr="005F2314" w14:paraId="059B8C65" w14:textId="77777777" w:rsidTr="00154265">
        <w:trPr>
          <w:trHeight w:val="1587"/>
        </w:trPr>
        <w:tc>
          <w:tcPr>
            <w:tcW w:w="242" w:type="pct"/>
            <w:shd w:val="clear" w:color="auto" w:fill="auto"/>
            <w:hideMark/>
          </w:tcPr>
          <w:p w14:paraId="444ED35D" w14:textId="77777777" w:rsidR="00D46883" w:rsidRPr="005F2314" w:rsidRDefault="00D46883" w:rsidP="00154265">
            <w:pPr>
              <w:spacing w:before="120" w:after="120"/>
              <w:jc w:val="center"/>
              <w:rPr>
                <w:color w:val="000000"/>
                <w:lang w:eastAsia="en-AU"/>
              </w:rPr>
            </w:pPr>
            <w:r>
              <w:rPr>
                <w:color w:val="000000"/>
                <w:lang w:eastAsia="en-AU"/>
              </w:rPr>
              <w:t>R10</w:t>
            </w:r>
          </w:p>
        </w:tc>
        <w:tc>
          <w:tcPr>
            <w:tcW w:w="1332" w:type="pct"/>
            <w:shd w:val="clear" w:color="auto" w:fill="auto"/>
            <w:hideMark/>
          </w:tcPr>
          <w:p w14:paraId="1F0F64DD" w14:textId="52F0D050" w:rsidR="00D46883" w:rsidRPr="005F2314" w:rsidRDefault="00D46883" w:rsidP="00154265">
            <w:pPr>
              <w:spacing w:before="120" w:after="120"/>
              <w:jc w:val="center"/>
              <w:rPr>
                <w:color w:val="000000"/>
                <w:lang w:eastAsia="en-AU"/>
              </w:rPr>
            </w:pPr>
            <w:r w:rsidRPr="00E9117C">
              <w:rPr>
                <w:color w:val="000000"/>
                <w:lang w:eastAsia="en-AU"/>
              </w:rPr>
              <w:t>ARPANSA should undertake an independent assessment of leadership for safety and safety culture covering all organizational levels and all functions in the organization</w:t>
            </w:r>
            <w:r>
              <w:rPr>
                <w:color w:val="000000"/>
                <w:lang w:eastAsia="en-AU"/>
              </w:rPr>
              <w:t>.</w:t>
            </w:r>
          </w:p>
        </w:tc>
        <w:tc>
          <w:tcPr>
            <w:tcW w:w="853" w:type="pct"/>
            <w:shd w:val="clear" w:color="auto" w:fill="auto"/>
          </w:tcPr>
          <w:p w14:paraId="2C9D301A" w14:textId="36B573DB" w:rsidR="00D46883" w:rsidRPr="005F2314" w:rsidRDefault="00D46883" w:rsidP="00154265">
            <w:pPr>
              <w:spacing w:before="120" w:after="120"/>
              <w:jc w:val="center"/>
              <w:rPr>
                <w:color w:val="000000"/>
                <w:lang w:eastAsia="en-AU"/>
              </w:rPr>
            </w:pPr>
            <w:r>
              <w:rPr>
                <w:color w:val="000000"/>
                <w:lang w:eastAsia="en-AU"/>
              </w:rPr>
              <w:t xml:space="preserve">Regulatory Services Branch / </w:t>
            </w:r>
            <w:r w:rsidR="00E010A3" w:rsidRPr="00E010A3">
              <w:rPr>
                <w:color w:val="000000"/>
                <w:lang w:eastAsia="en-AU"/>
              </w:rPr>
              <w:t>Office for People Strategies and Wellbeing</w:t>
            </w:r>
          </w:p>
        </w:tc>
        <w:tc>
          <w:tcPr>
            <w:tcW w:w="2573" w:type="pct"/>
          </w:tcPr>
          <w:p w14:paraId="1F2E87DE" w14:textId="3F59194E" w:rsidR="00D46883" w:rsidRPr="003571AF" w:rsidRDefault="00D46883" w:rsidP="00FF23F5">
            <w:pPr>
              <w:pStyle w:val="ListParagraph"/>
              <w:numPr>
                <w:ilvl w:val="0"/>
                <w:numId w:val="17"/>
              </w:numPr>
              <w:tabs>
                <w:tab w:val="left" w:pos="1483"/>
              </w:tabs>
              <w:rPr>
                <w:lang w:eastAsia="en-AU"/>
              </w:rPr>
            </w:pPr>
            <w:r>
              <w:rPr>
                <w:lang w:eastAsia="en-AU"/>
              </w:rPr>
              <w:t xml:space="preserve">The safety culture assessment which was trialled on RSB </w:t>
            </w:r>
            <w:r w:rsidR="002C7808">
              <w:rPr>
                <w:lang w:eastAsia="en-AU"/>
              </w:rPr>
              <w:t>will</w:t>
            </w:r>
            <w:r>
              <w:rPr>
                <w:lang w:eastAsia="en-AU"/>
              </w:rPr>
              <w:t xml:space="preserve"> be rolled out to the whole Agency.</w:t>
            </w:r>
          </w:p>
        </w:tc>
      </w:tr>
      <w:tr w:rsidR="00D46883" w:rsidRPr="005F2314" w14:paraId="7662C67F" w14:textId="77777777" w:rsidTr="00154265">
        <w:trPr>
          <w:trHeight w:val="70"/>
        </w:trPr>
        <w:tc>
          <w:tcPr>
            <w:tcW w:w="242" w:type="pct"/>
            <w:shd w:val="clear" w:color="auto" w:fill="auto"/>
            <w:hideMark/>
          </w:tcPr>
          <w:p w14:paraId="3B65B0D2" w14:textId="77777777" w:rsidR="00D46883" w:rsidRPr="005F2314" w:rsidRDefault="00D46883" w:rsidP="00154265">
            <w:pPr>
              <w:spacing w:before="120" w:after="120"/>
              <w:jc w:val="center"/>
              <w:rPr>
                <w:color w:val="000000"/>
                <w:lang w:eastAsia="en-AU"/>
              </w:rPr>
            </w:pPr>
            <w:r>
              <w:rPr>
                <w:color w:val="000000"/>
                <w:lang w:eastAsia="en-AU"/>
              </w:rPr>
              <w:t>R11</w:t>
            </w:r>
          </w:p>
        </w:tc>
        <w:tc>
          <w:tcPr>
            <w:tcW w:w="1332" w:type="pct"/>
            <w:shd w:val="clear" w:color="auto" w:fill="auto"/>
            <w:hideMark/>
          </w:tcPr>
          <w:p w14:paraId="473D2F9F" w14:textId="29DF78E2" w:rsidR="00D46883" w:rsidRPr="005F2314" w:rsidRDefault="00D46883" w:rsidP="00154265">
            <w:pPr>
              <w:spacing w:before="120" w:after="120"/>
              <w:jc w:val="center"/>
              <w:rPr>
                <w:color w:val="000000"/>
                <w:lang w:eastAsia="en-AU"/>
              </w:rPr>
            </w:pPr>
            <w:r w:rsidRPr="00E9117C">
              <w:rPr>
                <w:color w:val="000000"/>
                <w:lang w:eastAsia="en-AU"/>
              </w:rPr>
              <w:t>ARPANSA should conduct a comprehensive evaluation to determine whether its current regulatory oversight measures (regulations and guides, review and assessment, inspection and licensing) should be modified, based on lessons learned, including but not limited to those identified in the ANSTO independent safety review report, of the events that occurred at the ANSTO Health facility</w:t>
            </w:r>
            <w:r>
              <w:rPr>
                <w:color w:val="000000"/>
                <w:lang w:eastAsia="en-AU"/>
              </w:rPr>
              <w:t>.</w:t>
            </w:r>
          </w:p>
        </w:tc>
        <w:tc>
          <w:tcPr>
            <w:tcW w:w="853" w:type="pct"/>
            <w:shd w:val="clear" w:color="auto" w:fill="auto"/>
          </w:tcPr>
          <w:p w14:paraId="1158BD9B" w14:textId="77777777" w:rsidR="00D46883" w:rsidRPr="005F2314" w:rsidRDefault="00D46883" w:rsidP="00154265">
            <w:pPr>
              <w:spacing w:before="120" w:after="120"/>
              <w:jc w:val="center"/>
              <w:rPr>
                <w:color w:val="000000"/>
                <w:lang w:eastAsia="en-AU"/>
              </w:rPr>
            </w:pPr>
            <w:r>
              <w:rPr>
                <w:color w:val="000000"/>
                <w:lang w:eastAsia="en-AU"/>
              </w:rPr>
              <w:t>Regulatory Services Branch</w:t>
            </w:r>
          </w:p>
        </w:tc>
        <w:tc>
          <w:tcPr>
            <w:tcW w:w="2573" w:type="pct"/>
          </w:tcPr>
          <w:p w14:paraId="5F70CA23" w14:textId="3A8AFC8E" w:rsidR="00D46883" w:rsidRPr="00BF6E3A" w:rsidRDefault="00D46883" w:rsidP="00FF23F5">
            <w:pPr>
              <w:pStyle w:val="ListParagraph"/>
              <w:numPr>
                <w:ilvl w:val="0"/>
                <w:numId w:val="17"/>
              </w:numPr>
              <w:spacing w:before="120" w:after="120"/>
              <w:rPr>
                <w:color w:val="000000"/>
                <w:lang w:eastAsia="en-AU"/>
              </w:rPr>
            </w:pPr>
            <w:r w:rsidRPr="00BF6E3A">
              <w:rPr>
                <w:color w:val="000000"/>
                <w:lang w:eastAsia="en-AU"/>
              </w:rPr>
              <w:t xml:space="preserve">ARPANSA is in the process of reviewing the completeness of its regulatory guidance, including licensing and assessment, inspection, compliance and enforcement manuals and other documentation to include lessons learned from the ANSTO Health independent review report. </w:t>
            </w:r>
          </w:p>
        </w:tc>
      </w:tr>
      <w:tr w:rsidR="00D46883" w:rsidRPr="005F2314" w14:paraId="4936B439" w14:textId="77777777" w:rsidTr="00154265">
        <w:trPr>
          <w:trHeight w:val="70"/>
        </w:trPr>
        <w:tc>
          <w:tcPr>
            <w:tcW w:w="242" w:type="pct"/>
            <w:shd w:val="clear" w:color="auto" w:fill="auto"/>
          </w:tcPr>
          <w:p w14:paraId="4665DBAA" w14:textId="77777777" w:rsidR="00D46883" w:rsidRDefault="00D46883" w:rsidP="00154265">
            <w:pPr>
              <w:spacing w:before="120" w:after="120"/>
              <w:jc w:val="center"/>
              <w:rPr>
                <w:color w:val="000000"/>
                <w:lang w:eastAsia="en-AU"/>
              </w:rPr>
            </w:pPr>
            <w:r>
              <w:rPr>
                <w:color w:val="000000"/>
                <w:lang w:eastAsia="en-AU"/>
              </w:rPr>
              <w:t>R16</w:t>
            </w:r>
          </w:p>
        </w:tc>
        <w:tc>
          <w:tcPr>
            <w:tcW w:w="1332" w:type="pct"/>
            <w:shd w:val="clear" w:color="auto" w:fill="auto"/>
          </w:tcPr>
          <w:p w14:paraId="4CA8E764" w14:textId="55F90290" w:rsidR="00D46883" w:rsidRPr="00E9117C" w:rsidRDefault="00D46883" w:rsidP="00154265">
            <w:pPr>
              <w:spacing w:before="120" w:after="120"/>
              <w:jc w:val="center"/>
              <w:rPr>
                <w:color w:val="000000"/>
                <w:lang w:eastAsia="en-AU"/>
              </w:rPr>
            </w:pPr>
            <w:r w:rsidRPr="00BA2226">
              <w:rPr>
                <w:color w:val="000000"/>
                <w:lang w:eastAsia="en-AU"/>
              </w:rPr>
              <w:t>ARPANSA should develop criteria for evaluation of licensee exercises, to include the observation of exercises as part of the inspection process and ensure that licensees exercise all aspects of their emergency plan over an agreed time period and in line with a graded approach</w:t>
            </w:r>
            <w:r>
              <w:rPr>
                <w:color w:val="000000"/>
                <w:lang w:eastAsia="en-AU"/>
              </w:rPr>
              <w:t>.</w:t>
            </w:r>
          </w:p>
        </w:tc>
        <w:tc>
          <w:tcPr>
            <w:tcW w:w="853" w:type="pct"/>
            <w:shd w:val="clear" w:color="auto" w:fill="auto"/>
          </w:tcPr>
          <w:p w14:paraId="06C1D0FB" w14:textId="6FC2839A" w:rsidR="00D46883" w:rsidRPr="005F2314" w:rsidRDefault="00D46883" w:rsidP="00154265">
            <w:pPr>
              <w:spacing w:before="120" w:after="120"/>
              <w:jc w:val="center"/>
              <w:rPr>
                <w:color w:val="000000"/>
                <w:lang w:eastAsia="en-AU"/>
              </w:rPr>
            </w:pPr>
            <w:r>
              <w:rPr>
                <w:color w:val="000000"/>
                <w:lang w:eastAsia="en-AU"/>
              </w:rPr>
              <w:t>Regulatory Services Branch</w:t>
            </w:r>
          </w:p>
        </w:tc>
        <w:tc>
          <w:tcPr>
            <w:tcW w:w="2573" w:type="pct"/>
          </w:tcPr>
          <w:p w14:paraId="18F38747" w14:textId="4D6FF669" w:rsidR="00D46883" w:rsidRPr="00BF6E3A" w:rsidRDefault="00D46883" w:rsidP="00FF23F5">
            <w:pPr>
              <w:pStyle w:val="ListParagraph"/>
              <w:numPr>
                <w:ilvl w:val="0"/>
                <w:numId w:val="17"/>
              </w:numPr>
              <w:spacing w:before="120" w:after="120"/>
              <w:rPr>
                <w:color w:val="000000"/>
                <w:lang w:eastAsia="en-AU"/>
              </w:rPr>
            </w:pPr>
            <w:r w:rsidRPr="00BF6E3A">
              <w:rPr>
                <w:color w:val="000000"/>
                <w:lang w:eastAsia="en-AU"/>
              </w:rPr>
              <w:t>Criteria to be established in the Emergency Exposure Guide (Based on GSG-2.1/2.2)</w:t>
            </w:r>
          </w:p>
          <w:p w14:paraId="1B66424E" w14:textId="7F9D95B7" w:rsidR="00D46883" w:rsidRPr="00BF6E3A" w:rsidRDefault="00D46883" w:rsidP="00FF23F5">
            <w:pPr>
              <w:pStyle w:val="ListParagraph"/>
              <w:numPr>
                <w:ilvl w:val="0"/>
                <w:numId w:val="17"/>
              </w:numPr>
              <w:spacing w:before="120" w:after="120"/>
              <w:rPr>
                <w:color w:val="000000"/>
                <w:lang w:eastAsia="en-AU"/>
              </w:rPr>
            </w:pPr>
            <w:r w:rsidRPr="00BF6E3A">
              <w:rPr>
                <w:color w:val="000000"/>
                <w:lang w:eastAsia="en-AU"/>
              </w:rPr>
              <w:t>Training to be developed in a graded approach</w:t>
            </w:r>
          </w:p>
          <w:p w14:paraId="0AC76D55" w14:textId="6501DA29" w:rsidR="00D46883" w:rsidRPr="00BF6E3A" w:rsidRDefault="00D46883" w:rsidP="00FF23F5">
            <w:pPr>
              <w:pStyle w:val="ListParagraph"/>
              <w:numPr>
                <w:ilvl w:val="0"/>
                <w:numId w:val="17"/>
              </w:numPr>
              <w:spacing w:before="120" w:after="120"/>
              <w:rPr>
                <w:color w:val="000000"/>
                <w:lang w:eastAsia="en-AU"/>
              </w:rPr>
            </w:pPr>
            <w:r w:rsidRPr="00BF6E3A">
              <w:rPr>
                <w:color w:val="000000"/>
                <w:lang w:eastAsia="en-AU"/>
              </w:rPr>
              <w:t>Exercises to be inspected</w:t>
            </w:r>
          </w:p>
        </w:tc>
      </w:tr>
      <w:tr w:rsidR="00D46883" w:rsidRPr="005F2314" w14:paraId="53ADB6FC" w14:textId="77777777" w:rsidTr="00154265">
        <w:trPr>
          <w:trHeight w:val="70"/>
        </w:trPr>
        <w:tc>
          <w:tcPr>
            <w:tcW w:w="242" w:type="pct"/>
            <w:shd w:val="clear" w:color="auto" w:fill="auto"/>
          </w:tcPr>
          <w:p w14:paraId="52ACD2A9" w14:textId="77777777" w:rsidR="00D46883" w:rsidRDefault="00D46883" w:rsidP="00154265">
            <w:pPr>
              <w:spacing w:before="120" w:after="120"/>
              <w:jc w:val="center"/>
              <w:rPr>
                <w:color w:val="000000"/>
                <w:lang w:eastAsia="en-AU"/>
              </w:rPr>
            </w:pPr>
            <w:r>
              <w:rPr>
                <w:color w:val="000000"/>
                <w:lang w:eastAsia="en-AU"/>
              </w:rPr>
              <w:t>R18</w:t>
            </w:r>
          </w:p>
        </w:tc>
        <w:tc>
          <w:tcPr>
            <w:tcW w:w="1332" w:type="pct"/>
            <w:shd w:val="clear" w:color="auto" w:fill="auto"/>
          </w:tcPr>
          <w:p w14:paraId="4B1A8312" w14:textId="77777777" w:rsidR="00D46883" w:rsidRPr="00BA2226" w:rsidRDefault="00D46883" w:rsidP="00154265">
            <w:pPr>
              <w:spacing w:before="120" w:after="120"/>
              <w:jc w:val="center"/>
              <w:rPr>
                <w:color w:val="000000"/>
                <w:lang w:eastAsia="en-AU"/>
              </w:rPr>
            </w:pPr>
            <w:r w:rsidRPr="00BA2226">
              <w:rPr>
                <w:color w:val="000000"/>
                <w:lang w:eastAsia="en-AU"/>
              </w:rPr>
              <w:t xml:space="preserve">ARPANSA should strengthen its Incident Management Plan by assigning roles and responsibilities, ensuring all elements of the </w:t>
            </w:r>
            <w:r w:rsidRPr="00BA2226">
              <w:rPr>
                <w:color w:val="000000"/>
                <w:lang w:eastAsia="en-AU"/>
              </w:rPr>
              <w:lastRenderedPageBreak/>
              <w:t>Plan are tested and addressing lessons learned following exercises or real events.</w:t>
            </w:r>
          </w:p>
        </w:tc>
        <w:tc>
          <w:tcPr>
            <w:tcW w:w="853" w:type="pct"/>
            <w:shd w:val="clear" w:color="auto" w:fill="auto"/>
          </w:tcPr>
          <w:p w14:paraId="53233609" w14:textId="77777777" w:rsidR="00D46883" w:rsidRPr="005F2314" w:rsidRDefault="00D46883" w:rsidP="00154265">
            <w:pPr>
              <w:spacing w:before="120" w:after="120"/>
              <w:jc w:val="center"/>
              <w:rPr>
                <w:color w:val="000000"/>
                <w:lang w:eastAsia="en-AU"/>
              </w:rPr>
            </w:pPr>
            <w:r>
              <w:rPr>
                <w:color w:val="000000"/>
                <w:lang w:eastAsia="en-AU"/>
              </w:rPr>
              <w:lastRenderedPageBreak/>
              <w:t>Radiation Health Services Branch</w:t>
            </w:r>
          </w:p>
        </w:tc>
        <w:tc>
          <w:tcPr>
            <w:tcW w:w="2573" w:type="pct"/>
          </w:tcPr>
          <w:p w14:paraId="68E356E7" w14:textId="200080D2" w:rsidR="00D46883" w:rsidRPr="00942021" w:rsidRDefault="00D46883" w:rsidP="00FF23F5">
            <w:pPr>
              <w:pStyle w:val="ListParagraph"/>
              <w:numPr>
                <w:ilvl w:val="0"/>
                <w:numId w:val="11"/>
              </w:numPr>
              <w:spacing w:before="120" w:after="120"/>
              <w:rPr>
                <w:color w:val="000000"/>
                <w:lang w:eastAsia="en-AU"/>
              </w:rPr>
            </w:pPr>
            <w:r w:rsidRPr="00942021">
              <w:rPr>
                <w:color w:val="000000"/>
                <w:lang w:eastAsia="en-AU"/>
              </w:rPr>
              <w:t xml:space="preserve">Conduct desktop discussion exercise of IMP to assign, agree and de-conflict roles and responsibilities.  Clarify role of IMP in meeting ARPANSA’s obligations as a license holder </w:t>
            </w:r>
            <w:proofErr w:type="spellStart"/>
            <w:r w:rsidRPr="00942021">
              <w:rPr>
                <w:color w:val="000000"/>
                <w:lang w:eastAsia="en-AU"/>
              </w:rPr>
              <w:t>viz</w:t>
            </w:r>
            <w:proofErr w:type="spellEnd"/>
            <w:r w:rsidRPr="00942021">
              <w:rPr>
                <w:color w:val="000000"/>
                <w:lang w:eastAsia="en-AU"/>
              </w:rPr>
              <w:t xml:space="preserve"> R16</w:t>
            </w:r>
            <w:r w:rsidR="0007791C">
              <w:rPr>
                <w:color w:val="000000"/>
                <w:lang w:eastAsia="en-AU"/>
              </w:rPr>
              <w:t>.</w:t>
            </w:r>
          </w:p>
          <w:p w14:paraId="7EF3DE0E" w14:textId="3F9A881A" w:rsidR="00D46883" w:rsidRPr="00942021" w:rsidRDefault="00D46883" w:rsidP="00FF23F5">
            <w:pPr>
              <w:pStyle w:val="ListParagraph"/>
              <w:numPr>
                <w:ilvl w:val="0"/>
                <w:numId w:val="11"/>
              </w:numPr>
              <w:spacing w:before="120" w:after="120"/>
              <w:rPr>
                <w:color w:val="000000"/>
                <w:lang w:eastAsia="en-AU"/>
              </w:rPr>
            </w:pPr>
            <w:r w:rsidRPr="00942021">
              <w:rPr>
                <w:color w:val="000000"/>
                <w:lang w:eastAsia="en-AU"/>
              </w:rPr>
              <w:t>Develop rolling training drills and exercise program</w:t>
            </w:r>
            <w:r w:rsidR="00975E82">
              <w:rPr>
                <w:color w:val="000000"/>
                <w:lang w:eastAsia="en-AU"/>
              </w:rPr>
              <w:t>.</w:t>
            </w:r>
          </w:p>
          <w:p w14:paraId="3D568D21" w14:textId="4A6933B4" w:rsidR="00D46883" w:rsidRPr="00942021" w:rsidRDefault="00D46883" w:rsidP="00FF23F5">
            <w:pPr>
              <w:pStyle w:val="ListParagraph"/>
              <w:numPr>
                <w:ilvl w:val="0"/>
                <w:numId w:val="11"/>
              </w:numPr>
              <w:spacing w:before="120" w:after="120"/>
              <w:rPr>
                <w:color w:val="000000"/>
                <w:lang w:eastAsia="en-AU"/>
              </w:rPr>
            </w:pPr>
            <w:r w:rsidRPr="00942021">
              <w:rPr>
                <w:color w:val="000000"/>
                <w:lang w:eastAsia="en-AU"/>
              </w:rPr>
              <w:lastRenderedPageBreak/>
              <w:t>Use IMS OFI register to capture lessons identified from exercises.</w:t>
            </w:r>
          </w:p>
        </w:tc>
      </w:tr>
      <w:tr w:rsidR="00D46883" w:rsidRPr="005F2314" w14:paraId="2AFD156B" w14:textId="77777777" w:rsidTr="00154265">
        <w:trPr>
          <w:trHeight w:val="70"/>
        </w:trPr>
        <w:tc>
          <w:tcPr>
            <w:tcW w:w="242" w:type="pct"/>
            <w:shd w:val="clear" w:color="auto" w:fill="auto"/>
          </w:tcPr>
          <w:p w14:paraId="4A51B2C5" w14:textId="77777777" w:rsidR="00D46883" w:rsidRDefault="00D46883" w:rsidP="00154265">
            <w:pPr>
              <w:spacing w:before="120" w:after="120"/>
              <w:jc w:val="center"/>
              <w:rPr>
                <w:color w:val="000000"/>
                <w:lang w:eastAsia="en-AU"/>
              </w:rPr>
            </w:pPr>
            <w:r>
              <w:rPr>
                <w:color w:val="000000"/>
                <w:lang w:eastAsia="en-AU"/>
              </w:rPr>
              <w:lastRenderedPageBreak/>
              <w:t>R19</w:t>
            </w:r>
          </w:p>
        </w:tc>
        <w:tc>
          <w:tcPr>
            <w:tcW w:w="1332" w:type="pct"/>
            <w:shd w:val="clear" w:color="auto" w:fill="auto"/>
          </w:tcPr>
          <w:p w14:paraId="3B440583" w14:textId="77777777" w:rsidR="00D46883" w:rsidRPr="00BA2226" w:rsidRDefault="00D46883" w:rsidP="00154265">
            <w:pPr>
              <w:spacing w:before="120" w:after="120"/>
              <w:jc w:val="center"/>
              <w:rPr>
                <w:color w:val="000000"/>
                <w:lang w:eastAsia="en-AU"/>
              </w:rPr>
            </w:pPr>
            <w:r w:rsidRPr="00BA2226">
              <w:rPr>
                <w:color w:val="000000"/>
                <w:lang w:eastAsia="en-AU"/>
              </w:rPr>
              <w:t>ARPANSA, in collaboration with professional bodies, should establish DRLs for medical exposures incurred in medical imaging, including image guided interventional procedures, where practicable.</w:t>
            </w:r>
          </w:p>
        </w:tc>
        <w:tc>
          <w:tcPr>
            <w:tcW w:w="853" w:type="pct"/>
            <w:shd w:val="clear" w:color="auto" w:fill="auto"/>
          </w:tcPr>
          <w:p w14:paraId="3B94332E" w14:textId="77777777" w:rsidR="00D46883" w:rsidRPr="005F2314" w:rsidRDefault="00D46883" w:rsidP="00154265">
            <w:pPr>
              <w:spacing w:before="120" w:after="120"/>
              <w:jc w:val="center"/>
              <w:rPr>
                <w:color w:val="000000"/>
                <w:lang w:eastAsia="en-AU"/>
              </w:rPr>
            </w:pPr>
            <w:r>
              <w:rPr>
                <w:color w:val="000000"/>
                <w:lang w:eastAsia="en-AU"/>
              </w:rPr>
              <w:t>Medical Radiation Branch</w:t>
            </w:r>
          </w:p>
        </w:tc>
        <w:tc>
          <w:tcPr>
            <w:tcW w:w="2573" w:type="pct"/>
          </w:tcPr>
          <w:p w14:paraId="03121EAF" w14:textId="0213CB9A" w:rsidR="00D46883" w:rsidRPr="00942021" w:rsidRDefault="00D46883" w:rsidP="00FF23F5">
            <w:pPr>
              <w:pStyle w:val="ListParagraph"/>
              <w:numPr>
                <w:ilvl w:val="0"/>
                <w:numId w:val="4"/>
              </w:numPr>
              <w:spacing w:before="120" w:after="120"/>
              <w:rPr>
                <w:color w:val="000000"/>
                <w:lang w:eastAsia="en-AU"/>
              </w:rPr>
            </w:pPr>
            <w:r w:rsidRPr="00942021">
              <w:rPr>
                <w:color w:val="000000"/>
                <w:lang w:eastAsia="en-AU"/>
              </w:rPr>
              <w:t>Constitute a liaison panel of representatives from professions involved in image-guided interventional procedures (IGIP)</w:t>
            </w:r>
          </w:p>
          <w:p w14:paraId="3FAA0B41" w14:textId="77777777" w:rsidR="00D46883" w:rsidRPr="00942021" w:rsidRDefault="00D46883" w:rsidP="00FF23F5">
            <w:pPr>
              <w:pStyle w:val="ListParagraph"/>
              <w:numPr>
                <w:ilvl w:val="0"/>
                <w:numId w:val="4"/>
              </w:numPr>
              <w:spacing w:before="120" w:after="120"/>
              <w:rPr>
                <w:color w:val="000000"/>
                <w:lang w:eastAsia="en-AU"/>
              </w:rPr>
            </w:pPr>
            <w:r w:rsidRPr="00942021">
              <w:rPr>
                <w:color w:val="000000"/>
                <w:lang w:eastAsia="en-AU"/>
              </w:rPr>
              <w:t>Liaison panel to review data collected on IGIP and consider recommending one or more DRLs</w:t>
            </w:r>
          </w:p>
          <w:p w14:paraId="576883F6" w14:textId="0D14941D" w:rsidR="00D46883" w:rsidRPr="00942021" w:rsidRDefault="00D46883" w:rsidP="00FF23F5">
            <w:pPr>
              <w:pStyle w:val="ListParagraph"/>
              <w:numPr>
                <w:ilvl w:val="0"/>
                <w:numId w:val="4"/>
              </w:numPr>
              <w:spacing w:before="120" w:after="120"/>
              <w:rPr>
                <w:color w:val="000000"/>
                <w:lang w:eastAsia="en-AU"/>
              </w:rPr>
            </w:pPr>
            <w:r w:rsidRPr="00942021">
              <w:rPr>
                <w:color w:val="000000"/>
                <w:lang w:eastAsia="en-AU"/>
              </w:rPr>
              <w:t>Liaison panel to review procedures surveyed and data elements collected for IGIP and make recommendations to improve to program</w:t>
            </w:r>
          </w:p>
        </w:tc>
      </w:tr>
      <w:tr w:rsidR="00D46883" w:rsidRPr="005F2314" w14:paraId="37CACA2D" w14:textId="77777777" w:rsidTr="00154265">
        <w:trPr>
          <w:trHeight w:val="70"/>
        </w:trPr>
        <w:tc>
          <w:tcPr>
            <w:tcW w:w="242" w:type="pct"/>
            <w:shd w:val="clear" w:color="auto" w:fill="auto"/>
          </w:tcPr>
          <w:p w14:paraId="4A2B7327" w14:textId="77777777" w:rsidR="00D46883" w:rsidRDefault="00D46883" w:rsidP="00154265">
            <w:pPr>
              <w:spacing w:before="120" w:after="120"/>
              <w:jc w:val="center"/>
              <w:rPr>
                <w:color w:val="000000"/>
                <w:lang w:eastAsia="en-AU"/>
              </w:rPr>
            </w:pPr>
            <w:r>
              <w:rPr>
                <w:color w:val="000000"/>
                <w:lang w:eastAsia="en-AU"/>
              </w:rPr>
              <w:t>R23</w:t>
            </w:r>
          </w:p>
        </w:tc>
        <w:tc>
          <w:tcPr>
            <w:tcW w:w="1332" w:type="pct"/>
            <w:shd w:val="clear" w:color="auto" w:fill="auto"/>
          </w:tcPr>
          <w:p w14:paraId="7FED6B5E" w14:textId="77777777" w:rsidR="00D46883" w:rsidRPr="00BA2226" w:rsidRDefault="00D46883" w:rsidP="00154265">
            <w:pPr>
              <w:spacing w:before="120" w:after="120"/>
              <w:jc w:val="center"/>
              <w:rPr>
                <w:color w:val="000000"/>
                <w:lang w:eastAsia="en-AU"/>
              </w:rPr>
            </w:pPr>
            <w:r w:rsidRPr="00BA2226">
              <w:rPr>
                <w:color w:val="000000"/>
                <w:lang w:eastAsia="en-AU"/>
              </w:rPr>
              <w:t>ARPANSA should make provision for an independent monitoring programme to confirm the monitoring results submitted by licensees and should consider basing the programme on an assessment of the nuclides that make a major contribution to public dose.</w:t>
            </w:r>
          </w:p>
        </w:tc>
        <w:tc>
          <w:tcPr>
            <w:tcW w:w="853" w:type="pct"/>
            <w:shd w:val="clear" w:color="auto" w:fill="auto"/>
          </w:tcPr>
          <w:p w14:paraId="523CEAEF" w14:textId="5FE57AFD" w:rsidR="00D46883" w:rsidRPr="005F2314" w:rsidRDefault="00D46883" w:rsidP="00154265">
            <w:pPr>
              <w:spacing w:before="120" w:after="120"/>
              <w:jc w:val="center"/>
              <w:rPr>
                <w:color w:val="000000"/>
                <w:lang w:eastAsia="en-AU"/>
              </w:rPr>
            </w:pPr>
            <w:r>
              <w:rPr>
                <w:color w:val="000000"/>
                <w:lang w:eastAsia="en-AU"/>
              </w:rPr>
              <w:t xml:space="preserve">Regulatory Services Branch / Radiation Health Services Branch </w:t>
            </w:r>
          </w:p>
        </w:tc>
        <w:tc>
          <w:tcPr>
            <w:tcW w:w="2573" w:type="pct"/>
          </w:tcPr>
          <w:p w14:paraId="74B54A1C" w14:textId="360AB30B" w:rsidR="00D46883" w:rsidRPr="00942021" w:rsidRDefault="00D46883" w:rsidP="00FF23F5">
            <w:pPr>
              <w:pStyle w:val="ListParagraph"/>
              <w:numPr>
                <w:ilvl w:val="0"/>
                <w:numId w:val="10"/>
              </w:numPr>
              <w:spacing w:before="120" w:after="120"/>
              <w:rPr>
                <w:color w:val="000000"/>
                <w:lang w:eastAsia="en-AU"/>
              </w:rPr>
            </w:pPr>
            <w:r w:rsidRPr="00942021">
              <w:rPr>
                <w:color w:val="000000"/>
                <w:lang w:eastAsia="en-AU"/>
              </w:rPr>
              <w:t xml:space="preserve">Monitoring program initiated in 2018-19 through detailed work plans. </w:t>
            </w:r>
          </w:p>
          <w:p w14:paraId="2D2E0D04" w14:textId="51A34D42" w:rsidR="00D46883" w:rsidRPr="00942021" w:rsidRDefault="00D46883" w:rsidP="00FF23F5">
            <w:pPr>
              <w:pStyle w:val="ListParagraph"/>
              <w:numPr>
                <w:ilvl w:val="0"/>
                <w:numId w:val="10"/>
              </w:numPr>
              <w:spacing w:before="120" w:after="120"/>
              <w:rPr>
                <w:color w:val="000000"/>
                <w:lang w:eastAsia="en-AU"/>
              </w:rPr>
            </w:pPr>
            <w:r w:rsidRPr="00942021">
              <w:rPr>
                <w:color w:val="000000"/>
                <w:lang w:eastAsia="en-AU"/>
              </w:rPr>
              <w:t>Implementation of monitoring program by end FY2019-20.</w:t>
            </w:r>
          </w:p>
          <w:p w14:paraId="00D7BBEA" w14:textId="7F28B8AA" w:rsidR="00D46883" w:rsidRPr="00942021" w:rsidRDefault="00D46883" w:rsidP="00FF23F5">
            <w:pPr>
              <w:pStyle w:val="ListParagraph"/>
              <w:numPr>
                <w:ilvl w:val="0"/>
                <w:numId w:val="10"/>
              </w:numPr>
              <w:spacing w:before="120" w:after="120"/>
              <w:rPr>
                <w:color w:val="000000"/>
                <w:lang w:eastAsia="en-AU"/>
              </w:rPr>
            </w:pPr>
            <w:r w:rsidRPr="00942021">
              <w:rPr>
                <w:color w:val="000000"/>
                <w:lang w:eastAsia="en-AU"/>
              </w:rPr>
              <w:t>Refine monitoring program after initial period of monitoring.</w:t>
            </w:r>
          </w:p>
          <w:p w14:paraId="66643E48" w14:textId="1A31DD72" w:rsidR="00D46883" w:rsidRPr="00942021" w:rsidRDefault="00D46883" w:rsidP="00FF23F5">
            <w:pPr>
              <w:pStyle w:val="ListParagraph"/>
              <w:numPr>
                <w:ilvl w:val="0"/>
                <w:numId w:val="10"/>
              </w:numPr>
              <w:spacing w:before="120" w:after="120"/>
              <w:rPr>
                <w:color w:val="000000"/>
                <w:lang w:eastAsia="en-AU"/>
              </w:rPr>
            </w:pPr>
            <w:r w:rsidRPr="00942021">
              <w:rPr>
                <w:color w:val="000000"/>
                <w:lang w:eastAsia="en-AU"/>
              </w:rPr>
              <w:t xml:space="preserve">Identification of radionuclides that are major contributor to the dose to inform S12. </w:t>
            </w:r>
          </w:p>
        </w:tc>
      </w:tr>
      <w:tr w:rsidR="00D46883" w:rsidRPr="005F2314" w14:paraId="2AE1DBBE" w14:textId="77777777" w:rsidTr="00154265">
        <w:trPr>
          <w:trHeight w:val="70"/>
        </w:trPr>
        <w:tc>
          <w:tcPr>
            <w:tcW w:w="242" w:type="pct"/>
            <w:shd w:val="clear" w:color="auto" w:fill="auto"/>
          </w:tcPr>
          <w:p w14:paraId="79BAE2E1" w14:textId="77777777" w:rsidR="00D46883" w:rsidRDefault="00D46883" w:rsidP="00154265">
            <w:pPr>
              <w:spacing w:before="120" w:after="120"/>
              <w:jc w:val="center"/>
              <w:rPr>
                <w:color w:val="000000"/>
                <w:lang w:eastAsia="en-AU"/>
              </w:rPr>
            </w:pPr>
            <w:r>
              <w:rPr>
                <w:color w:val="000000"/>
                <w:lang w:eastAsia="en-AU"/>
              </w:rPr>
              <w:t>S3</w:t>
            </w:r>
          </w:p>
        </w:tc>
        <w:tc>
          <w:tcPr>
            <w:tcW w:w="1332" w:type="pct"/>
            <w:shd w:val="clear" w:color="auto" w:fill="auto"/>
          </w:tcPr>
          <w:p w14:paraId="119EDD55" w14:textId="5E083D6C" w:rsidR="00D46883" w:rsidRPr="00BA2226" w:rsidRDefault="00D46883" w:rsidP="00154265">
            <w:pPr>
              <w:spacing w:before="120" w:after="120"/>
              <w:jc w:val="center"/>
              <w:rPr>
                <w:color w:val="000000"/>
                <w:lang w:eastAsia="en-AU"/>
              </w:rPr>
            </w:pPr>
            <w:r w:rsidRPr="00BA2226">
              <w:rPr>
                <w:color w:val="000000"/>
                <w:lang w:eastAsia="en-AU"/>
              </w:rPr>
              <w:t>ARPANSA should consider formalizing its arrangements to independently review its oversight of regulated facilities and activities undertaken by ARPANSA, including their authorization, review and assessment, and inspection</w:t>
            </w:r>
            <w:r>
              <w:rPr>
                <w:color w:val="000000"/>
                <w:lang w:eastAsia="en-AU"/>
              </w:rPr>
              <w:t>.</w:t>
            </w:r>
          </w:p>
        </w:tc>
        <w:tc>
          <w:tcPr>
            <w:tcW w:w="853" w:type="pct"/>
            <w:shd w:val="clear" w:color="auto" w:fill="auto"/>
          </w:tcPr>
          <w:p w14:paraId="169DC8A5" w14:textId="363991E9" w:rsidR="00D46883" w:rsidRPr="005F2314" w:rsidRDefault="00D46883" w:rsidP="00154265">
            <w:pPr>
              <w:spacing w:before="120" w:after="120"/>
              <w:jc w:val="center"/>
              <w:rPr>
                <w:color w:val="000000"/>
                <w:lang w:eastAsia="en-AU"/>
              </w:rPr>
            </w:pPr>
            <w:r>
              <w:rPr>
                <w:color w:val="000000"/>
                <w:lang w:eastAsia="en-AU"/>
              </w:rPr>
              <w:t>Regulatory Services Branch</w:t>
            </w:r>
          </w:p>
        </w:tc>
        <w:tc>
          <w:tcPr>
            <w:tcW w:w="2573" w:type="pct"/>
          </w:tcPr>
          <w:p w14:paraId="23D0A7CD" w14:textId="663E60AE" w:rsidR="00D46883" w:rsidRPr="00942021" w:rsidRDefault="00D46883" w:rsidP="00FF23F5">
            <w:pPr>
              <w:pStyle w:val="ListParagraph"/>
              <w:numPr>
                <w:ilvl w:val="0"/>
                <w:numId w:val="12"/>
              </w:numPr>
              <w:spacing w:before="120" w:after="120"/>
              <w:rPr>
                <w:color w:val="000000"/>
                <w:lang w:eastAsia="en-AU"/>
              </w:rPr>
            </w:pPr>
            <w:r w:rsidRPr="00942021">
              <w:rPr>
                <w:color w:val="000000"/>
                <w:lang w:eastAsia="en-AU"/>
              </w:rPr>
              <w:t>Finalise draft memoranda of understanding (</w:t>
            </w:r>
            <w:proofErr w:type="spellStart"/>
            <w:r w:rsidRPr="00942021">
              <w:rPr>
                <w:color w:val="000000"/>
                <w:lang w:eastAsia="en-AU"/>
              </w:rPr>
              <w:t>MoU</w:t>
            </w:r>
            <w:proofErr w:type="spellEnd"/>
            <w:r w:rsidRPr="00942021">
              <w:rPr>
                <w:color w:val="000000"/>
                <w:lang w:eastAsia="en-AU"/>
              </w:rPr>
              <w:t>) with SA and NSW EPAs.</w:t>
            </w:r>
          </w:p>
          <w:p w14:paraId="2266B468" w14:textId="76559E26" w:rsidR="00D46883" w:rsidRPr="008633F9" w:rsidRDefault="00D46883" w:rsidP="00FF23F5">
            <w:pPr>
              <w:pStyle w:val="ListParagraph"/>
              <w:numPr>
                <w:ilvl w:val="0"/>
                <w:numId w:val="12"/>
              </w:numPr>
              <w:spacing w:before="120" w:after="120"/>
              <w:rPr>
                <w:lang w:eastAsia="en-AU"/>
              </w:rPr>
            </w:pPr>
            <w:r w:rsidRPr="00942021">
              <w:rPr>
                <w:color w:val="000000"/>
                <w:lang w:eastAsia="en-AU"/>
              </w:rPr>
              <w:t xml:space="preserve">Prepare draft </w:t>
            </w:r>
            <w:proofErr w:type="spellStart"/>
            <w:r w:rsidRPr="00942021">
              <w:rPr>
                <w:color w:val="000000"/>
                <w:lang w:eastAsia="en-AU"/>
              </w:rPr>
              <w:t>MoUs</w:t>
            </w:r>
            <w:proofErr w:type="spellEnd"/>
            <w:r w:rsidRPr="00942021">
              <w:rPr>
                <w:color w:val="000000"/>
                <w:lang w:eastAsia="en-AU"/>
              </w:rPr>
              <w:t xml:space="preserve"> with remaining S/T regulators.</w:t>
            </w:r>
          </w:p>
        </w:tc>
      </w:tr>
      <w:tr w:rsidR="00D46883" w:rsidRPr="005F2314" w14:paraId="307FCF2B" w14:textId="77777777" w:rsidTr="00154265">
        <w:trPr>
          <w:trHeight w:val="70"/>
        </w:trPr>
        <w:tc>
          <w:tcPr>
            <w:tcW w:w="242" w:type="pct"/>
            <w:shd w:val="clear" w:color="auto" w:fill="auto"/>
          </w:tcPr>
          <w:p w14:paraId="35B7DE44" w14:textId="77777777" w:rsidR="00D46883" w:rsidRDefault="00D46883" w:rsidP="00154265">
            <w:pPr>
              <w:spacing w:before="120" w:after="120"/>
              <w:jc w:val="center"/>
              <w:rPr>
                <w:color w:val="000000"/>
                <w:lang w:eastAsia="en-AU"/>
              </w:rPr>
            </w:pPr>
            <w:r>
              <w:rPr>
                <w:color w:val="000000"/>
                <w:lang w:eastAsia="en-AU"/>
              </w:rPr>
              <w:t>S4</w:t>
            </w:r>
          </w:p>
        </w:tc>
        <w:tc>
          <w:tcPr>
            <w:tcW w:w="1332" w:type="pct"/>
            <w:shd w:val="clear" w:color="auto" w:fill="auto"/>
          </w:tcPr>
          <w:p w14:paraId="69D6B32A" w14:textId="77777777" w:rsidR="00D46883" w:rsidRPr="00BA2226" w:rsidRDefault="00D46883" w:rsidP="00154265">
            <w:pPr>
              <w:spacing w:before="120" w:after="120"/>
              <w:jc w:val="center"/>
              <w:rPr>
                <w:color w:val="000000"/>
                <w:lang w:eastAsia="en-AU"/>
              </w:rPr>
            </w:pPr>
            <w:r w:rsidRPr="00BA2226">
              <w:rPr>
                <w:color w:val="000000"/>
                <w:lang w:eastAsia="en-AU"/>
              </w:rPr>
              <w:t>ARPANSA should consider developing and implementing requirements for authorized parties to establish effective mechanisms of communication with interested parties.</w:t>
            </w:r>
          </w:p>
        </w:tc>
        <w:tc>
          <w:tcPr>
            <w:tcW w:w="853" w:type="pct"/>
            <w:shd w:val="clear" w:color="auto" w:fill="auto"/>
          </w:tcPr>
          <w:p w14:paraId="6CA431A4" w14:textId="77777777" w:rsidR="00D46883" w:rsidRPr="005F2314" w:rsidRDefault="00D46883" w:rsidP="00154265">
            <w:pPr>
              <w:spacing w:before="120" w:after="120"/>
              <w:jc w:val="center"/>
              <w:rPr>
                <w:color w:val="000000"/>
                <w:lang w:eastAsia="en-AU"/>
              </w:rPr>
            </w:pPr>
            <w:r>
              <w:rPr>
                <w:color w:val="000000"/>
                <w:lang w:eastAsia="en-AU"/>
              </w:rPr>
              <w:t>Regulatory Services Branch</w:t>
            </w:r>
          </w:p>
        </w:tc>
        <w:tc>
          <w:tcPr>
            <w:tcW w:w="2573" w:type="pct"/>
          </w:tcPr>
          <w:p w14:paraId="4CE21ECC" w14:textId="5C007122" w:rsidR="00D46883" w:rsidRPr="00942021" w:rsidRDefault="009B7E51" w:rsidP="00FF23F5">
            <w:pPr>
              <w:pStyle w:val="ListParagraph"/>
              <w:numPr>
                <w:ilvl w:val="0"/>
                <w:numId w:val="13"/>
              </w:numPr>
              <w:spacing w:before="120" w:after="120"/>
              <w:rPr>
                <w:color w:val="000000"/>
                <w:lang w:eastAsia="en-AU"/>
              </w:rPr>
            </w:pPr>
            <w:r w:rsidRPr="00942021">
              <w:rPr>
                <w:color w:val="000000"/>
                <w:lang w:eastAsia="en-AU"/>
              </w:rPr>
              <w:t>An internal review of this requirement will be undertaken.</w:t>
            </w:r>
          </w:p>
        </w:tc>
      </w:tr>
      <w:tr w:rsidR="00D46883" w:rsidRPr="005F2314" w14:paraId="15E79038" w14:textId="77777777" w:rsidTr="00154265">
        <w:trPr>
          <w:trHeight w:val="70"/>
        </w:trPr>
        <w:tc>
          <w:tcPr>
            <w:tcW w:w="242" w:type="pct"/>
            <w:shd w:val="clear" w:color="auto" w:fill="auto"/>
          </w:tcPr>
          <w:p w14:paraId="323B7F49" w14:textId="77777777" w:rsidR="00D46883" w:rsidRDefault="00D46883" w:rsidP="00154265">
            <w:pPr>
              <w:spacing w:before="120" w:after="120"/>
              <w:jc w:val="center"/>
              <w:rPr>
                <w:color w:val="000000"/>
                <w:lang w:eastAsia="en-AU"/>
              </w:rPr>
            </w:pPr>
            <w:r>
              <w:rPr>
                <w:color w:val="000000"/>
                <w:lang w:eastAsia="en-AU"/>
              </w:rPr>
              <w:t>S6</w:t>
            </w:r>
          </w:p>
        </w:tc>
        <w:tc>
          <w:tcPr>
            <w:tcW w:w="1332" w:type="pct"/>
            <w:shd w:val="clear" w:color="auto" w:fill="auto"/>
          </w:tcPr>
          <w:p w14:paraId="2F8EE51E" w14:textId="77777777" w:rsidR="00D46883" w:rsidRPr="00BA2226" w:rsidRDefault="00D46883" w:rsidP="00154265">
            <w:pPr>
              <w:spacing w:before="120" w:after="120"/>
              <w:jc w:val="center"/>
              <w:rPr>
                <w:color w:val="000000"/>
                <w:lang w:eastAsia="en-AU"/>
              </w:rPr>
            </w:pPr>
            <w:r w:rsidRPr="00BA2226">
              <w:rPr>
                <w:color w:val="000000"/>
                <w:lang w:eastAsia="en-AU"/>
              </w:rPr>
              <w:t>ARPANSA should consider revising the regulation and guidance for licensing of research reactors to include extended shutdown and associated submission requirements.</w:t>
            </w:r>
          </w:p>
        </w:tc>
        <w:tc>
          <w:tcPr>
            <w:tcW w:w="853" w:type="pct"/>
            <w:shd w:val="clear" w:color="auto" w:fill="auto"/>
          </w:tcPr>
          <w:p w14:paraId="17F88253" w14:textId="77777777" w:rsidR="00D46883" w:rsidRPr="005F2314" w:rsidRDefault="00D46883" w:rsidP="00154265">
            <w:pPr>
              <w:spacing w:before="120" w:after="120"/>
              <w:jc w:val="center"/>
              <w:rPr>
                <w:color w:val="000000"/>
                <w:lang w:eastAsia="en-AU"/>
              </w:rPr>
            </w:pPr>
            <w:r>
              <w:rPr>
                <w:color w:val="000000"/>
                <w:lang w:eastAsia="en-AU"/>
              </w:rPr>
              <w:t>Regulatory Services Branch</w:t>
            </w:r>
          </w:p>
        </w:tc>
        <w:tc>
          <w:tcPr>
            <w:tcW w:w="2573" w:type="pct"/>
          </w:tcPr>
          <w:p w14:paraId="1CED18EA" w14:textId="4D9879C1" w:rsidR="00D46883" w:rsidRPr="00942021" w:rsidRDefault="00D46883" w:rsidP="00FF23F5">
            <w:pPr>
              <w:pStyle w:val="ListParagraph"/>
              <w:numPr>
                <w:ilvl w:val="0"/>
                <w:numId w:val="13"/>
              </w:numPr>
              <w:spacing w:before="120" w:after="120"/>
              <w:rPr>
                <w:color w:val="000000"/>
                <w:lang w:eastAsia="en-AU"/>
              </w:rPr>
            </w:pPr>
            <w:r w:rsidRPr="00942021">
              <w:rPr>
                <w:color w:val="000000"/>
                <w:lang w:eastAsia="en-AU"/>
              </w:rPr>
              <w:t>This suggestion can be accommodated by use of appropriate licence conditions.</w:t>
            </w:r>
          </w:p>
        </w:tc>
      </w:tr>
      <w:tr w:rsidR="00D46883" w:rsidRPr="005F2314" w14:paraId="2C8CBD8B" w14:textId="77777777" w:rsidTr="00154265">
        <w:trPr>
          <w:trHeight w:val="70"/>
        </w:trPr>
        <w:tc>
          <w:tcPr>
            <w:tcW w:w="242" w:type="pct"/>
            <w:shd w:val="clear" w:color="auto" w:fill="auto"/>
          </w:tcPr>
          <w:p w14:paraId="6F94838A" w14:textId="77777777" w:rsidR="00D46883" w:rsidRDefault="00D46883" w:rsidP="00154265">
            <w:pPr>
              <w:spacing w:before="120" w:after="120"/>
              <w:jc w:val="center"/>
              <w:rPr>
                <w:color w:val="000000"/>
                <w:lang w:eastAsia="en-AU"/>
              </w:rPr>
            </w:pPr>
            <w:r>
              <w:rPr>
                <w:color w:val="000000"/>
                <w:lang w:eastAsia="en-AU"/>
              </w:rPr>
              <w:t>S7</w:t>
            </w:r>
          </w:p>
        </w:tc>
        <w:tc>
          <w:tcPr>
            <w:tcW w:w="1332" w:type="pct"/>
            <w:shd w:val="clear" w:color="auto" w:fill="auto"/>
          </w:tcPr>
          <w:p w14:paraId="2F87451D" w14:textId="2EC42B65" w:rsidR="00D46883" w:rsidRPr="00BA2226" w:rsidRDefault="00D46883" w:rsidP="00154265">
            <w:pPr>
              <w:spacing w:before="120" w:after="120"/>
              <w:jc w:val="center"/>
              <w:rPr>
                <w:color w:val="000000"/>
                <w:lang w:eastAsia="en-AU"/>
              </w:rPr>
            </w:pPr>
            <w:r w:rsidRPr="00BA2226">
              <w:rPr>
                <w:color w:val="000000"/>
                <w:lang w:eastAsia="en-AU"/>
              </w:rPr>
              <w:t>ARPANSA should consider revising the conditions of licence to require decommissioning plans for all life stages of the facility</w:t>
            </w:r>
            <w:r>
              <w:rPr>
                <w:color w:val="000000"/>
                <w:lang w:eastAsia="en-AU"/>
              </w:rPr>
              <w:t>.</w:t>
            </w:r>
          </w:p>
        </w:tc>
        <w:tc>
          <w:tcPr>
            <w:tcW w:w="853" w:type="pct"/>
            <w:shd w:val="clear" w:color="auto" w:fill="auto"/>
          </w:tcPr>
          <w:p w14:paraId="7373264D" w14:textId="77777777" w:rsidR="00D46883" w:rsidRPr="005F2314" w:rsidRDefault="00D46883" w:rsidP="00154265">
            <w:pPr>
              <w:spacing w:before="120" w:after="120"/>
              <w:jc w:val="center"/>
              <w:rPr>
                <w:color w:val="000000"/>
                <w:lang w:eastAsia="en-AU"/>
              </w:rPr>
            </w:pPr>
            <w:r>
              <w:rPr>
                <w:color w:val="000000"/>
                <w:lang w:eastAsia="en-AU"/>
              </w:rPr>
              <w:t>Regulatory Services Branch</w:t>
            </w:r>
          </w:p>
        </w:tc>
        <w:tc>
          <w:tcPr>
            <w:tcW w:w="2573" w:type="pct"/>
          </w:tcPr>
          <w:p w14:paraId="7FFA7938" w14:textId="77777777" w:rsidR="00D46883" w:rsidRPr="00942021" w:rsidRDefault="00D46883" w:rsidP="00FF23F5">
            <w:pPr>
              <w:pStyle w:val="ListParagraph"/>
              <w:numPr>
                <w:ilvl w:val="0"/>
                <w:numId w:val="13"/>
              </w:numPr>
              <w:spacing w:before="120" w:after="120"/>
              <w:rPr>
                <w:color w:val="000000"/>
                <w:lang w:eastAsia="en-AU"/>
              </w:rPr>
            </w:pPr>
            <w:r w:rsidRPr="00942021">
              <w:rPr>
                <w:color w:val="000000"/>
                <w:lang w:eastAsia="en-AU"/>
              </w:rPr>
              <w:t>Licences to be revised to reflect this condition.</w:t>
            </w:r>
          </w:p>
          <w:p w14:paraId="3F48867D" w14:textId="4AAA3696" w:rsidR="00D46883" w:rsidRPr="00942021" w:rsidRDefault="00D46883" w:rsidP="00FF23F5">
            <w:pPr>
              <w:pStyle w:val="ListParagraph"/>
              <w:numPr>
                <w:ilvl w:val="0"/>
                <w:numId w:val="13"/>
              </w:numPr>
              <w:spacing w:before="120" w:after="120"/>
              <w:rPr>
                <w:color w:val="000000"/>
                <w:lang w:eastAsia="en-AU"/>
              </w:rPr>
            </w:pPr>
            <w:r w:rsidRPr="00942021">
              <w:rPr>
                <w:color w:val="000000"/>
                <w:lang w:eastAsia="en-AU"/>
              </w:rPr>
              <w:t>Regulations to be amended to include requirements for decommissioning plans for all life cycle stages.</w:t>
            </w:r>
          </w:p>
        </w:tc>
      </w:tr>
      <w:tr w:rsidR="00D46883" w:rsidRPr="005F2314" w14:paraId="0784ABF1" w14:textId="77777777" w:rsidTr="00154265">
        <w:trPr>
          <w:trHeight w:val="70"/>
        </w:trPr>
        <w:tc>
          <w:tcPr>
            <w:tcW w:w="242" w:type="pct"/>
            <w:shd w:val="clear" w:color="auto" w:fill="auto"/>
          </w:tcPr>
          <w:p w14:paraId="2E5058AF" w14:textId="77777777" w:rsidR="00D46883" w:rsidRDefault="00D46883" w:rsidP="00154265">
            <w:pPr>
              <w:spacing w:before="120" w:after="120"/>
              <w:jc w:val="center"/>
              <w:rPr>
                <w:color w:val="000000"/>
                <w:lang w:eastAsia="en-AU"/>
              </w:rPr>
            </w:pPr>
            <w:r>
              <w:rPr>
                <w:color w:val="000000"/>
                <w:lang w:eastAsia="en-AU"/>
              </w:rPr>
              <w:t>S8</w:t>
            </w:r>
          </w:p>
        </w:tc>
        <w:tc>
          <w:tcPr>
            <w:tcW w:w="1332" w:type="pct"/>
            <w:shd w:val="clear" w:color="auto" w:fill="auto"/>
          </w:tcPr>
          <w:p w14:paraId="5B670D96" w14:textId="77777777" w:rsidR="00D46883" w:rsidRPr="00BA2226" w:rsidRDefault="00D46883" w:rsidP="00154265">
            <w:pPr>
              <w:spacing w:before="120" w:after="120"/>
              <w:jc w:val="center"/>
              <w:rPr>
                <w:color w:val="000000"/>
                <w:lang w:eastAsia="en-AU"/>
              </w:rPr>
            </w:pPr>
            <w:r w:rsidRPr="00BA2226">
              <w:rPr>
                <w:color w:val="000000"/>
                <w:lang w:eastAsia="en-AU"/>
              </w:rPr>
              <w:t>ARPANSA should consider requiring the licensee to perform severe accident analysis, assess design extension conditions and update final safety analysis accordingly.</w:t>
            </w:r>
          </w:p>
        </w:tc>
        <w:tc>
          <w:tcPr>
            <w:tcW w:w="853" w:type="pct"/>
            <w:shd w:val="clear" w:color="auto" w:fill="auto"/>
          </w:tcPr>
          <w:p w14:paraId="1B810F6F" w14:textId="77777777" w:rsidR="00D46883" w:rsidRPr="005F2314" w:rsidRDefault="00D46883" w:rsidP="00154265">
            <w:pPr>
              <w:spacing w:before="120" w:after="120"/>
              <w:jc w:val="center"/>
              <w:rPr>
                <w:color w:val="000000"/>
                <w:lang w:eastAsia="en-AU"/>
              </w:rPr>
            </w:pPr>
            <w:r>
              <w:rPr>
                <w:color w:val="000000"/>
                <w:lang w:eastAsia="en-AU"/>
              </w:rPr>
              <w:t>Regulatory Services Branch</w:t>
            </w:r>
          </w:p>
        </w:tc>
        <w:tc>
          <w:tcPr>
            <w:tcW w:w="2573" w:type="pct"/>
          </w:tcPr>
          <w:p w14:paraId="6C4A046C" w14:textId="4DC2BBE6" w:rsidR="00D46883" w:rsidRPr="00942021" w:rsidRDefault="00D46883" w:rsidP="00FF23F5">
            <w:pPr>
              <w:pStyle w:val="ListParagraph"/>
              <w:numPr>
                <w:ilvl w:val="0"/>
                <w:numId w:val="14"/>
              </w:numPr>
              <w:spacing w:before="120" w:after="120"/>
              <w:rPr>
                <w:color w:val="000000"/>
                <w:lang w:eastAsia="en-AU"/>
              </w:rPr>
            </w:pPr>
            <w:r w:rsidRPr="00942021">
              <w:rPr>
                <w:color w:val="000000"/>
                <w:lang w:eastAsia="en-AU"/>
              </w:rPr>
              <w:t>For other facilities, particularly nuclear installations, the updated safety analysis (every three years) to address the design extension conditions.</w:t>
            </w:r>
          </w:p>
          <w:p w14:paraId="313A10A4" w14:textId="77777777" w:rsidR="00D46883" w:rsidRPr="00942021" w:rsidRDefault="00D46883" w:rsidP="00FF23F5">
            <w:pPr>
              <w:pStyle w:val="ListParagraph"/>
              <w:numPr>
                <w:ilvl w:val="0"/>
                <w:numId w:val="14"/>
              </w:numPr>
              <w:spacing w:before="120" w:after="120"/>
              <w:rPr>
                <w:color w:val="000000"/>
                <w:lang w:eastAsia="en-AU"/>
              </w:rPr>
            </w:pPr>
            <w:r w:rsidRPr="00942021">
              <w:rPr>
                <w:color w:val="000000"/>
                <w:lang w:eastAsia="en-AU"/>
              </w:rPr>
              <w:t xml:space="preserve">Regulations are proposed to be amended to include a safety analysis report at all stages of the life cycle of a facility. </w:t>
            </w:r>
          </w:p>
          <w:p w14:paraId="5BFCAF5E" w14:textId="475C9428" w:rsidR="00D46883" w:rsidRPr="00942021" w:rsidRDefault="00D46883" w:rsidP="00FF23F5">
            <w:pPr>
              <w:pStyle w:val="ListParagraph"/>
              <w:numPr>
                <w:ilvl w:val="0"/>
                <w:numId w:val="14"/>
              </w:numPr>
              <w:spacing w:before="120" w:after="120"/>
              <w:rPr>
                <w:color w:val="000000"/>
                <w:lang w:eastAsia="en-AU"/>
              </w:rPr>
            </w:pPr>
            <w:r w:rsidRPr="00942021">
              <w:rPr>
                <w:color w:val="000000"/>
                <w:lang w:eastAsia="en-AU"/>
              </w:rPr>
              <w:t>Accompanying regulatory guidance on Design Extension Conditions and content of the SAR will need to be produced.</w:t>
            </w:r>
          </w:p>
        </w:tc>
      </w:tr>
      <w:tr w:rsidR="00D46883" w:rsidRPr="005F2314" w14:paraId="277DAC91" w14:textId="77777777" w:rsidTr="00154265">
        <w:trPr>
          <w:trHeight w:val="70"/>
        </w:trPr>
        <w:tc>
          <w:tcPr>
            <w:tcW w:w="242" w:type="pct"/>
            <w:shd w:val="clear" w:color="auto" w:fill="auto"/>
          </w:tcPr>
          <w:p w14:paraId="07C4F26E" w14:textId="77777777" w:rsidR="00D46883" w:rsidRDefault="00D46883" w:rsidP="00154265">
            <w:pPr>
              <w:spacing w:before="120" w:after="120"/>
              <w:jc w:val="center"/>
              <w:rPr>
                <w:color w:val="000000"/>
                <w:lang w:eastAsia="en-AU"/>
              </w:rPr>
            </w:pPr>
            <w:r>
              <w:rPr>
                <w:color w:val="000000"/>
                <w:lang w:eastAsia="en-AU"/>
              </w:rPr>
              <w:t>S12</w:t>
            </w:r>
          </w:p>
        </w:tc>
        <w:tc>
          <w:tcPr>
            <w:tcW w:w="1332" w:type="pct"/>
            <w:shd w:val="clear" w:color="auto" w:fill="auto"/>
          </w:tcPr>
          <w:p w14:paraId="29950A14" w14:textId="77777777" w:rsidR="00D46883" w:rsidRPr="00BA2226" w:rsidRDefault="00D46883" w:rsidP="00154265">
            <w:pPr>
              <w:spacing w:before="120" w:after="120"/>
              <w:jc w:val="center"/>
              <w:rPr>
                <w:color w:val="000000"/>
                <w:lang w:eastAsia="en-AU"/>
              </w:rPr>
            </w:pPr>
            <w:r w:rsidRPr="00BA2226">
              <w:rPr>
                <w:color w:val="000000"/>
                <w:lang w:eastAsia="en-AU"/>
              </w:rPr>
              <w:t>ARPANSA should consider applying nuclide specific discharge limits as part of the approved operating limits and conditions.</w:t>
            </w:r>
          </w:p>
        </w:tc>
        <w:tc>
          <w:tcPr>
            <w:tcW w:w="853" w:type="pct"/>
            <w:shd w:val="clear" w:color="auto" w:fill="auto"/>
          </w:tcPr>
          <w:p w14:paraId="55B069DF" w14:textId="5A180049" w:rsidR="00D46883" w:rsidRPr="005F2314" w:rsidRDefault="00D46883" w:rsidP="00154265">
            <w:pPr>
              <w:spacing w:before="120" w:after="120"/>
              <w:jc w:val="center"/>
              <w:rPr>
                <w:color w:val="000000"/>
                <w:lang w:eastAsia="en-AU"/>
              </w:rPr>
            </w:pPr>
            <w:r>
              <w:rPr>
                <w:color w:val="000000"/>
                <w:lang w:eastAsia="en-AU"/>
              </w:rPr>
              <w:t>Regulatory Services Branch / Radiation Health Services Branch</w:t>
            </w:r>
          </w:p>
        </w:tc>
        <w:tc>
          <w:tcPr>
            <w:tcW w:w="2573" w:type="pct"/>
          </w:tcPr>
          <w:p w14:paraId="3D8119CB" w14:textId="3F1EA3D7" w:rsidR="00D46883" w:rsidRPr="00942021" w:rsidRDefault="00D46883" w:rsidP="00FF23F5">
            <w:pPr>
              <w:pStyle w:val="ListParagraph"/>
              <w:numPr>
                <w:ilvl w:val="0"/>
                <w:numId w:val="15"/>
              </w:numPr>
              <w:spacing w:before="120" w:after="120"/>
              <w:rPr>
                <w:color w:val="000000"/>
                <w:lang w:eastAsia="en-AU"/>
              </w:rPr>
            </w:pPr>
            <w:r w:rsidRPr="00942021">
              <w:rPr>
                <w:color w:val="000000"/>
                <w:lang w:eastAsia="en-AU"/>
              </w:rPr>
              <w:t>Relevant licences to be amended reflecting the discharge limits based on the current discharge notification levels.</w:t>
            </w:r>
          </w:p>
          <w:p w14:paraId="4C6CA5CE" w14:textId="2AB42599" w:rsidR="00D46883" w:rsidRPr="00942021" w:rsidRDefault="00D46883" w:rsidP="00FF23F5">
            <w:pPr>
              <w:pStyle w:val="ListParagraph"/>
              <w:numPr>
                <w:ilvl w:val="0"/>
                <w:numId w:val="15"/>
              </w:numPr>
              <w:spacing w:before="120" w:after="120"/>
              <w:rPr>
                <w:color w:val="000000"/>
                <w:lang w:eastAsia="en-AU"/>
              </w:rPr>
            </w:pPr>
            <w:r w:rsidRPr="00942021">
              <w:rPr>
                <w:color w:val="000000"/>
                <w:lang w:eastAsia="en-AU"/>
              </w:rPr>
              <w:t>Information from implementation of R23 is required to inform this recommendation.</w:t>
            </w:r>
          </w:p>
        </w:tc>
      </w:tr>
    </w:tbl>
    <w:p w14:paraId="2D3F79B1" w14:textId="5557AAE7" w:rsidR="00E94573" w:rsidRPr="00DD0796" w:rsidRDefault="00154265" w:rsidP="00DD0796">
      <w:r>
        <w:br w:type="textWrapping" w:clear="all"/>
      </w:r>
    </w:p>
    <w:sectPr w:rsidR="00E94573" w:rsidRPr="00DD0796" w:rsidSect="00EE2170">
      <w:pgSz w:w="16838" w:h="11906" w:orient="landscape" w:code="9"/>
      <w:pgMar w:top="1134"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4F3C4" w14:textId="77777777" w:rsidR="004E29C6" w:rsidRDefault="004E29C6" w:rsidP="00994936">
      <w:pPr>
        <w:spacing w:after="0"/>
      </w:pPr>
      <w:r>
        <w:separator/>
      </w:r>
    </w:p>
  </w:endnote>
  <w:endnote w:type="continuationSeparator" w:id="0">
    <w:p w14:paraId="34705C32" w14:textId="77777777" w:rsidR="004E29C6" w:rsidRDefault="004E29C6" w:rsidP="00994936">
      <w:pPr>
        <w:spacing w:after="0"/>
      </w:pPr>
      <w:r>
        <w:continuationSeparator/>
      </w:r>
    </w:p>
  </w:endnote>
  <w:endnote w:type="continuationNotice" w:id="1">
    <w:p w14:paraId="39325CB8" w14:textId="77777777" w:rsidR="004E29C6" w:rsidRDefault="004E29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YInterstate Light">
    <w:altName w:val="Times New Roman"/>
    <w:charset w:val="00"/>
    <w:family w:val="auto"/>
    <w:pitch w:val="variable"/>
    <w:sig w:usb0="00000001" w:usb1="5000206A" w:usb2="00000000" w:usb3="00000000" w:csb0="0000009F" w:csb1="00000000"/>
  </w:font>
  <w:font w:name="EYInterstate">
    <w:altName w:val="Corbel"/>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23B2" w14:textId="402E86CA" w:rsidR="00E5181E" w:rsidRPr="00DA68DD" w:rsidRDefault="00E5181E" w:rsidP="00DD6615">
    <w:pPr>
      <w:pStyle w:val="Footer"/>
      <w:pBdr>
        <w:top w:val="single" w:sz="4" w:space="1" w:color="auto"/>
      </w:pBdr>
      <w:tabs>
        <w:tab w:val="clear" w:pos="9026"/>
        <w:tab w:val="right" w:pos="14570"/>
      </w:tabs>
      <w:jc w:val="right"/>
      <w:rPr>
        <w:sz w:val="18"/>
        <w:szCs w:val="18"/>
      </w:rPr>
    </w:pPr>
    <w:r>
      <w:rPr>
        <w:sz w:val="18"/>
        <w:szCs w:val="18"/>
      </w:rPr>
      <w:t>IRRS Action Plan</w:t>
    </w:r>
    <w:r w:rsidRPr="00424B30">
      <w:rPr>
        <w:sz w:val="18"/>
        <w:szCs w:val="18"/>
      </w:rPr>
      <w:tab/>
    </w:r>
    <w:r w:rsidRPr="00424B30">
      <w:rPr>
        <w:sz w:val="18"/>
        <w:szCs w:val="18"/>
      </w:rPr>
      <w:tab/>
      <w:t xml:space="preserve">Page </w:t>
    </w:r>
    <w:r w:rsidRPr="00424B30">
      <w:rPr>
        <w:sz w:val="18"/>
        <w:szCs w:val="18"/>
      </w:rPr>
      <w:fldChar w:fldCharType="begin"/>
    </w:r>
    <w:r w:rsidRPr="00424B30">
      <w:rPr>
        <w:sz w:val="18"/>
        <w:szCs w:val="18"/>
      </w:rPr>
      <w:instrText xml:space="preserve"> PAGE </w:instrText>
    </w:r>
    <w:r w:rsidRPr="00424B30">
      <w:rPr>
        <w:sz w:val="18"/>
        <w:szCs w:val="18"/>
      </w:rPr>
      <w:fldChar w:fldCharType="separate"/>
    </w:r>
    <w:r w:rsidR="00E00BB3">
      <w:rPr>
        <w:noProof/>
        <w:sz w:val="18"/>
        <w:szCs w:val="18"/>
      </w:rPr>
      <w:t>22</w:t>
    </w:r>
    <w:r w:rsidRPr="00424B30">
      <w:rPr>
        <w:sz w:val="18"/>
        <w:szCs w:val="18"/>
      </w:rPr>
      <w:fldChar w:fldCharType="end"/>
    </w:r>
    <w:r w:rsidRPr="00424B30">
      <w:rPr>
        <w:sz w:val="18"/>
        <w:szCs w:val="18"/>
      </w:rPr>
      <w:t xml:space="preserve"> of </w:t>
    </w:r>
    <w:r w:rsidRPr="00424B30">
      <w:rPr>
        <w:sz w:val="18"/>
        <w:szCs w:val="18"/>
      </w:rPr>
      <w:fldChar w:fldCharType="begin"/>
    </w:r>
    <w:r w:rsidRPr="00424B30">
      <w:rPr>
        <w:sz w:val="18"/>
        <w:szCs w:val="18"/>
      </w:rPr>
      <w:instrText xml:space="preserve"> NUMPAGES  </w:instrText>
    </w:r>
    <w:r w:rsidRPr="00424B30">
      <w:rPr>
        <w:sz w:val="18"/>
        <w:szCs w:val="18"/>
      </w:rPr>
      <w:fldChar w:fldCharType="separate"/>
    </w:r>
    <w:r w:rsidR="00E00BB3">
      <w:rPr>
        <w:noProof/>
        <w:sz w:val="18"/>
        <w:szCs w:val="18"/>
      </w:rPr>
      <w:t>24</w:t>
    </w:r>
    <w:r w:rsidRPr="00424B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48628" w14:textId="77777777" w:rsidR="004E29C6" w:rsidRDefault="004E29C6" w:rsidP="00994936">
      <w:pPr>
        <w:spacing w:after="0"/>
      </w:pPr>
      <w:r>
        <w:separator/>
      </w:r>
    </w:p>
  </w:footnote>
  <w:footnote w:type="continuationSeparator" w:id="0">
    <w:p w14:paraId="52B8F20A" w14:textId="77777777" w:rsidR="004E29C6" w:rsidRDefault="004E29C6" w:rsidP="00994936">
      <w:pPr>
        <w:spacing w:after="0"/>
      </w:pPr>
      <w:r>
        <w:continuationSeparator/>
      </w:r>
    </w:p>
  </w:footnote>
  <w:footnote w:type="continuationNotice" w:id="1">
    <w:p w14:paraId="1D3D2131" w14:textId="77777777" w:rsidR="004E29C6" w:rsidRDefault="004E29C6">
      <w:pPr>
        <w:spacing w:after="0" w:line="240" w:lineRule="auto"/>
      </w:pPr>
    </w:p>
  </w:footnote>
  <w:footnote w:id="2">
    <w:p w14:paraId="49FE557C" w14:textId="77777777" w:rsidR="00E5181E" w:rsidRDefault="00E5181E" w:rsidP="00D26C74">
      <w:pPr>
        <w:pStyle w:val="FootnoteText"/>
      </w:pPr>
      <w:r>
        <w:rPr>
          <w:rStyle w:val="FootnoteReference"/>
        </w:rPr>
        <w:footnoteRef/>
      </w:r>
      <w:r>
        <w:t xml:space="preserve"> The review was carried out against the 2013 Guidelines for IRRS; these have subsequently been superseded by the 2018 edition.</w:t>
      </w:r>
    </w:p>
  </w:footnote>
  <w:footnote w:id="3">
    <w:p w14:paraId="3D224A44" w14:textId="77777777" w:rsidR="00E5181E" w:rsidRDefault="00E5181E" w:rsidP="00D26C74">
      <w:pPr>
        <w:pStyle w:val="FootnoteText"/>
      </w:pPr>
      <w:r>
        <w:rPr>
          <w:rStyle w:val="FootnoteReference"/>
        </w:rPr>
        <w:footnoteRef/>
      </w:r>
      <w:r>
        <w:t xml:space="preserve"> The safety standards have a hierarchical structure with </w:t>
      </w:r>
      <w:r>
        <w:rPr>
          <w:i/>
        </w:rPr>
        <w:t>fundamentals</w:t>
      </w:r>
      <w:r>
        <w:t xml:space="preserve"> (outlining safety principles) at the top. The next level is the </w:t>
      </w:r>
      <w:r>
        <w:rPr>
          <w:i/>
        </w:rPr>
        <w:t>safety requirements</w:t>
      </w:r>
      <w:r>
        <w:t xml:space="preserve"> (‘shall-statements’) followed by </w:t>
      </w:r>
      <w:r>
        <w:rPr>
          <w:i/>
        </w:rPr>
        <w:t>safety guides</w:t>
      </w:r>
      <w:r>
        <w:t xml:space="preserve"> (which provide and guidance on how to comply with the </w:t>
      </w:r>
      <w:r>
        <w:rPr>
          <w:i/>
        </w:rPr>
        <w:t>safety requirements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E2A15" w14:textId="77777777" w:rsidR="00E5181E" w:rsidRPr="00D047E7" w:rsidRDefault="00E5181E" w:rsidP="00D047E7">
    <w:pPr>
      <w:pStyle w:val="Header"/>
    </w:pPr>
    <w:r w:rsidRPr="00D047E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E7002"/>
    <w:multiLevelType w:val="hybridMultilevel"/>
    <w:tmpl w:val="8F6EE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95BE2"/>
    <w:multiLevelType w:val="hybridMultilevel"/>
    <w:tmpl w:val="8EAE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84421"/>
    <w:multiLevelType w:val="hybridMultilevel"/>
    <w:tmpl w:val="BED46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1225B"/>
    <w:multiLevelType w:val="hybridMultilevel"/>
    <w:tmpl w:val="537E6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F3699"/>
    <w:multiLevelType w:val="hybridMultilevel"/>
    <w:tmpl w:val="9AD6A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2632D"/>
    <w:multiLevelType w:val="hybridMultilevel"/>
    <w:tmpl w:val="E43E9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62716"/>
    <w:multiLevelType w:val="hybridMultilevel"/>
    <w:tmpl w:val="5B401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EB50C6"/>
    <w:multiLevelType w:val="hybridMultilevel"/>
    <w:tmpl w:val="14CAE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1B6A80"/>
    <w:multiLevelType w:val="multilevel"/>
    <w:tmpl w:val="2E12C1A2"/>
    <w:lvl w:ilvl="0">
      <w:start w:val="1"/>
      <w:numFmt w:val="decimal"/>
      <w:pStyle w:val="Heading1"/>
      <w:lvlText w:val="%1"/>
      <w:lvlJc w:val="left"/>
      <w:pPr>
        <w:tabs>
          <w:tab w:val="num" w:pos="1494"/>
        </w:tabs>
        <w:ind w:left="1494" w:hanging="1134"/>
      </w:pPr>
      <w:rPr>
        <w:rFonts w:hint="default"/>
        <w:b/>
        <w:i w:val="0"/>
        <w:sz w:val="28"/>
      </w:rPr>
    </w:lvl>
    <w:lvl w:ilvl="1">
      <w:start w:val="1"/>
      <w:numFmt w:val="upperLetter"/>
      <w:pStyle w:val="Heading2"/>
      <w:lvlText w:val="%2."/>
      <w:lvlJc w:val="left"/>
      <w:pPr>
        <w:tabs>
          <w:tab w:val="num" w:pos="1494"/>
        </w:tabs>
        <w:ind w:left="1494"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2214" w:hanging="720"/>
      </w:pPr>
      <w:rPr>
        <w:rFonts w:hint="default"/>
        <w:b/>
        <w:i w:val="0"/>
        <w:color w:val="215868"/>
        <w:sz w:val="26"/>
        <w:szCs w:val="26"/>
      </w:rPr>
    </w:lvl>
    <w:lvl w:ilvl="3">
      <w:start w:val="1"/>
      <w:numFmt w:val="decimal"/>
      <w:lvlText w:val="%1.%2.%3.%4"/>
      <w:lvlJc w:val="left"/>
      <w:pPr>
        <w:tabs>
          <w:tab w:val="num" w:pos="0"/>
        </w:tabs>
        <w:ind w:left="2358" w:hanging="864"/>
      </w:pPr>
      <w:rPr>
        <w:rFonts w:hint="default"/>
        <w:color w:val="215868"/>
        <w:sz w:val="26"/>
        <w:szCs w:val="26"/>
      </w:rPr>
    </w:lvl>
    <w:lvl w:ilvl="4">
      <w:start w:val="1"/>
      <w:numFmt w:val="decimal"/>
      <w:lvlText w:val="%1.%2.%3.%4.%5"/>
      <w:lvlJc w:val="left"/>
      <w:pPr>
        <w:tabs>
          <w:tab w:val="num" w:pos="0"/>
        </w:tabs>
        <w:ind w:left="2502" w:hanging="1008"/>
      </w:pPr>
      <w:rPr>
        <w:rFonts w:hint="default"/>
      </w:rPr>
    </w:lvl>
    <w:lvl w:ilvl="5">
      <w:start w:val="1"/>
      <w:numFmt w:val="decimal"/>
      <w:lvlText w:val="%1.%2.%3.%4.%5.%6"/>
      <w:lvlJc w:val="left"/>
      <w:pPr>
        <w:tabs>
          <w:tab w:val="num" w:pos="0"/>
        </w:tabs>
        <w:ind w:left="2646" w:hanging="1152"/>
      </w:pPr>
      <w:rPr>
        <w:rFonts w:hint="default"/>
      </w:rPr>
    </w:lvl>
    <w:lvl w:ilvl="6">
      <w:start w:val="1"/>
      <w:numFmt w:val="decimal"/>
      <w:lvlText w:val="%1.%2.%3.%4.%5.%6.%7"/>
      <w:lvlJc w:val="left"/>
      <w:pPr>
        <w:tabs>
          <w:tab w:val="num" w:pos="0"/>
        </w:tabs>
        <w:ind w:left="2790" w:hanging="1296"/>
      </w:pPr>
      <w:rPr>
        <w:rFonts w:hint="default"/>
      </w:rPr>
    </w:lvl>
    <w:lvl w:ilvl="7">
      <w:start w:val="1"/>
      <w:numFmt w:val="decimal"/>
      <w:lvlText w:val="%1.%2.%3.%4.%5.%6.%7.%8"/>
      <w:lvlJc w:val="left"/>
      <w:pPr>
        <w:tabs>
          <w:tab w:val="num" w:pos="0"/>
        </w:tabs>
        <w:ind w:left="2934" w:hanging="1440"/>
      </w:pPr>
      <w:rPr>
        <w:rFonts w:hint="default"/>
      </w:rPr>
    </w:lvl>
    <w:lvl w:ilvl="8">
      <w:start w:val="1"/>
      <w:numFmt w:val="decimal"/>
      <w:lvlText w:val="%1.%2.%3.%4.%5.%6.%7.%8.%9"/>
      <w:lvlJc w:val="left"/>
      <w:pPr>
        <w:tabs>
          <w:tab w:val="num" w:pos="0"/>
        </w:tabs>
        <w:ind w:left="3078" w:hanging="1584"/>
      </w:pPr>
      <w:rPr>
        <w:rFonts w:hint="default"/>
      </w:rPr>
    </w:lvl>
  </w:abstractNum>
  <w:abstractNum w:abstractNumId="9" w15:restartNumberingAfterBreak="0">
    <w:nsid w:val="2DA67EA8"/>
    <w:multiLevelType w:val="hybridMultilevel"/>
    <w:tmpl w:val="94C0F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C05A6B"/>
    <w:multiLevelType w:val="hybridMultilevel"/>
    <w:tmpl w:val="129EA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C55A73"/>
    <w:multiLevelType w:val="hybridMultilevel"/>
    <w:tmpl w:val="7424F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D370A"/>
    <w:multiLevelType w:val="hybridMultilevel"/>
    <w:tmpl w:val="5E984500"/>
    <w:lvl w:ilvl="0" w:tplc="3116893E">
      <w:start w:val="1"/>
      <w:numFmt w:val="bullet"/>
      <w:pStyle w:val="bullit"/>
      <w:lvlText w:val=""/>
      <w:lvlJc w:val="left"/>
      <w:pPr>
        <w:tabs>
          <w:tab w:val="num" w:pos="360"/>
        </w:tabs>
        <w:ind w:left="340" w:hanging="340"/>
      </w:pPr>
      <w:rPr>
        <w:rFonts w:ascii="Wingdings" w:hAnsi="Wingdings" w:hint="default"/>
      </w:rPr>
    </w:lvl>
    <w:lvl w:ilvl="1" w:tplc="9A8EC58A">
      <w:start w:val="1"/>
      <w:numFmt w:val="bullet"/>
      <w:lvlText w:val=""/>
      <w:lvlJc w:val="left"/>
      <w:pPr>
        <w:tabs>
          <w:tab w:val="num" w:pos="1440"/>
        </w:tabs>
        <w:ind w:left="1420" w:hanging="340"/>
      </w:pPr>
      <w:rPr>
        <w:rFonts w:ascii="Wingdings" w:hAnsi="Wingdings" w:hint="default"/>
      </w:rPr>
    </w:lvl>
    <w:lvl w:ilvl="2" w:tplc="C2D2A758" w:tentative="1">
      <w:start w:val="1"/>
      <w:numFmt w:val="bullet"/>
      <w:lvlText w:val=""/>
      <w:lvlJc w:val="left"/>
      <w:pPr>
        <w:tabs>
          <w:tab w:val="num" w:pos="2160"/>
        </w:tabs>
        <w:ind w:left="2160" w:hanging="360"/>
      </w:pPr>
      <w:rPr>
        <w:rFonts w:ascii="Wingdings" w:hAnsi="Wingdings" w:hint="default"/>
      </w:rPr>
    </w:lvl>
    <w:lvl w:ilvl="3" w:tplc="72B025DC" w:tentative="1">
      <w:start w:val="1"/>
      <w:numFmt w:val="bullet"/>
      <w:lvlText w:val=""/>
      <w:lvlJc w:val="left"/>
      <w:pPr>
        <w:tabs>
          <w:tab w:val="num" w:pos="2880"/>
        </w:tabs>
        <w:ind w:left="2880" w:hanging="360"/>
      </w:pPr>
      <w:rPr>
        <w:rFonts w:ascii="Symbol" w:hAnsi="Symbol" w:hint="default"/>
      </w:rPr>
    </w:lvl>
    <w:lvl w:ilvl="4" w:tplc="CB2CF2D4" w:tentative="1">
      <w:start w:val="1"/>
      <w:numFmt w:val="bullet"/>
      <w:lvlText w:val="o"/>
      <w:lvlJc w:val="left"/>
      <w:pPr>
        <w:tabs>
          <w:tab w:val="num" w:pos="3600"/>
        </w:tabs>
        <w:ind w:left="3600" w:hanging="360"/>
      </w:pPr>
      <w:rPr>
        <w:rFonts w:ascii="Courier New" w:hAnsi="Courier New" w:hint="default"/>
      </w:rPr>
    </w:lvl>
    <w:lvl w:ilvl="5" w:tplc="5FD28EA4" w:tentative="1">
      <w:start w:val="1"/>
      <w:numFmt w:val="bullet"/>
      <w:lvlText w:val=""/>
      <w:lvlJc w:val="left"/>
      <w:pPr>
        <w:tabs>
          <w:tab w:val="num" w:pos="4320"/>
        </w:tabs>
        <w:ind w:left="4320" w:hanging="360"/>
      </w:pPr>
      <w:rPr>
        <w:rFonts w:ascii="Wingdings" w:hAnsi="Wingdings" w:hint="default"/>
      </w:rPr>
    </w:lvl>
    <w:lvl w:ilvl="6" w:tplc="922C4AEA" w:tentative="1">
      <w:start w:val="1"/>
      <w:numFmt w:val="bullet"/>
      <w:lvlText w:val=""/>
      <w:lvlJc w:val="left"/>
      <w:pPr>
        <w:tabs>
          <w:tab w:val="num" w:pos="5040"/>
        </w:tabs>
        <w:ind w:left="5040" w:hanging="360"/>
      </w:pPr>
      <w:rPr>
        <w:rFonts w:ascii="Symbol" w:hAnsi="Symbol" w:hint="default"/>
      </w:rPr>
    </w:lvl>
    <w:lvl w:ilvl="7" w:tplc="796CC3F8" w:tentative="1">
      <w:start w:val="1"/>
      <w:numFmt w:val="bullet"/>
      <w:lvlText w:val="o"/>
      <w:lvlJc w:val="left"/>
      <w:pPr>
        <w:tabs>
          <w:tab w:val="num" w:pos="5760"/>
        </w:tabs>
        <w:ind w:left="5760" w:hanging="360"/>
      </w:pPr>
      <w:rPr>
        <w:rFonts w:ascii="Courier New" w:hAnsi="Courier New" w:hint="default"/>
      </w:rPr>
    </w:lvl>
    <w:lvl w:ilvl="8" w:tplc="7AAEE14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C901CA"/>
    <w:multiLevelType w:val="hybridMultilevel"/>
    <w:tmpl w:val="F4E6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D47254"/>
    <w:multiLevelType w:val="hybridMultilevel"/>
    <w:tmpl w:val="208AC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4813B4"/>
    <w:multiLevelType w:val="hybridMultilevel"/>
    <w:tmpl w:val="48AA0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E07800"/>
    <w:multiLevelType w:val="hybridMultilevel"/>
    <w:tmpl w:val="A4B8CC8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B5A5698"/>
    <w:multiLevelType w:val="hybridMultilevel"/>
    <w:tmpl w:val="BD3C3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9A27DD"/>
    <w:multiLevelType w:val="hybridMultilevel"/>
    <w:tmpl w:val="3058E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DE0DD2"/>
    <w:multiLevelType w:val="hybridMultilevel"/>
    <w:tmpl w:val="0B32E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1E7505"/>
    <w:multiLevelType w:val="hybridMultilevel"/>
    <w:tmpl w:val="099C2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496103"/>
    <w:multiLevelType w:val="hybridMultilevel"/>
    <w:tmpl w:val="FE269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1F6B3E"/>
    <w:multiLevelType w:val="hybridMultilevel"/>
    <w:tmpl w:val="CA42D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24713E"/>
    <w:multiLevelType w:val="hybridMultilevel"/>
    <w:tmpl w:val="6AE2B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AD576F"/>
    <w:multiLevelType w:val="hybridMultilevel"/>
    <w:tmpl w:val="A89E6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8F30D8"/>
    <w:multiLevelType w:val="multilevel"/>
    <w:tmpl w:val="7B6C7702"/>
    <w:name w:val="ParaNumbering"/>
    <w:styleLink w:val="ParaNumbering"/>
    <w:lvl w:ilvl="0">
      <w:start w:val="1"/>
      <w:numFmt w:val="decimal"/>
      <w:lvlRestart w:val="0"/>
      <w:lvlText w:val=""/>
      <w:lvlJc w:val="left"/>
      <w:pPr>
        <w:tabs>
          <w:tab w:val="num" w:pos="0"/>
        </w:tabs>
      </w:pPr>
      <w:rPr>
        <w:rFonts w:cs="Times New Roman"/>
        <w:b/>
        <w:color w:val="7F7E82"/>
        <w:sz w:val="32"/>
      </w:rPr>
    </w:lvl>
    <w:lvl w:ilvl="1">
      <w:start w:val="1"/>
      <w:numFmt w:val="decimal"/>
      <w:lvlText w:val=""/>
      <w:lvlJc w:val="left"/>
      <w:pPr>
        <w:tabs>
          <w:tab w:val="num" w:pos="0"/>
        </w:tabs>
      </w:pPr>
      <w:rPr>
        <w:rFonts w:cs="Times New Roman" w:hint="default"/>
        <w:b/>
        <w:color w:val="000000"/>
        <w:sz w:val="28"/>
      </w:rPr>
    </w:lvl>
    <w:lvl w:ilvl="2">
      <w:start w:val="1"/>
      <w:numFmt w:val="decimal"/>
      <w:lvlRestart w:val="0"/>
      <w:lvlText w:val=""/>
      <w:lvlJc w:val="left"/>
      <w:pPr>
        <w:tabs>
          <w:tab w:val="num" w:pos="0"/>
        </w:tabs>
      </w:pPr>
      <w:rPr>
        <w:rFonts w:cs="Times New Roman" w:hint="default"/>
        <w:b/>
        <w:color w:val="000000"/>
        <w:sz w:val="24"/>
      </w:rPr>
    </w:lvl>
    <w:lvl w:ilvl="3">
      <w:start w:val="1"/>
      <w:numFmt w:val="decimal"/>
      <w:lvlRestart w:val="0"/>
      <w:lvlText w:val=""/>
      <w:lvlJc w:val="left"/>
      <w:pPr>
        <w:tabs>
          <w:tab w:val="num" w:pos="0"/>
        </w:tabs>
      </w:pPr>
      <w:rPr>
        <w:rFonts w:cs="Times New Roman" w:hint="default"/>
        <w:b/>
        <w:color w:val="000000"/>
        <w:sz w:val="20"/>
      </w:rPr>
    </w:lvl>
    <w:lvl w:ilvl="4">
      <w:start w:val="1"/>
      <w:numFmt w:val="decimal"/>
      <w:lvlRestart w:val="0"/>
      <w:pStyle w:val="EYBodytextwithparaspace"/>
      <w:lvlText w:val=""/>
      <w:lvlJc w:val="left"/>
      <w:pPr>
        <w:tabs>
          <w:tab w:val="num" w:pos="0"/>
        </w:tabs>
      </w:pPr>
      <w:rPr>
        <w:rFonts w:cs="Times New Roman" w:hint="default"/>
        <w:b w:val="0"/>
        <w:color w:val="000000"/>
        <w:sz w:val="20"/>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26" w15:restartNumberingAfterBreak="0">
    <w:nsid w:val="7CBF7BCC"/>
    <w:multiLevelType w:val="hybridMultilevel"/>
    <w:tmpl w:val="10865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8912E5"/>
    <w:multiLevelType w:val="hybridMultilevel"/>
    <w:tmpl w:val="131C9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5"/>
  </w:num>
  <w:num w:numId="4">
    <w:abstractNumId w:val="11"/>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
  </w:num>
  <w:num w:numId="8">
    <w:abstractNumId w:val="5"/>
  </w:num>
  <w:num w:numId="9">
    <w:abstractNumId w:val="23"/>
  </w:num>
  <w:num w:numId="10">
    <w:abstractNumId w:val="27"/>
  </w:num>
  <w:num w:numId="11">
    <w:abstractNumId w:val="15"/>
  </w:num>
  <w:num w:numId="12">
    <w:abstractNumId w:val="10"/>
  </w:num>
  <w:num w:numId="13">
    <w:abstractNumId w:val="9"/>
  </w:num>
  <w:num w:numId="14">
    <w:abstractNumId w:val="1"/>
  </w:num>
  <w:num w:numId="15">
    <w:abstractNumId w:val="22"/>
  </w:num>
  <w:num w:numId="16">
    <w:abstractNumId w:val="19"/>
  </w:num>
  <w:num w:numId="17">
    <w:abstractNumId w:val="24"/>
  </w:num>
  <w:num w:numId="18">
    <w:abstractNumId w:val="17"/>
  </w:num>
  <w:num w:numId="19">
    <w:abstractNumId w:val="13"/>
  </w:num>
  <w:num w:numId="20">
    <w:abstractNumId w:val="0"/>
  </w:num>
  <w:num w:numId="21">
    <w:abstractNumId w:val="18"/>
  </w:num>
  <w:num w:numId="22">
    <w:abstractNumId w:val="2"/>
  </w:num>
  <w:num w:numId="23">
    <w:abstractNumId w:val="20"/>
  </w:num>
  <w:num w:numId="24">
    <w:abstractNumId w:val="7"/>
  </w:num>
  <w:num w:numId="25">
    <w:abstractNumId w:val="4"/>
  </w:num>
  <w:num w:numId="26">
    <w:abstractNumId w:val="6"/>
  </w:num>
  <w:num w:numId="27">
    <w:abstractNumId w:val="14"/>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C74"/>
    <w:rsid w:val="00000F0F"/>
    <w:rsid w:val="00000FDD"/>
    <w:rsid w:val="000010D7"/>
    <w:rsid w:val="00003353"/>
    <w:rsid w:val="0000681B"/>
    <w:rsid w:val="00006A36"/>
    <w:rsid w:val="000113E9"/>
    <w:rsid w:val="00011AC0"/>
    <w:rsid w:val="000145ED"/>
    <w:rsid w:val="000146EA"/>
    <w:rsid w:val="00014B11"/>
    <w:rsid w:val="00015BF3"/>
    <w:rsid w:val="00015DE3"/>
    <w:rsid w:val="00020F35"/>
    <w:rsid w:val="0002253F"/>
    <w:rsid w:val="00022678"/>
    <w:rsid w:val="00022949"/>
    <w:rsid w:val="000234FC"/>
    <w:rsid w:val="00023C05"/>
    <w:rsid w:val="0002480B"/>
    <w:rsid w:val="00024B3A"/>
    <w:rsid w:val="00025949"/>
    <w:rsid w:val="00025A62"/>
    <w:rsid w:val="00025ED3"/>
    <w:rsid w:val="0002626E"/>
    <w:rsid w:val="000265A3"/>
    <w:rsid w:val="0003034E"/>
    <w:rsid w:val="000340F8"/>
    <w:rsid w:val="00034DEA"/>
    <w:rsid w:val="00035C0E"/>
    <w:rsid w:val="000361D0"/>
    <w:rsid w:val="00036BC9"/>
    <w:rsid w:val="000410C9"/>
    <w:rsid w:val="000422CC"/>
    <w:rsid w:val="0004280A"/>
    <w:rsid w:val="00044796"/>
    <w:rsid w:val="000451B4"/>
    <w:rsid w:val="00045A5C"/>
    <w:rsid w:val="0004619A"/>
    <w:rsid w:val="00046C06"/>
    <w:rsid w:val="000470B1"/>
    <w:rsid w:val="0005132A"/>
    <w:rsid w:val="0005145A"/>
    <w:rsid w:val="000515D5"/>
    <w:rsid w:val="00052D05"/>
    <w:rsid w:val="00052FCF"/>
    <w:rsid w:val="00053083"/>
    <w:rsid w:val="00055E1C"/>
    <w:rsid w:val="00056571"/>
    <w:rsid w:val="00056615"/>
    <w:rsid w:val="0005687F"/>
    <w:rsid w:val="000575E8"/>
    <w:rsid w:val="00057FE1"/>
    <w:rsid w:val="0006118C"/>
    <w:rsid w:val="00061551"/>
    <w:rsid w:val="00065C6D"/>
    <w:rsid w:val="00066280"/>
    <w:rsid w:val="00066FDC"/>
    <w:rsid w:val="0006752C"/>
    <w:rsid w:val="00070833"/>
    <w:rsid w:val="00070B65"/>
    <w:rsid w:val="000718B2"/>
    <w:rsid w:val="000732C5"/>
    <w:rsid w:val="00074CC1"/>
    <w:rsid w:val="00075A52"/>
    <w:rsid w:val="0007791C"/>
    <w:rsid w:val="00080448"/>
    <w:rsid w:val="000834FE"/>
    <w:rsid w:val="0008355B"/>
    <w:rsid w:val="000836EB"/>
    <w:rsid w:val="00083DFC"/>
    <w:rsid w:val="00084A09"/>
    <w:rsid w:val="00084FF7"/>
    <w:rsid w:val="00085AAE"/>
    <w:rsid w:val="000879C1"/>
    <w:rsid w:val="000907FB"/>
    <w:rsid w:val="00091AAC"/>
    <w:rsid w:val="000928C9"/>
    <w:rsid w:val="00092AA9"/>
    <w:rsid w:val="000933B3"/>
    <w:rsid w:val="00093D8A"/>
    <w:rsid w:val="00093EA9"/>
    <w:rsid w:val="00095EA7"/>
    <w:rsid w:val="00095F68"/>
    <w:rsid w:val="000A0501"/>
    <w:rsid w:val="000A07FD"/>
    <w:rsid w:val="000A1953"/>
    <w:rsid w:val="000A31FB"/>
    <w:rsid w:val="000A3B6E"/>
    <w:rsid w:val="000A3E40"/>
    <w:rsid w:val="000A459B"/>
    <w:rsid w:val="000A5370"/>
    <w:rsid w:val="000A7DB7"/>
    <w:rsid w:val="000B0D93"/>
    <w:rsid w:val="000B2141"/>
    <w:rsid w:val="000B2677"/>
    <w:rsid w:val="000B41DC"/>
    <w:rsid w:val="000B4862"/>
    <w:rsid w:val="000B4F7E"/>
    <w:rsid w:val="000C1287"/>
    <w:rsid w:val="000C5183"/>
    <w:rsid w:val="000C6839"/>
    <w:rsid w:val="000C6BA4"/>
    <w:rsid w:val="000D00AA"/>
    <w:rsid w:val="000D05E2"/>
    <w:rsid w:val="000D4241"/>
    <w:rsid w:val="000D46D0"/>
    <w:rsid w:val="000D4EFD"/>
    <w:rsid w:val="000D51D2"/>
    <w:rsid w:val="000D682E"/>
    <w:rsid w:val="000D7C1C"/>
    <w:rsid w:val="000D7DE4"/>
    <w:rsid w:val="000E1167"/>
    <w:rsid w:val="000E1B11"/>
    <w:rsid w:val="000E214F"/>
    <w:rsid w:val="000E2820"/>
    <w:rsid w:val="000E2E6B"/>
    <w:rsid w:val="000E3FEF"/>
    <w:rsid w:val="000E44EB"/>
    <w:rsid w:val="000E4B40"/>
    <w:rsid w:val="000F21D0"/>
    <w:rsid w:val="000F356E"/>
    <w:rsid w:val="000F357E"/>
    <w:rsid w:val="000F373D"/>
    <w:rsid w:val="000F3957"/>
    <w:rsid w:val="000F3EC7"/>
    <w:rsid w:val="000F4417"/>
    <w:rsid w:val="000F518C"/>
    <w:rsid w:val="000F5BA5"/>
    <w:rsid w:val="000F766C"/>
    <w:rsid w:val="000F7D1B"/>
    <w:rsid w:val="00101B1F"/>
    <w:rsid w:val="00101B44"/>
    <w:rsid w:val="001022F7"/>
    <w:rsid w:val="0010286B"/>
    <w:rsid w:val="00103F91"/>
    <w:rsid w:val="001055C7"/>
    <w:rsid w:val="00106E16"/>
    <w:rsid w:val="001104DC"/>
    <w:rsid w:val="00110E77"/>
    <w:rsid w:val="00111015"/>
    <w:rsid w:val="00111468"/>
    <w:rsid w:val="001118FD"/>
    <w:rsid w:val="00111A7E"/>
    <w:rsid w:val="00112137"/>
    <w:rsid w:val="00112491"/>
    <w:rsid w:val="00112D60"/>
    <w:rsid w:val="00112EF8"/>
    <w:rsid w:val="001138C6"/>
    <w:rsid w:val="00114716"/>
    <w:rsid w:val="00114B72"/>
    <w:rsid w:val="00115523"/>
    <w:rsid w:val="001162AF"/>
    <w:rsid w:val="00116556"/>
    <w:rsid w:val="001169A9"/>
    <w:rsid w:val="00120CB2"/>
    <w:rsid w:val="001216BC"/>
    <w:rsid w:val="00121C65"/>
    <w:rsid w:val="001220C7"/>
    <w:rsid w:val="00125C38"/>
    <w:rsid w:val="00125DD2"/>
    <w:rsid w:val="00127036"/>
    <w:rsid w:val="0012738A"/>
    <w:rsid w:val="001275ED"/>
    <w:rsid w:val="00127F4D"/>
    <w:rsid w:val="00130887"/>
    <w:rsid w:val="00131B72"/>
    <w:rsid w:val="00131E55"/>
    <w:rsid w:val="0013227A"/>
    <w:rsid w:val="00133CFB"/>
    <w:rsid w:val="00135271"/>
    <w:rsid w:val="001357A6"/>
    <w:rsid w:val="00137340"/>
    <w:rsid w:val="00140B0F"/>
    <w:rsid w:val="00141651"/>
    <w:rsid w:val="00141759"/>
    <w:rsid w:val="0014249B"/>
    <w:rsid w:val="00142D04"/>
    <w:rsid w:val="00144A11"/>
    <w:rsid w:val="00144D78"/>
    <w:rsid w:val="00150BBB"/>
    <w:rsid w:val="0015114B"/>
    <w:rsid w:val="00151B3A"/>
    <w:rsid w:val="001540A3"/>
    <w:rsid w:val="0015425D"/>
    <w:rsid w:val="00154265"/>
    <w:rsid w:val="00157264"/>
    <w:rsid w:val="0015771D"/>
    <w:rsid w:val="00157F2B"/>
    <w:rsid w:val="00160B1E"/>
    <w:rsid w:val="001612F5"/>
    <w:rsid w:val="0016192C"/>
    <w:rsid w:val="00161D02"/>
    <w:rsid w:val="00161ECE"/>
    <w:rsid w:val="001624E9"/>
    <w:rsid w:val="00162C3E"/>
    <w:rsid w:val="00163610"/>
    <w:rsid w:val="00164AD4"/>
    <w:rsid w:val="00164FFA"/>
    <w:rsid w:val="00165209"/>
    <w:rsid w:val="001664DA"/>
    <w:rsid w:val="0016714C"/>
    <w:rsid w:val="00167CF3"/>
    <w:rsid w:val="00171105"/>
    <w:rsid w:val="0017154F"/>
    <w:rsid w:val="001725D7"/>
    <w:rsid w:val="001732D1"/>
    <w:rsid w:val="001733E6"/>
    <w:rsid w:val="00175BC3"/>
    <w:rsid w:val="00176535"/>
    <w:rsid w:val="001771D5"/>
    <w:rsid w:val="00177259"/>
    <w:rsid w:val="001773AA"/>
    <w:rsid w:val="00177989"/>
    <w:rsid w:val="00182025"/>
    <w:rsid w:val="00182550"/>
    <w:rsid w:val="00185500"/>
    <w:rsid w:val="0018569C"/>
    <w:rsid w:val="001864EC"/>
    <w:rsid w:val="00190FB9"/>
    <w:rsid w:val="001915C3"/>
    <w:rsid w:val="00191ACF"/>
    <w:rsid w:val="00191E4D"/>
    <w:rsid w:val="00192894"/>
    <w:rsid w:val="001933B8"/>
    <w:rsid w:val="00193FDA"/>
    <w:rsid w:val="00195351"/>
    <w:rsid w:val="00195641"/>
    <w:rsid w:val="001969F6"/>
    <w:rsid w:val="001A007A"/>
    <w:rsid w:val="001A05F2"/>
    <w:rsid w:val="001A0600"/>
    <w:rsid w:val="001A2CE3"/>
    <w:rsid w:val="001A31E3"/>
    <w:rsid w:val="001A361B"/>
    <w:rsid w:val="001A36E0"/>
    <w:rsid w:val="001A3F6F"/>
    <w:rsid w:val="001A510D"/>
    <w:rsid w:val="001A56B4"/>
    <w:rsid w:val="001A5897"/>
    <w:rsid w:val="001A7F93"/>
    <w:rsid w:val="001B07B1"/>
    <w:rsid w:val="001B2970"/>
    <w:rsid w:val="001B3252"/>
    <w:rsid w:val="001B35F8"/>
    <w:rsid w:val="001B3BAA"/>
    <w:rsid w:val="001B43B4"/>
    <w:rsid w:val="001B62C3"/>
    <w:rsid w:val="001B6530"/>
    <w:rsid w:val="001C00BE"/>
    <w:rsid w:val="001C00DA"/>
    <w:rsid w:val="001C0269"/>
    <w:rsid w:val="001C22AE"/>
    <w:rsid w:val="001C2B5D"/>
    <w:rsid w:val="001C2D8C"/>
    <w:rsid w:val="001C35D5"/>
    <w:rsid w:val="001C4F31"/>
    <w:rsid w:val="001C5D67"/>
    <w:rsid w:val="001C68CE"/>
    <w:rsid w:val="001C7A3C"/>
    <w:rsid w:val="001C7A50"/>
    <w:rsid w:val="001D0DAE"/>
    <w:rsid w:val="001D0E43"/>
    <w:rsid w:val="001D1703"/>
    <w:rsid w:val="001D280C"/>
    <w:rsid w:val="001D4734"/>
    <w:rsid w:val="001D5E29"/>
    <w:rsid w:val="001D6580"/>
    <w:rsid w:val="001E09E6"/>
    <w:rsid w:val="001E2259"/>
    <w:rsid w:val="001E2404"/>
    <w:rsid w:val="001E3946"/>
    <w:rsid w:val="001E4AAB"/>
    <w:rsid w:val="001E5812"/>
    <w:rsid w:val="001E630D"/>
    <w:rsid w:val="001E6D28"/>
    <w:rsid w:val="001E6F4E"/>
    <w:rsid w:val="001E7AFE"/>
    <w:rsid w:val="001F039A"/>
    <w:rsid w:val="001F048D"/>
    <w:rsid w:val="001F093E"/>
    <w:rsid w:val="001F0BC0"/>
    <w:rsid w:val="001F0EA5"/>
    <w:rsid w:val="001F2CF3"/>
    <w:rsid w:val="001F3A67"/>
    <w:rsid w:val="001F3BA0"/>
    <w:rsid w:val="001F3DF7"/>
    <w:rsid w:val="001F5B53"/>
    <w:rsid w:val="001F70B8"/>
    <w:rsid w:val="001F7B7E"/>
    <w:rsid w:val="00200E30"/>
    <w:rsid w:val="00200F87"/>
    <w:rsid w:val="00202469"/>
    <w:rsid w:val="0020296D"/>
    <w:rsid w:val="00205624"/>
    <w:rsid w:val="002056EC"/>
    <w:rsid w:val="002068A0"/>
    <w:rsid w:val="00211351"/>
    <w:rsid w:val="00211F7A"/>
    <w:rsid w:val="002121C2"/>
    <w:rsid w:val="00212B39"/>
    <w:rsid w:val="00213226"/>
    <w:rsid w:val="0021380A"/>
    <w:rsid w:val="002138E6"/>
    <w:rsid w:val="002141BA"/>
    <w:rsid w:val="00214436"/>
    <w:rsid w:val="00214CE0"/>
    <w:rsid w:val="00215575"/>
    <w:rsid w:val="002158AE"/>
    <w:rsid w:val="00215B0E"/>
    <w:rsid w:val="00217F84"/>
    <w:rsid w:val="00217FCE"/>
    <w:rsid w:val="002210EA"/>
    <w:rsid w:val="002220EF"/>
    <w:rsid w:val="00222B58"/>
    <w:rsid w:val="00224CFB"/>
    <w:rsid w:val="00225530"/>
    <w:rsid w:val="00225596"/>
    <w:rsid w:val="002257D4"/>
    <w:rsid w:val="00225BC5"/>
    <w:rsid w:val="00225CE8"/>
    <w:rsid w:val="002261D6"/>
    <w:rsid w:val="0022646F"/>
    <w:rsid w:val="00227A1A"/>
    <w:rsid w:val="00227AFF"/>
    <w:rsid w:val="002308A4"/>
    <w:rsid w:val="00230F4A"/>
    <w:rsid w:val="00231756"/>
    <w:rsid w:val="0023195C"/>
    <w:rsid w:val="00236C57"/>
    <w:rsid w:val="0023714F"/>
    <w:rsid w:val="002400C0"/>
    <w:rsid w:val="0024053E"/>
    <w:rsid w:val="002406FB"/>
    <w:rsid w:val="00241975"/>
    <w:rsid w:val="00242626"/>
    <w:rsid w:val="00243C37"/>
    <w:rsid w:val="00245CC3"/>
    <w:rsid w:val="0024612F"/>
    <w:rsid w:val="002477BF"/>
    <w:rsid w:val="0024791C"/>
    <w:rsid w:val="0025008B"/>
    <w:rsid w:val="002511E5"/>
    <w:rsid w:val="00254F8A"/>
    <w:rsid w:val="00255FAF"/>
    <w:rsid w:val="002573A2"/>
    <w:rsid w:val="0025780D"/>
    <w:rsid w:val="00260300"/>
    <w:rsid w:val="00261224"/>
    <w:rsid w:val="002617A2"/>
    <w:rsid w:val="00262E5A"/>
    <w:rsid w:val="00263E89"/>
    <w:rsid w:val="0026530E"/>
    <w:rsid w:val="00266BF5"/>
    <w:rsid w:val="00266CA5"/>
    <w:rsid w:val="002711C6"/>
    <w:rsid w:val="0027219F"/>
    <w:rsid w:val="00272280"/>
    <w:rsid w:val="00272414"/>
    <w:rsid w:val="00272512"/>
    <w:rsid w:val="00272680"/>
    <w:rsid w:val="00273C74"/>
    <w:rsid w:val="00274339"/>
    <w:rsid w:val="00275079"/>
    <w:rsid w:val="00275FE4"/>
    <w:rsid w:val="00275FF3"/>
    <w:rsid w:val="00280BB7"/>
    <w:rsid w:val="00281E46"/>
    <w:rsid w:val="002821E3"/>
    <w:rsid w:val="002847A2"/>
    <w:rsid w:val="002877CB"/>
    <w:rsid w:val="00287BCF"/>
    <w:rsid w:val="00290AE0"/>
    <w:rsid w:val="00291797"/>
    <w:rsid w:val="00291C41"/>
    <w:rsid w:val="0029321C"/>
    <w:rsid w:val="00293662"/>
    <w:rsid w:val="00294B6E"/>
    <w:rsid w:val="00294D6C"/>
    <w:rsid w:val="002957E7"/>
    <w:rsid w:val="00296081"/>
    <w:rsid w:val="002971CD"/>
    <w:rsid w:val="0029740D"/>
    <w:rsid w:val="002A1E7C"/>
    <w:rsid w:val="002A2122"/>
    <w:rsid w:val="002A22AB"/>
    <w:rsid w:val="002A280F"/>
    <w:rsid w:val="002A327E"/>
    <w:rsid w:val="002A3FD1"/>
    <w:rsid w:val="002A4812"/>
    <w:rsid w:val="002A5AAE"/>
    <w:rsid w:val="002A7A02"/>
    <w:rsid w:val="002B08F1"/>
    <w:rsid w:val="002B2B26"/>
    <w:rsid w:val="002B5817"/>
    <w:rsid w:val="002B581A"/>
    <w:rsid w:val="002C0AF4"/>
    <w:rsid w:val="002C2F01"/>
    <w:rsid w:val="002C3B90"/>
    <w:rsid w:val="002C4871"/>
    <w:rsid w:val="002C4A55"/>
    <w:rsid w:val="002C7808"/>
    <w:rsid w:val="002D0DA9"/>
    <w:rsid w:val="002D1743"/>
    <w:rsid w:val="002D2D9A"/>
    <w:rsid w:val="002D4A8C"/>
    <w:rsid w:val="002D5A52"/>
    <w:rsid w:val="002D5AA9"/>
    <w:rsid w:val="002D7752"/>
    <w:rsid w:val="002D7D35"/>
    <w:rsid w:val="002E0D5A"/>
    <w:rsid w:val="002E15D1"/>
    <w:rsid w:val="002E1704"/>
    <w:rsid w:val="002E1EDA"/>
    <w:rsid w:val="002E2378"/>
    <w:rsid w:val="002E2874"/>
    <w:rsid w:val="002E2B5A"/>
    <w:rsid w:val="002E2E73"/>
    <w:rsid w:val="002E2F0E"/>
    <w:rsid w:val="002E306C"/>
    <w:rsid w:val="002E30EA"/>
    <w:rsid w:val="002E3365"/>
    <w:rsid w:val="002E3454"/>
    <w:rsid w:val="002E6709"/>
    <w:rsid w:val="002E6DCF"/>
    <w:rsid w:val="002E72C6"/>
    <w:rsid w:val="002E76D0"/>
    <w:rsid w:val="002F0247"/>
    <w:rsid w:val="002F1AC2"/>
    <w:rsid w:val="002F22B5"/>
    <w:rsid w:val="002F288A"/>
    <w:rsid w:val="002F339A"/>
    <w:rsid w:val="002F4FB7"/>
    <w:rsid w:val="002F4FBB"/>
    <w:rsid w:val="002F5564"/>
    <w:rsid w:val="002F5F91"/>
    <w:rsid w:val="002F66CE"/>
    <w:rsid w:val="002F6B15"/>
    <w:rsid w:val="002F7631"/>
    <w:rsid w:val="002F778D"/>
    <w:rsid w:val="00300AEC"/>
    <w:rsid w:val="0030148C"/>
    <w:rsid w:val="003017B6"/>
    <w:rsid w:val="00302243"/>
    <w:rsid w:val="003037E2"/>
    <w:rsid w:val="00303A60"/>
    <w:rsid w:val="003040F1"/>
    <w:rsid w:val="003041ED"/>
    <w:rsid w:val="0030435D"/>
    <w:rsid w:val="00305827"/>
    <w:rsid w:val="00305874"/>
    <w:rsid w:val="00306065"/>
    <w:rsid w:val="00307463"/>
    <w:rsid w:val="00312152"/>
    <w:rsid w:val="0031488B"/>
    <w:rsid w:val="00315351"/>
    <w:rsid w:val="00315746"/>
    <w:rsid w:val="00315975"/>
    <w:rsid w:val="00315CE1"/>
    <w:rsid w:val="003172D8"/>
    <w:rsid w:val="003204C2"/>
    <w:rsid w:val="00320AE2"/>
    <w:rsid w:val="00320CAC"/>
    <w:rsid w:val="00320E63"/>
    <w:rsid w:val="00322E09"/>
    <w:rsid w:val="003244A2"/>
    <w:rsid w:val="00326352"/>
    <w:rsid w:val="0032707A"/>
    <w:rsid w:val="00327809"/>
    <w:rsid w:val="0033113E"/>
    <w:rsid w:val="00332C45"/>
    <w:rsid w:val="0033386B"/>
    <w:rsid w:val="00334843"/>
    <w:rsid w:val="00334E70"/>
    <w:rsid w:val="0033588E"/>
    <w:rsid w:val="00336795"/>
    <w:rsid w:val="00336845"/>
    <w:rsid w:val="00337564"/>
    <w:rsid w:val="00340485"/>
    <w:rsid w:val="00340A2C"/>
    <w:rsid w:val="00342C37"/>
    <w:rsid w:val="00344FAB"/>
    <w:rsid w:val="00346E02"/>
    <w:rsid w:val="0034744A"/>
    <w:rsid w:val="003476F6"/>
    <w:rsid w:val="0035091A"/>
    <w:rsid w:val="00350B15"/>
    <w:rsid w:val="00351548"/>
    <w:rsid w:val="00353C01"/>
    <w:rsid w:val="00354595"/>
    <w:rsid w:val="00355A80"/>
    <w:rsid w:val="003571AF"/>
    <w:rsid w:val="0036074B"/>
    <w:rsid w:val="003611D1"/>
    <w:rsid w:val="0036175D"/>
    <w:rsid w:val="00362522"/>
    <w:rsid w:val="003625A1"/>
    <w:rsid w:val="003625CF"/>
    <w:rsid w:val="00362A1F"/>
    <w:rsid w:val="00362AAE"/>
    <w:rsid w:val="00362F33"/>
    <w:rsid w:val="003653B5"/>
    <w:rsid w:val="00365488"/>
    <w:rsid w:val="00366011"/>
    <w:rsid w:val="00366A43"/>
    <w:rsid w:val="00366AC7"/>
    <w:rsid w:val="00366DAC"/>
    <w:rsid w:val="00370A53"/>
    <w:rsid w:val="003725E0"/>
    <w:rsid w:val="003733D0"/>
    <w:rsid w:val="0037348D"/>
    <w:rsid w:val="00373865"/>
    <w:rsid w:val="00374680"/>
    <w:rsid w:val="00376222"/>
    <w:rsid w:val="003769E1"/>
    <w:rsid w:val="00376F14"/>
    <w:rsid w:val="0037748F"/>
    <w:rsid w:val="00377628"/>
    <w:rsid w:val="00380F6E"/>
    <w:rsid w:val="00381680"/>
    <w:rsid w:val="00385110"/>
    <w:rsid w:val="003859C2"/>
    <w:rsid w:val="00386D4F"/>
    <w:rsid w:val="0038734D"/>
    <w:rsid w:val="0038787B"/>
    <w:rsid w:val="003901E9"/>
    <w:rsid w:val="00390760"/>
    <w:rsid w:val="00390AE7"/>
    <w:rsid w:val="00391539"/>
    <w:rsid w:val="00391B04"/>
    <w:rsid w:val="00391EBE"/>
    <w:rsid w:val="003929E2"/>
    <w:rsid w:val="0039441B"/>
    <w:rsid w:val="00394FEE"/>
    <w:rsid w:val="00395846"/>
    <w:rsid w:val="00395ED7"/>
    <w:rsid w:val="00397B7D"/>
    <w:rsid w:val="003A0CEF"/>
    <w:rsid w:val="003A2442"/>
    <w:rsid w:val="003A2968"/>
    <w:rsid w:val="003A3721"/>
    <w:rsid w:val="003A4853"/>
    <w:rsid w:val="003A4B8B"/>
    <w:rsid w:val="003A577C"/>
    <w:rsid w:val="003A66AF"/>
    <w:rsid w:val="003B01E6"/>
    <w:rsid w:val="003B1D06"/>
    <w:rsid w:val="003B24A2"/>
    <w:rsid w:val="003B2F79"/>
    <w:rsid w:val="003B32ED"/>
    <w:rsid w:val="003B3508"/>
    <w:rsid w:val="003B3A45"/>
    <w:rsid w:val="003B457E"/>
    <w:rsid w:val="003B4D4A"/>
    <w:rsid w:val="003B6C85"/>
    <w:rsid w:val="003B6FDB"/>
    <w:rsid w:val="003B77DA"/>
    <w:rsid w:val="003C155F"/>
    <w:rsid w:val="003C15A8"/>
    <w:rsid w:val="003C1C4A"/>
    <w:rsid w:val="003C2465"/>
    <w:rsid w:val="003C263E"/>
    <w:rsid w:val="003C37CC"/>
    <w:rsid w:val="003C4735"/>
    <w:rsid w:val="003C5CD1"/>
    <w:rsid w:val="003C6CE3"/>
    <w:rsid w:val="003D1138"/>
    <w:rsid w:val="003D1E54"/>
    <w:rsid w:val="003D3865"/>
    <w:rsid w:val="003D4408"/>
    <w:rsid w:val="003D55A9"/>
    <w:rsid w:val="003D5C3A"/>
    <w:rsid w:val="003D5D95"/>
    <w:rsid w:val="003D5E7E"/>
    <w:rsid w:val="003D61E0"/>
    <w:rsid w:val="003D62FE"/>
    <w:rsid w:val="003E0ABE"/>
    <w:rsid w:val="003E15DA"/>
    <w:rsid w:val="003E3098"/>
    <w:rsid w:val="003E3FE7"/>
    <w:rsid w:val="003E44BB"/>
    <w:rsid w:val="003E4D8F"/>
    <w:rsid w:val="003E5AC7"/>
    <w:rsid w:val="003E654E"/>
    <w:rsid w:val="003E6D0D"/>
    <w:rsid w:val="003E6DBF"/>
    <w:rsid w:val="003E70C1"/>
    <w:rsid w:val="003E76AE"/>
    <w:rsid w:val="003E76D2"/>
    <w:rsid w:val="003E7A5E"/>
    <w:rsid w:val="003F464E"/>
    <w:rsid w:val="003F5AC6"/>
    <w:rsid w:val="003F69B9"/>
    <w:rsid w:val="003F6B25"/>
    <w:rsid w:val="003F724A"/>
    <w:rsid w:val="00402E5D"/>
    <w:rsid w:val="00405063"/>
    <w:rsid w:val="0040532E"/>
    <w:rsid w:val="00406F10"/>
    <w:rsid w:val="00407908"/>
    <w:rsid w:val="004101AC"/>
    <w:rsid w:val="004102CC"/>
    <w:rsid w:val="00410CC8"/>
    <w:rsid w:val="0041112E"/>
    <w:rsid w:val="004125C1"/>
    <w:rsid w:val="0041402F"/>
    <w:rsid w:val="00414A71"/>
    <w:rsid w:val="00415C1F"/>
    <w:rsid w:val="00415D9B"/>
    <w:rsid w:val="00416109"/>
    <w:rsid w:val="00417E55"/>
    <w:rsid w:val="00421508"/>
    <w:rsid w:val="00421C41"/>
    <w:rsid w:val="00421F56"/>
    <w:rsid w:val="0042242E"/>
    <w:rsid w:val="00423337"/>
    <w:rsid w:val="0042467C"/>
    <w:rsid w:val="00424FAC"/>
    <w:rsid w:val="00426214"/>
    <w:rsid w:val="0042650A"/>
    <w:rsid w:val="0042791E"/>
    <w:rsid w:val="00427CD0"/>
    <w:rsid w:val="00430B15"/>
    <w:rsid w:val="00431561"/>
    <w:rsid w:val="00431905"/>
    <w:rsid w:val="0043202F"/>
    <w:rsid w:val="00432F1E"/>
    <w:rsid w:val="00433A67"/>
    <w:rsid w:val="00433F30"/>
    <w:rsid w:val="00434AD8"/>
    <w:rsid w:val="00434D64"/>
    <w:rsid w:val="00434E50"/>
    <w:rsid w:val="00436870"/>
    <w:rsid w:val="004378D1"/>
    <w:rsid w:val="00437E65"/>
    <w:rsid w:val="00437EB1"/>
    <w:rsid w:val="0044196E"/>
    <w:rsid w:val="00441F6A"/>
    <w:rsid w:val="004433D7"/>
    <w:rsid w:val="004457F9"/>
    <w:rsid w:val="0044659C"/>
    <w:rsid w:val="00446794"/>
    <w:rsid w:val="0045000D"/>
    <w:rsid w:val="00451FC9"/>
    <w:rsid w:val="00452F35"/>
    <w:rsid w:val="004547D0"/>
    <w:rsid w:val="0045659B"/>
    <w:rsid w:val="0045690A"/>
    <w:rsid w:val="0045709D"/>
    <w:rsid w:val="00457D2B"/>
    <w:rsid w:val="00460284"/>
    <w:rsid w:val="004608B0"/>
    <w:rsid w:val="00460A47"/>
    <w:rsid w:val="00460E81"/>
    <w:rsid w:val="00460E8A"/>
    <w:rsid w:val="0046167E"/>
    <w:rsid w:val="00461855"/>
    <w:rsid w:val="00461A88"/>
    <w:rsid w:val="004624B3"/>
    <w:rsid w:val="00463521"/>
    <w:rsid w:val="00463A3A"/>
    <w:rsid w:val="004646B0"/>
    <w:rsid w:val="00464A60"/>
    <w:rsid w:val="0046601D"/>
    <w:rsid w:val="00466693"/>
    <w:rsid w:val="00466F09"/>
    <w:rsid w:val="00466F57"/>
    <w:rsid w:val="00467282"/>
    <w:rsid w:val="0046756F"/>
    <w:rsid w:val="0046784D"/>
    <w:rsid w:val="00470042"/>
    <w:rsid w:val="00470921"/>
    <w:rsid w:val="00470FE6"/>
    <w:rsid w:val="00472044"/>
    <w:rsid w:val="00472956"/>
    <w:rsid w:val="00473C01"/>
    <w:rsid w:val="00474B68"/>
    <w:rsid w:val="00475837"/>
    <w:rsid w:val="004811B4"/>
    <w:rsid w:val="00482C98"/>
    <w:rsid w:val="00483428"/>
    <w:rsid w:val="00483959"/>
    <w:rsid w:val="00484769"/>
    <w:rsid w:val="00485613"/>
    <w:rsid w:val="00486A91"/>
    <w:rsid w:val="00486AF3"/>
    <w:rsid w:val="00486EE9"/>
    <w:rsid w:val="004874DB"/>
    <w:rsid w:val="00487E5F"/>
    <w:rsid w:val="0049149F"/>
    <w:rsid w:val="00491555"/>
    <w:rsid w:val="00491EF9"/>
    <w:rsid w:val="00492684"/>
    <w:rsid w:val="00492C24"/>
    <w:rsid w:val="00494352"/>
    <w:rsid w:val="00495528"/>
    <w:rsid w:val="0049667B"/>
    <w:rsid w:val="004975CD"/>
    <w:rsid w:val="00497C2F"/>
    <w:rsid w:val="004A08E3"/>
    <w:rsid w:val="004A12BF"/>
    <w:rsid w:val="004A206C"/>
    <w:rsid w:val="004A2DC1"/>
    <w:rsid w:val="004A2FE0"/>
    <w:rsid w:val="004A3E2D"/>
    <w:rsid w:val="004A400E"/>
    <w:rsid w:val="004A4209"/>
    <w:rsid w:val="004A56FD"/>
    <w:rsid w:val="004A58BB"/>
    <w:rsid w:val="004A6D6F"/>
    <w:rsid w:val="004A6E3F"/>
    <w:rsid w:val="004B1B0D"/>
    <w:rsid w:val="004B2CAA"/>
    <w:rsid w:val="004B3185"/>
    <w:rsid w:val="004B3A28"/>
    <w:rsid w:val="004B3A72"/>
    <w:rsid w:val="004B4891"/>
    <w:rsid w:val="004B5534"/>
    <w:rsid w:val="004B581B"/>
    <w:rsid w:val="004B6BB5"/>
    <w:rsid w:val="004B6C95"/>
    <w:rsid w:val="004B7BE4"/>
    <w:rsid w:val="004B7C57"/>
    <w:rsid w:val="004B7FAB"/>
    <w:rsid w:val="004C00CC"/>
    <w:rsid w:val="004C0430"/>
    <w:rsid w:val="004C12EB"/>
    <w:rsid w:val="004C5038"/>
    <w:rsid w:val="004C688C"/>
    <w:rsid w:val="004C6DB7"/>
    <w:rsid w:val="004C6F06"/>
    <w:rsid w:val="004D09DC"/>
    <w:rsid w:val="004D0F67"/>
    <w:rsid w:val="004D1D6C"/>
    <w:rsid w:val="004D29CF"/>
    <w:rsid w:val="004D3554"/>
    <w:rsid w:val="004D5CBB"/>
    <w:rsid w:val="004D6853"/>
    <w:rsid w:val="004D7BC5"/>
    <w:rsid w:val="004E0A9F"/>
    <w:rsid w:val="004E127E"/>
    <w:rsid w:val="004E29C6"/>
    <w:rsid w:val="004E2A2E"/>
    <w:rsid w:val="004E2E8D"/>
    <w:rsid w:val="004E4179"/>
    <w:rsid w:val="004E5122"/>
    <w:rsid w:val="004E65EC"/>
    <w:rsid w:val="004E676B"/>
    <w:rsid w:val="004E6F45"/>
    <w:rsid w:val="004F014E"/>
    <w:rsid w:val="004F0189"/>
    <w:rsid w:val="004F04A8"/>
    <w:rsid w:val="004F0A92"/>
    <w:rsid w:val="004F0F25"/>
    <w:rsid w:val="004F1263"/>
    <w:rsid w:val="004F17DB"/>
    <w:rsid w:val="004F20CC"/>
    <w:rsid w:val="004F247E"/>
    <w:rsid w:val="004F2E05"/>
    <w:rsid w:val="004F3A32"/>
    <w:rsid w:val="004F42DE"/>
    <w:rsid w:val="004F5061"/>
    <w:rsid w:val="004F6CEF"/>
    <w:rsid w:val="004F78FC"/>
    <w:rsid w:val="00500382"/>
    <w:rsid w:val="005008E6"/>
    <w:rsid w:val="005019BE"/>
    <w:rsid w:val="0050207F"/>
    <w:rsid w:val="005023F8"/>
    <w:rsid w:val="00503DC4"/>
    <w:rsid w:val="00504690"/>
    <w:rsid w:val="00505CAB"/>
    <w:rsid w:val="00507EE9"/>
    <w:rsid w:val="005114BD"/>
    <w:rsid w:val="00511FAF"/>
    <w:rsid w:val="00512BB5"/>
    <w:rsid w:val="00513311"/>
    <w:rsid w:val="0051396B"/>
    <w:rsid w:val="00513BA1"/>
    <w:rsid w:val="0051403E"/>
    <w:rsid w:val="00514938"/>
    <w:rsid w:val="00520083"/>
    <w:rsid w:val="00520568"/>
    <w:rsid w:val="00520FA7"/>
    <w:rsid w:val="00521791"/>
    <w:rsid w:val="0052212D"/>
    <w:rsid w:val="00522CFA"/>
    <w:rsid w:val="00522E40"/>
    <w:rsid w:val="005230B3"/>
    <w:rsid w:val="00523492"/>
    <w:rsid w:val="0052355E"/>
    <w:rsid w:val="00524205"/>
    <w:rsid w:val="005262FD"/>
    <w:rsid w:val="0053002C"/>
    <w:rsid w:val="0053142A"/>
    <w:rsid w:val="00532F0D"/>
    <w:rsid w:val="00534CA5"/>
    <w:rsid w:val="00535764"/>
    <w:rsid w:val="00537AA5"/>
    <w:rsid w:val="005400CD"/>
    <w:rsid w:val="00540819"/>
    <w:rsid w:val="00542CFC"/>
    <w:rsid w:val="005431A6"/>
    <w:rsid w:val="00543553"/>
    <w:rsid w:val="00544658"/>
    <w:rsid w:val="00544F49"/>
    <w:rsid w:val="0054561D"/>
    <w:rsid w:val="00545CA6"/>
    <w:rsid w:val="00546130"/>
    <w:rsid w:val="00546BFD"/>
    <w:rsid w:val="00547482"/>
    <w:rsid w:val="00551623"/>
    <w:rsid w:val="00553E4E"/>
    <w:rsid w:val="00553F4B"/>
    <w:rsid w:val="00554B8E"/>
    <w:rsid w:val="00556061"/>
    <w:rsid w:val="005568FF"/>
    <w:rsid w:val="0056002E"/>
    <w:rsid w:val="005608EE"/>
    <w:rsid w:val="00560D54"/>
    <w:rsid w:val="00562EFD"/>
    <w:rsid w:val="00562FA7"/>
    <w:rsid w:val="0056387D"/>
    <w:rsid w:val="0056506E"/>
    <w:rsid w:val="00565539"/>
    <w:rsid w:val="005665D1"/>
    <w:rsid w:val="005704DB"/>
    <w:rsid w:val="00572121"/>
    <w:rsid w:val="00572551"/>
    <w:rsid w:val="00574049"/>
    <w:rsid w:val="00575821"/>
    <w:rsid w:val="00575C0B"/>
    <w:rsid w:val="005774E3"/>
    <w:rsid w:val="00577E1D"/>
    <w:rsid w:val="00580A3D"/>
    <w:rsid w:val="00581201"/>
    <w:rsid w:val="00581AC8"/>
    <w:rsid w:val="00581CF4"/>
    <w:rsid w:val="0058216F"/>
    <w:rsid w:val="005826C9"/>
    <w:rsid w:val="00582B61"/>
    <w:rsid w:val="00582BE9"/>
    <w:rsid w:val="00585B54"/>
    <w:rsid w:val="00585E31"/>
    <w:rsid w:val="00586949"/>
    <w:rsid w:val="00590D3A"/>
    <w:rsid w:val="00593062"/>
    <w:rsid w:val="00593418"/>
    <w:rsid w:val="00593895"/>
    <w:rsid w:val="005941C7"/>
    <w:rsid w:val="0059585D"/>
    <w:rsid w:val="005968E5"/>
    <w:rsid w:val="0059705D"/>
    <w:rsid w:val="00597611"/>
    <w:rsid w:val="00597D67"/>
    <w:rsid w:val="005A1757"/>
    <w:rsid w:val="005A1C5D"/>
    <w:rsid w:val="005A21DE"/>
    <w:rsid w:val="005A279D"/>
    <w:rsid w:val="005A2CB7"/>
    <w:rsid w:val="005A49ED"/>
    <w:rsid w:val="005A58A5"/>
    <w:rsid w:val="005A59B0"/>
    <w:rsid w:val="005B11ED"/>
    <w:rsid w:val="005B24A9"/>
    <w:rsid w:val="005B3ECD"/>
    <w:rsid w:val="005B488A"/>
    <w:rsid w:val="005B53C8"/>
    <w:rsid w:val="005B7E86"/>
    <w:rsid w:val="005C1BD3"/>
    <w:rsid w:val="005C2902"/>
    <w:rsid w:val="005C32AA"/>
    <w:rsid w:val="005C3A33"/>
    <w:rsid w:val="005C466B"/>
    <w:rsid w:val="005C4ADF"/>
    <w:rsid w:val="005C5CA5"/>
    <w:rsid w:val="005C6C6D"/>
    <w:rsid w:val="005C7471"/>
    <w:rsid w:val="005C7758"/>
    <w:rsid w:val="005C779F"/>
    <w:rsid w:val="005D18F9"/>
    <w:rsid w:val="005D361D"/>
    <w:rsid w:val="005D3CFE"/>
    <w:rsid w:val="005D40F5"/>
    <w:rsid w:val="005D4457"/>
    <w:rsid w:val="005D4AFE"/>
    <w:rsid w:val="005D539F"/>
    <w:rsid w:val="005D5CCD"/>
    <w:rsid w:val="005D5D58"/>
    <w:rsid w:val="005D71A5"/>
    <w:rsid w:val="005D766F"/>
    <w:rsid w:val="005E0908"/>
    <w:rsid w:val="005E0C2B"/>
    <w:rsid w:val="005E0CAD"/>
    <w:rsid w:val="005E3188"/>
    <w:rsid w:val="005E3542"/>
    <w:rsid w:val="005E439A"/>
    <w:rsid w:val="005E4D2D"/>
    <w:rsid w:val="005E549C"/>
    <w:rsid w:val="005E6BAB"/>
    <w:rsid w:val="005F0309"/>
    <w:rsid w:val="005F0468"/>
    <w:rsid w:val="005F04DF"/>
    <w:rsid w:val="005F0F9E"/>
    <w:rsid w:val="005F10A6"/>
    <w:rsid w:val="005F1950"/>
    <w:rsid w:val="005F2031"/>
    <w:rsid w:val="005F2314"/>
    <w:rsid w:val="005F2902"/>
    <w:rsid w:val="005F2DE8"/>
    <w:rsid w:val="005F37D3"/>
    <w:rsid w:val="005F3A81"/>
    <w:rsid w:val="005F4683"/>
    <w:rsid w:val="005F4D1D"/>
    <w:rsid w:val="005F654C"/>
    <w:rsid w:val="00601BC4"/>
    <w:rsid w:val="00602D72"/>
    <w:rsid w:val="00603097"/>
    <w:rsid w:val="00603461"/>
    <w:rsid w:val="0060692E"/>
    <w:rsid w:val="00607DE6"/>
    <w:rsid w:val="00610128"/>
    <w:rsid w:val="00610904"/>
    <w:rsid w:val="006121E5"/>
    <w:rsid w:val="00612A02"/>
    <w:rsid w:val="00614D67"/>
    <w:rsid w:val="00616A62"/>
    <w:rsid w:val="00616D13"/>
    <w:rsid w:val="00616DA5"/>
    <w:rsid w:val="0062092C"/>
    <w:rsid w:val="0062335E"/>
    <w:rsid w:val="006255CC"/>
    <w:rsid w:val="006268CA"/>
    <w:rsid w:val="00630FCD"/>
    <w:rsid w:val="0063119A"/>
    <w:rsid w:val="00631C76"/>
    <w:rsid w:val="00631D54"/>
    <w:rsid w:val="00633A51"/>
    <w:rsid w:val="00633EE7"/>
    <w:rsid w:val="006341DD"/>
    <w:rsid w:val="00634D83"/>
    <w:rsid w:val="0063512E"/>
    <w:rsid w:val="00636082"/>
    <w:rsid w:val="00636556"/>
    <w:rsid w:val="006365A3"/>
    <w:rsid w:val="006367E9"/>
    <w:rsid w:val="00636DCF"/>
    <w:rsid w:val="00637955"/>
    <w:rsid w:val="00637986"/>
    <w:rsid w:val="00640A48"/>
    <w:rsid w:val="0064286A"/>
    <w:rsid w:val="00643431"/>
    <w:rsid w:val="00644595"/>
    <w:rsid w:val="006449CF"/>
    <w:rsid w:val="00644A27"/>
    <w:rsid w:val="0064641C"/>
    <w:rsid w:val="0064702A"/>
    <w:rsid w:val="00647EE1"/>
    <w:rsid w:val="006506EB"/>
    <w:rsid w:val="00650704"/>
    <w:rsid w:val="00651C40"/>
    <w:rsid w:val="006522DB"/>
    <w:rsid w:val="0065308C"/>
    <w:rsid w:val="00653CC4"/>
    <w:rsid w:val="00654B15"/>
    <w:rsid w:val="00654F01"/>
    <w:rsid w:val="00657473"/>
    <w:rsid w:val="00657A2E"/>
    <w:rsid w:val="006600A2"/>
    <w:rsid w:val="006615E0"/>
    <w:rsid w:val="00661A94"/>
    <w:rsid w:val="00662138"/>
    <w:rsid w:val="006623AE"/>
    <w:rsid w:val="00662419"/>
    <w:rsid w:val="0066245B"/>
    <w:rsid w:val="006637CE"/>
    <w:rsid w:val="006645C8"/>
    <w:rsid w:val="00664C22"/>
    <w:rsid w:val="0066561A"/>
    <w:rsid w:val="00665ACA"/>
    <w:rsid w:val="0066617A"/>
    <w:rsid w:val="00666CD7"/>
    <w:rsid w:val="00666D41"/>
    <w:rsid w:val="00667324"/>
    <w:rsid w:val="00667B4E"/>
    <w:rsid w:val="00670D20"/>
    <w:rsid w:val="00670FC9"/>
    <w:rsid w:val="0067229B"/>
    <w:rsid w:val="00672910"/>
    <w:rsid w:val="006743A8"/>
    <w:rsid w:val="006753B0"/>
    <w:rsid w:val="0067593E"/>
    <w:rsid w:val="006763F9"/>
    <w:rsid w:val="00676D96"/>
    <w:rsid w:val="00676E27"/>
    <w:rsid w:val="006771D0"/>
    <w:rsid w:val="00677A26"/>
    <w:rsid w:val="00680929"/>
    <w:rsid w:val="00681451"/>
    <w:rsid w:val="0068227E"/>
    <w:rsid w:val="00683EFD"/>
    <w:rsid w:val="00683FF0"/>
    <w:rsid w:val="00684AA9"/>
    <w:rsid w:val="00684FC2"/>
    <w:rsid w:val="00685E76"/>
    <w:rsid w:val="00686F6E"/>
    <w:rsid w:val="006870AA"/>
    <w:rsid w:val="0068718C"/>
    <w:rsid w:val="00690027"/>
    <w:rsid w:val="00691469"/>
    <w:rsid w:val="00692BFD"/>
    <w:rsid w:val="00692D83"/>
    <w:rsid w:val="006930F5"/>
    <w:rsid w:val="006937CE"/>
    <w:rsid w:val="0069449C"/>
    <w:rsid w:val="00694894"/>
    <w:rsid w:val="00694CAF"/>
    <w:rsid w:val="006957BD"/>
    <w:rsid w:val="00695AB0"/>
    <w:rsid w:val="006961E2"/>
    <w:rsid w:val="006963D9"/>
    <w:rsid w:val="006A3C9B"/>
    <w:rsid w:val="006A49D5"/>
    <w:rsid w:val="006A4D6F"/>
    <w:rsid w:val="006A6854"/>
    <w:rsid w:val="006B20C7"/>
    <w:rsid w:val="006B2D08"/>
    <w:rsid w:val="006B411F"/>
    <w:rsid w:val="006C063B"/>
    <w:rsid w:val="006C07B7"/>
    <w:rsid w:val="006C0DE2"/>
    <w:rsid w:val="006C0EF3"/>
    <w:rsid w:val="006C2289"/>
    <w:rsid w:val="006C25EB"/>
    <w:rsid w:val="006C3963"/>
    <w:rsid w:val="006C3CAD"/>
    <w:rsid w:val="006C4A86"/>
    <w:rsid w:val="006C4D05"/>
    <w:rsid w:val="006C53B0"/>
    <w:rsid w:val="006C6743"/>
    <w:rsid w:val="006C699A"/>
    <w:rsid w:val="006C6CB9"/>
    <w:rsid w:val="006D00D7"/>
    <w:rsid w:val="006D181D"/>
    <w:rsid w:val="006D383A"/>
    <w:rsid w:val="006D3C0E"/>
    <w:rsid w:val="006D3C3C"/>
    <w:rsid w:val="006D3CE5"/>
    <w:rsid w:val="006D41F8"/>
    <w:rsid w:val="006D62A1"/>
    <w:rsid w:val="006D6ED9"/>
    <w:rsid w:val="006D789F"/>
    <w:rsid w:val="006D7ABC"/>
    <w:rsid w:val="006E1051"/>
    <w:rsid w:val="006E17CE"/>
    <w:rsid w:val="006E18F5"/>
    <w:rsid w:val="006E1F51"/>
    <w:rsid w:val="006E47A0"/>
    <w:rsid w:val="006E4E43"/>
    <w:rsid w:val="006E6616"/>
    <w:rsid w:val="006E691A"/>
    <w:rsid w:val="006E70A2"/>
    <w:rsid w:val="006E7AA4"/>
    <w:rsid w:val="006E7D3D"/>
    <w:rsid w:val="006F0A4E"/>
    <w:rsid w:val="006F2080"/>
    <w:rsid w:val="006F2103"/>
    <w:rsid w:val="006F2FF1"/>
    <w:rsid w:val="006F492A"/>
    <w:rsid w:val="006F4A0A"/>
    <w:rsid w:val="006F6398"/>
    <w:rsid w:val="006F6BE2"/>
    <w:rsid w:val="006F72DA"/>
    <w:rsid w:val="006F7BA1"/>
    <w:rsid w:val="007008DB"/>
    <w:rsid w:val="007014D5"/>
    <w:rsid w:val="00701A1A"/>
    <w:rsid w:val="0070263F"/>
    <w:rsid w:val="007040C7"/>
    <w:rsid w:val="007044CA"/>
    <w:rsid w:val="0070666C"/>
    <w:rsid w:val="00706ECA"/>
    <w:rsid w:val="00707688"/>
    <w:rsid w:val="0071055A"/>
    <w:rsid w:val="00711741"/>
    <w:rsid w:val="007118F1"/>
    <w:rsid w:val="00712566"/>
    <w:rsid w:val="0071300F"/>
    <w:rsid w:val="00714A4D"/>
    <w:rsid w:val="00715A13"/>
    <w:rsid w:val="007169F4"/>
    <w:rsid w:val="007177B8"/>
    <w:rsid w:val="00717F1D"/>
    <w:rsid w:val="007205DC"/>
    <w:rsid w:val="007210C2"/>
    <w:rsid w:val="00722558"/>
    <w:rsid w:val="00723B21"/>
    <w:rsid w:val="007257D6"/>
    <w:rsid w:val="00725C50"/>
    <w:rsid w:val="0072709F"/>
    <w:rsid w:val="0072714F"/>
    <w:rsid w:val="007303D4"/>
    <w:rsid w:val="00730C7F"/>
    <w:rsid w:val="00731A65"/>
    <w:rsid w:val="007325C0"/>
    <w:rsid w:val="00732CAC"/>
    <w:rsid w:val="007335BB"/>
    <w:rsid w:val="0073421F"/>
    <w:rsid w:val="00736F8C"/>
    <w:rsid w:val="00737875"/>
    <w:rsid w:val="00737E8E"/>
    <w:rsid w:val="00737E9E"/>
    <w:rsid w:val="007403B6"/>
    <w:rsid w:val="007411B5"/>
    <w:rsid w:val="00741840"/>
    <w:rsid w:val="0074184D"/>
    <w:rsid w:val="007421BB"/>
    <w:rsid w:val="00742B7E"/>
    <w:rsid w:val="007437FC"/>
    <w:rsid w:val="0074652B"/>
    <w:rsid w:val="00746833"/>
    <w:rsid w:val="00746FA7"/>
    <w:rsid w:val="007470C4"/>
    <w:rsid w:val="00747830"/>
    <w:rsid w:val="00750C32"/>
    <w:rsid w:val="00750E31"/>
    <w:rsid w:val="0075198F"/>
    <w:rsid w:val="00754E09"/>
    <w:rsid w:val="00756B66"/>
    <w:rsid w:val="00756C9F"/>
    <w:rsid w:val="00757EDB"/>
    <w:rsid w:val="007607B5"/>
    <w:rsid w:val="00760869"/>
    <w:rsid w:val="0076396F"/>
    <w:rsid w:val="00765825"/>
    <w:rsid w:val="007660A4"/>
    <w:rsid w:val="00766708"/>
    <w:rsid w:val="00766EEF"/>
    <w:rsid w:val="00766EF6"/>
    <w:rsid w:val="00767053"/>
    <w:rsid w:val="00767786"/>
    <w:rsid w:val="00770F4F"/>
    <w:rsid w:val="00773EBF"/>
    <w:rsid w:val="0077594D"/>
    <w:rsid w:val="00776224"/>
    <w:rsid w:val="00776F98"/>
    <w:rsid w:val="00782AD2"/>
    <w:rsid w:val="00785D7C"/>
    <w:rsid w:val="007862A0"/>
    <w:rsid w:val="007928A5"/>
    <w:rsid w:val="00794A06"/>
    <w:rsid w:val="0079581B"/>
    <w:rsid w:val="0079623E"/>
    <w:rsid w:val="007968B6"/>
    <w:rsid w:val="00796FC5"/>
    <w:rsid w:val="007A104C"/>
    <w:rsid w:val="007A16AC"/>
    <w:rsid w:val="007A36CB"/>
    <w:rsid w:val="007A4352"/>
    <w:rsid w:val="007A50C3"/>
    <w:rsid w:val="007A6AF2"/>
    <w:rsid w:val="007B01F5"/>
    <w:rsid w:val="007B10D8"/>
    <w:rsid w:val="007B13B7"/>
    <w:rsid w:val="007B14F8"/>
    <w:rsid w:val="007B29F7"/>
    <w:rsid w:val="007B33EF"/>
    <w:rsid w:val="007B34A7"/>
    <w:rsid w:val="007B358C"/>
    <w:rsid w:val="007B3675"/>
    <w:rsid w:val="007B3EE8"/>
    <w:rsid w:val="007B693D"/>
    <w:rsid w:val="007B6BC6"/>
    <w:rsid w:val="007B7B9F"/>
    <w:rsid w:val="007C1C9B"/>
    <w:rsid w:val="007C3C7F"/>
    <w:rsid w:val="007C4B63"/>
    <w:rsid w:val="007C5E7E"/>
    <w:rsid w:val="007C632B"/>
    <w:rsid w:val="007C7A58"/>
    <w:rsid w:val="007D25F4"/>
    <w:rsid w:val="007D2C6C"/>
    <w:rsid w:val="007D3AD9"/>
    <w:rsid w:val="007E1B88"/>
    <w:rsid w:val="007E1BE7"/>
    <w:rsid w:val="007E3284"/>
    <w:rsid w:val="007E4F11"/>
    <w:rsid w:val="007E70D3"/>
    <w:rsid w:val="007E7205"/>
    <w:rsid w:val="007E7436"/>
    <w:rsid w:val="007E7C44"/>
    <w:rsid w:val="007F002F"/>
    <w:rsid w:val="007F051E"/>
    <w:rsid w:val="007F2D2F"/>
    <w:rsid w:val="007F2ECC"/>
    <w:rsid w:val="007F4D31"/>
    <w:rsid w:val="007F518E"/>
    <w:rsid w:val="007F5AF3"/>
    <w:rsid w:val="007F674B"/>
    <w:rsid w:val="007F6782"/>
    <w:rsid w:val="007F7615"/>
    <w:rsid w:val="00800529"/>
    <w:rsid w:val="0080082A"/>
    <w:rsid w:val="0080097B"/>
    <w:rsid w:val="00800D34"/>
    <w:rsid w:val="0080195A"/>
    <w:rsid w:val="00801EA9"/>
    <w:rsid w:val="00803A28"/>
    <w:rsid w:val="00804949"/>
    <w:rsid w:val="00805111"/>
    <w:rsid w:val="0080595A"/>
    <w:rsid w:val="00805CE8"/>
    <w:rsid w:val="0080601E"/>
    <w:rsid w:val="00810E96"/>
    <w:rsid w:val="008112F4"/>
    <w:rsid w:val="008113FA"/>
    <w:rsid w:val="0081392C"/>
    <w:rsid w:val="00813ACA"/>
    <w:rsid w:val="00813D69"/>
    <w:rsid w:val="008150C2"/>
    <w:rsid w:val="008160DF"/>
    <w:rsid w:val="00816E9F"/>
    <w:rsid w:val="00817E10"/>
    <w:rsid w:val="00820DBD"/>
    <w:rsid w:val="00822038"/>
    <w:rsid w:val="00822B29"/>
    <w:rsid w:val="008232FF"/>
    <w:rsid w:val="008233CD"/>
    <w:rsid w:val="00823D0F"/>
    <w:rsid w:val="00824D30"/>
    <w:rsid w:val="00824E9C"/>
    <w:rsid w:val="00825226"/>
    <w:rsid w:val="00826237"/>
    <w:rsid w:val="008262ED"/>
    <w:rsid w:val="00827197"/>
    <w:rsid w:val="00830EEC"/>
    <w:rsid w:val="008325CD"/>
    <w:rsid w:val="008331D1"/>
    <w:rsid w:val="00833BEB"/>
    <w:rsid w:val="0083411C"/>
    <w:rsid w:val="008346C4"/>
    <w:rsid w:val="00835A0B"/>
    <w:rsid w:val="00836951"/>
    <w:rsid w:val="0083729A"/>
    <w:rsid w:val="008372E6"/>
    <w:rsid w:val="00841370"/>
    <w:rsid w:val="00842A02"/>
    <w:rsid w:val="0084341F"/>
    <w:rsid w:val="00843560"/>
    <w:rsid w:val="00843711"/>
    <w:rsid w:val="00843CB6"/>
    <w:rsid w:val="00844052"/>
    <w:rsid w:val="00844894"/>
    <w:rsid w:val="00844A3C"/>
    <w:rsid w:val="00844D1B"/>
    <w:rsid w:val="008451D8"/>
    <w:rsid w:val="008452D9"/>
    <w:rsid w:val="008458AD"/>
    <w:rsid w:val="008459F6"/>
    <w:rsid w:val="00847A95"/>
    <w:rsid w:val="00850DA7"/>
    <w:rsid w:val="008515FF"/>
    <w:rsid w:val="00851F84"/>
    <w:rsid w:val="00852DBC"/>
    <w:rsid w:val="00853EE6"/>
    <w:rsid w:val="008546D0"/>
    <w:rsid w:val="008554FE"/>
    <w:rsid w:val="00857207"/>
    <w:rsid w:val="008577B7"/>
    <w:rsid w:val="00857CFD"/>
    <w:rsid w:val="00857FB4"/>
    <w:rsid w:val="00860D3C"/>
    <w:rsid w:val="00862081"/>
    <w:rsid w:val="008624A2"/>
    <w:rsid w:val="008627B6"/>
    <w:rsid w:val="00862FC9"/>
    <w:rsid w:val="008631CC"/>
    <w:rsid w:val="0086320F"/>
    <w:rsid w:val="008633F9"/>
    <w:rsid w:val="00863B82"/>
    <w:rsid w:val="0086498A"/>
    <w:rsid w:val="00865272"/>
    <w:rsid w:val="008655BD"/>
    <w:rsid w:val="00865795"/>
    <w:rsid w:val="00866453"/>
    <w:rsid w:val="008706C9"/>
    <w:rsid w:val="00870893"/>
    <w:rsid w:val="00871F69"/>
    <w:rsid w:val="00873435"/>
    <w:rsid w:val="008737E4"/>
    <w:rsid w:val="00874CD5"/>
    <w:rsid w:val="00875285"/>
    <w:rsid w:val="008752B3"/>
    <w:rsid w:val="00877794"/>
    <w:rsid w:val="00877B26"/>
    <w:rsid w:val="00880CF3"/>
    <w:rsid w:val="00880E3D"/>
    <w:rsid w:val="00885B2E"/>
    <w:rsid w:val="00885C03"/>
    <w:rsid w:val="008867F0"/>
    <w:rsid w:val="00886E00"/>
    <w:rsid w:val="008873B5"/>
    <w:rsid w:val="00887659"/>
    <w:rsid w:val="008877AC"/>
    <w:rsid w:val="00887A44"/>
    <w:rsid w:val="00891870"/>
    <w:rsid w:val="00891EA3"/>
    <w:rsid w:val="00892E22"/>
    <w:rsid w:val="008948EF"/>
    <w:rsid w:val="008954DA"/>
    <w:rsid w:val="00895873"/>
    <w:rsid w:val="00895F2C"/>
    <w:rsid w:val="0089664F"/>
    <w:rsid w:val="0089726C"/>
    <w:rsid w:val="00897AF3"/>
    <w:rsid w:val="00897EF1"/>
    <w:rsid w:val="008A08DA"/>
    <w:rsid w:val="008A1F2A"/>
    <w:rsid w:val="008A2160"/>
    <w:rsid w:val="008A30C4"/>
    <w:rsid w:val="008A3CBE"/>
    <w:rsid w:val="008A407E"/>
    <w:rsid w:val="008A677A"/>
    <w:rsid w:val="008A6B10"/>
    <w:rsid w:val="008A6EAF"/>
    <w:rsid w:val="008A7F31"/>
    <w:rsid w:val="008B0472"/>
    <w:rsid w:val="008B10B0"/>
    <w:rsid w:val="008B11BD"/>
    <w:rsid w:val="008B1C8A"/>
    <w:rsid w:val="008B21C7"/>
    <w:rsid w:val="008B2E71"/>
    <w:rsid w:val="008B2EC9"/>
    <w:rsid w:val="008B31D5"/>
    <w:rsid w:val="008B3752"/>
    <w:rsid w:val="008B3A54"/>
    <w:rsid w:val="008B420C"/>
    <w:rsid w:val="008B4EFF"/>
    <w:rsid w:val="008B4FCD"/>
    <w:rsid w:val="008B552C"/>
    <w:rsid w:val="008B59CE"/>
    <w:rsid w:val="008B64F4"/>
    <w:rsid w:val="008B706B"/>
    <w:rsid w:val="008C02FA"/>
    <w:rsid w:val="008C2585"/>
    <w:rsid w:val="008C25D9"/>
    <w:rsid w:val="008C30FB"/>
    <w:rsid w:val="008C446C"/>
    <w:rsid w:val="008C4730"/>
    <w:rsid w:val="008C5AE9"/>
    <w:rsid w:val="008C5B3C"/>
    <w:rsid w:val="008C5D1A"/>
    <w:rsid w:val="008C61EF"/>
    <w:rsid w:val="008C680F"/>
    <w:rsid w:val="008D09DA"/>
    <w:rsid w:val="008D14A7"/>
    <w:rsid w:val="008D23A4"/>
    <w:rsid w:val="008D2D8F"/>
    <w:rsid w:val="008D2F8A"/>
    <w:rsid w:val="008D2F91"/>
    <w:rsid w:val="008D3CF4"/>
    <w:rsid w:val="008D4C6D"/>
    <w:rsid w:val="008D60A2"/>
    <w:rsid w:val="008D642E"/>
    <w:rsid w:val="008D7334"/>
    <w:rsid w:val="008D7397"/>
    <w:rsid w:val="008D7527"/>
    <w:rsid w:val="008E12F9"/>
    <w:rsid w:val="008E29D0"/>
    <w:rsid w:val="008E2A81"/>
    <w:rsid w:val="008E36E6"/>
    <w:rsid w:val="008E3AA5"/>
    <w:rsid w:val="008E3CBB"/>
    <w:rsid w:val="008E3DC7"/>
    <w:rsid w:val="008E495B"/>
    <w:rsid w:val="008E4BAB"/>
    <w:rsid w:val="008E70DF"/>
    <w:rsid w:val="008F0296"/>
    <w:rsid w:val="008F08BF"/>
    <w:rsid w:val="008F2B4A"/>
    <w:rsid w:val="008F3488"/>
    <w:rsid w:val="008F3541"/>
    <w:rsid w:val="008F570D"/>
    <w:rsid w:val="008F78A5"/>
    <w:rsid w:val="008F7CB5"/>
    <w:rsid w:val="0090178C"/>
    <w:rsid w:val="0090300B"/>
    <w:rsid w:val="0090305C"/>
    <w:rsid w:val="00903DEA"/>
    <w:rsid w:val="00904050"/>
    <w:rsid w:val="00904223"/>
    <w:rsid w:val="0090646A"/>
    <w:rsid w:val="0090672D"/>
    <w:rsid w:val="00911CBA"/>
    <w:rsid w:val="00912D2A"/>
    <w:rsid w:val="00913C55"/>
    <w:rsid w:val="00914199"/>
    <w:rsid w:val="00914274"/>
    <w:rsid w:val="009153CB"/>
    <w:rsid w:val="00915609"/>
    <w:rsid w:val="00915B18"/>
    <w:rsid w:val="00916030"/>
    <w:rsid w:val="00917420"/>
    <w:rsid w:val="009221E6"/>
    <w:rsid w:val="00923605"/>
    <w:rsid w:val="00923908"/>
    <w:rsid w:val="009245EB"/>
    <w:rsid w:val="009259F9"/>
    <w:rsid w:val="00925D7C"/>
    <w:rsid w:val="009265D8"/>
    <w:rsid w:val="00927243"/>
    <w:rsid w:val="00927BDF"/>
    <w:rsid w:val="009319E7"/>
    <w:rsid w:val="00933649"/>
    <w:rsid w:val="00933F29"/>
    <w:rsid w:val="0093431C"/>
    <w:rsid w:val="009347A3"/>
    <w:rsid w:val="00935FBA"/>
    <w:rsid w:val="00940347"/>
    <w:rsid w:val="00940F77"/>
    <w:rsid w:val="00942021"/>
    <w:rsid w:val="009426BA"/>
    <w:rsid w:val="0094528F"/>
    <w:rsid w:val="00945433"/>
    <w:rsid w:val="00945437"/>
    <w:rsid w:val="00946214"/>
    <w:rsid w:val="009518FF"/>
    <w:rsid w:val="00951B78"/>
    <w:rsid w:val="00952E2B"/>
    <w:rsid w:val="009534E1"/>
    <w:rsid w:val="00954584"/>
    <w:rsid w:val="00955043"/>
    <w:rsid w:val="009613BD"/>
    <w:rsid w:val="00961823"/>
    <w:rsid w:val="00961974"/>
    <w:rsid w:val="0096208F"/>
    <w:rsid w:val="009623EF"/>
    <w:rsid w:val="00962464"/>
    <w:rsid w:val="00962D63"/>
    <w:rsid w:val="00965DED"/>
    <w:rsid w:val="00967CA7"/>
    <w:rsid w:val="009713F9"/>
    <w:rsid w:val="0097181B"/>
    <w:rsid w:val="00973607"/>
    <w:rsid w:val="009742CC"/>
    <w:rsid w:val="0097431C"/>
    <w:rsid w:val="00975E82"/>
    <w:rsid w:val="00976635"/>
    <w:rsid w:val="009810FB"/>
    <w:rsid w:val="00982CDB"/>
    <w:rsid w:val="009836A1"/>
    <w:rsid w:val="009848D8"/>
    <w:rsid w:val="00985897"/>
    <w:rsid w:val="00986F25"/>
    <w:rsid w:val="00987DB4"/>
    <w:rsid w:val="00990636"/>
    <w:rsid w:val="00990648"/>
    <w:rsid w:val="0099228F"/>
    <w:rsid w:val="009923B4"/>
    <w:rsid w:val="00992C25"/>
    <w:rsid w:val="00993155"/>
    <w:rsid w:val="00993AD8"/>
    <w:rsid w:val="00993C15"/>
    <w:rsid w:val="00994936"/>
    <w:rsid w:val="00995361"/>
    <w:rsid w:val="0099645B"/>
    <w:rsid w:val="00997F7A"/>
    <w:rsid w:val="009A35E6"/>
    <w:rsid w:val="009A3CE8"/>
    <w:rsid w:val="009A473D"/>
    <w:rsid w:val="009A624E"/>
    <w:rsid w:val="009A63FC"/>
    <w:rsid w:val="009A6F33"/>
    <w:rsid w:val="009B17DA"/>
    <w:rsid w:val="009B34A9"/>
    <w:rsid w:val="009B3B36"/>
    <w:rsid w:val="009B3DC1"/>
    <w:rsid w:val="009B4148"/>
    <w:rsid w:val="009B421B"/>
    <w:rsid w:val="009B48CD"/>
    <w:rsid w:val="009B7DB8"/>
    <w:rsid w:val="009B7E51"/>
    <w:rsid w:val="009C15AA"/>
    <w:rsid w:val="009C1809"/>
    <w:rsid w:val="009C2F8A"/>
    <w:rsid w:val="009C4659"/>
    <w:rsid w:val="009C4E84"/>
    <w:rsid w:val="009C6E45"/>
    <w:rsid w:val="009C7519"/>
    <w:rsid w:val="009D0C95"/>
    <w:rsid w:val="009D7688"/>
    <w:rsid w:val="009E0AFB"/>
    <w:rsid w:val="009E1192"/>
    <w:rsid w:val="009E1806"/>
    <w:rsid w:val="009E2522"/>
    <w:rsid w:val="009E2C48"/>
    <w:rsid w:val="009E315B"/>
    <w:rsid w:val="009E4693"/>
    <w:rsid w:val="009E6FFF"/>
    <w:rsid w:val="009E75FE"/>
    <w:rsid w:val="009E777D"/>
    <w:rsid w:val="009E7B3F"/>
    <w:rsid w:val="009F0135"/>
    <w:rsid w:val="009F1650"/>
    <w:rsid w:val="009F2429"/>
    <w:rsid w:val="009F2AFF"/>
    <w:rsid w:val="009F3CEA"/>
    <w:rsid w:val="009F3EB8"/>
    <w:rsid w:val="009F4685"/>
    <w:rsid w:val="009F6CFF"/>
    <w:rsid w:val="009F6EDB"/>
    <w:rsid w:val="009F71C2"/>
    <w:rsid w:val="00A0006D"/>
    <w:rsid w:val="00A00EF9"/>
    <w:rsid w:val="00A0167A"/>
    <w:rsid w:val="00A01D62"/>
    <w:rsid w:val="00A03B18"/>
    <w:rsid w:val="00A043BA"/>
    <w:rsid w:val="00A04BCD"/>
    <w:rsid w:val="00A050FD"/>
    <w:rsid w:val="00A052FE"/>
    <w:rsid w:val="00A05912"/>
    <w:rsid w:val="00A05E6B"/>
    <w:rsid w:val="00A060FD"/>
    <w:rsid w:val="00A06A78"/>
    <w:rsid w:val="00A072F3"/>
    <w:rsid w:val="00A07BEB"/>
    <w:rsid w:val="00A109CB"/>
    <w:rsid w:val="00A109D5"/>
    <w:rsid w:val="00A11791"/>
    <w:rsid w:val="00A120BE"/>
    <w:rsid w:val="00A1216C"/>
    <w:rsid w:val="00A13171"/>
    <w:rsid w:val="00A13B7D"/>
    <w:rsid w:val="00A13F72"/>
    <w:rsid w:val="00A14ABC"/>
    <w:rsid w:val="00A15D45"/>
    <w:rsid w:val="00A16EAD"/>
    <w:rsid w:val="00A17137"/>
    <w:rsid w:val="00A17ED2"/>
    <w:rsid w:val="00A20E29"/>
    <w:rsid w:val="00A211B2"/>
    <w:rsid w:val="00A212E6"/>
    <w:rsid w:val="00A2139C"/>
    <w:rsid w:val="00A21A4D"/>
    <w:rsid w:val="00A22F73"/>
    <w:rsid w:val="00A24891"/>
    <w:rsid w:val="00A252CC"/>
    <w:rsid w:val="00A263A7"/>
    <w:rsid w:val="00A272D5"/>
    <w:rsid w:val="00A30822"/>
    <w:rsid w:val="00A309E1"/>
    <w:rsid w:val="00A30A49"/>
    <w:rsid w:val="00A31AB7"/>
    <w:rsid w:val="00A31F1D"/>
    <w:rsid w:val="00A3209C"/>
    <w:rsid w:val="00A323A0"/>
    <w:rsid w:val="00A334BF"/>
    <w:rsid w:val="00A33526"/>
    <w:rsid w:val="00A35407"/>
    <w:rsid w:val="00A35A73"/>
    <w:rsid w:val="00A35D28"/>
    <w:rsid w:val="00A36752"/>
    <w:rsid w:val="00A37160"/>
    <w:rsid w:val="00A37CEF"/>
    <w:rsid w:val="00A40C63"/>
    <w:rsid w:val="00A41AC6"/>
    <w:rsid w:val="00A41DB8"/>
    <w:rsid w:val="00A41E8C"/>
    <w:rsid w:val="00A42F28"/>
    <w:rsid w:val="00A43003"/>
    <w:rsid w:val="00A4532B"/>
    <w:rsid w:val="00A45CA9"/>
    <w:rsid w:val="00A478C0"/>
    <w:rsid w:val="00A478D3"/>
    <w:rsid w:val="00A478D9"/>
    <w:rsid w:val="00A5178E"/>
    <w:rsid w:val="00A52696"/>
    <w:rsid w:val="00A54F4B"/>
    <w:rsid w:val="00A56A03"/>
    <w:rsid w:val="00A56BB7"/>
    <w:rsid w:val="00A602F6"/>
    <w:rsid w:val="00A6045E"/>
    <w:rsid w:val="00A60BF9"/>
    <w:rsid w:val="00A60DEF"/>
    <w:rsid w:val="00A60FF0"/>
    <w:rsid w:val="00A61C37"/>
    <w:rsid w:val="00A630A1"/>
    <w:rsid w:val="00A64605"/>
    <w:rsid w:val="00A65CA9"/>
    <w:rsid w:val="00A67C08"/>
    <w:rsid w:val="00A70054"/>
    <w:rsid w:val="00A703C3"/>
    <w:rsid w:val="00A70E81"/>
    <w:rsid w:val="00A712E1"/>
    <w:rsid w:val="00A7360A"/>
    <w:rsid w:val="00A73F14"/>
    <w:rsid w:val="00A75358"/>
    <w:rsid w:val="00A756B8"/>
    <w:rsid w:val="00A75D54"/>
    <w:rsid w:val="00A7604D"/>
    <w:rsid w:val="00A76295"/>
    <w:rsid w:val="00A76B18"/>
    <w:rsid w:val="00A801E5"/>
    <w:rsid w:val="00A820AD"/>
    <w:rsid w:val="00A82C38"/>
    <w:rsid w:val="00A82EF4"/>
    <w:rsid w:val="00A83D5D"/>
    <w:rsid w:val="00A844FA"/>
    <w:rsid w:val="00A865D3"/>
    <w:rsid w:val="00A869EA"/>
    <w:rsid w:val="00A876AE"/>
    <w:rsid w:val="00A87FAD"/>
    <w:rsid w:val="00A91023"/>
    <w:rsid w:val="00A91A88"/>
    <w:rsid w:val="00A93298"/>
    <w:rsid w:val="00A940E5"/>
    <w:rsid w:val="00A946E9"/>
    <w:rsid w:val="00A94E10"/>
    <w:rsid w:val="00A96690"/>
    <w:rsid w:val="00A96BA3"/>
    <w:rsid w:val="00A96FD4"/>
    <w:rsid w:val="00A979D8"/>
    <w:rsid w:val="00AA32B7"/>
    <w:rsid w:val="00AA34F5"/>
    <w:rsid w:val="00AA3C30"/>
    <w:rsid w:val="00AA411D"/>
    <w:rsid w:val="00AA47B8"/>
    <w:rsid w:val="00AA58C1"/>
    <w:rsid w:val="00AA5C06"/>
    <w:rsid w:val="00AA617E"/>
    <w:rsid w:val="00AA6985"/>
    <w:rsid w:val="00AA71A0"/>
    <w:rsid w:val="00AB1615"/>
    <w:rsid w:val="00AB1E8E"/>
    <w:rsid w:val="00AB34BB"/>
    <w:rsid w:val="00AB38B7"/>
    <w:rsid w:val="00AB3F95"/>
    <w:rsid w:val="00AB3FD8"/>
    <w:rsid w:val="00AB484C"/>
    <w:rsid w:val="00AB70F8"/>
    <w:rsid w:val="00AB7147"/>
    <w:rsid w:val="00AB74CE"/>
    <w:rsid w:val="00AB7F97"/>
    <w:rsid w:val="00AC162E"/>
    <w:rsid w:val="00AC182D"/>
    <w:rsid w:val="00AC2652"/>
    <w:rsid w:val="00AC2FA9"/>
    <w:rsid w:val="00AC4AAA"/>
    <w:rsid w:val="00AC5C8B"/>
    <w:rsid w:val="00AC6B7B"/>
    <w:rsid w:val="00AC72FB"/>
    <w:rsid w:val="00AD0667"/>
    <w:rsid w:val="00AD06B3"/>
    <w:rsid w:val="00AD1107"/>
    <w:rsid w:val="00AD112B"/>
    <w:rsid w:val="00AD21C8"/>
    <w:rsid w:val="00AD2748"/>
    <w:rsid w:val="00AD3831"/>
    <w:rsid w:val="00AD3DC1"/>
    <w:rsid w:val="00AD4555"/>
    <w:rsid w:val="00AD590C"/>
    <w:rsid w:val="00AD5BAA"/>
    <w:rsid w:val="00AD6A93"/>
    <w:rsid w:val="00AE0AEA"/>
    <w:rsid w:val="00AE49FB"/>
    <w:rsid w:val="00AE4A7B"/>
    <w:rsid w:val="00AE7BDB"/>
    <w:rsid w:val="00AF004C"/>
    <w:rsid w:val="00AF0A09"/>
    <w:rsid w:val="00AF13F7"/>
    <w:rsid w:val="00AF164D"/>
    <w:rsid w:val="00AF2E3C"/>
    <w:rsid w:val="00AF3A0D"/>
    <w:rsid w:val="00AF50FD"/>
    <w:rsid w:val="00AF55D7"/>
    <w:rsid w:val="00AF6E13"/>
    <w:rsid w:val="00AF6F54"/>
    <w:rsid w:val="00AF70BF"/>
    <w:rsid w:val="00AF7B86"/>
    <w:rsid w:val="00B00105"/>
    <w:rsid w:val="00B00550"/>
    <w:rsid w:val="00B01FCD"/>
    <w:rsid w:val="00B031F4"/>
    <w:rsid w:val="00B034A6"/>
    <w:rsid w:val="00B040D4"/>
    <w:rsid w:val="00B04FAD"/>
    <w:rsid w:val="00B069C5"/>
    <w:rsid w:val="00B07C56"/>
    <w:rsid w:val="00B128B8"/>
    <w:rsid w:val="00B1489E"/>
    <w:rsid w:val="00B17029"/>
    <w:rsid w:val="00B202D4"/>
    <w:rsid w:val="00B203F8"/>
    <w:rsid w:val="00B20D2A"/>
    <w:rsid w:val="00B21183"/>
    <w:rsid w:val="00B2288B"/>
    <w:rsid w:val="00B245FC"/>
    <w:rsid w:val="00B249CD"/>
    <w:rsid w:val="00B25454"/>
    <w:rsid w:val="00B261C3"/>
    <w:rsid w:val="00B2656A"/>
    <w:rsid w:val="00B27AFA"/>
    <w:rsid w:val="00B27D64"/>
    <w:rsid w:val="00B27EF9"/>
    <w:rsid w:val="00B318B6"/>
    <w:rsid w:val="00B32BDA"/>
    <w:rsid w:val="00B33AED"/>
    <w:rsid w:val="00B33E6F"/>
    <w:rsid w:val="00B346FA"/>
    <w:rsid w:val="00B36AAB"/>
    <w:rsid w:val="00B3731F"/>
    <w:rsid w:val="00B40B2E"/>
    <w:rsid w:val="00B4240C"/>
    <w:rsid w:val="00B42944"/>
    <w:rsid w:val="00B450F1"/>
    <w:rsid w:val="00B45419"/>
    <w:rsid w:val="00B47954"/>
    <w:rsid w:val="00B51795"/>
    <w:rsid w:val="00B52C4B"/>
    <w:rsid w:val="00B52DFC"/>
    <w:rsid w:val="00B53B87"/>
    <w:rsid w:val="00B54542"/>
    <w:rsid w:val="00B55D47"/>
    <w:rsid w:val="00B56880"/>
    <w:rsid w:val="00B56D06"/>
    <w:rsid w:val="00B56FA6"/>
    <w:rsid w:val="00B60277"/>
    <w:rsid w:val="00B606C0"/>
    <w:rsid w:val="00B61026"/>
    <w:rsid w:val="00B614D5"/>
    <w:rsid w:val="00B6188B"/>
    <w:rsid w:val="00B6193B"/>
    <w:rsid w:val="00B64AE7"/>
    <w:rsid w:val="00B64D07"/>
    <w:rsid w:val="00B65380"/>
    <w:rsid w:val="00B65CE0"/>
    <w:rsid w:val="00B676EA"/>
    <w:rsid w:val="00B67966"/>
    <w:rsid w:val="00B717AB"/>
    <w:rsid w:val="00B71A8E"/>
    <w:rsid w:val="00B71FFD"/>
    <w:rsid w:val="00B72189"/>
    <w:rsid w:val="00B72391"/>
    <w:rsid w:val="00B725C1"/>
    <w:rsid w:val="00B72B55"/>
    <w:rsid w:val="00B72EEF"/>
    <w:rsid w:val="00B73A9F"/>
    <w:rsid w:val="00B73B98"/>
    <w:rsid w:val="00B73F84"/>
    <w:rsid w:val="00B745D5"/>
    <w:rsid w:val="00B74B9C"/>
    <w:rsid w:val="00B75E12"/>
    <w:rsid w:val="00B75E98"/>
    <w:rsid w:val="00B766F6"/>
    <w:rsid w:val="00B768FF"/>
    <w:rsid w:val="00B7755D"/>
    <w:rsid w:val="00B80285"/>
    <w:rsid w:val="00B82443"/>
    <w:rsid w:val="00B825D5"/>
    <w:rsid w:val="00B826F8"/>
    <w:rsid w:val="00B82A45"/>
    <w:rsid w:val="00B83D32"/>
    <w:rsid w:val="00B84D36"/>
    <w:rsid w:val="00B85252"/>
    <w:rsid w:val="00B853B7"/>
    <w:rsid w:val="00B8543E"/>
    <w:rsid w:val="00B8702A"/>
    <w:rsid w:val="00B87721"/>
    <w:rsid w:val="00B900EE"/>
    <w:rsid w:val="00B91BBF"/>
    <w:rsid w:val="00B92829"/>
    <w:rsid w:val="00B92C5C"/>
    <w:rsid w:val="00B94906"/>
    <w:rsid w:val="00B94F34"/>
    <w:rsid w:val="00B95826"/>
    <w:rsid w:val="00B95F7A"/>
    <w:rsid w:val="00B972ED"/>
    <w:rsid w:val="00BA0967"/>
    <w:rsid w:val="00BA2226"/>
    <w:rsid w:val="00BA26A9"/>
    <w:rsid w:val="00BA2895"/>
    <w:rsid w:val="00BA29E1"/>
    <w:rsid w:val="00BA2AAD"/>
    <w:rsid w:val="00BA3764"/>
    <w:rsid w:val="00BA50A7"/>
    <w:rsid w:val="00BA50D3"/>
    <w:rsid w:val="00BA5352"/>
    <w:rsid w:val="00BA5C86"/>
    <w:rsid w:val="00BA77AD"/>
    <w:rsid w:val="00BB00A3"/>
    <w:rsid w:val="00BB0144"/>
    <w:rsid w:val="00BB08A2"/>
    <w:rsid w:val="00BB1185"/>
    <w:rsid w:val="00BB1473"/>
    <w:rsid w:val="00BB1FC3"/>
    <w:rsid w:val="00BB216A"/>
    <w:rsid w:val="00BB2432"/>
    <w:rsid w:val="00BB2646"/>
    <w:rsid w:val="00BB3D2D"/>
    <w:rsid w:val="00BB5324"/>
    <w:rsid w:val="00BB5EF3"/>
    <w:rsid w:val="00BB654A"/>
    <w:rsid w:val="00BC057F"/>
    <w:rsid w:val="00BC2829"/>
    <w:rsid w:val="00BC2CD6"/>
    <w:rsid w:val="00BC3834"/>
    <w:rsid w:val="00BC3F57"/>
    <w:rsid w:val="00BC5507"/>
    <w:rsid w:val="00BC6BE3"/>
    <w:rsid w:val="00BD1A4E"/>
    <w:rsid w:val="00BD2284"/>
    <w:rsid w:val="00BD2F6C"/>
    <w:rsid w:val="00BD35A8"/>
    <w:rsid w:val="00BD37B0"/>
    <w:rsid w:val="00BD402D"/>
    <w:rsid w:val="00BD550D"/>
    <w:rsid w:val="00BD62A2"/>
    <w:rsid w:val="00BD6338"/>
    <w:rsid w:val="00BD7489"/>
    <w:rsid w:val="00BE3A6A"/>
    <w:rsid w:val="00BE3D24"/>
    <w:rsid w:val="00BE490C"/>
    <w:rsid w:val="00BE59ED"/>
    <w:rsid w:val="00BE61E8"/>
    <w:rsid w:val="00BE6799"/>
    <w:rsid w:val="00BE6873"/>
    <w:rsid w:val="00BE6C60"/>
    <w:rsid w:val="00BE78AC"/>
    <w:rsid w:val="00BF3081"/>
    <w:rsid w:val="00BF3C63"/>
    <w:rsid w:val="00BF3CEC"/>
    <w:rsid w:val="00BF4C6B"/>
    <w:rsid w:val="00BF5A92"/>
    <w:rsid w:val="00BF6733"/>
    <w:rsid w:val="00BF6E3A"/>
    <w:rsid w:val="00C0092D"/>
    <w:rsid w:val="00C00B0F"/>
    <w:rsid w:val="00C01C62"/>
    <w:rsid w:val="00C02DD4"/>
    <w:rsid w:val="00C02E67"/>
    <w:rsid w:val="00C03987"/>
    <w:rsid w:val="00C05BDE"/>
    <w:rsid w:val="00C064F6"/>
    <w:rsid w:val="00C06560"/>
    <w:rsid w:val="00C06EC7"/>
    <w:rsid w:val="00C10A0A"/>
    <w:rsid w:val="00C11832"/>
    <w:rsid w:val="00C1205B"/>
    <w:rsid w:val="00C125EC"/>
    <w:rsid w:val="00C13A8F"/>
    <w:rsid w:val="00C1495E"/>
    <w:rsid w:val="00C1534C"/>
    <w:rsid w:val="00C16143"/>
    <w:rsid w:val="00C16663"/>
    <w:rsid w:val="00C16D3A"/>
    <w:rsid w:val="00C17129"/>
    <w:rsid w:val="00C17254"/>
    <w:rsid w:val="00C17BF1"/>
    <w:rsid w:val="00C17EA9"/>
    <w:rsid w:val="00C20B10"/>
    <w:rsid w:val="00C20B9B"/>
    <w:rsid w:val="00C21966"/>
    <w:rsid w:val="00C221F1"/>
    <w:rsid w:val="00C22970"/>
    <w:rsid w:val="00C22B9E"/>
    <w:rsid w:val="00C236AD"/>
    <w:rsid w:val="00C246DD"/>
    <w:rsid w:val="00C249D0"/>
    <w:rsid w:val="00C24AFC"/>
    <w:rsid w:val="00C25B3F"/>
    <w:rsid w:val="00C30AAC"/>
    <w:rsid w:val="00C31728"/>
    <w:rsid w:val="00C31C73"/>
    <w:rsid w:val="00C338F0"/>
    <w:rsid w:val="00C34404"/>
    <w:rsid w:val="00C34AB1"/>
    <w:rsid w:val="00C370EA"/>
    <w:rsid w:val="00C41D47"/>
    <w:rsid w:val="00C42C99"/>
    <w:rsid w:val="00C44168"/>
    <w:rsid w:val="00C453F2"/>
    <w:rsid w:val="00C45919"/>
    <w:rsid w:val="00C46172"/>
    <w:rsid w:val="00C462B3"/>
    <w:rsid w:val="00C46388"/>
    <w:rsid w:val="00C5138E"/>
    <w:rsid w:val="00C52D49"/>
    <w:rsid w:val="00C53182"/>
    <w:rsid w:val="00C53564"/>
    <w:rsid w:val="00C5537E"/>
    <w:rsid w:val="00C55DCA"/>
    <w:rsid w:val="00C57195"/>
    <w:rsid w:val="00C60539"/>
    <w:rsid w:val="00C60B79"/>
    <w:rsid w:val="00C61250"/>
    <w:rsid w:val="00C62994"/>
    <w:rsid w:val="00C632C6"/>
    <w:rsid w:val="00C63377"/>
    <w:rsid w:val="00C64F97"/>
    <w:rsid w:val="00C65B86"/>
    <w:rsid w:val="00C66D9C"/>
    <w:rsid w:val="00C67408"/>
    <w:rsid w:val="00C714A3"/>
    <w:rsid w:val="00C714AB"/>
    <w:rsid w:val="00C71CCA"/>
    <w:rsid w:val="00C73719"/>
    <w:rsid w:val="00C73974"/>
    <w:rsid w:val="00C739AA"/>
    <w:rsid w:val="00C73A54"/>
    <w:rsid w:val="00C755D5"/>
    <w:rsid w:val="00C756CD"/>
    <w:rsid w:val="00C75C20"/>
    <w:rsid w:val="00C77CA6"/>
    <w:rsid w:val="00C814C9"/>
    <w:rsid w:val="00C821E4"/>
    <w:rsid w:val="00C82A20"/>
    <w:rsid w:val="00C83233"/>
    <w:rsid w:val="00C8439E"/>
    <w:rsid w:val="00C84582"/>
    <w:rsid w:val="00C91B59"/>
    <w:rsid w:val="00C93B73"/>
    <w:rsid w:val="00C9689F"/>
    <w:rsid w:val="00C96B02"/>
    <w:rsid w:val="00CA007F"/>
    <w:rsid w:val="00CA02EB"/>
    <w:rsid w:val="00CA07AA"/>
    <w:rsid w:val="00CA1602"/>
    <w:rsid w:val="00CA27DC"/>
    <w:rsid w:val="00CA311A"/>
    <w:rsid w:val="00CA3AFF"/>
    <w:rsid w:val="00CA438A"/>
    <w:rsid w:val="00CA44C4"/>
    <w:rsid w:val="00CA526D"/>
    <w:rsid w:val="00CA52BF"/>
    <w:rsid w:val="00CA64AF"/>
    <w:rsid w:val="00CA6EAF"/>
    <w:rsid w:val="00CA75B4"/>
    <w:rsid w:val="00CB0601"/>
    <w:rsid w:val="00CB0E34"/>
    <w:rsid w:val="00CB1005"/>
    <w:rsid w:val="00CB3445"/>
    <w:rsid w:val="00CB37AC"/>
    <w:rsid w:val="00CB44E0"/>
    <w:rsid w:val="00CB4B25"/>
    <w:rsid w:val="00CB582A"/>
    <w:rsid w:val="00CB5AC7"/>
    <w:rsid w:val="00CB6D7E"/>
    <w:rsid w:val="00CB7248"/>
    <w:rsid w:val="00CC2BFA"/>
    <w:rsid w:val="00CC467C"/>
    <w:rsid w:val="00CC5310"/>
    <w:rsid w:val="00CC6AA7"/>
    <w:rsid w:val="00CC6B73"/>
    <w:rsid w:val="00CD00CD"/>
    <w:rsid w:val="00CD05F8"/>
    <w:rsid w:val="00CD0C96"/>
    <w:rsid w:val="00CD3F3A"/>
    <w:rsid w:val="00CD54D8"/>
    <w:rsid w:val="00CD58F7"/>
    <w:rsid w:val="00CD62C7"/>
    <w:rsid w:val="00CD653C"/>
    <w:rsid w:val="00CD686C"/>
    <w:rsid w:val="00CE048F"/>
    <w:rsid w:val="00CE100E"/>
    <w:rsid w:val="00CE2D9B"/>
    <w:rsid w:val="00CE2FE6"/>
    <w:rsid w:val="00CE3E8E"/>
    <w:rsid w:val="00CE649A"/>
    <w:rsid w:val="00CE6F3F"/>
    <w:rsid w:val="00CE74B8"/>
    <w:rsid w:val="00CE779F"/>
    <w:rsid w:val="00CF0A5C"/>
    <w:rsid w:val="00CF111D"/>
    <w:rsid w:val="00CF12F6"/>
    <w:rsid w:val="00CF24DE"/>
    <w:rsid w:val="00CF36A8"/>
    <w:rsid w:val="00CF4FBD"/>
    <w:rsid w:val="00CF6481"/>
    <w:rsid w:val="00CF729A"/>
    <w:rsid w:val="00CF7654"/>
    <w:rsid w:val="00CF7A8D"/>
    <w:rsid w:val="00D012CA"/>
    <w:rsid w:val="00D01BF0"/>
    <w:rsid w:val="00D01DB7"/>
    <w:rsid w:val="00D0298D"/>
    <w:rsid w:val="00D02F0E"/>
    <w:rsid w:val="00D02F4A"/>
    <w:rsid w:val="00D047E7"/>
    <w:rsid w:val="00D12652"/>
    <w:rsid w:val="00D12F9A"/>
    <w:rsid w:val="00D13748"/>
    <w:rsid w:val="00D140D9"/>
    <w:rsid w:val="00D1450C"/>
    <w:rsid w:val="00D145B3"/>
    <w:rsid w:val="00D1474F"/>
    <w:rsid w:val="00D14A6D"/>
    <w:rsid w:val="00D14DC0"/>
    <w:rsid w:val="00D14E6F"/>
    <w:rsid w:val="00D152FD"/>
    <w:rsid w:val="00D15C81"/>
    <w:rsid w:val="00D16033"/>
    <w:rsid w:val="00D16492"/>
    <w:rsid w:val="00D16742"/>
    <w:rsid w:val="00D20B74"/>
    <w:rsid w:val="00D21F8D"/>
    <w:rsid w:val="00D22F47"/>
    <w:rsid w:val="00D25C76"/>
    <w:rsid w:val="00D25E5B"/>
    <w:rsid w:val="00D26C74"/>
    <w:rsid w:val="00D27566"/>
    <w:rsid w:val="00D30D05"/>
    <w:rsid w:val="00D32455"/>
    <w:rsid w:val="00D32994"/>
    <w:rsid w:val="00D33BB6"/>
    <w:rsid w:val="00D33F6C"/>
    <w:rsid w:val="00D340BB"/>
    <w:rsid w:val="00D3414B"/>
    <w:rsid w:val="00D3426C"/>
    <w:rsid w:val="00D34A88"/>
    <w:rsid w:val="00D34FC3"/>
    <w:rsid w:val="00D350DB"/>
    <w:rsid w:val="00D35103"/>
    <w:rsid w:val="00D3717F"/>
    <w:rsid w:val="00D401DE"/>
    <w:rsid w:val="00D43138"/>
    <w:rsid w:val="00D446EB"/>
    <w:rsid w:val="00D46883"/>
    <w:rsid w:val="00D50593"/>
    <w:rsid w:val="00D50A0B"/>
    <w:rsid w:val="00D50D75"/>
    <w:rsid w:val="00D51887"/>
    <w:rsid w:val="00D51937"/>
    <w:rsid w:val="00D51D35"/>
    <w:rsid w:val="00D528F4"/>
    <w:rsid w:val="00D53AE2"/>
    <w:rsid w:val="00D545AF"/>
    <w:rsid w:val="00D54BEF"/>
    <w:rsid w:val="00D54C88"/>
    <w:rsid w:val="00D56D16"/>
    <w:rsid w:val="00D5781B"/>
    <w:rsid w:val="00D57D8B"/>
    <w:rsid w:val="00D61027"/>
    <w:rsid w:val="00D62936"/>
    <w:rsid w:val="00D629B0"/>
    <w:rsid w:val="00D637A6"/>
    <w:rsid w:val="00D64D4B"/>
    <w:rsid w:val="00D656B3"/>
    <w:rsid w:val="00D6727D"/>
    <w:rsid w:val="00D677BB"/>
    <w:rsid w:val="00D678D5"/>
    <w:rsid w:val="00D70BE6"/>
    <w:rsid w:val="00D7130B"/>
    <w:rsid w:val="00D714C3"/>
    <w:rsid w:val="00D71CA7"/>
    <w:rsid w:val="00D7443F"/>
    <w:rsid w:val="00D74596"/>
    <w:rsid w:val="00D74AC7"/>
    <w:rsid w:val="00D753D2"/>
    <w:rsid w:val="00D767D2"/>
    <w:rsid w:val="00D77313"/>
    <w:rsid w:val="00D77679"/>
    <w:rsid w:val="00D778E3"/>
    <w:rsid w:val="00D77AF1"/>
    <w:rsid w:val="00D80867"/>
    <w:rsid w:val="00D8177F"/>
    <w:rsid w:val="00D81F9C"/>
    <w:rsid w:val="00D83C56"/>
    <w:rsid w:val="00D8406E"/>
    <w:rsid w:val="00D86ED4"/>
    <w:rsid w:val="00D879CE"/>
    <w:rsid w:val="00D87E17"/>
    <w:rsid w:val="00D90A3B"/>
    <w:rsid w:val="00D91128"/>
    <w:rsid w:val="00D91E31"/>
    <w:rsid w:val="00D930CF"/>
    <w:rsid w:val="00D973E0"/>
    <w:rsid w:val="00DA10A9"/>
    <w:rsid w:val="00DA1124"/>
    <w:rsid w:val="00DA2162"/>
    <w:rsid w:val="00DA49F8"/>
    <w:rsid w:val="00DA51B9"/>
    <w:rsid w:val="00DA68DD"/>
    <w:rsid w:val="00DA788E"/>
    <w:rsid w:val="00DB2141"/>
    <w:rsid w:val="00DB2785"/>
    <w:rsid w:val="00DB3E29"/>
    <w:rsid w:val="00DB3FA9"/>
    <w:rsid w:val="00DB683A"/>
    <w:rsid w:val="00DB77A2"/>
    <w:rsid w:val="00DB7D51"/>
    <w:rsid w:val="00DC2190"/>
    <w:rsid w:val="00DC4CAB"/>
    <w:rsid w:val="00DC51E7"/>
    <w:rsid w:val="00DC5237"/>
    <w:rsid w:val="00DC65E6"/>
    <w:rsid w:val="00DC7947"/>
    <w:rsid w:val="00DD0796"/>
    <w:rsid w:val="00DD166B"/>
    <w:rsid w:val="00DD1D0C"/>
    <w:rsid w:val="00DD2430"/>
    <w:rsid w:val="00DD28BF"/>
    <w:rsid w:val="00DD503C"/>
    <w:rsid w:val="00DD538E"/>
    <w:rsid w:val="00DD6615"/>
    <w:rsid w:val="00DD7CCD"/>
    <w:rsid w:val="00DE11C3"/>
    <w:rsid w:val="00DE3778"/>
    <w:rsid w:val="00DE3903"/>
    <w:rsid w:val="00DE3BC1"/>
    <w:rsid w:val="00DE3D7A"/>
    <w:rsid w:val="00DE6485"/>
    <w:rsid w:val="00DE671B"/>
    <w:rsid w:val="00DE7642"/>
    <w:rsid w:val="00DE7E49"/>
    <w:rsid w:val="00DF0DB2"/>
    <w:rsid w:val="00DF11FC"/>
    <w:rsid w:val="00DF1A7E"/>
    <w:rsid w:val="00DF26C6"/>
    <w:rsid w:val="00DF479E"/>
    <w:rsid w:val="00DF586A"/>
    <w:rsid w:val="00DF65B8"/>
    <w:rsid w:val="00DF668D"/>
    <w:rsid w:val="00DF6AC3"/>
    <w:rsid w:val="00DF7121"/>
    <w:rsid w:val="00DF7AA9"/>
    <w:rsid w:val="00E00464"/>
    <w:rsid w:val="00E00BB3"/>
    <w:rsid w:val="00E010A3"/>
    <w:rsid w:val="00E01241"/>
    <w:rsid w:val="00E01DB5"/>
    <w:rsid w:val="00E02469"/>
    <w:rsid w:val="00E02A46"/>
    <w:rsid w:val="00E04681"/>
    <w:rsid w:val="00E04E62"/>
    <w:rsid w:val="00E0517F"/>
    <w:rsid w:val="00E05A54"/>
    <w:rsid w:val="00E05EC8"/>
    <w:rsid w:val="00E06B6F"/>
    <w:rsid w:val="00E07564"/>
    <w:rsid w:val="00E07781"/>
    <w:rsid w:val="00E1090E"/>
    <w:rsid w:val="00E11C86"/>
    <w:rsid w:val="00E11D8B"/>
    <w:rsid w:val="00E1377A"/>
    <w:rsid w:val="00E143EA"/>
    <w:rsid w:val="00E165AD"/>
    <w:rsid w:val="00E16A0A"/>
    <w:rsid w:val="00E16ADA"/>
    <w:rsid w:val="00E1722A"/>
    <w:rsid w:val="00E21C6E"/>
    <w:rsid w:val="00E22E32"/>
    <w:rsid w:val="00E23CCD"/>
    <w:rsid w:val="00E242C0"/>
    <w:rsid w:val="00E24501"/>
    <w:rsid w:val="00E24730"/>
    <w:rsid w:val="00E2493D"/>
    <w:rsid w:val="00E24D11"/>
    <w:rsid w:val="00E266CD"/>
    <w:rsid w:val="00E26B89"/>
    <w:rsid w:val="00E3085B"/>
    <w:rsid w:val="00E30C15"/>
    <w:rsid w:val="00E3223F"/>
    <w:rsid w:val="00E32E71"/>
    <w:rsid w:val="00E33ACB"/>
    <w:rsid w:val="00E33D4F"/>
    <w:rsid w:val="00E345A6"/>
    <w:rsid w:val="00E34F26"/>
    <w:rsid w:val="00E361F0"/>
    <w:rsid w:val="00E367A6"/>
    <w:rsid w:val="00E36BF9"/>
    <w:rsid w:val="00E373CB"/>
    <w:rsid w:val="00E37D8F"/>
    <w:rsid w:val="00E408F0"/>
    <w:rsid w:val="00E41A32"/>
    <w:rsid w:val="00E424E6"/>
    <w:rsid w:val="00E42A50"/>
    <w:rsid w:val="00E4395D"/>
    <w:rsid w:val="00E44282"/>
    <w:rsid w:val="00E451F1"/>
    <w:rsid w:val="00E459B8"/>
    <w:rsid w:val="00E46897"/>
    <w:rsid w:val="00E46D6B"/>
    <w:rsid w:val="00E47F3F"/>
    <w:rsid w:val="00E50436"/>
    <w:rsid w:val="00E51151"/>
    <w:rsid w:val="00E516C8"/>
    <w:rsid w:val="00E516FA"/>
    <w:rsid w:val="00E5181E"/>
    <w:rsid w:val="00E51C9F"/>
    <w:rsid w:val="00E522BC"/>
    <w:rsid w:val="00E5315B"/>
    <w:rsid w:val="00E5366D"/>
    <w:rsid w:val="00E539D6"/>
    <w:rsid w:val="00E560E5"/>
    <w:rsid w:val="00E5614D"/>
    <w:rsid w:val="00E564D7"/>
    <w:rsid w:val="00E565EF"/>
    <w:rsid w:val="00E56C47"/>
    <w:rsid w:val="00E56FD4"/>
    <w:rsid w:val="00E57047"/>
    <w:rsid w:val="00E60CF0"/>
    <w:rsid w:val="00E61206"/>
    <w:rsid w:val="00E61305"/>
    <w:rsid w:val="00E62E41"/>
    <w:rsid w:val="00E634D5"/>
    <w:rsid w:val="00E64E58"/>
    <w:rsid w:val="00E679BC"/>
    <w:rsid w:val="00E67E35"/>
    <w:rsid w:val="00E70E3F"/>
    <w:rsid w:val="00E73511"/>
    <w:rsid w:val="00E73FE9"/>
    <w:rsid w:val="00E74256"/>
    <w:rsid w:val="00E743F9"/>
    <w:rsid w:val="00E7455D"/>
    <w:rsid w:val="00E7579F"/>
    <w:rsid w:val="00E77382"/>
    <w:rsid w:val="00E776E7"/>
    <w:rsid w:val="00E809C3"/>
    <w:rsid w:val="00E80C7F"/>
    <w:rsid w:val="00E834FC"/>
    <w:rsid w:val="00E83B17"/>
    <w:rsid w:val="00E840B3"/>
    <w:rsid w:val="00E846A9"/>
    <w:rsid w:val="00E857FF"/>
    <w:rsid w:val="00E86660"/>
    <w:rsid w:val="00E866F8"/>
    <w:rsid w:val="00E9117C"/>
    <w:rsid w:val="00E9155B"/>
    <w:rsid w:val="00E9219E"/>
    <w:rsid w:val="00E94573"/>
    <w:rsid w:val="00E955D8"/>
    <w:rsid w:val="00E964CF"/>
    <w:rsid w:val="00E96FAD"/>
    <w:rsid w:val="00E97F7B"/>
    <w:rsid w:val="00EA09A6"/>
    <w:rsid w:val="00EA09D8"/>
    <w:rsid w:val="00EA16F3"/>
    <w:rsid w:val="00EA1E32"/>
    <w:rsid w:val="00EA2324"/>
    <w:rsid w:val="00EA2460"/>
    <w:rsid w:val="00EA3A25"/>
    <w:rsid w:val="00EA5BE8"/>
    <w:rsid w:val="00EA6121"/>
    <w:rsid w:val="00EA76D7"/>
    <w:rsid w:val="00EB11E1"/>
    <w:rsid w:val="00EB1EDA"/>
    <w:rsid w:val="00EB22D1"/>
    <w:rsid w:val="00EB2842"/>
    <w:rsid w:val="00EB5556"/>
    <w:rsid w:val="00EB74B2"/>
    <w:rsid w:val="00EC0524"/>
    <w:rsid w:val="00EC0D1B"/>
    <w:rsid w:val="00EC3B9B"/>
    <w:rsid w:val="00EC44C7"/>
    <w:rsid w:val="00EC4B7B"/>
    <w:rsid w:val="00EC7420"/>
    <w:rsid w:val="00EC7662"/>
    <w:rsid w:val="00ED131B"/>
    <w:rsid w:val="00ED1729"/>
    <w:rsid w:val="00ED20A1"/>
    <w:rsid w:val="00ED2355"/>
    <w:rsid w:val="00ED2F1E"/>
    <w:rsid w:val="00ED3BBC"/>
    <w:rsid w:val="00ED4E1F"/>
    <w:rsid w:val="00ED64C5"/>
    <w:rsid w:val="00EE08BD"/>
    <w:rsid w:val="00EE2170"/>
    <w:rsid w:val="00EE2D09"/>
    <w:rsid w:val="00EE3159"/>
    <w:rsid w:val="00EE352B"/>
    <w:rsid w:val="00EE3772"/>
    <w:rsid w:val="00EE4492"/>
    <w:rsid w:val="00EE4B43"/>
    <w:rsid w:val="00EE4C16"/>
    <w:rsid w:val="00EE54C7"/>
    <w:rsid w:val="00EE7294"/>
    <w:rsid w:val="00EE7820"/>
    <w:rsid w:val="00EF0A7E"/>
    <w:rsid w:val="00EF11B4"/>
    <w:rsid w:val="00EF244E"/>
    <w:rsid w:val="00EF39BE"/>
    <w:rsid w:val="00EF3AC3"/>
    <w:rsid w:val="00EF47A4"/>
    <w:rsid w:val="00EF48B6"/>
    <w:rsid w:val="00EF5159"/>
    <w:rsid w:val="00EF5331"/>
    <w:rsid w:val="00EF5567"/>
    <w:rsid w:val="00EF56F8"/>
    <w:rsid w:val="00EF6D9E"/>
    <w:rsid w:val="00EF794F"/>
    <w:rsid w:val="00EF79E1"/>
    <w:rsid w:val="00EF7E71"/>
    <w:rsid w:val="00F00D3B"/>
    <w:rsid w:val="00F02216"/>
    <w:rsid w:val="00F0355D"/>
    <w:rsid w:val="00F03E95"/>
    <w:rsid w:val="00F03F92"/>
    <w:rsid w:val="00F04122"/>
    <w:rsid w:val="00F0509F"/>
    <w:rsid w:val="00F129EC"/>
    <w:rsid w:val="00F12DE4"/>
    <w:rsid w:val="00F13592"/>
    <w:rsid w:val="00F138ED"/>
    <w:rsid w:val="00F139A1"/>
    <w:rsid w:val="00F165D8"/>
    <w:rsid w:val="00F168D1"/>
    <w:rsid w:val="00F20785"/>
    <w:rsid w:val="00F20C2E"/>
    <w:rsid w:val="00F215F5"/>
    <w:rsid w:val="00F2320F"/>
    <w:rsid w:val="00F24038"/>
    <w:rsid w:val="00F259F1"/>
    <w:rsid w:val="00F25D23"/>
    <w:rsid w:val="00F25E3B"/>
    <w:rsid w:val="00F2683D"/>
    <w:rsid w:val="00F27972"/>
    <w:rsid w:val="00F279B9"/>
    <w:rsid w:val="00F27E39"/>
    <w:rsid w:val="00F319C8"/>
    <w:rsid w:val="00F3246F"/>
    <w:rsid w:val="00F32B5D"/>
    <w:rsid w:val="00F341C1"/>
    <w:rsid w:val="00F34228"/>
    <w:rsid w:val="00F3460C"/>
    <w:rsid w:val="00F36088"/>
    <w:rsid w:val="00F36460"/>
    <w:rsid w:val="00F40D9F"/>
    <w:rsid w:val="00F416F0"/>
    <w:rsid w:val="00F41940"/>
    <w:rsid w:val="00F41BCA"/>
    <w:rsid w:val="00F41DDA"/>
    <w:rsid w:val="00F41E46"/>
    <w:rsid w:val="00F42237"/>
    <w:rsid w:val="00F447D7"/>
    <w:rsid w:val="00F449CE"/>
    <w:rsid w:val="00F44E7E"/>
    <w:rsid w:val="00F4546F"/>
    <w:rsid w:val="00F455A8"/>
    <w:rsid w:val="00F464C8"/>
    <w:rsid w:val="00F500C6"/>
    <w:rsid w:val="00F555E6"/>
    <w:rsid w:val="00F55607"/>
    <w:rsid w:val="00F558EA"/>
    <w:rsid w:val="00F562B5"/>
    <w:rsid w:val="00F56A64"/>
    <w:rsid w:val="00F57374"/>
    <w:rsid w:val="00F6106D"/>
    <w:rsid w:val="00F61406"/>
    <w:rsid w:val="00F6252F"/>
    <w:rsid w:val="00F63618"/>
    <w:rsid w:val="00F66C69"/>
    <w:rsid w:val="00F67087"/>
    <w:rsid w:val="00F67CE2"/>
    <w:rsid w:val="00F67DD1"/>
    <w:rsid w:val="00F709DE"/>
    <w:rsid w:val="00F71436"/>
    <w:rsid w:val="00F733D9"/>
    <w:rsid w:val="00F73529"/>
    <w:rsid w:val="00F737D9"/>
    <w:rsid w:val="00F75192"/>
    <w:rsid w:val="00F764BB"/>
    <w:rsid w:val="00F76B59"/>
    <w:rsid w:val="00F76D83"/>
    <w:rsid w:val="00F77185"/>
    <w:rsid w:val="00F77989"/>
    <w:rsid w:val="00F80B87"/>
    <w:rsid w:val="00F8122E"/>
    <w:rsid w:val="00F825D2"/>
    <w:rsid w:val="00F826CE"/>
    <w:rsid w:val="00F8301A"/>
    <w:rsid w:val="00F8671A"/>
    <w:rsid w:val="00F86E97"/>
    <w:rsid w:val="00F902D6"/>
    <w:rsid w:val="00F92460"/>
    <w:rsid w:val="00F95A2D"/>
    <w:rsid w:val="00F95ECA"/>
    <w:rsid w:val="00F963B2"/>
    <w:rsid w:val="00F96523"/>
    <w:rsid w:val="00F96EF5"/>
    <w:rsid w:val="00F97D5C"/>
    <w:rsid w:val="00F97E12"/>
    <w:rsid w:val="00FA087E"/>
    <w:rsid w:val="00FA40D4"/>
    <w:rsid w:val="00FA4670"/>
    <w:rsid w:val="00FA555A"/>
    <w:rsid w:val="00FA60F7"/>
    <w:rsid w:val="00FA7960"/>
    <w:rsid w:val="00FB10CF"/>
    <w:rsid w:val="00FB140A"/>
    <w:rsid w:val="00FB1547"/>
    <w:rsid w:val="00FB19E7"/>
    <w:rsid w:val="00FB2DF4"/>
    <w:rsid w:val="00FB3369"/>
    <w:rsid w:val="00FB3481"/>
    <w:rsid w:val="00FB4289"/>
    <w:rsid w:val="00FB49EA"/>
    <w:rsid w:val="00FB4A3B"/>
    <w:rsid w:val="00FB5515"/>
    <w:rsid w:val="00FB5F68"/>
    <w:rsid w:val="00FC074B"/>
    <w:rsid w:val="00FC0885"/>
    <w:rsid w:val="00FC1B7F"/>
    <w:rsid w:val="00FC396A"/>
    <w:rsid w:val="00FC4E7F"/>
    <w:rsid w:val="00FC5963"/>
    <w:rsid w:val="00FC6369"/>
    <w:rsid w:val="00FD0EE3"/>
    <w:rsid w:val="00FD17DE"/>
    <w:rsid w:val="00FD2CEF"/>
    <w:rsid w:val="00FD2D16"/>
    <w:rsid w:val="00FD3083"/>
    <w:rsid w:val="00FD3210"/>
    <w:rsid w:val="00FD365A"/>
    <w:rsid w:val="00FD3681"/>
    <w:rsid w:val="00FD39E3"/>
    <w:rsid w:val="00FD3CEA"/>
    <w:rsid w:val="00FD4C9B"/>
    <w:rsid w:val="00FD5ED4"/>
    <w:rsid w:val="00FD6229"/>
    <w:rsid w:val="00FD73D8"/>
    <w:rsid w:val="00FD7941"/>
    <w:rsid w:val="00FD7B02"/>
    <w:rsid w:val="00FE1F38"/>
    <w:rsid w:val="00FE2974"/>
    <w:rsid w:val="00FE3206"/>
    <w:rsid w:val="00FE4B9D"/>
    <w:rsid w:val="00FE55F5"/>
    <w:rsid w:val="00FE5929"/>
    <w:rsid w:val="00FE6CFD"/>
    <w:rsid w:val="00FE74D9"/>
    <w:rsid w:val="00FF012C"/>
    <w:rsid w:val="00FF020E"/>
    <w:rsid w:val="00FF04F4"/>
    <w:rsid w:val="00FF06D5"/>
    <w:rsid w:val="00FF152A"/>
    <w:rsid w:val="00FF20A3"/>
    <w:rsid w:val="00FF23F5"/>
    <w:rsid w:val="00FF26CF"/>
    <w:rsid w:val="00FF36D1"/>
    <w:rsid w:val="00FF3D67"/>
    <w:rsid w:val="00FF3DD2"/>
    <w:rsid w:val="00FF641B"/>
    <w:rsid w:val="00FF730B"/>
    <w:rsid w:val="233C0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39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F33"/>
    <w:pPr>
      <w:spacing w:after="240" w:line="276" w:lineRule="auto"/>
    </w:pPr>
    <w:rPr>
      <w:sz w:val="22"/>
      <w:szCs w:val="22"/>
      <w:lang w:eastAsia="en-US"/>
    </w:rPr>
  </w:style>
  <w:style w:type="paragraph" w:styleId="Heading1">
    <w:name w:val="heading 1"/>
    <w:basedOn w:val="Normal"/>
    <w:next w:val="Normal"/>
    <w:link w:val="Heading1Char"/>
    <w:uiPriority w:val="9"/>
    <w:qFormat/>
    <w:rsid w:val="00E634D5"/>
    <w:pPr>
      <w:keepNext/>
      <w:keepLines/>
      <w:numPr>
        <w:numId w:val="1"/>
      </w:numPr>
      <w:spacing w:before="480"/>
      <w:ind w:left="567" w:hanging="567"/>
      <w:outlineLvl w:val="0"/>
    </w:pPr>
    <w:rPr>
      <w:rFonts w:ascii="Century Gothic" w:eastAsia="Times New Roman" w:hAnsi="Century Gothic"/>
      <w:b/>
      <w:bCs/>
      <w:color w:val="0070C0"/>
      <w:sz w:val="28"/>
      <w:szCs w:val="28"/>
    </w:rPr>
  </w:style>
  <w:style w:type="paragraph" w:styleId="Heading2">
    <w:name w:val="heading 2"/>
    <w:basedOn w:val="Normal"/>
    <w:next w:val="Normal"/>
    <w:link w:val="Heading2Char"/>
    <w:uiPriority w:val="9"/>
    <w:qFormat/>
    <w:rsid w:val="00BB2646"/>
    <w:pPr>
      <w:keepNext/>
      <w:keepLines/>
      <w:numPr>
        <w:ilvl w:val="1"/>
        <w:numId w:val="1"/>
      </w:numPr>
      <w:spacing w:before="200"/>
      <w:outlineLvl w:val="1"/>
    </w:pPr>
    <w:rPr>
      <w:rFonts w:ascii="Century Gothic" w:eastAsia="Times New Roman" w:hAnsi="Century Gothic"/>
      <w:b/>
      <w:bCs/>
      <w:color w:val="4F81BD"/>
      <w:szCs w:val="26"/>
    </w:rPr>
  </w:style>
  <w:style w:type="paragraph" w:styleId="Heading3">
    <w:name w:val="heading 3"/>
    <w:basedOn w:val="Normal"/>
    <w:next w:val="Normal"/>
    <w:link w:val="Heading3Char"/>
    <w:uiPriority w:val="9"/>
    <w:qFormat/>
    <w:rsid w:val="00C71CCA"/>
    <w:pPr>
      <w:keepNext/>
      <w:spacing w:before="240" w:after="60"/>
      <w:outlineLvl w:val="2"/>
    </w:pPr>
    <w:rPr>
      <w:rFonts w:ascii="Century Gothic" w:eastAsia="Times New Roman" w:hAnsi="Century Gothic"/>
      <w:b/>
      <w:bCs/>
      <w:szCs w:val="26"/>
    </w:rPr>
  </w:style>
  <w:style w:type="paragraph" w:styleId="Heading4">
    <w:name w:val="heading 4"/>
    <w:basedOn w:val="Normal"/>
    <w:next w:val="Normal"/>
    <w:link w:val="Heading4Char"/>
    <w:uiPriority w:val="9"/>
    <w:qFormat/>
    <w:rsid w:val="003A4B8B"/>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3A4B8B"/>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3A4B8B"/>
    <w:pPr>
      <w:spacing w:before="240" w:after="60"/>
      <w:outlineLvl w:val="5"/>
    </w:pPr>
    <w:rPr>
      <w:rFonts w:eastAsia="Times New Roman"/>
      <w:b/>
      <w:bCs/>
    </w:rPr>
  </w:style>
  <w:style w:type="paragraph" w:styleId="Heading7">
    <w:name w:val="heading 7"/>
    <w:basedOn w:val="Normal"/>
    <w:next w:val="Normal"/>
    <w:link w:val="Heading7Char"/>
    <w:uiPriority w:val="9"/>
    <w:qFormat/>
    <w:rsid w:val="003A4B8B"/>
    <w:pPr>
      <w:spacing w:before="240" w:after="60"/>
      <w:outlineLvl w:val="6"/>
    </w:pPr>
    <w:rPr>
      <w:rFonts w:eastAsia="Times New Roman"/>
      <w:sz w:val="24"/>
      <w:szCs w:val="24"/>
    </w:rPr>
  </w:style>
  <w:style w:type="paragraph" w:styleId="Heading8">
    <w:name w:val="heading 8"/>
    <w:basedOn w:val="Normal"/>
    <w:next w:val="Normal"/>
    <w:link w:val="Heading8Char"/>
    <w:uiPriority w:val="9"/>
    <w:qFormat/>
    <w:rsid w:val="003A4B8B"/>
    <w:p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rsid w:val="003A4B8B"/>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493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994936"/>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E634D5"/>
    <w:rPr>
      <w:rFonts w:ascii="Century Gothic" w:eastAsia="Times New Roman" w:hAnsi="Century Gothic"/>
      <w:b/>
      <w:bCs/>
      <w:color w:val="0070C0"/>
      <w:sz w:val="28"/>
      <w:szCs w:val="28"/>
      <w:lang w:eastAsia="en-US"/>
    </w:rPr>
  </w:style>
  <w:style w:type="character" w:customStyle="1" w:styleId="Heading2Char">
    <w:name w:val="Heading 2 Char"/>
    <w:link w:val="Heading2"/>
    <w:uiPriority w:val="9"/>
    <w:rsid w:val="00BB2646"/>
    <w:rPr>
      <w:rFonts w:ascii="Century Gothic" w:eastAsia="Times New Roman" w:hAnsi="Century Gothic"/>
      <w:b/>
      <w:bCs/>
      <w:color w:val="4F81BD"/>
      <w:sz w:val="22"/>
      <w:szCs w:val="26"/>
      <w:lang w:eastAsia="en-US"/>
    </w:rPr>
  </w:style>
  <w:style w:type="paragraph" w:styleId="FootnoteText">
    <w:name w:val="footnote text"/>
    <w:basedOn w:val="Normal"/>
    <w:link w:val="FootnoteTextChar"/>
    <w:uiPriority w:val="99"/>
    <w:semiHidden/>
    <w:unhideWhenUsed/>
    <w:rsid w:val="00994936"/>
    <w:pPr>
      <w:spacing w:after="0"/>
    </w:pPr>
    <w:rPr>
      <w:sz w:val="20"/>
      <w:szCs w:val="20"/>
    </w:rPr>
  </w:style>
  <w:style w:type="character" w:customStyle="1" w:styleId="FootnoteTextChar">
    <w:name w:val="Footnote Text Char"/>
    <w:link w:val="FootnoteText"/>
    <w:uiPriority w:val="99"/>
    <w:semiHidden/>
    <w:rsid w:val="00994936"/>
    <w:rPr>
      <w:rFonts w:ascii="Verdana" w:hAnsi="Verdana"/>
      <w:sz w:val="20"/>
      <w:szCs w:val="20"/>
    </w:rPr>
  </w:style>
  <w:style w:type="character" w:styleId="FootnoteReference">
    <w:name w:val="footnote reference"/>
    <w:uiPriority w:val="99"/>
    <w:semiHidden/>
    <w:unhideWhenUsed/>
    <w:rsid w:val="00994936"/>
    <w:rPr>
      <w:vertAlign w:val="superscript"/>
    </w:rPr>
  </w:style>
  <w:style w:type="paragraph" w:styleId="Header">
    <w:name w:val="header"/>
    <w:basedOn w:val="Normal"/>
    <w:link w:val="HeaderChar"/>
    <w:uiPriority w:val="99"/>
    <w:unhideWhenUsed/>
    <w:rsid w:val="00DA68DD"/>
    <w:pPr>
      <w:tabs>
        <w:tab w:val="center" w:pos="4513"/>
        <w:tab w:val="right" w:pos="9026"/>
      </w:tabs>
    </w:pPr>
  </w:style>
  <w:style w:type="character" w:customStyle="1" w:styleId="HeaderChar">
    <w:name w:val="Header Char"/>
    <w:link w:val="Header"/>
    <w:uiPriority w:val="99"/>
    <w:rsid w:val="00DA68DD"/>
    <w:rPr>
      <w:rFonts w:ascii="Verdana" w:hAnsi="Verdana"/>
      <w:sz w:val="22"/>
      <w:szCs w:val="22"/>
      <w:lang w:eastAsia="en-US"/>
    </w:rPr>
  </w:style>
  <w:style w:type="paragraph" w:styleId="Footer">
    <w:name w:val="footer"/>
    <w:basedOn w:val="Normal"/>
    <w:link w:val="FooterChar"/>
    <w:uiPriority w:val="99"/>
    <w:unhideWhenUsed/>
    <w:rsid w:val="00DA68DD"/>
    <w:pPr>
      <w:tabs>
        <w:tab w:val="center" w:pos="4513"/>
        <w:tab w:val="right" w:pos="9026"/>
      </w:tabs>
    </w:pPr>
  </w:style>
  <w:style w:type="character" w:customStyle="1" w:styleId="FooterChar">
    <w:name w:val="Footer Char"/>
    <w:link w:val="Footer"/>
    <w:uiPriority w:val="99"/>
    <w:rsid w:val="00DA68DD"/>
    <w:rPr>
      <w:rFonts w:ascii="Verdana" w:hAnsi="Verdana"/>
      <w:sz w:val="22"/>
      <w:szCs w:val="22"/>
      <w:lang w:eastAsia="en-US"/>
    </w:rPr>
  </w:style>
  <w:style w:type="paragraph" w:customStyle="1" w:styleId="Default">
    <w:name w:val="Default"/>
    <w:rsid w:val="0089726C"/>
    <w:pPr>
      <w:autoSpaceDE w:val="0"/>
      <w:autoSpaceDN w:val="0"/>
      <w:adjustRightInd w:val="0"/>
    </w:pPr>
    <w:rPr>
      <w:rFonts w:ascii="Times New Roman" w:hAnsi="Times New Roman"/>
      <w:color w:val="000000"/>
      <w:sz w:val="24"/>
      <w:szCs w:val="24"/>
    </w:rPr>
  </w:style>
  <w:style w:type="character" w:styleId="CommentReference">
    <w:name w:val="annotation reference"/>
    <w:semiHidden/>
    <w:unhideWhenUsed/>
    <w:rsid w:val="0060692E"/>
    <w:rPr>
      <w:sz w:val="16"/>
      <w:szCs w:val="16"/>
    </w:rPr>
  </w:style>
  <w:style w:type="paragraph" w:styleId="CommentText">
    <w:name w:val="annotation text"/>
    <w:basedOn w:val="Normal"/>
    <w:link w:val="CommentTextChar"/>
    <w:unhideWhenUsed/>
    <w:rsid w:val="0060692E"/>
    <w:rPr>
      <w:sz w:val="20"/>
      <w:szCs w:val="20"/>
    </w:rPr>
  </w:style>
  <w:style w:type="character" w:customStyle="1" w:styleId="CommentTextChar">
    <w:name w:val="Comment Text Char"/>
    <w:link w:val="CommentText"/>
    <w:rsid w:val="0060692E"/>
    <w:rPr>
      <w:rFonts w:ascii="Verdana" w:hAnsi="Verdana"/>
      <w:lang w:eastAsia="en-US"/>
    </w:rPr>
  </w:style>
  <w:style w:type="paragraph" w:styleId="CommentSubject">
    <w:name w:val="annotation subject"/>
    <w:basedOn w:val="CommentText"/>
    <w:next w:val="CommentText"/>
    <w:link w:val="CommentSubjectChar"/>
    <w:uiPriority w:val="99"/>
    <w:semiHidden/>
    <w:unhideWhenUsed/>
    <w:rsid w:val="0060692E"/>
    <w:rPr>
      <w:b/>
      <w:bCs/>
    </w:rPr>
  </w:style>
  <w:style w:type="character" w:customStyle="1" w:styleId="CommentSubjectChar">
    <w:name w:val="Comment Subject Char"/>
    <w:link w:val="CommentSubject"/>
    <w:uiPriority w:val="99"/>
    <w:semiHidden/>
    <w:rsid w:val="0060692E"/>
    <w:rPr>
      <w:rFonts w:ascii="Verdana" w:hAnsi="Verdana"/>
      <w:b/>
      <w:bCs/>
      <w:lang w:eastAsia="en-US"/>
    </w:rPr>
  </w:style>
  <w:style w:type="paragraph" w:styleId="BalloonText">
    <w:name w:val="Balloon Text"/>
    <w:basedOn w:val="Normal"/>
    <w:link w:val="BalloonTextChar"/>
    <w:uiPriority w:val="99"/>
    <w:semiHidden/>
    <w:unhideWhenUsed/>
    <w:rsid w:val="0060692E"/>
    <w:pPr>
      <w:spacing w:after="0"/>
    </w:pPr>
    <w:rPr>
      <w:rFonts w:ascii="Tahoma" w:hAnsi="Tahoma" w:cs="Tahoma"/>
      <w:sz w:val="16"/>
      <w:szCs w:val="16"/>
    </w:rPr>
  </w:style>
  <w:style w:type="character" w:customStyle="1" w:styleId="BalloonTextChar">
    <w:name w:val="Balloon Text Char"/>
    <w:link w:val="BalloonText"/>
    <w:uiPriority w:val="99"/>
    <w:semiHidden/>
    <w:rsid w:val="0060692E"/>
    <w:rPr>
      <w:rFonts w:ascii="Tahoma" w:hAnsi="Tahoma" w:cs="Tahoma"/>
      <w:sz w:val="16"/>
      <w:szCs w:val="16"/>
      <w:lang w:eastAsia="en-US"/>
    </w:rPr>
  </w:style>
  <w:style w:type="paragraph" w:customStyle="1" w:styleId="bullit">
    <w:name w:val="bullit"/>
    <w:basedOn w:val="Normal"/>
    <w:uiPriority w:val="99"/>
    <w:rsid w:val="00DE3BC1"/>
    <w:pPr>
      <w:numPr>
        <w:numId w:val="2"/>
      </w:numPr>
      <w:spacing w:after="0"/>
      <w:jc w:val="both"/>
    </w:pPr>
    <w:rPr>
      <w:rFonts w:ascii="Tahoma" w:eastAsia="Times New Roman" w:hAnsi="Tahoma"/>
      <w:sz w:val="20"/>
      <w:szCs w:val="20"/>
    </w:rPr>
  </w:style>
  <w:style w:type="paragraph" w:styleId="Caption">
    <w:name w:val="caption"/>
    <w:basedOn w:val="Normal"/>
    <w:next w:val="Normal"/>
    <w:uiPriority w:val="99"/>
    <w:qFormat/>
    <w:rsid w:val="00DE3BC1"/>
    <w:pPr>
      <w:overflowPunct w:val="0"/>
      <w:autoSpaceDE w:val="0"/>
      <w:autoSpaceDN w:val="0"/>
      <w:adjustRightInd w:val="0"/>
      <w:spacing w:before="120" w:beforeAutospacing="1"/>
      <w:jc w:val="center"/>
      <w:textAlignment w:val="baseline"/>
    </w:pPr>
    <w:rPr>
      <w:rFonts w:ascii="Tahoma" w:eastAsia="Times New Roman" w:hAnsi="Tahoma" w:cs="Arial"/>
      <w:b/>
      <w:bCs/>
      <w:sz w:val="16"/>
      <w:szCs w:val="20"/>
      <w:lang w:val="en-US"/>
    </w:rPr>
  </w:style>
  <w:style w:type="paragraph" w:customStyle="1" w:styleId="EYBodytextwithparaspace">
    <w:name w:val="EY Body text (with para space)"/>
    <w:basedOn w:val="Normal"/>
    <w:link w:val="EYBodytextwithparaspaceChar"/>
    <w:uiPriority w:val="99"/>
    <w:rsid w:val="00DE3BC1"/>
    <w:pPr>
      <w:numPr>
        <w:ilvl w:val="4"/>
        <w:numId w:val="3"/>
      </w:numPr>
      <w:outlineLvl w:val="0"/>
    </w:pPr>
    <w:rPr>
      <w:rFonts w:ascii="EYInterstate Light" w:eastAsia="Times New Roman" w:hAnsi="EYInterstate Light"/>
      <w:kern w:val="12"/>
      <w:sz w:val="19"/>
      <w:szCs w:val="24"/>
    </w:rPr>
  </w:style>
  <w:style w:type="character" w:customStyle="1" w:styleId="EYBodytextwithparaspaceChar">
    <w:name w:val="EY Body text (with para space) Char"/>
    <w:link w:val="EYBodytextwithparaspace"/>
    <w:uiPriority w:val="99"/>
    <w:locked/>
    <w:rsid w:val="00DE3BC1"/>
    <w:rPr>
      <w:rFonts w:ascii="EYInterstate Light" w:eastAsia="Times New Roman" w:hAnsi="EYInterstate Light"/>
      <w:kern w:val="12"/>
      <w:sz w:val="19"/>
      <w:szCs w:val="24"/>
      <w:lang w:eastAsia="en-US"/>
    </w:rPr>
  </w:style>
  <w:style w:type="numbering" w:customStyle="1" w:styleId="ParaNumbering">
    <w:name w:val="ParaNumbering"/>
    <w:rsid w:val="00DE3BC1"/>
    <w:pPr>
      <w:numPr>
        <w:numId w:val="3"/>
      </w:numPr>
    </w:pPr>
  </w:style>
  <w:style w:type="table" w:styleId="TableGrid">
    <w:name w:val="Table Grid"/>
    <w:basedOn w:val="TableNormal"/>
    <w:rsid w:val="00DE3B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1"/>
    <w:uiPriority w:val="99"/>
    <w:rsid w:val="00DE7642"/>
    <w:pPr>
      <w:spacing w:after="0"/>
    </w:pPr>
    <w:rPr>
      <w:rFonts w:ascii="Arial" w:eastAsia="Times New Roman" w:hAnsi="Arial"/>
      <w:szCs w:val="20"/>
      <w:lang w:val="en-NZ"/>
    </w:rPr>
  </w:style>
  <w:style w:type="character" w:customStyle="1" w:styleId="BodyTextChar1">
    <w:name w:val="Body Text Char1"/>
    <w:link w:val="BodyText"/>
    <w:uiPriority w:val="99"/>
    <w:rsid w:val="00DE7642"/>
    <w:rPr>
      <w:rFonts w:ascii="Arial" w:eastAsia="Times New Roman" w:hAnsi="Arial"/>
      <w:sz w:val="22"/>
      <w:lang w:val="en-NZ" w:eastAsia="en-US"/>
    </w:rPr>
  </w:style>
  <w:style w:type="paragraph" w:styleId="TOCHeading">
    <w:name w:val="TOC Heading"/>
    <w:basedOn w:val="Heading1"/>
    <w:next w:val="Normal"/>
    <w:uiPriority w:val="39"/>
    <w:qFormat/>
    <w:rsid w:val="009A3CE8"/>
    <w:pPr>
      <w:numPr>
        <w:numId w:val="0"/>
      </w:numPr>
      <w:spacing w:after="0"/>
      <w:outlineLvl w:val="9"/>
    </w:pPr>
    <w:rPr>
      <w:lang w:val="en-US"/>
    </w:rPr>
  </w:style>
  <w:style w:type="paragraph" w:styleId="TOC1">
    <w:name w:val="toc 1"/>
    <w:basedOn w:val="Normal"/>
    <w:next w:val="Normal"/>
    <w:autoRedefine/>
    <w:uiPriority w:val="39"/>
    <w:unhideWhenUsed/>
    <w:rsid w:val="009A3CE8"/>
  </w:style>
  <w:style w:type="paragraph" w:styleId="TOC2">
    <w:name w:val="toc 2"/>
    <w:basedOn w:val="Normal"/>
    <w:next w:val="Normal"/>
    <w:autoRedefine/>
    <w:uiPriority w:val="39"/>
    <w:unhideWhenUsed/>
    <w:rsid w:val="009A3CE8"/>
    <w:pPr>
      <w:ind w:left="220"/>
    </w:pPr>
  </w:style>
  <w:style w:type="character" w:styleId="Hyperlink">
    <w:name w:val="Hyperlink"/>
    <w:uiPriority w:val="99"/>
    <w:unhideWhenUsed/>
    <w:rsid w:val="009A3CE8"/>
    <w:rPr>
      <w:color w:val="0000FF"/>
      <w:u w:val="single"/>
    </w:rPr>
  </w:style>
  <w:style w:type="character" w:styleId="Strong">
    <w:name w:val="Strong"/>
    <w:uiPriority w:val="22"/>
    <w:qFormat/>
    <w:rsid w:val="006F4A0A"/>
    <w:rPr>
      <w:b/>
      <w:bCs/>
    </w:rPr>
  </w:style>
  <w:style w:type="character" w:customStyle="1" w:styleId="Heading3Char">
    <w:name w:val="Heading 3 Char"/>
    <w:link w:val="Heading3"/>
    <w:uiPriority w:val="9"/>
    <w:rsid w:val="00C71CCA"/>
    <w:rPr>
      <w:rFonts w:ascii="Century Gothic" w:eastAsia="Times New Roman" w:hAnsi="Century Gothic"/>
      <w:b/>
      <w:bCs/>
      <w:sz w:val="22"/>
      <w:szCs w:val="26"/>
      <w:lang w:eastAsia="en-US"/>
    </w:rPr>
  </w:style>
  <w:style w:type="paragraph" w:styleId="TOC3">
    <w:name w:val="toc 3"/>
    <w:basedOn w:val="Normal"/>
    <w:next w:val="Normal"/>
    <w:autoRedefine/>
    <w:uiPriority w:val="39"/>
    <w:unhideWhenUsed/>
    <w:rsid w:val="006753B0"/>
    <w:pPr>
      <w:ind w:left="440"/>
    </w:pPr>
  </w:style>
  <w:style w:type="character" w:styleId="FollowedHyperlink">
    <w:name w:val="FollowedHyperlink"/>
    <w:rsid w:val="00486A91"/>
    <w:rPr>
      <w:color w:val="008080"/>
      <w:u w:val="single"/>
    </w:rPr>
  </w:style>
  <w:style w:type="paragraph" w:styleId="BodyTextIndent">
    <w:name w:val="Body Text Indent"/>
    <w:basedOn w:val="Normal"/>
    <w:rsid w:val="00BF3C63"/>
    <w:pPr>
      <w:ind w:left="283"/>
    </w:pPr>
  </w:style>
  <w:style w:type="paragraph" w:customStyle="1" w:styleId="EYHeading3">
    <w:name w:val="EY Heading 3"/>
    <w:basedOn w:val="Heading3"/>
    <w:next w:val="EYBodytextwithparaspace"/>
    <w:rsid w:val="001F093E"/>
    <w:pPr>
      <w:tabs>
        <w:tab w:val="num" w:pos="2694"/>
      </w:tabs>
      <w:spacing w:before="120" w:after="120"/>
      <w:ind w:left="2694" w:hanging="850"/>
    </w:pPr>
    <w:rPr>
      <w:rFonts w:ascii="EYInterstate" w:eastAsia="Calibri" w:hAnsi="EYInterstate"/>
      <w:b w:val="0"/>
      <w:i/>
      <w:sz w:val="24"/>
    </w:rPr>
  </w:style>
  <w:style w:type="paragraph" w:customStyle="1" w:styleId="TableHeading">
    <w:name w:val="Table Heading"/>
    <w:basedOn w:val="Normal"/>
    <w:rsid w:val="001F093E"/>
    <w:pPr>
      <w:spacing w:before="60" w:after="60"/>
    </w:pPr>
    <w:rPr>
      <w:rFonts w:ascii="Arial" w:hAnsi="Arial" w:cs="Arial"/>
      <w:b/>
      <w:spacing w:val="4"/>
      <w:sz w:val="20"/>
      <w:szCs w:val="18"/>
    </w:rPr>
  </w:style>
  <w:style w:type="paragraph" w:styleId="NormalWeb">
    <w:name w:val="Normal (Web)"/>
    <w:basedOn w:val="Normal"/>
    <w:uiPriority w:val="99"/>
    <w:rsid w:val="00217F84"/>
    <w:rPr>
      <w:rFonts w:ascii="Times New Roman" w:hAnsi="Times New Roman"/>
      <w:sz w:val="24"/>
      <w:szCs w:val="24"/>
    </w:rPr>
  </w:style>
  <w:style w:type="character" w:customStyle="1" w:styleId="BodyTextChar">
    <w:name w:val="Body Text Char"/>
    <w:locked/>
    <w:rsid w:val="00F86E97"/>
    <w:rPr>
      <w:rFonts w:ascii="Arial" w:eastAsia="Calibri" w:hAnsi="Arial"/>
      <w:sz w:val="22"/>
      <w:szCs w:val="24"/>
      <w:lang w:val="en-AU" w:eastAsia="en-US" w:bidi="ar-SA"/>
    </w:rPr>
  </w:style>
  <w:style w:type="character" w:customStyle="1" w:styleId="Heading4Char">
    <w:name w:val="Heading 4 Char"/>
    <w:link w:val="Heading4"/>
    <w:uiPriority w:val="9"/>
    <w:semiHidden/>
    <w:rsid w:val="003A4B8B"/>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3A4B8B"/>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3A4B8B"/>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3A4B8B"/>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3A4B8B"/>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3A4B8B"/>
    <w:rPr>
      <w:rFonts w:ascii="Cambria" w:eastAsia="Times New Roman" w:hAnsi="Cambria" w:cs="Times New Roman"/>
      <w:sz w:val="22"/>
      <w:szCs w:val="22"/>
      <w:lang w:eastAsia="en-US"/>
    </w:rPr>
  </w:style>
  <w:style w:type="paragraph" w:styleId="ListParagraph">
    <w:name w:val="List Paragraph"/>
    <w:basedOn w:val="Normal"/>
    <w:link w:val="ListParagraphChar"/>
    <w:uiPriority w:val="34"/>
    <w:qFormat/>
    <w:rsid w:val="00EB1EDA"/>
    <w:pPr>
      <w:spacing w:after="200"/>
      <w:ind w:left="720"/>
    </w:pPr>
  </w:style>
  <w:style w:type="character" w:customStyle="1" w:styleId="ListParagraphChar">
    <w:name w:val="List Paragraph Char"/>
    <w:link w:val="ListParagraph"/>
    <w:uiPriority w:val="34"/>
    <w:locked/>
    <w:rsid w:val="003B457E"/>
    <w:rPr>
      <w:sz w:val="22"/>
      <w:szCs w:val="22"/>
      <w:lang w:eastAsia="en-US"/>
    </w:rPr>
  </w:style>
  <w:style w:type="character" w:customStyle="1" w:styleId="apple-converted-space">
    <w:name w:val="apple-converted-space"/>
    <w:rsid w:val="00843560"/>
  </w:style>
  <w:style w:type="paragraph" w:styleId="Quote">
    <w:name w:val="Quote"/>
    <w:basedOn w:val="Normal"/>
    <w:next w:val="Normal"/>
    <w:link w:val="QuoteChar"/>
    <w:uiPriority w:val="29"/>
    <w:qFormat/>
    <w:rsid w:val="0099645B"/>
    <w:pPr>
      <w:spacing w:after="200"/>
    </w:pPr>
    <w:rPr>
      <w:rFonts w:eastAsia="MS Mincho" w:cs="Arial"/>
      <w:i/>
      <w:iCs/>
      <w:color w:val="000000"/>
      <w:lang w:val="en-US" w:eastAsia="ja-JP"/>
    </w:rPr>
  </w:style>
  <w:style w:type="character" w:customStyle="1" w:styleId="QuoteChar">
    <w:name w:val="Quote Char"/>
    <w:link w:val="Quote"/>
    <w:uiPriority w:val="29"/>
    <w:rsid w:val="0099645B"/>
    <w:rPr>
      <w:rFonts w:eastAsia="MS Mincho" w:cs="Arial"/>
      <w:i/>
      <w:iCs/>
      <w:color w:val="000000"/>
      <w:sz w:val="22"/>
      <w:szCs w:val="22"/>
      <w:lang w:val="en-US" w:eastAsia="ja-JP"/>
    </w:rPr>
  </w:style>
  <w:style w:type="table" w:customStyle="1" w:styleId="TableGrid1">
    <w:name w:val="Table Grid1"/>
    <w:basedOn w:val="TableNormal"/>
    <w:next w:val="TableGrid"/>
    <w:rsid w:val="00BB532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C4AAA"/>
    <w:rPr>
      <w:rFonts w:ascii="Verdana" w:hAnsi="Verdana"/>
      <w:sz w:val="22"/>
      <w:szCs w:val="22"/>
      <w:lang w:eastAsia="en-US"/>
    </w:rPr>
  </w:style>
  <w:style w:type="paragraph" w:customStyle="1" w:styleId="xmsonormal">
    <w:name w:val="x_msonormal"/>
    <w:basedOn w:val="Normal"/>
    <w:rsid w:val="00F12DE4"/>
    <w:pPr>
      <w:spacing w:before="100" w:beforeAutospacing="1" w:after="100" w:afterAutospacing="1"/>
    </w:pPr>
    <w:rPr>
      <w:rFonts w:ascii="Times New Roman" w:eastAsia="Times New Roman" w:hAnsi="Times New Roman"/>
      <w:sz w:val="24"/>
      <w:szCs w:val="24"/>
      <w:lang w:eastAsia="en-AU"/>
    </w:rPr>
  </w:style>
  <w:style w:type="paragraph" w:styleId="NoSpacing">
    <w:name w:val="No Spacing"/>
    <w:uiPriority w:val="1"/>
    <w:qFormat/>
    <w:rsid w:val="00CE100E"/>
    <w:rPr>
      <w:rFonts w:ascii="Verdana" w:hAnsi="Verdana"/>
      <w:sz w:val="22"/>
      <w:szCs w:val="22"/>
      <w:lang w:eastAsia="en-US"/>
    </w:rPr>
  </w:style>
  <w:style w:type="character" w:customStyle="1" w:styleId="UnresolvedMention">
    <w:name w:val="Unresolved Mention"/>
    <w:basedOn w:val="DefaultParagraphFont"/>
    <w:uiPriority w:val="99"/>
    <w:semiHidden/>
    <w:unhideWhenUsed/>
    <w:rsid w:val="007C5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225">
      <w:bodyDiv w:val="1"/>
      <w:marLeft w:val="0"/>
      <w:marRight w:val="0"/>
      <w:marTop w:val="0"/>
      <w:marBottom w:val="0"/>
      <w:divBdr>
        <w:top w:val="none" w:sz="0" w:space="0" w:color="auto"/>
        <w:left w:val="none" w:sz="0" w:space="0" w:color="auto"/>
        <w:bottom w:val="none" w:sz="0" w:space="0" w:color="auto"/>
        <w:right w:val="none" w:sz="0" w:space="0" w:color="auto"/>
      </w:divBdr>
    </w:div>
    <w:div w:id="4334398">
      <w:bodyDiv w:val="1"/>
      <w:marLeft w:val="0"/>
      <w:marRight w:val="0"/>
      <w:marTop w:val="0"/>
      <w:marBottom w:val="0"/>
      <w:divBdr>
        <w:top w:val="none" w:sz="0" w:space="0" w:color="auto"/>
        <w:left w:val="none" w:sz="0" w:space="0" w:color="auto"/>
        <w:bottom w:val="none" w:sz="0" w:space="0" w:color="auto"/>
        <w:right w:val="none" w:sz="0" w:space="0" w:color="auto"/>
      </w:divBdr>
    </w:div>
    <w:div w:id="5137604">
      <w:bodyDiv w:val="1"/>
      <w:marLeft w:val="0"/>
      <w:marRight w:val="0"/>
      <w:marTop w:val="0"/>
      <w:marBottom w:val="0"/>
      <w:divBdr>
        <w:top w:val="none" w:sz="0" w:space="0" w:color="auto"/>
        <w:left w:val="none" w:sz="0" w:space="0" w:color="auto"/>
        <w:bottom w:val="none" w:sz="0" w:space="0" w:color="auto"/>
        <w:right w:val="none" w:sz="0" w:space="0" w:color="auto"/>
      </w:divBdr>
    </w:div>
    <w:div w:id="10687217">
      <w:bodyDiv w:val="1"/>
      <w:marLeft w:val="0"/>
      <w:marRight w:val="0"/>
      <w:marTop w:val="0"/>
      <w:marBottom w:val="0"/>
      <w:divBdr>
        <w:top w:val="none" w:sz="0" w:space="0" w:color="auto"/>
        <w:left w:val="none" w:sz="0" w:space="0" w:color="auto"/>
        <w:bottom w:val="none" w:sz="0" w:space="0" w:color="auto"/>
        <w:right w:val="none" w:sz="0" w:space="0" w:color="auto"/>
      </w:divBdr>
    </w:div>
    <w:div w:id="80298388">
      <w:bodyDiv w:val="1"/>
      <w:marLeft w:val="0"/>
      <w:marRight w:val="0"/>
      <w:marTop w:val="0"/>
      <w:marBottom w:val="0"/>
      <w:divBdr>
        <w:top w:val="none" w:sz="0" w:space="0" w:color="auto"/>
        <w:left w:val="none" w:sz="0" w:space="0" w:color="auto"/>
        <w:bottom w:val="none" w:sz="0" w:space="0" w:color="auto"/>
        <w:right w:val="none" w:sz="0" w:space="0" w:color="auto"/>
      </w:divBdr>
    </w:div>
    <w:div w:id="82386507">
      <w:bodyDiv w:val="1"/>
      <w:marLeft w:val="0"/>
      <w:marRight w:val="0"/>
      <w:marTop w:val="0"/>
      <w:marBottom w:val="0"/>
      <w:divBdr>
        <w:top w:val="none" w:sz="0" w:space="0" w:color="auto"/>
        <w:left w:val="none" w:sz="0" w:space="0" w:color="auto"/>
        <w:bottom w:val="none" w:sz="0" w:space="0" w:color="auto"/>
        <w:right w:val="none" w:sz="0" w:space="0" w:color="auto"/>
      </w:divBdr>
    </w:div>
    <w:div w:id="111828680">
      <w:bodyDiv w:val="1"/>
      <w:marLeft w:val="0"/>
      <w:marRight w:val="0"/>
      <w:marTop w:val="0"/>
      <w:marBottom w:val="0"/>
      <w:divBdr>
        <w:top w:val="none" w:sz="0" w:space="0" w:color="auto"/>
        <w:left w:val="none" w:sz="0" w:space="0" w:color="auto"/>
        <w:bottom w:val="none" w:sz="0" w:space="0" w:color="auto"/>
        <w:right w:val="none" w:sz="0" w:space="0" w:color="auto"/>
      </w:divBdr>
    </w:div>
    <w:div w:id="132254303">
      <w:bodyDiv w:val="1"/>
      <w:marLeft w:val="0"/>
      <w:marRight w:val="0"/>
      <w:marTop w:val="0"/>
      <w:marBottom w:val="0"/>
      <w:divBdr>
        <w:top w:val="none" w:sz="0" w:space="0" w:color="auto"/>
        <w:left w:val="none" w:sz="0" w:space="0" w:color="auto"/>
        <w:bottom w:val="none" w:sz="0" w:space="0" w:color="auto"/>
        <w:right w:val="none" w:sz="0" w:space="0" w:color="auto"/>
      </w:divBdr>
    </w:div>
    <w:div w:id="146558103">
      <w:bodyDiv w:val="1"/>
      <w:marLeft w:val="0"/>
      <w:marRight w:val="0"/>
      <w:marTop w:val="0"/>
      <w:marBottom w:val="0"/>
      <w:divBdr>
        <w:top w:val="none" w:sz="0" w:space="0" w:color="auto"/>
        <w:left w:val="none" w:sz="0" w:space="0" w:color="auto"/>
        <w:bottom w:val="none" w:sz="0" w:space="0" w:color="auto"/>
        <w:right w:val="none" w:sz="0" w:space="0" w:color="auto"/>
      </w:divBdr>
    </w:div>
    <w:div w:id="150026358">
      <w:bodyDiv w:val="1"/>
      <w:marLeft w:val="0"/>
      <w:marRight w:val="0"/>
      <w:marTop w:val="0"/>
      <w:marBottom w:val="0"/>
      <w:divBdr>
        <w:top w:val="none" w:sz="0" w:space="0" w:color="auto"/>
        <w:left w:val="none" w:sz="0" w:space="0" w:color="auto"/>
        <w:bottom w:val="none" w:sz="0" w:space="0" w:color="auto"/>
        <w:right w:val="none" w:sz="0" w:space="0" w:color="auto"/>
      </w:divBdr>
    </w:div>
    <w:div w:id="158161679">
      <w:bodyDiv w:val="1"/>
      <w:marLeft w:val="0"/>
      <w:marRight w:val="0"/>
      <w:marTop w:val="0"/>
      <w:marBottom w:val="0"/>
      <w:divBdr>
        <w:top w:val="none" w:sz="0" w:space="0" w:color="auto"/>
        <w:left w:val="none" w:sz="0" w:space="0" w:color="auto"/>
        <w:bottom w:val="none" w:sz="0" w:space="0" w:color="auto"/>
        <w:right w:val="none" w:sz="0" w:space="0" w:color="auto"/>
      </w:divBdr>
    </w:div>
    <w:div w:id="183519155">
      <w:bodyDiv w:val="1"/>
      <w:marLeft w:val="0"/>
      <w:marRight w:val="0"/>
      <w:marTop w:val="0"/>
      <w:marBottom w:val="0"/>
      <w:divBdr>
        <w:top w:val="none" w:sz="0" w:space="0" w:color="auto"/>
        <w:left w:val="none" w:sz="0" w:space="0" w:color="auto"/>
        <w:bottom w:val="none" w:sz="0" w:space="0" w:color="auto"/>
        <w:right w:val="none" w:sz="0" w:space="0" w:color="auto"/>
      </w:divBdr>
    </w:div>
    <w:div w:id="203980019">
      <w:bodyDiv w:val="1"/>
      <w:marLeft w:val="0"/>
      <w:marRight w:val="0"/>
      <w:marTop w:val="0"/>
      <w:marBottom w:val="0"/>
      <w:divBdr>
        <w:top w:val="none" w:sz="0" w:space="0" w:color="auto"/>
        <w:left w:val="none" w:sz="0" w:space="0" w:color="auto"/>
        <w:bottom w:val="none" w:sz="0" w:space="0" w:color="auto"/>
        <w:right w:val="none" w:sz="0" w:space="0" w:color="auto"/>
      </w:divBdr>
    </w:div>
    <w:div w:id="205139403">
      <w:bodyDiv w:val="1"/>
      <w:marLeft w:val="0"/>
      <w:marRight w:val="0"/>
      <w:marTop w:val="0"/>
      <w:marBottom w:val="0"/>
      <w:divBdr>
        <w:top w:val="none" w:sz="0" w:space="0" w:color="auto"/>
        <w:left w:val="none" w:sz="0" w:space="0" w:color="auto"/>
        <w:bottom w:val="none" w:sz="0" w:space="0" w:color="auto"/>
        <w:right w:val="none" w:sz="0" w:space="0" w:color="auto"/>
      </w:divBdr>
    </w:div>
    <w:div w:id="208302356">
      <w:bodyDiv w:val="1"/>
      <w:marLeft w:val="0"/>
      <w:marRight w:val="0"/>
      <w:marTop w:val="0"/>
      <w:marBottom w:val="0"/>
      <w:divBdr>
        <w:top w:val="none" w:sz="0" w:space="0" w:color="auto"/>
        <w:left w:val="none" w:sz="0" w:space="0" w:color="auto"/>
        <w:bottom w:val="none" w:sz="0" w:space="0" w:color="auto"/>
        <w:right w:val="none" w:sz="0" w:space="0" w:color="auto"/>
      </w:divBdr>
    </w:div>
    <w:div w:id="210118609">
      <w:bodyDiv w:val="1"/>
      <w:marLeft w:val="0"/>
      <w:marRight w:val="0"/>
      <w:marTop w:val="0"/>
      <w:marBottom w:val="0"/>
      <w:divBdr>
        <w:top w:val="none" w:sz="0" w:space="0" w:color="auto"/>
        <w:left w:val="none" w:sz="0" w:space="0" w:color="auto"/>
        <w:bottom w:val="none" w:sz="0" w:space="0" w:color="auto"/>
        <w:right w:val="none" w:sz="0" w:space="0" w:color="auto"/>
      </w:divBdr>
    </w:div>
    <w:div w:id="219757750">
      <w:bodyDiv w:val="1"/>
      <w:marLeft w:val="0"/>
      <w:marRight w:val="0"/>
      <w:marTop w:val="0"/>
      <w:marBottom w:val="0"/>
      <w:divBdr>
        <w:top w:val="none" w:sz="0" w:space="0" w:color="auto"/>
        <w:left w:val="none" w:sz="0" w:space="0" w:color="auto"/>
        <w:bottom w:val="none" w:sz="0" w:space="0" w:color="auto"/>
        <w:right w:val="none" w:sz="0" w:space="0" w:color="auto"/>
      </w:divBdr>
    </w:div>
    <w:div w:id="257981920">
      <w:bodyDiv w:val="1"/>
      <w:marLeft w:val="0"/>
      <w:marRight w:val="0"/>
      <w:marTop w:val="0"/>
      <w:marBottom w:val="0"/>
      <w:divBdr>
        <w:top w:val="none" w:sz="0" w:space="0" w:color="auto"/>
        <w:left w:val="none" w:sz="0" w:space="0" w:color="auto"/>
        <w:bottom w:val="none" w:sz="0" w:space="0" w:color="auto"/>
        <w:right w:val="none" w:sz="0" w:space="0" w:color="auto"/>
      </w:divBdr>
    </w:div>
    <w:div w:id="294213570">
      <w:bodyDiv w:val="1"/>
      <w:marLeft w:val="0"/>
      <w:marRight w:val="0"/>
      <w:marTop w:val="0"/>
      <w:marBottom w:val="0"/>
      <w:divBdr>
        <w:top w:val="none" w:sz="0" w:space="0" w:color="auto"/>
        <w:left w:val="none" w:sz="0" w:space="0" w:color="auto"/>
        <w:bottom w:val="none" w:sz="0" w:space="0" w:color="auto"/>
        <w:right w:val="none" w:sz="0" w:space="0" w:color="auto"/>
      </w:divBdr>
    </w:div>
    <w:div w:id="324823397">
      <w:bodyDiv w:val="1"/>
      <w:marLeft w:val="0"/>
      <w:marRight w:val="0"/>
      <w:marTop w:val="0"/>
      <w:marBottom w:val="0"/>
      <w:divBdr>
        <w:top w:val="none" w:sz="0" w:space="0" w:color="auto"/>
        <w:left w:val="none" w:sz="0" w:space="0" w:color="auto"/>
        <w:bottom w:val="none" w:sz="0" w:space="0" w:color="auto"/>
        <w:right w:val="none" w:sz="0" w:space="0" w:color="auto"/>
      </w:divBdr>
    </w:div>
    <w:div w:id="325746065">
      <w:bodyDiv w:val="1"/>
      <w:marLeft w:val="0"/>
      <w:marRight w:val="0"/>
      <w:marTop w:val="0"/>
      <w:marBottom w:val="0"/>
      <w:divBdr>
        <w:top w:val="none" w:sz="0" w:space="0" w:color="auto"/>
        <w:left w:val="none" w:sz="0" w:space="0" w:color="auto"/>
        <w:bottom w:val="none" w:sz="0" w:space="0" w:color="auto"/>
        <w:right w:val="none" w:sz="0" w:space="0" w:color="auto"/>
      </w:divBdr>
    </w:div>
    <w:div w:id="330178201">
      <w:bodyDiv w:val="1"/>
      <w:marLeft w:val="0"/>
      <w:marRight w:val="0"/>
      <w:marTop w:val="0"/>
      <w:marBottom w:val="0"/>
      <w:divBdr>
        <w:top w:val="none" w:sz="0" w:space="0" w:color="auto"/>
        <w:left w:val="none" w:sz="0" w:space="0" w:color="auto"/>
        <w:bottom w:val="none" w:sz="0" w:space="0" w:color="auto"/>
        <w:right w:val="none" w:sz="0" w:space="0" w:color="auto"/>
      </w:divBdr>
    </w:div>
    <w:div w:id="350183843">
      <w:bodyDiv w:val="1"/>
      <w:marLeft w:val="0"/>
      <w:marRight w:val="0"/>
      <w:marTop w:val="0"/>
      <w:marBottom w:val="0"/>
      <w:divBdr>
        <w:top w:val="none" w:sz="0" w:space="0" w:color="auto"/>
        <w:left w:val="none" w:sz="0" w:space="0" w:color="auto"/>
        <w:bottom w:val="none" w:sz="0" w:space="0" w:color="auto"/>
        <w:right w:val="none" w:sz="0" w:space="0" w:color="auto"/>
      </w:divBdr>
    </w:div>
    <w:div w:id="389232209">
      <w:bodyDiv w:val="1"/>
      <w:marLeft w:val="0"/>
      <w:marRight w:val="0"/>
      <w:marTop w:val="0"/>
      <w:marBottom w:val="0"/>
      <w:divBdr>
        <w:top w:val="none" w:sz="0" w:space="0" w:color="auto"/>
        <w:left w:val="none" w:sz="0" w:space="0" w:color="auto"/>
        <w:bottom w:val="none" w:sz="0" w:space="0" w:color="auto"/>
        <w:right w:val="none" w:sz="0" w:space="0" w:color="auto"/>
      </w:divBdr>
    </w:div>
    <w:div w:id="394545998">
      <w:bodyDiv w:val="1"/>
      <w:marLeft w:val="0"/>
      <w:marRight w:val="0"/>
      <w:marTop w:val="0"/>
      <w:marBottom w:val="0"/>
      <w:divBdr>
        <w:top w:val="none" w:sz="0" w:space="0" w:color="auto"/>
        <w:left w:val="none" w:sz="0" w:space="0" w:color="auto"/>
        <w:bottom w:val="none" w:sz="0" w:space="0" w:color="auto"/>
        <w:right w:val="none" w:sz="0" w:space="0" w:color="auto"/>
      </w:divBdr>
    </w:div>
    <w:div w:id="411047150">
      <w:bodyDiv w:val="1"/>
      <w:marLeft w:val="0"/>
      <w:marRight w:val="0"/>
      <w:marTop w:val="0"/>
      <w:marBottom w:val="0"/>
      <w:divBdr>
        <w:top w:val="none" w:sz="0" w:space="0" w:color="auto"/>
        <w:left w:val="none" w:sz="0" w:space="0" w:color="auto"/>
        <w:bottom w:val="none" w:sz="0" w:space="0" w:color="auto"/>
        <w:right w:val="none" w:sz="0" w:space="0" w:color="auto"/>
      </w:divBdr>
    </w:div>
    <w:div w:id="452986194">
      <w:bodyDiv w:val="1"/>
      <w:marLeft w:val="0"/>
      <w:marRight w:val="0"/>
      <w:marTop w:val="0"/>
      <w:marBottom w:val="0"/>
      <w:divBdr>
        <w:top w:val="none" w:sz="0" w:space="0" w:color="auto"/>
        <w:left w:val="none" w:sz="0" w:space="0" w:color="auto"/>
        <w:bottom w:val="none" w:sz="0" w:space="0" w:color="auto"/>
        <w:right w:val="none" w:sz="0" w:space="0" w:color="auto"/>
      </w:divBdr>
    </w:div>
    <w:div w:id="470828707">
      <w:bodyDiv w:val="1"/>
      <w:marLeft w:val="0"/>
      <w:marRight w:val="0"/>
      <w:marTop w:val="0"/>
      <w:marBottom w:val="0"/>
      <w:divBdr>
        <w:top w:val="none" w:sz="0" w:space="0" w:color="auto"/>
        <w:left w:val="none" w:sz="0" w:space="0" w:color="auto"/>
        <w:bottom w:val="none" w:sz="0" w:space="0" w:color="auto"/>
        <w:right w:val="none" w:sz="0" w:space="0" w:color="auto"/>
      </w:divBdr>
    </w:div>
    <w:div w:id="486291191">
      <w:bodyDiv w:val="1"/>
      <w:marLeft w:val="0"/>
      <w:marRight w:val="0"/>
      <w:marTop w:val="0"/>
      <w:marBottom w:val="0"/>
      <w:divBdr>
        <w:top w:val="none" w:sz="0" w:space="0" w:color="auto"/>
        <w:left w:val="none" w:sz="0" w:space="0" w:color="auto"/>
        <w:bottom w:val="none" w:sz="0" w:space="0" w:color="auto"/>
        <w:right w:val="none" w:sz="0" w:space="0" w:color="auto"/>
      </w:divBdr>
    </w:div>
    <w:div w:id="493644566">
      <w:bodyDiv w:val="1"/>
      <w:marLeft w:val="0"/>
      <w:marRight w:val="0"/>
      <w:marTop w:val="0"/>
      <w:marBottom w:val="0"/>
      <w:divBdr>
        <w:top w:val="none" w:sz="0" w:space="0" w:color="auto"/>
        <w:left w:val="none" w:sz="0" w:space="0" w:color="auto"/>
        <w:bottom w:val="none" w:sz="0" w:space="0" w:color="auto"/>
        <w:right w:val="none" w:sz="0" w:space="0" w:color="auto"/>
      </w:divBdr>
    </w:div>
    <w:div w:id="504133926">
      <w:bodyDiv w:val="1"/>
      <w:marLeft w:val="0"/>
      <w:marRight w:val="0"/>
      <w:marTop w:val="0"/>
      <w:marBottom w:val="0"/>
      <w:divBdr>
        <w:top w:val="none" w:sz="0" w:space="0" w:color="auto"/>
        <w:left w:val="none" w:sz="0" w:space="0" w:color="auto"/>
        <w:bottom w:val="none" w:sz="0" w:space="0" w:color="auto"/>
        <w:right w:val="none" w:sz="0" w:space="0" w:color="auto"/>
      </w:divBdr>
    </w:div>
    <w:div w:id="522204130">
      <w:bodyDiv w:val="1"/>
      <w:marLeft w:val="0"/>
      <w:marRight w:val="0"/>
      <w:marTop w:val="0"/>
      <w:marBottom w:val="0"/>
      <w:divBdr>
        <w:top w:val="none" w:sz="0" w:space="0" w:color="auto"/>
        <w:left w:val="none" w:sz="0" w:space="0" w:color="auto"/>
        <w:bottom w:val="none" w:sz="0" w:space="0" w:color="auto"/>
        <w:right w:val="none" w:sz="0" w:space="0" w:color="auto"/>
      </w:divBdr>
    </w:div>
    <w:div w:id="567811138">
      <w:bodyDiv w:val="1"/>
      <w:marLeft w:val="0"/>
      <w:marRight w:val="0"/>
      <w:marTop w:val="0"/>
      <w:marBottom w:val="0"/>
      <w:divBdr>
        <w:top w:val="none" w:sz="0" w:space="0" w:color="auto"/>
        <w:left w:val="none" w:sz="0" w:space="0" w:color="auto"/>
        <w:bottom w:val="none" w:sz="0" w:space="0" w:color="auto"/>
        <w:right w:val="none" w:sz="0" w:space="0" w:color="auto"/>
      </w:divBdr>
    </w:div>
    <w:div w:id="570118296">
      <w:bodyDiv w:val="1"/>
      <w:marLeft w:val="0"/>
      <w:marRight w:val="0"/>
      <w:marTop w:val="0"/>
      <w:marBottom w:val="0"/>
      <w:divBdr>
        <w:top w:val="none" w:sz="0" w:space="0" w:color="auto"/>
        <w:left w:val="none" w:sz="0" w:space="0" w:color="auto"/>
        <w:bottom w:val="none" w:sz="0" w:space="0" w:color="auto"/>
        <w:right w:val="none" w:sz="0" w:space="0" w:color="auto"/>
      </w:divBdr>
    </w:div>
    <w:div w:id="603996790">
      <w:bodyDiv w:val="1"/>
      <w:marLeft w:val="0"/>
      <w:marRight w:val="0"/>
      <w:marTop w:val="0"/>
      <w:marBottom w:val="0"/>
      <w:divBdr>
        <w:top w:val="none" w:sz="0" w:space="0" w:color="auto"/>
        <w:left w:val="none" w:sz="0" w:space="0" w:color="auto"/>
        <w:bottom w:val="none" w:sz="0" w:space="0" w:color="auto"/>
        <w:right w:val="none" w:sz="0" w:space="0" w:color="auto"/>
      </w:divBdr>
    </w:div>
    <w:div w:id="621302979">
      <w:bodyDiv w:val="1"/>
      <w:marLeft w:val="0"/>
      <w:marRight w:val="0"/>
      <w:marTop w:val="0"/>
      <w:marBottom w:val="0"/>
      <w:divBdr>
        <w:top w:val="none" w:sz="0" w:space="0" w:color="auto"/>
        <w:left w:val="none" w:sz="0" w:space="0" w:color="auto"/>
        <w:bottom w:val="none" w:sz="0" w:space="0" w:color="auto"/>
        <w:right w:val="none" w:sz="0" w:space="0" w:color="auto"/>
      </w:divBdr>
    </w:div>
    <w:div w:id="672299852">
      <w:bodyDiv w:val="1"/>
      <w:marLeft w:val="0"/>
      <w:marRight w:val="0"/>
      <w:marTop w:val="0"/>
      <w:marBottom w:val="0"/>
      <w:divBdr>
        <w:top w:val="none" w:sz="0" w:space="0" w:color="auto"/>
        <w:left w:val="none" w:sz="0" w:space="0" w:color="auto"/>
        <w:bottom w:val="none" w:sz="0" w:space="0" w:color="auto"/>
        <w:right w:val="none" w:sz="0" w:space="0" w:color="auto"/>
      </w:divBdr>
    </w:div>
    <w:div w:id="707604744">
      <w:bodyDiv w:val="1"/>
      <w:marLeft w:val="0"/>
      <w:marRight w:val="0"/>
      <w:marTop w:val="0"/>
      <w:marBottom w:val="0"/>
      <w:divBdr>
        <w:top w:val="none" w:sz="0" w:space="0" w:color="auto"/>
        <w:left w:val="none" w:sz="0" w:space="0" w:color="auto"/>
        <w:bottom w:val="none" w:sz="0" w:space="0" w:color="auto"/>
        <w:right w:val="none" w:sz="0" w:space="0" w:color="auto"/>
      </w:divBdr>
    </w:div>
    <w:div w:id="709500215">
      <w:bodyDiv w:val="1"/>
      <w:marLeft w:val="0"/>
      <w:marRight w:val="0"/>
      <w:marTop w:val="0"/>
      <w:marBottom w:val="0"/>
      <w:divBdr>
        <w:top w:val="none" w:sz="0" w:space="0" w:color="auto"/>
        <w:left w:val="none" w:sz="0" w:space="0" w:color="auto"/>
        <w:bottom w:val="none" w:sz="0" w:space="0" w:color="auto"/>
        <w:right w:val="none" w:sz="0" w:space="0" w:color="auto"/>
      </w:divBdr>
    </w:div>
    <w:div w:id="718165147">
      <w:bodyDiv w:val="1"/>
      <w:marLeft w:val="0"/>
      <w:marRight w:val="0"/>
      <w:marTop w:val="0"/>
      <w:marBottom w:val="0"/>
      <w:divBdr>
        <w:top w:val="none" w:sz="0" w:space="0" w:color="auto"/>
        <w:left w:val="none" w:sz="0" w:space="0" w:color="auto"/>
        <w:bottom w:val="none" w:sz="0" w:space="0" w:color="auto"/>
        <w:right w:val="none" w:sz="0" w:space="0" w:color="auto"/>
      </w:divBdr>
    </w:div>
    <w:div w:id="730037653">
      <w:bodyDiv w:val="1"/>
      <w:marLeft w:val="0"/>
      <w:marRight w:val="0"/>
      <w:marTop w:val="0"/>
      <w:marBottom w:val="0"/>
      <w:divBdr>
        <w:top w:val="none" w:sz="0" w:space="0" w:color="auto"/>
        <w:left w:val="none" w:sz="0" w:space="0" w:color="auto"/>
        <w:bottom w:val="none" w:sz="0" w:space="0" w:color="auto"/>
        <w:right w:val="none" w:sz="0" w:space="0" w:color="auto"/>
      </w:divBdr>
    </w:div>
    <w:div w:id="771315084">
      <w:bodyDiv w:val="1"/>
      <w:marLeft w:val="0"/>
      <w:marRight w:val="0"/>
      <w:marTop w:val="0"/>
      <w:marBottom w:val="0"/>
      <w:divBdr>
        <w:top w:val="none" w:sz="0" w:space="0" w:color="auto"/>
        <w:left w:val="none" w:sz="0" w:space="0" w:color="auto"/>
        <w:bottom w:val="none" w:sz="0" w:space="0" w:color="auto"/>
        <w:right w:val="none" w:sz="0" w:space="0" w:color="auto"/>
      </w:divBdr>
    </w:div>
    <w:div w:id="802192447">
      <w:bodyDiv w:val="1"/>
      <w:marLeft w:val="0"/>
      <w:marRight w:val="0"/>
      <w:marTop w:val="0"/>
      <w:marBottom w:val="0"/>
      <w:divBdr>
        <w:top w:val="none" w:sz="0" w:space="0" w:color="auto"/>
        <w:left w:val="none" w:sz="0" w:space="0" w:color="auto"/>
        <w:bottom w:val="none" w:sz="0" w:space="0" w:color="auto"/>
        <w:right w:val="none" w:sz="0" w:space="0" w:color="auto"/>
      </w:divBdr>
      <w:divsChild>
        <w:div w:id="1566526641">
          <w:marLeft w:val="0"/>
          <w:marRight w:val="0"/>
          <w:marTop w:val="0"/>
          <w:marBottom w:val="0"/>
          <w:divBdr>
            <w:top w:val="none" w:sz="0" w:space="0" w:color="auto"/>
            <w:left w:val="none" w:sz="0" w:space="0" w:color="auto"/>
            <w:bottom w:val="none" w:sz="0" w:space="0" w:color="auto"/>
            <w:right w:val="none" w:sz="0" w:space="0" w:color="auto"/>
          </w:divBdr>
          <w:divsChild>
            <w:div w:id="603195175">
              <w:marLeft w:val="0"/>
              <w:marRight w:val="0"/>
              <w:marTop w:val="0"/>
              <w:marBottom w:val="0"/>
              <w:divBdr>
                <w:top w:val="none" w:sz="0" w:space="0" w:color="auto"/>
                <w:left w:val="none" w:sz="0" w:space="0" w:color="auto"/>
                <w:bottom w:val="none" w:sz="0" w:space="0" w:color="auto"/>
                <w:right w:val="none" w:sz="0" w:space="0" w:color="auto"/>
              </w:divBdr>
              <w:divsChild>
                <w:div w:id="1522820798">
                  <w:marLeft w:val="288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51455959">
      <w:bodyDiv w:val="1"/>
      <w:marLeft w:val="0"/>
      <w:marRight w:val="0"/>
      <w:marTop w:val="0"/>
      <w:marBottom w:val="0"/>
      <w:divBdr>
        <w:top w:val="none" w:sz="0" w:space="0" w:color="auto"/>
        <w:left w:val="none" w:sz="0" w:space="0" w:color="auto"/>
        <w:bottom w:val="none" w:sz="0" w:space="0" w:color="auto"/>
        <w:right w:val="none" w:sz="0" w:space="0" w:color="auto"/>
      </w:divBdr>
    </w:div>
    <w:div w:id="855584807">
      <w:bodyDiv w:val="1"/>
      <w:marLeft w:val="0"/>
      <w:marRight w:val="0"/>
      <w:marTop w:val="0"/>
      <w:marBottom w:val="0"/>
      <w:divBdr>
        <w:top w:val="none" w:sz="0" w:space="0" w:color="auto"/>
        <w:left w:val="none" w:sz="0" w:space="0" w:color="auto"/>
        <w:bottom w:val="none" w:sz="0" w:space="0" w:color="auto"/>
        <w:right w:val="none" w:sz="0" w:space="0" w:color="auto"/>
      </w:divBdr>
    </w:div>
    <w:div w:id="903494480">
      <w:bodyDiv w:val="1"/>
      <w:marLeft w:val="0"/>
      <w:marRight w:val="0"/>
      <w:marTop w:val="0"/>
      <w:marBottom w:val="0"/>
      <w:divBdr>
        <w:top w:val="none" w:sz="0" w:space="0" w:color="auto"/>
        <w:left w:val="none" w:sz="0" w:space="0" w:color="auto"/>
        <w:bottom w:val="none" w:sz="0" w:space="0" w:color="auto"/>
        <w:right w:val="none" w:sz="0" w:space="0" w:color="auto"/>
      </w:divBdr>
    </w:div>
    <w:div w:id="917860555">
      <w:bodyDiv w:val="1"/>
      <w:marLeft w:val="0"/>
      <w:marRight w:val="0"/>
      <w:marTop w:val="0"/>
      <w:marBottom w:val="0"/>
      <w:divBdr>
        <w:top w:val="none" w:sz="0" w:space="0" w:color="auto"/>
        <w:left w:val="none" w:sz="0" w:space="0" w:color="auto"/>
        <w:bottom w:val="none" w:sz="0" w:space="0" w:color="auto"/>
        <w:right w:val="none" w:sz="0" w:space="0" w:color="auto"/>
      </w:divBdr>
    </w:div>
    <w:div w:id="938215550">
      <w:bodyDiv w:val="1"/>
      <w:marLeft w:val="0"/>
      <w:marRight w:val="0"/>
      <w:marTop w:val="0"/>
      <w:marBottom w:val="0"/>
      <w:divBdr>
        <w:top w:val="none" w:sz="0" w:space="0" w:color="auto"/>
        <w:left w:val="none" w:sz="0" w:space="0" w:color="auto"/>
        <w:bottom w:val="none" w:sz="0" w:space="0" w:color="auto"/>
        <w:right w:val="none" w:sz="0" w:space="0" w:color="auto"/>
      </w:divBdr>
    </w:div>
    <w:div w:id="938951790">
      <w:bodyDiv w:val="1"/>
      <w:marLeft w:val="0"/>
      <w:marRight w:val="0"/>
      <w:marTop w:val="0"/>
      <w:marBottom w:val="0"/>
      <w:divBdr>
        <w:top w:val="none" w:sz="0" w:space="0" w:color="auto"/>
        <w:left w:val="none" w:sz="0" w:space="0" w:color="auto"/>
        <w:bottom w:val="none" w:sz="0" w:space="0" w:color="auto"/>
        <w:right w:val="none" w:sz="0" w:space="0" w:color="auto"/>
      </w:divBdr>
    </w:div>
    <w:div w:id="994913422">
      <w:bodyDiv w:val="1"/>
      <w:marLeft w:val="0"/>
      <w:marRight w:val="0"/>
      <w:marTop w:val="0"/>
      <w:marBottom w:val="0"/>
      <w:divBdr>
        <w:top w:val="none" w:sz="0" w:space="0" w:color="auto"/>
        <w:left w:val="none" w:sz="0" w:space="0" w:color="auto"/>
        <w:bottom w:val="none" w:sz="0" w:space="0" w:color="auto"/>
        <w:right w:val="none" w:sz="0" w:space="0" w:color="auto"/>
      </w:divBdr>
    </w:div>
    <w:div w:id="1003360841">
      <w:bodyDiv w:val="1"/>
      <w:marLeft w:val="0"/>
      <w:marRight w:val="0"/>
      <w:marTop w:val="0"/>
      <w:marBottom w:val="0"/>
      <w:divBdr>
        <w:top w:val="none" w:sz="0" w:space="0" w:color="auto"/>
        <w:left w:val="none" w:sz="0" w:space="0" w:color="auto"/>
        <w:bottom w:val="none" w:sz="0" w:space="0" w:color="auto"/>
        <w:right w:val="none" w:sz="0" w:space="0" w:color="auto"/>
      </w:divBdr>
    </w:div>
    <w:div w:id="1016154720">
      <w:bodyDiv w:val="1"/>
      <w:marLeft w:val="0"/>
      <w:marRight w:val="0"/>
      <w:marTop w:val="0"/>
      <w:marBottom w:val="0"/>
      <w:divBdr>
        <w:top w:val="none" w:sz="0" w:space="0" w:color="auto"/>
        <w:left w:val="none" w:sz="0" w:space="0" w:color="auto"/>
        <w:bottom w:val="none" w:sz="0" w:space="0" w:color="auto"/>
        <w:right w:val="none" w:sz="0" w:space="0" w:color="auto"/>
      </w:divBdr>
    </w:div>
    <w:div w:id="1056589140">
      <w:bodyDiv w:val="1"/>
      <w:marLeft w:val="0"/>
      <w:marRight w:val="0"/>
      <w:marTop w:val="0"/>
      <w:marBottom w:val="0"/>
      <w:divBdr>
        <w:top w:val="none" w:sz="0" w:space="0" w:color="auto"/>
        <w:left w:val="none" w:sz="0" w:space="0" w:color="auto"/>
        <w:bottom w:val="none" w:sz="0" w:space="0" w:color="auto"/>
        <w:right w:val="none" w:sz="0" w:space="0" w:color="auto"/>
      </w:divBdr>
    </w:div>
    <w:div w:id="1058866917">
      <w:bodyDiv w:val="1"/>
      <w:marLeft w:val="0"/>
      <w:marRight w:val="0"/>
      <w:marTop w:val="0"/>
      <w:marBottom w:val="0"/>
      <w:divBdr>
        <w:top w:val="none" w:sz="0" w:space="0" w:color="auto"/>
        <w:left w:val="none" w:sz="0" w:space="0" w:color="auto"/>
        <w:bottom w:val="none" w:sz="0" w:space="0" w:color="auto"/>
        <w:right w:val="none" w:sz="0" w:space="0" w:color="auto"/>
      </w:divBdr>
    </w:div>
    <w:div w:id="1076322230">
      <w:bodyDiv w:val="1"/>
      <w:marLeft w:val="0"/>
      <w:marRight w:val="0"/>
      <w:marTop w:val="0"/>
      <w:marBottom w:val="0"/>
      <w:divBdr>
        <w:top w:val="none" w:sz="0" w:space="0" w:color="auto"/>
        <w:left w:val="none" w:sz="0" w:space="0" w:color="auto"/>
        <w:bottom w:val="none" w:sz="0" w:space="0" w:color="auto"/>
        <w:right w:val="none" w:sz="0" w:space="0" w:color="auto"/>
      </w:divBdr>
    </w:div>
    <w:div w:id="1089546386">
      <w:bodyDiv w:val="1"/>
      <w:marLeft w:val="0"/>
      <w:marRight w:val="0"/>
      <w:marTop w:val="0"/>
      <w:marBottom w:val="0"/>
      <w:divBdr>
        <w:top w:val="none" w:sz="0" w:space="0" w:color="auto"/>
        <w:left w:val="none" w:sz="0" w:space="0" w:color="auto"/>
        <w:bottom w:val="none" w:sz="0" w:space="0" w:color="auto"/>
        <w:right w:val="none" w:sz="0" w:space="0" w:color="auto"/>
      </w:divBdr>
    </w:div>
    <w:div w:id="1146161668">
      <w:bodyDiv w:val="1"/>
      <w:marLeft w:val="0"/>
      <w:marRight w:val="0"/>
      <w:marTop w:val="0"/>
      <w:marBottom w:val="0"/>
      <w:divBdr>
        <w:top w:val="none" w:sz="0" w:space="0" w:color="auto"/>
        <w:left w:val="none" w:sz="0" w:space="0" w:color="auto"/>
        <w:bottom w:val="none" w:sz="0" w:space="0" w:color="auto"/>
        <w:right w:val="none" w:sz="0" w:space="0" w:color="auto"/>
      </w:divBdr>
    </w:div>
    <w:div w:id="1190295527">
      <w:bodyDiv w:val="1"/>
      <w:marLeft w:val="0"/>
      <w:marRight w:val="0"/>
      <w:marTop w:val="0"/>
      <w:marBottom w:val="0"/>
      <w:divBdr>
        <w:top w:val="none" w:sz="0" w:space="0" w:color="auto"/>
        <w:left w:val="none" w:sz="0" w:space="0" w:color="auto"/>
        <w:bottom w:val="none" w:sz="0" w:space="0" w:color="auto"/>
        <w:right w:val="none" w:sz="0" w:space="0" w:color="auto"/>
      </w:divBdr>
    </w:div>
    <w:div w:id="1234580891">
      <w:bodyDiv w:val="1"/>
      <w:marLeft w:val="0"/>
      <w:marRight w:val="0"/>
      <w:marTop w:val="0"/>
      <w:marBottom w:val="0"/>
      <w:divBdr>
        <w:top w:val="none" w:sz="0" w:space="0" w:color="auto"/>
        <w:left w:val="none" w:sz="0" w:space="0" w:color="auto"/>
        <w:bottom w:val="none" w:sz="0" w:space="0" w:color="auto"/>
        <w:right w:val="none" w:sz="0" w:space="0" w:color="auto"/>
      </w:divBdr>
    </w:div>
    <w:div w:id="1239555500">
      <w:bodyDiv w:val="1"/>
      <w:marLeft w:val="0"/>
      <w:marRight w:val="0"/>
      <w:marTop w:val="0"/>
      <w:marBottom w:val="0"/>
      <w:divBdr>
        <w:top w:val="none" w:sz="0" w:space="0" w:color="auto"/>
        <w:left w:val="none" w:sz="0" w:space="0" w:color="auto"/>
        <w:bottom w:val="none" w:sz="0" w:space="0" w:color="auto"/>
        <w:right w:val="none" w:sz="0" w:space="0" w:color="auto"/>
      </w:divBdr>
    </w:div>
    <w:div w:id="1251700133">
      <w:bodyDiv w:val="1"/>
      <w:marLeft w:val="0"/>
      <w:marRight w:val="0"/>
      <w:marTop w:val="0"/>
      <w:marBottom w:val="0"/>
      <w:divBdr>
        <w:top w:val="none" w:sz="0" w:space="0" w:color="auto"/>
        <w:left w:val="none" w:sz="0" w:space="0" w:color="auto"/>
        <w:bottom w:val="none" w:sz="0" w:space="0" w:color="auto"/>
        <w:right w:val="none" w:sz="0" w:space="0" w:color="auto"/>
      </w:divBdr>
    </w:div>
    <w:div w:id="1269966303">
      <w:bodyDiv w:val="1"/>
      <w:marLeft w:val="0"/>
      <w:marRight w:val="0"/>
      <w:marTop w:val="0"/>
      <w:marBottom w:val="0"/>
      <w:divBdr>
        <w:top w:val="none" w:sz="0" w:space="0" w:color="auto"/>
        <w:left w:val="none" w:sz="0" w:space="0" w:color="auto"/>
        <w:bottom w:val="none" w:sz="0" w:space="0" w:color="auto"/>
        <w:right w:val="none" w:sz="0" w:space="0" w:color="auto"/>
      </w:divBdr>
    </w:div>
    <w:div w:id="1284967764">
      <w:bodyDiv w:val="1"/>
      <w:marLeft w:val="0"/>
      <w:marRight w:val="0"/>
      <w:marTop w:val="0"/>
      <w:marBottom w:val="0"/>
      <w:divBdr>
        <w:top w:val="none" w:sz="0" w:space="0" w:color="auto"/>
        <w:left w:val="none" w:sz="0" w:space="0" w:color="auto"/>
        <w:bottom w:val="none" w:sz="0" w:space="0" w:color="auto"/>
        <w:right w:val="none" w:sz="0" w:space="0" w:color="auto"/>
      </w:divBdr>
    </w:div>
    <w:div w:id="1297906605">
      <w:bodyDiv w:val="1"/>
      <w:marLeft w:val="0"/>
      <w:marRight w:val="0"/>
      <w:marTop w:val="0"/>
      <w:marBottom w:val="0"/>
      <w:divBdr>
        <w:top w:val="none" w:sz="0" w:space="0" w:color="auto"/>
        <w:left w:val="none" w:sz="0" w:space="0" w:color="auto"/>
        <w:bottom w:val="none" w:sz="0" w:space="0" w:color="auto"/>
        <w:right w:val="none" w:sz="0" w:space="0" w:color="auto"/>
      </w:divBdr>
    </w:div>
    <w:div w:id="1304657031">
      <w:bodyDiv w:val="1"/>
      <w:marLeft w:val="0"/>
      <w:marRight w:val="0"/>
      <w:marTop w:val="0"/>
      <w:marBottom w:val="0"/>
      <w:divBdr>
        <w:top w:val="none" w:sz="0" w:space="0" w:color="auto"/>
        <w:left w:val="none" w:sz="0" w:space="0" w:color="auto"/>
        <w:bottom w:val="none" w:sz="0" w:space="0" w:color="auto"/>
        <w:right w:val="none" w:sz="0" w:space="0" w:color="auto"/>
      </w:divBdr>
    </w:div>
    <w:div w:id="1309675659">
      <w:bodyDiv w:val="1"/>
      <w:marLeft w:val="0"/>
      <w:marRight w:val="0"/>
      <w:marTop w:val="0"/>
      <w:marBottom w:val="0"/>
      <w:divBdr>
        <w:top w:val="none" w:sz="0" w:space="0" w:color="auto"/>
        <w:left w:val="none" w:sz="0" w:space="0" w:color="auto"/>
        <w:bottom w:val="none" w:sz="0" w:space="0" w:color="auto"/>
        <w:right w:val="none" w:sz="0" w:space="0" w:color="auto"/>
      </w:divBdr>
    </w:div>
    <w:div w:id="1362701946">
      <w:bodyDiv w:val="1"/>
      <w:marLeft w:val="0"/>
      <w:marRight w:val="0"/>
      <w:marTop w:val="0"/>
      <w:marBottom w:val="0"/>
      <w:divBdr>
        <w:top w:val="none" w:sz="0" w:space="0" w:color="auto"/>
        <w:left w:val="none" w:sz="0" w:space="0" w:color="auto"/>
        <w:bottom w:val="none" w:sz="0" w:space="0" w:color="auto"/>
        <w:right w:val="none" w:sz="0" w:space="0" w:color="auto"/>
      </w:divBdr>
    </w:div>
    <w:div w:id="1373962428">
      <w:bodyDiv w:val="1"/>
      <w:marLeft w:val="0"/>
      <w:marRight w:val="0"/>
      <w:marTop w:val="0"/>
      <w:marBottom w:val="0"/>
      <w:divBdr>
        <w:top w:val="none" w:sz="0" w:space="0" w:color="auto"/>
        <w:left w:val="none" w:sz="0" w:space="0" w:color="auto"/>
        <w:bottom w:val="none" w:sz="0" w:space="0" w:color="auto"/>
        <w:right w:val="none" w:sz="0" w:space="0" w:color="auto"/>
      </w:divBdr>
    </w:div>
    <w:div w:id="1377654829">
      <w:bodyDiv w:val="1"/>
      <w:marLeft w:val="0"/>
      <w:marRight w:val="0"/>
      <w:marTop w:val="0"/>
      <w:marBottom w:val="0"/>
      <w:divBdr>
        <w:top w:val="none" w:sz="0" w:space="0" w:color="auto"/>
        <w:left w:val="none" w:sz="0" w:space="0" w:color="auto"/>
        <w:bottom w:val="none" w:sz="0" w:space="0" w:color="auto"/>
        <w:right w:val="none" w:sz="0" w:space="0" w:color="auto"/>
      </w:divBdr>
    </w:div>
    <w:div w:id="1380125034">
      <w:bodyDiv w:val="1"/>
      <w:marLeft w:val="0"/>
      <w:marRight w:val="0"/>
      <w:marTop w:val="0"/>
      <w:marBottom w:val="0"/>
      <w:divBdr>
        <w:top w:val="none" w:sz="0" w:space="0" w:color="auto"/>
        <w:left w:val="none" w:sz="0" w:space="0" w:color="auto"/>
        <w:bottom w:val="none" w:sz="0" w:space="0" w:color="auto"/>
        <w:right w:val="none" w:sz="0" w:space="0" w:color="auto"/>
      </w:divBdr>
    </w:div>
    <w:div w:id="1402679467">
      <w:bodyDiv w:val="1"/>
      <w:marLeft w:val="0"/>
      <w:marRight w:val="0"/>
      <w:marTop w:val="0"/>
      <w:marBottom w:val="0"/>
      <w:divBdr>
        <w:top w:val="none" w:sz="0" w:space="0" w:color="auto"/>
        <w:left w:val="none" w:sz="0" w:space="0" w:color="auto"/>
        <w:bottom w:val="none" w:sz="0" w:space="0" w:color="auto"/>
        <w:right w:val="none" w:sz="0" w:space="0" w:color="auto"/>
      </w:divBdr>
    </w:div>
    <w:div w:id="1419256263">
      <w:bodyDiv w:val="1"/>
      <w:marLeft w:val="0"/>
      <w:marRight w:val="0"/>
      <w:marTop w:val="0"/>
      <w:marBottom w:val="0"/>
      <w:divBdr>
        <w:top w:val="none" w:sz="0" w:space="0" w:color="auto"/>
        <w:left w:val="none" w:sz="0" w:space="0" w:color="auto"/>
        <w:bottom w:val="none" w:sz="0" w:space="0" w:color="auto"/>
        <w:right w:val="none" w:sz="0" w:space="0" w:color="auto"/>
      </w:divBdr>
    </w:div>
    <w:div w:id="1427380172">
      <w:bodyDiv w:val="1"/>
      <w:marLeft w:val="0"/>
      <w:marRight w:val="0"/>
      <w:marTop w:val="0"/>
      <w:marBottom w:val="0"/>
      <w:divBdr>
        <w:top w:val="none" w:sz="0" w:space="0" w:color="auto"/>
        <w:left w:val="none" w:sz="0" w:space="0" w:color="auto"/>
        <w:bottom w:val="none" w:sz="0" w:space="0" w:color="auto"/>
        <w:right w:val="none" w:sz="0" w:space="0" w:color="auto"/>
      </w:divBdr>
    </w:div>
    <w:div w:id="1440877895">
      <w:bodyDiv w:val="1"/>
      <w:marLeft w:val="0"/>
      <w:marRight w:val="0"/>
      <w:marTop w:val="0"/>
      <w:marBottom w:val="0"/>
      <w:divBdr>
        <w:top w:val="none" w:sz="0" w:space="0" w:color="auto"/>
        <w:left w:val="none" w:sz="0" w:space="0" w:color="auto"/>
        <w:bottom w:val="none" w:sz="0" w:space="0" w:color="auto"/>
        <w:right w:val="none" w:sz="0" w:space="0" w:color="auto"/>
      </w:divBdr>
    </w:div>
    <w:div w:id="1469204950">
      <w:bodyDiv w:val="1"/>
      <w:marLeft w:val="0"/>
      <w:marRight w:val="0"/>
      <w:marTop w:val="0"/>
      <w:marBottom w:val="0"/>
      <w:divBdr>
        <w:top w:val="none" w:sz="0" w:space="0" w:color="auto"/>
        <w:left w:val="none" w:sz="0" w:space="0" w:color="auto"/>
        <w:bottom w:val="none" w:sz="0" w:space="0" w:color="auto"/>
        <w:right w:val="none" w:sz="0" w:space="0" w:color="auto"/>
      </w:divBdr>
    </w:div>
    <w:div w:id="1473643448">
      <w:bodyDiv w:val="1"/>
      <w:marLeft w:val="0"/>
      <w:marRight w:val="0"/>
      <w:marTop w:val="0"/>
      <w:marBottom w:val="0"/>
      <w:divBdr>
        <w:top w:val="none" w:sz="0" w:space="0" w:color="auto"/>
        <w:left w:val="none" w:sz="0" w:space="0" w:color="auto"/>
        <w:bottom w:val="none" w:sz="0" w:space="0" w:color="auto"/>
        <w:right w:val="none" w:sz="0" w:space="0" w:color="auto"/>
      </w:divBdr>
    </w:div>
    <w:div w:id="1480609628">
      <w:bodyDiv w:val="1"/>
      <w:marLeft w:val="0"/>
      <w:marRight w:val="0"/>
      <w:marTop w:val="0"/>
      <w:marBottom w:val="0"/>
      <w:divBdr>
        <w:top w:val="none" w:sz="0" w:space="0" w:color="auto"/>
        <w:left w:val="none" w:sz="0" w:space="0" w:color="auto"/>
        <w:bottom w:val="none" w:sz="0" w:space="0" w:color="auto"/>
        <w:right w:val="none" w:sz="0" w:space="0" w:color="auto"/>
      </w:divBdr>
    </w:div>
    <w:div w:id="1609433634">
      <w:bodyDiv w:val="1"/>
      <w:marLeft w:val="0"/>
      <w:marRight w:val="0"/>
      <w:marTop w:val="0"/>
      <w:marBottom w:val="0"/>
      <w:divBdr>
        <w:top w:val="none" w:sz="0" w:space="0" w:color="auto"/>
        <w:left w:val="none" w:sz="0" w:space="0" w:color="auto"/>
        <w:bottom w:val="none" w:sz="0" w:space="0" w:color="auto"/>
        <w:right w:val="none" w:sz="0" w:space="0" w:color="auto"/>
      </w:divBdr>
    </w:div>
    <w:div w:id="1609966741">
      <w:bodyDiv w:val="1"/>
      <w:marLeft w:val="0"/>
      <w:marRight w:val="0"/>
      <w:marTop w:val="0"/>
      <w:marBottom w:val="0"/>
      <w:divBdr>
        <w:top w:val="none" w:sz="0" w:space="0" w:color="auto"/>
        <w:left w:val="none" w:sz="0" w:space="0" w:color="auto"/>
        <w:bottom w:val="none" w:sz="0" w:space="0" w:color="auto"/>
        <w:right w:val="none" w:sz="0" w:space="0" w:color="auto"/>
      </w:divBdr>
    </w:div>
    <w:div w:id="1614552905">
      <w:bodyDiv w:val="1"/>
      <w:marLeft w:val="0"/>
      <w:marRight w:val="0"/>
      <w:marTop w:val="0"/>
      <w:marBottom w:val="0"/>
      <w:divBdr>
        <w:top w:val="none" w:sz="0" w:space="0" w:color="auto"/>
        <w:left w:val="none" w:sz="0" w:space="0" w:color="auto"/>
        <w:bottom w:val="none" w:sz="0" w:space="0" w:color="auto"/>
        <w:right w:val="none" w:sz="0" w:space="0" w:color="auto"/>
      </w:divBdr>
    </w:div>
    <w:div w:id="1630284296">
      <w:bodyDiv w:val="1"/>
      <w:marLeft w:val="0"/>
      <w:marRight w:val="0"/>
      <w:marTop w:val="0"/>
      <w:marBottom w:val="0"/>
      <w:divBdr>
        <w:top w:val="none" w:sz="0" w:space="0" w:color="auto"/>
        <w:left w:val="none" w:sz="0" w:space="0" w:color="auto"/>
        <w:bottom w:val="none" w:sz="0" w:space="0" w:color="auto"/>
        <w:right w:val="none" w:sz="0" w:space="0" w:color="auto"/>
      </w:divBdr>
    </w:div>
    <w:div w:id="1630360051">
      <w:bodyDiv w:val="1"/>
      <w:marLeft w:val="0"/>
      <w:marRight w:val="0"/>
      <w:marTop w:val="0"/>
      <w:marBottom w:val="0"/>
      <w:divBdr>
        <w:top w:val="none" w:sz="0" w:space="0" w:color="auto"/>
        <w:left w:val="none" w:sz="0" w:space="0" w:color="auto"/>
        <w:bottom w:val="none" w:sz="0" w:space="0" w:color="auto"/>
        <w:right w:val="none" w:sz="0" w:space="0" w:color="auto"/>
      </w:divBdr>
    </w:div>
    <w:div w:id="1644507910">
      <w:bodyDiv w:val="1"/>
      <w:marLeft w:val="0"/>
      <w:marRight w:val="0"/>
      <w:marTop w:val="0"/>
      <w:marBottom w:val="0"/>
      <w:divBdr>
        <w:top w:val="none" w:sz="0" w:space="0" w:color="auto"/>
        <w:left w:val="none" w:sz="0" w:space="0" w:color="auto"/>
        <w:bottom w:val="none" w:sz="0" w:space="0" w:color="auto"/>
        <w:right w:val="none" w:sz="0" w:space="0" w:color="auto"/>
      </w:divBdr>
    </w:div>
    <w:div w:id="1699159628">
      <w:bodyDiv w:val="1"/>
      <w:marLeft w:val="0"/>
      <w:marRight w:val="0"/>
      <w:marTop w:val="0"/>
      <w:marBottom w:val="0"/>
      <w:divBdr>
        <w:top w:val="none" w:sz="0" w:space="0" w:color="auto"/>
        <w:left w:val="none" w:sz="0" w:space="0" w:color="auto"/>
        <w:bottom w:val="none" w:sz="0" w:space="0" w:color="auto"/>
        <w:right w:val="none" w:sz="0" w:space="0" w:color="auto"/>
      </w:divBdr>
    </w:div>
    <w:div w:id="1722904292">
      <w:bodyDiv w:val="1"/>
      <w:marLeft w:val="0"/>
      <w:marRight w:val="0"/>
      <w:marTop w:val="0"/>
      <w:marBottom w:val="0"/>
      <w:divBdr>
        <w:top w:val="none" w:sz="0" w:space="0" w:color="auto"/>
        <w:left w:val="none" w:sz="0" w:space="0" w:color="auto"/>
        <w:bottom w:val="none" w:sz="0" w:space="0" w:color="auto"/>
        <w:right w:val="none" w:sz="0" w:space="0" w:color="auto"/>
      </w:divBdr>
    </w:div>
    <w:div w:id="1763137720">
      <w:bodyDiv w:val="1"/>
      <w:marLeft w:val="0"/>
      <w:marRight w:val="0"/>
      <w:marTop w:val="0"/>
      <w:marBottom w:val="0"/>
      <w:divBdr>
        <w:top w:val="none" w:sz="0" w:space="0" w:color="auto"/>
        <w:left w:val="none" w:sz="0" w:space="0" w:color="auto"/>
        <w:bottom w:val="none" w:sz="0" w:space="0" w:color="auto"/>
        <w:right w:val="none" w:sz="0" w:space="0" w:color="auto"/>
      </w:divBdr>
    </w:div>
    <w:div w:id="1783038161">
      <w:bodyDiv w:val="1"/>
      <w:marLeft w:val="0"/>
      <w:marRight w:val="0"/>
      <w:marTop w:val="0"/>
      <w:marBottom w:val="0"/>
      <w:divBdr>
        <w:top w:val="none" w:sz="0" w:space="0" w:color="auto"/>
        <w:left w:val="none" w:sz="0" w:space="0" w:color="auto"/>
        <w:bottom w:val="none" w:sz="0" w:space="0" w:color="auto"/>
        <w:right w:val="none" w:sz="0" w:space="0" w:color="auto"/>
      </w:divBdr>
    </w:div>
    <w:div w:id="1792091959">
      <w:bodyDiv w:val="1"/>
      <w:marLeft w:val="0"/>
      <w:marRight w:val="0"/>
      <w:marTop w:val="0"/>
      <w:marBottom w:val="0"/>
      <w:divBdr>
        <w:top w:val="none" w:sz="0" w:space="0" w:color="auto"/>
        <w:left w:val="none" w:sz="0" w:space="0" w:color="auto"/>
        <w:bottom w:val="none" w:sz="0" w:space="0" w:color="auto"/>
        <w:right w:val="none" w:sz="0" w:space="0" w:color="auto"/>
      </w:divBdr>
    </w:div>
    <w:div w:id="1797915491">
      <w:bodyDiv w:val="1"/>
      <w:marLeft w:val="0"/>
      <w:marRight w:val="0"/>
      <w:marTop w:val="0"/>
      <w:marBottom w:val="0"/>
      <w:divBdr>
        <w:top w:val="none" w:sz="0" w:space="0" w:color="auto"/>
        <w:left w:val="none" w:sz="0" w:space="0" w:color="auto"/>
        <w:bottom w:val="none" w:sz="0" w:space="0" w:color="auto"/>
        <w:right w:val="none" w:sz="0" w:space="0" w:color="auto"/>
      </w:divBdr>
    </w:div>
    <w:div w:id="1800611070">
      <w:bodyDiv w:val="1"/>
      <w:marLeft w:val="0"/>
      <w:marRight w:val="0"/>
      <w:marTop w:val="0"/>
      <w:marBottom w:val="0"/>
      <w:divBdr>
        <w:top w:val="none" w:sz="0" w:space="0" w:color="auto"/>
        <w:left w:val="none" w:sz="0" w:space="0" w:color="auto"/>
        <w:bottom w:val="none" w:sz="0" w:space="0" w:color="auto"/>
        <w:right w:val="none" w:sz="0" w:space="0" w:color="auto"/>
      </w:divBdr>
    </w:div>
    <w:div w:id="1869488184">
      <w:bodyDiv w:val="1"/>
      <w:marLeft w:val="0"/>
      <w:marRight w:val="0"/>
      <w:marTop w:val="0"/>
      <w:marBottom w:val="0"/>
      <w:divBdr>
        <w:top w:val="none" w:sz="0" w:space="0" w:color="auto"/>
        <w:left w:val="none" w:sz="0" w:space="0" w:color="auto"/>
        <w:bottom w:val="none" w:sz="0" w:space="0" w:color="auto"/>
        <w:right w:val="none" w:sz="0" w:space="0" w:color="auto"/>
      </w:divBdr>
    </w:div>
    <w:div w:id="1879538855">
      <w:bodyDiv w:val="1"/>
      <w:marLeft w:val="0"/>
      <w:marRight w:val="0"/>
      <w:marTop w:val="0"/>
      <w:marBottom w:val="0"/>
      <w:divBdr>
        <w:top w:val="none" w:sz="0" w:space="0" w:color="auto"/>
        <w:left w:val="none" w:sz="0" w:space="0" w:color="auto"/>
        <w:bottom w:val="none" w:sz="0" w:space="0" w:color="auto"/>
        <w:right w:val="none" w:sz="0" w:space="0" w:color="auto"/>
      </w:divBdr>
    </w:div>
    <w:div w:id="1880781534">
      <w:bodyDiv w:val="1"/>
      <w:marLeft w:val="0"/>
      <w:marRight w:val="0"/>
      <w:marTop w:val="0"/>
      <w:marBottom w:val="0"/>
      <w:divBdr>
        <w:top w:val="none" w:sz="0" w:space="0" w:color="auto"/>
        <w:left w:val="none" w:sz="0" w:space="0" w:color="auto"/>
        <w:bottom w:val="none" w:sz="0" w:space="0" w:color="auto"/>
        <w:right w:val="none" w:sz="0" w:space="0" w:color="auto"/>
      </w:divBdr>
    </w:div>
    <w:div w:id="1894845883">
      <w:bodyDiv w:val="1"/>
      <w:marLeft w:val="0"/>
      <w:marRight w:val="0"/>
      <w:marTop w:val="0"/>
      <w:marBottom w:val="0"/>
      <w:divBdr>
        <w:top w:val="none" w:sz="0" w:space="0" w:color="auto"/>
        <w:left w:val="none" w:sz="0" w:space="0" w:color="auto"/>
        <w:bottom w:val="none" w:sz="0" w:space="0" w:color="auto"/>
        <w:right w:val="none" w:sz="0" w:space="0" w:color="auto"/>
      </w:divBdr>
    </w:div>
    <w:div w:id="1899436033">
      <w:bodyDiv w:val="1"/>
      <w:marLeft w:val="0"/>
      <w:marRight w:val="0"/>
      <w:marTop w:val="0"/>
      <w:marBottom w:val="0"/>
      <w:divBdr>
        <w:top w:val="none" w:sz="0" w:space="0" w:color="auto"/>
        <w:left w:val="none" w:sz="0" w:space="0" w:color="auto"/>
        <w:bottom w:val="none" w:sz="0" w:space="0" w:color="auto"/>
        <w:right w:val="none" w:sz="0" w:space="0" w:color="auto"/>
      </w:divBdr>
    </w:div>
    <w:div w:id="1919174785">
      <w:bodyDiv w:val="1"/>
      <w:marLeft w:val="0"/>
      <w:marRight w:val="0"/>
      <w:marTop w:val="0"/>
      <w:marBottom w:val="0"/>
      <w:divBdr>
        <w:top w:val="none" w:sz="0" w:space="0" w:color="auto"/>
        <w:left w:val="none" w:sz="0" w:space="0" w:color="auto"/>
        <w:bottom w:val="none" w:sz="0" w:space="0" w:color="auto"/>
        <w:right w:val="none" w:sz="0" w:space="0" w:color="auto"/>
      </w:divBdr>
    </w:div>
    <w:div w:id="1933006258">
      <w:bodyDiv w:val="1"/>
      <w:marLeft w:val="0"/>
      <w:marRight w:val="0"/>
      <w:marTop w:val="0"/>
      <w:marBottom w:val="0"/>
      <w:divBdr>
        <w:top w:val="none" w:sz="0" w:space="0" w:color="auto"/>
        <w:left w:val="none" w:sz="0" w:space="0" w:color="auto"/>
        <w:bottom w:val="none" w:sz="0" w:space="0" w:color="auto"/>
        <w:right w:val="none" w:sz="0" w:space="0" w:color="auto"/>
      </w:divBdr>
      <w:divsChild>
        <w:div w:id="1848055903">
          <w:marLeft w:val="0"/>
          <w:marRight w:val="0"/>
          <w:marTop w:val="0"/>
          <w:marBottom w:val="0"/>
          <w:divBdr>
            <w:top w:val="single" w:sz="8" w:space="0" w:color="63B6D4"/>
            <w:left w:val="none" w:sz="0" w:space="0" w:color="auto"/>
            <w:bottom w:val="none" w:sz="0" w:space="0" w:color="auto"/>
            <w:right w:val="none" w:sz="0" w:space="0" w:color="auto"/>
          </w:divBdr>
          <w:divsChild>
            <w:div w:id="1055812889">
              <w:marLeft w:val="0"/>
              <w:marRight w:val="0"/>
              <w:marTop w:val="0"/>
              <w:marBottom w:val="0"/>
              <w:divBdr>
                <w:top w:val="none" w:sz="0" w:space="0" w:color="auto"/>
                <w:left w:val="none" w:sz="0" w:space="0" w:color="auto"/>
                <w:bottom w:val="none" w:sz="0" w:space="0" w:color="auto"/>
                <w:right w:val="none" w:sz="0" w:space="0" w:color="auto"/>
              </w:divBdr>
              <w:divsChild>
                <w:div w:id="294025700">
                  <w:marLeft w:val="203"/>
                  <w:marRight w:val="203"/>
                  <w:marTop w:val="203"/>
                  <w:marBottom w:val="0"/>
                  <w:divBdr>
                    <w:top w:val="none" w:sz="0" w:space="0" w:color="auto"/>
                    <w:left w:val="none" w:sz="0" w:space="0" w:color="auto"/>
                    <w:bottom w:val="none" w:sz="0" w:space="0" w:color="auto"/>
                    <w:right w:val="none" w:sz="0" w:space="0" w:color="auto"/>
                  </w:divBdr>
                  <w:divsChild>
                    <w:div w:id="1102528023">
                      <w:marLeft w:val="304"/>
                      <w:marRight w:val="203"/>
                      <w:marTop w:val="203"/>
                      <w:marBottom w:val="406"/>
                      <w:divBdr>
                        <w:top w:val="none" w:sz="0" w:space="0" w:color="auto"/>
                        <w:left w:val="none" w:sz="0" w:space="0" w:color="auto"/>
                        <w:bottom w:val="none" w:sz="0" w:space="0" w:color="auto"/>
                        <w:right w:val="none" w:sz="0" w:space="0" w:color="auto"/>
                      </w:divBdr>
                    </w:div>
                  </w:divsChild>
                </w:div>
              </w:divsChild>
            </w:div>
          </w:divsChild>
        </w:div>
      </w:divsChild>
    </w:div>
    <w:div w:id="1973711394">
      <w:bodyDiv w:val="1"/>
      <w:marLeft w:val="0"/>
      <w:marRight w:val="0"/>
      <w:marTop w:val="0"/>
      <w:marBottom w:val="0"/>
      <w:divBdr>
        <w:top w:val="none" w:sz="0" w:space="0" w:color="auto"/>
        <w:left w:val="none" w:sz="0" w:space="0" w:color="auto"/>
        <w:bottom w:val="none" w:sz="0" w:space="0" w:color="auto"/>
        <w:right w:val="none" w:sz="0" w:space="0" w:color="auto"/>
      </w:divBdr>
    </w:div>
    <w:div w:id="2005274782">
      <w:bodyDiv w:val="1"/>
      <w:marLeft w:val="0"/>
      <w:marRight w:val="0"/>
      <w:marTop w:val="0"/>
      <w:marBottom w:val="0"/>
      <w:divBdr>
        <w:top w:val="none" w:sz="0" w:space="0" w:color="auto"/>
        <w:left w:val="none" w:sz="0" w:space="0" w:color="auto"/>
        <w:bottom w:val="none" w:sz="0" w:space="0" w:color="auto"/>
        <w:right w:val="none" w:sz="0" w:space="0" w:color="auto"/>
      </w:divBdr>
    </w:div>
    <w:div w:id="2020155389">
      <w:bodyDiv w:val="1"/>
      <w:marLeft w:val="0"/>
      <w:marRight w:val="0"/>
      <w:marTop w:val="0"/>
      <w:marBottom w:val="0"/>
      <w:divBdr>
        <w:top w:val="none" w:sz="0" w:space="0" w:color="auto"/>
        <w:left w:val="none" w:sz="0" w:space="0" w:color="auto"/>
        <w:bottom w:val="none" w:sz="0" w:space="0" w:color="auto"/>
        <w:right w:val="none" w:sz="0" w:space="0" w:color="auto"/>
      </w:divBdr>
    </w:div>
    <w:div w:id="2020424118">
      <w:bodyDiv w:val="1"/>
      <w:marLeft w:val="0"/>
      <w:marRight w:val="0"/>
      <w:marTop w:val="0"/>
      <w:marBottom w:val="0"/>
      <w:divBdr>
        <w:top w:val="none" w:sz="0" w:space="0" w:color="auto"/>
        <w:left w:val="none" w:sz="0" w:space="0" w:color="auto"/>
        <w:bottom w:val="none" w:sz="0" w:space="0" w:color="auto"/>
        <w:right w:val="none" w:sz="0" w:space="0" w:color="auto"/>
      </w:divBdr>
    </w:div>
    <w:div w:id="2041398690">
      <w:bodyDiv w:val="1"/>
      <w:marLeft w:val="0"/>
      <w:marRight w:val="0"/>
      <w:marTop w:val="0"/>
      <w:marBottom w:val="0"/>
      <w:divBdr>
        <w:top w:val="none" w:sz="0" w:space="0" w:color="auto"/>
        <w:left w:val="none" w:sz="0" w:space="0" w:color="auto"/>
        <w:bottom w:val="none" w:sz="0" w:space="0" w:color="auto"/>
        <w:right w:val="none" w:sz="0" w:space="0" w:color="auto"/>
      </w:divBdr>
    </w:div>
    <w:div w:id="2073960960">
      <w:bodyDiv w:val="1"/>
      <w:marLeft w:val="0"/>
      <w:marRight w:val="0"/>
      <w:marTop w:val="0"/>
      <w:marBottom w:val="0"/>
      <w:divBdr>
        <w:top w:val="none" w:sz="0" w:space="0" w:color="auto"/>
        <w:left w:val="none" w:sz="0" w:space="0" w:color="auto"/>
        <w:bottom w:val="none" w:sz="0" w:space="0" w:color="auto"/>
        <w:right w:val="none" w:sz="0" w:space="0" w:color="auto"/>
      </w:divBdr>
    </w:div>
    <w:div w:id="2123764638">
      <w:bodyDiv w:val="1"/>
      <w:marLeft w:val="0"/>
      <w:marRight w:val="0"/>
      <w:marTop w:val="0"/>
      <w:marBottom w:val="0"/>
      <w:divBdr>
        <w:top w:val="none" w:sz="0" w:space="0" w:color="auto"/>
        <w:left w:val="none" w:sz="0" w:space="0" w:color="auto"/>
        <w:bottom w:val="none" w:sz="0" w:space="0" w:color="auto"/>
        <w:right w:val="none" w:sz="0" w:space="0" w:color="auto"/>
      </w:divBdr>
    </w:div>
    <w:div w:id="213162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pansa.gov.au/sites/default/files/irrs_australia_report_2018.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ub.iaea.org/MTCD/Publications/PDF/SVS-23_web.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1.health.gov.au/internet/main/publishing.nsf/Content/ohp-biosec-JEE.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FB7F1B3342664D914BF632E516CAB9" ma:contentTypeVersion="13" ma:contentTypeDescription="Create a new document." ma:contentTypeScope="" ma:versionID="bcb75cbf680bfbe149b7c72f95404256">
  <xsd:schema xmlns:xsd="http://www.w3.org/2001/XMLSchema" xmlns:xs="http://www.w3.org/2001/XMLSchema" xmlns:p="http://schemas.microsoft.com/office/2006/metadata/properties" xmlns:ns3="16b66797-d361-45c1-aa90-bc5e3fc2723c" xmlns:ns4="96871ce3-3694-452a-a3bd-fd8f437a6f33" targetNamespace="http://schemas.microsoft.com/office/2006/metadata/properties" ma:root="true" ma:fieldsID="2106770f225d8c1201a57efa04785610" ns3:_="" ns4:_="">
    <xsd:import namespace="16b66797-d361-45c1-aa90-bc5e3fc2723c"/>
    <xsd:import namespace="96871ce3-3694-452a-a3bd-fd8f437a6f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66797-d361-45c1-aa90-bc5e3fc27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71ce3-3694-452a-a3bd-fd8f437a6f3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DD85C-8AA3-4639-BDCB-2554A276C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66797-d361-45c1-aa90-bc5e3fc2723c"/>
    <ds:schemaRef ds:uri="96871ce3-3694-452a-a3bd-fd8f437a6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9441E7-A969-4768-BDCA-3C40A4E98B6A}">
  <ds:schemaRefs>
    <ds:schemaRef ds:uri="http://schemas.microsoft.com/sharepoint/v3/contenttype/forms"/>
  </ds:schemaRefs>
</ds:datastoreItem>
</file>

<file path=customXml/itemProps3.xml><?xml version="1.0" encoding="utf-8"?>
<ds:datastoreItem xmlns:ds="http://schemas.openxmlformats.org/officeDocument/2006/customXml" ds:itemID="{B3C1D0DE-EDFD-4D04-BD1F-408972699FC6}">
  <ds:schemaRefs>
    <ds:schemaRef ds:uri="http://purl.org/dc/terms/"/>
    <ds:schemaRef ds:uri="http://schemas.openxmlformats.org/package/2006/metadata/core-properties"/>
    <ds:schemaRef ds:uri="16b66797-d361-45c1-aa90-bc5e3fc2723c"/>
    <ds:schemaRef ds:uri="http://schemas.microsoft.com/office/2006/documentManagement/types"/>
    <ds:schemaRef ds:uri="http://schemas.microsoft.com/office/infopath/2007/PartnerControls"/>
    <ds:schemaRef ds:uri="http://purl.org/dc/elements/1.1/"/>
    <ds:schemaRef ds:uri="http://schemas.microsoft.com/office/2006/metadata/properties"/>
    <ds:schemaRef ds:uri="96871ce3-3694-452a-a3bd-fd8f437a6f33"/>
    <ds:schemaRef ds:uri="http://www.w3.org/XML/1998/namespace"/>
    <ds:schemaRef ds:uri="http://purl.org/dc/dcmitype/"/>
  </ds:schemaRefs>
</ds:datastoreItem>
</file>

<file path=customXml/itemProps4.xml><?xml version="1.0" encoding="utf-8"?>
<ds:datastoreItem xmlns:ds="http://schemas.openxmlformats.org/officeDocument/2006/customXml" ds:itemID="{FE70FC42-267C-43B8-BEB9-5E0782E5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6474</Words>
  <Characters>36905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IRRS Action Plan</vt:lpstr>
    </vt:vector>
  </TitlesOfParts>
  <Company/>
  <LinksUpToDate>false</LinksUpToDate>
  <CharactersWithSpaces>43293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IRRS Action Plan</dc:title>
  <dc:subject/>
  <dc:creator/>
  <cp:keywords>IRRS</cp:keywords>
  <cp:lastModifiedBy/>
  <cp:revision>1</cp:revision>
  <dcterms:created xsi:type="dcterms:W3CDTF">2021-06-03T05:44:00Z</dcterms:created>
  <dcterms:modified xsi:type="dcterms:W3CDTF">2021-06-03T05:46:00Z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0x010100FFFB7F1B3342664D914BF632E516CAB9</vt:lpwstr>
  </property>
</Properties>
</file>