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063" w:rsidRPr="00346A27" w:rsidRDefault="007E7063" w:rsidP="007E7063">
      <w:pPr>
        <w:pStyle w:val="AgencyTitle"/>
      </w:pPr>
      <w:bookmarkStart w:id="0" w:name="_GoBack"/>
      <w:bookmarkEnd w:id="0"/>
      <w:r w:rsidRPr="00346A27">
        <w:rPr>
          <w:snapToGrid w:val="0"/>
        </w:rPr>
        <w:t>Australian Radiation Protection and Nuclear Safety Agency</w:t>
      </w:r>
    </w:p>
    <w:p w:rsidR="007E7063" w:rsidRPr="00346A27" w:rsidRDefault="007E7063" w:rsidP="007E7063">
      <w:pPr>
        <w:tabs>
          <w:tab w:val="left" w:pos="5830"/>
        </w:tabs>
        <w:ind w:right="-68"/>
        <w:jc w:val="center"/>
        <w:rPr>
          <w:b/>
          <w:bCs/>
          <w:sz w:val="56"/>
          <w:szCs w:val="56"/>
        </w:rPr>
      </w:pPr>
    </w:p>
    <w:p w:rsidR="007E7063" w:rsidRPr="00346A27" w:rsidRDefault="000422F4" w:rsidP="007E7063">
      <w:pPr>
        <w:pStyle w:val="AgencySubtitle"/>
      </w:pPr>
      <w:r w:rsidRPr="00346A27">
        <w:t xml:space="preserve">Entity </w:t>
      </w:r>
      <w:r w:rsidR="007E7063" w:rsidRPr="00346A27">
        <w:t>Res</w:t>
      </w:r>
      <w:r w:rsidR="00EB0950">
        <w:t xml:space="preserve">ources and </w:t>
      </w:r>
      <w:r w:rsidR="00EB0950">
        <w:br/>
        <w:t>Planned Performance</w:t>
      </w:r>
    </w:p>
    <w:p w:rsidR="007E7063" w:rsidRPr="00346A27" w:rsidRDefault="007E7063" w:rsidP="0096146C">
      <w:pPr>
        <w:rPr>
          <w:szCs w:val="44"/>
        </w:rPr>
      </w:pPr>
      <w:r w:rsidRPr="00346A27">
        <w:br w:type="page"/>
      </w:r>
    </w:p>
    <w:p w:rsidR="007E7063" w:rsidRPr="00346A27" w:rsidRDefault="007E7063" w:rsidP="007E7063"/>
    <w:p w:rsidR="007E7063" w:rsidRPr="00346A27" w:rsidRDefault="007E7063" w:rsidP="0096146C">
      <w:pPr>
        <w:sectPr w:rsidR="007E7063" w:rsidRPr="00346A27" w:rsidSect="006B7BAE">
          <w:headerReference w:type="even" r:id="rId9"/>
          <w:headerReference w:type="default" r:id="rId10"/>
          <w:footerReference w:type="even" r:id="rId11"/>
          <w:footerReference w:type="default" r:id="rId12"/>
          <w:headerReference w:type="first" r:id="rId13"/>
          <w:footerReference w:type="first" r:id="rId14"/>
          <w:pgSz w:w="11907" w:h="16840" w:code="9"/>
          <w:pgMar w:top="4288" w:right="2268" w:bottom="2268" w:left="2268" w:header="1899" w:footer="1899" w:gutter="0"/>
          <w:pgNumType w:start="237"/>
          <w:cols w:space="720"/>
          <w:vAlign w:val="center"/>
          <w:noEndnote/>
          <w:docGrid w:linePitch="272"/>
        </w:sectPr>
      </w:pPr>
    </w:p>
    <w:p w:rsidR="007E7063" w:rsidRPr="00346A27" w:rsidRDefault="007E7063" w:rsidP="007E7063">
      <w:pPr>
        <w:pStyle w:val="AgencyContents"/>
      </w:pPr>
      <w:r w:rsidRPr="00346A27">
        <w:rPr>
          <w:snapToGrid w:val="0"/>
        </w:rPr>
        <w:lastRenderedPageBreak/>
        <w:t>Australian Radiation Protection and Nuclear Safety Agency</w:t>
      </w:r>
    </w:p>
    <w:p w:rsidR="007E7063" w:rsidRPr="00346A27" w:rsidRDefault="007E7063" w:rsidP="007E7063">
      <w:pPr>
        <w:pBdr>
          <w:bottom w:val="single" w:sz="4" w:space="1" w:color="auto"/>
        </w:pBdr>
        <w:tabs>
          <w:tab w:val="left" w:leader="dot" w:pos="567"/>
          <w:tab w:val="right" w:leader="dot" w:pos="7371"/>
        </w:tabs>
        <w:spacing w:before="100" w:beforeAutospacing="1" w:after="240"/>
        <w:jc w:val="right"/>
        <w:rPr>
          <w:rFonts w:ascii="Arial" w:hAnsi="Arial" w:cs="Arial"/>
          <w:bCs/>
        </w:rPr>
      </w:pPr>
      <w:r w:rsidRPr="00346A27">
        <w:rPr>
          <w:rFonts w:ascii="Arial" w:hAnsi="Arial" w:cs="Arial"/>
          <w:bCs/>
        </w:rPr>
        <w:t xml:space="preserve">Health Portfolio </w:t>
      </w:r>
      <w:r w:rsidR="000422F4" w:rsidRPr="00346A27">
        <w:rPr>
          <w:rFonts w:ascii="Arial" w:hAnsi="Arial" w:cs="Arial"/>
          <w:bCs/>
        </w:rPr>
        <w:t>Entity</w:t>
      </w:r>
    </w:p>
    <w:p w:rsidR="007E7063" w:rsidRPr="00346A27" w:rsidRDefault="007E7063" w:rsidP="007E7063">
      <w:pPr>
        <w:pBdr>
          <w:bottom w:val="single" w:sz="4" w:space="1" w:color="auto"/>
        </w:pBdr>
        <w:tabs>
          <w:tab w:val="left" w:leader="dot" w:pos="567"/>
          <w:tab w:val="right" w:leader="dot" w:pos="7371"/>
        </w:tabs>
        <w:spacing w:before="100" w:beforeAutospacing="1" w:after="240"/>
        <w:jc w:val="right"/>
        <w:rPr>
          <w:rFonts w:ascii="Arial" w:hAnsi="Arial" w:cs="Arial"/>
          <w:bCs/>
        </w:rPr>
      </w:pPr>
    </w:p>
    <w:p w:rsidR="007E7063" w:rsidRPr="00346A27" w:rsidRDefault="007E7063" w:rsidP="007E7063">
      <w:pPr>
        <w:tabs>
          <w:tab w:val="left" w:leader="dot" w:pos="567"/>
          <w:tab w:val="left" w:pos="709"/>
          <w:tab w:val="right" w:leader="dot" w:pos="7371"/>
        </w:tabs>
        <w:spacing w:before="960"/>
        <w:outlineLvl w:val="1"/>
        <w:rPr>
          <w:rFonts w:ascii="Arial" w:hAnsi="Arial" w:cs="Arial"/>
          <w:b/>
        </w:rPr>
      </w:pPr>
      <w:r w:rsidRPr="00346A27">
        <w:rPr>
          <w:rFonts w:ascii="Arial" w:hAnsi="Arial" w:cs="Arial"/>
          <w:b/>
        </w:rPr>
        <w:fldChar w:fldCharType="begin"/>
      </w:r>
      <w:r w:rsidRPr="00346A27">
        <w:rPr>
          <w:rFonts w:ascii="Arial" w:hAnsi="Arial" w:cs="Arial"/>
          <w:b/>
        </w:rPr>
        <w:instrText xml:space="preserve"> TOC \t "Heading 2,1,Heading 3,2" </w:instrText>
      </w:r>
      <w:r w:rsidRPr="00346A27">
        <w:rPr>
          <w:rFonts w:ascii="Arial" w:hAnsi="Arial" w:cs="Arial"/>
          <w:b/>
        </w:rPr>
        <w:fldChar w:fldCharType="separate"/>
      </w:r>
      <w:r w:rsidRPr="00346A27">
        <w:rPr>
          <w:rFonts w:ascii="Arial" w:hAnsi="Arial" w:cs="Arial"/>
          <w:b/>
        </w:rPr>
        <w:t xml:space="preserve">Section 1: </w:t>
      </w:r>
      <w:r w:rsidR="000422F4" w:rsidRPr="00346A27">
        <w:rPr>
          <w:rFonts w:ascii="Arial" w:hAnsi="Arial" w:cs="Arial"/>
          <w:b/>
          <w:bCs/>
        </w:rPr>
        <w:t>Entity</w:t>
      </w:r>
      <w:r w:rsidRPr="00346A27">
        <w:rPr>
          <w:rFonts w:ascii="Arial" w:hAnsi="Arial" w:cs="Arial"/>
          <w:b/>
        </w:rPr>
        <w:t xml:space="preserve"> Overview and Resources</w:t>
      </w:r>
    </w:p>
    <w:p w:rsidR="007E7063" w:rsidRPr="00346A27" w:rsidRDefault="007E7063" w:rsidP="007E7063">
      <w:pPr>
        <w:tabs>
          <w:tab w:val="left" w:pos="709"/>
          <w:tab w:val="right" w:leader="dot" w:pos="7371"/>
        </w:tabs>
        <w:spacing w:before="60"/>
        <w:rPr>
          <w:rFonts w:ascii="Arial" w:hAnsi="Arial" w:cs="Arial"/>
        </w:rPr>
      </w:pPr>
      <w:r w:rsidRPr="00346A27">
        <w:rPr>
          <w:rFonts w:ascii="Arial" w:hAnsi="Arial" w:cs="Arial"/>
        </w:rPr>
        <w:t>1.1:</w:t>
      </w:r>
      <w:r w:rsidRPr="00346A27">
        <w:rPr>
          <w:rFonts w:ascii="Arial" w:hAnsi="Arial" w:cs="Arial"/>
        </w:rPr>
        <w:tab/>
        <w:t>Strategic Direction Statement</w:t>
      </w:r>
      <w:r w:rsidRPr="00346A27">
        <w:rPr>
          <w:rFonts w:ascii="Arial" w:hAnsi="Arial" w:cs="Arial"/>
        </w:rPr>
        <w:tab/>
      </w:r>
      <w:r w:rsidR="0048681C">
        <w:rPr>
          <w:rFonts w:ascii="Arial" w:hAnsi="Arial" w:cs="Arial"/>
        </w:rPr>
        <w:t>240</w:t>
      </w:r>
    </w:p>
    <w:p w:rsidR="007E7063" w:rsidRPr="00346A27" w:rsidRDefault="007E7063" w:rsidP="007E7063">
      <w:pPr>
        <w:tabs>
          <w:tab w:val="left" w:pos="709"/>
          <w:tab w:val="right" w:leader="dot" w:pos="7371"/>
        </w:tabs>
        <w:spacing w:before="60"/>
        <w:rPr>
          <w:rFonts w:ascii="Arial" w:hAnsi="Arial" w:cs="Arial"/>
        </w:rPr>
      </w:pPr>
      <w:r w:rsidRPr="00346A27">
        <w:rPr>
          <w:rFonts w:ascii="Arial" w:hAnsi="Arial" w:cs="Arial"/>
        </w:rPr>
        <w:t>1.2:</w:t>
      </w:r>
      <w:r w:rsidRPr="00346A27">
        <w:rPr>
          <w:rFonts w:ascii="Arial" w:hAnsi="Arial" w:cs="Arial"/>
        </w:rPr>
        <w:tab/>
      </w:r>
      <w:r w:rsidR="000422F4" w:rsidRPr="00346A27">
        <w:rPr>
          <w:rFonts w:ascii="Arial" w:hAnsi="Arial" w:cs="Arial"/>
          <w:bCs/>
        </w:rPr>
        <w:t>Entity</w:t>
      </w:r>
      <w:r w:rsidRPr="00346A27">
        <w:rPr>
          <w:rFonts w:ascii="Arial" w:hAnsi="Arial" w:cs="Arial"/>
        </w:rPr>
        <w:t xml:space="preserve"> Resource Statement</w:t>
      </w:r>
      <w:r w:rsidRPr="00346A27">
        <w:rPr>
          <w:rFonts w:ascii="Arial" w:hAnsi="Arial" w:cs="Arial"/>
        </w:rPr>
        <w:tab/>
      </w:r>
      <w:r w:rsidR="0048681C">
        <w:rPr>
          <w:rFonts w:ascii="Arial" w:hAnsi="Arial" w:cs="Arial"/>
        </w:rPr>
        <w:t>240</w:t>
      </w:r>
    </w:p>
    <w:p w:rsidR="007E7063" w:rsidRPr="00346A27" w:rsidRDefault="007E7063" w:rsidP="007E7063">
      <w:pPr>
        <w:tabs>
          <w:tab w:val="left" w:pos="709"/>
          <w:tab w:val="right" w:leader="dot" w:pos="7371"/>
        </w:tabs>
        <w:spacing w:before="60"/>
        <w:jc w:val="right"/>
        <w:rPr>
          <w:rFonts w:ascii="Arial" w:hAnsi="Arial" w:cs="Arial"/>
        </w:rPr>
      </w:pPr>
      <w:r w:rsidRPr="00346A27">
        <w:rPr>
          <w:rFonts w:ascii="Arial" w:hAnsi="Arial" w:cs="Arial"/>
        </w:rPr>
        <w:t>1.3:</w:t>
      </w:r>
      <w:r w:rsidRPr="00346A27">
        <w:rPr>
          <w:rFonts w:ascii="Arial" w:hAnsi="Arial" w:cs="Arial"/>
        </w:rPr>
        <w:tab/>
        <w:t>Budget Measures</w:t>
      </w:r>
      <w:r w:rsidRPr="00346A27">
        <w:rPr>
          <w:rFonts w:ascii="Arial" w:hAnsi="Arial" w:cs="Arial"/>
        </w:rPr>
        <w:tab/>
      </w:r>
      <w:r w:rsidR="0048681C">
        <w:rPr>
          <w:rFonts w:ascii="Arial" w:hAnsi="Arial" w:cs="Arial"/>
        </w:rPr>
        <w:t>242</w:t>
      </w:r>
    </w:p>
    <w:p w:rsidR="007E7063" w:rsidRPr="00346A27" w:rsidRDefault="007E7063" w:rsidP="007E7063">
      <w:pPr>
        <w:tabs>
          <w:tab w:val="left" w:pos="567"/>
          <w:tab w:val="right" w:leader="dot" w:pos="7371"/>
        </w:tabs>
        <w:spacing w:before="180"/>
        <w:outlineLvl w:val="1"/>
        <w:rPr>
          <w:rFonts w:ascii="Arial" w:hAnsi="Arial" w:cs="Arial"/>
          <w:b/>
        </w:rPr>
      </w:pPr>
      <w:r w:rsidRPr="00346A27">
        <w:rPr>
          <w:rFonts w:ascii="Arial" w:hAnsi="Arial" w:cs="Arial"/>
          <w:b/>
        </w:rPr>
        <w:t>Section 2: Outcomes and Planned Performance</w:t>
      </w:r>
    </w:p>
    <w:p w:rsidR="007E7063" w:rsidRPr="00346A27" w:rsidRDefault="007E7063" w:rsidP="007E7063">
      <w:pPr>
        <w:tabs>
          <w:tab w:val="left" w:pos="709"/>
          <w:tab w:val="right" w:leader="dot" w:pos="7371"/>
        </w:tabs>
        <w:spacing w:before="60"/>
        <w:rPr>
          <w:rFonts w:ascii="Arial" w:hAnsi="Arial" w:cs="Arial"/>
        </w:rPr>
      </w:pPr>
      <w:r w:rsidRPr="00346A27">
        <w:rPr>
          <w:rFonts w:ascii="Arial" w:hAnsi="Arial" w:cs="Arial"/>
        </w:rPr>
        <w:t>2.1:</w:t>
      </w:r>
      <w:r w:rsidRPr="00346A27">
        <w:rPr>
          <w:rFonts w:ascii="Arial" w:hAnsi="Arial" w:cs="Arial"/>
        </w:rPr>
        <w:tab/>
        <w:t>Outcomes and Performance Information</w:t>
      </w:r>
      <w:r w:rsidRPr="00346A27">
        <w:rPr>
          <w:rFonts w:ascii="Arial" w:hAnsi="Arial" w:cs="Arial"/>
        </w:rPr>
        <w:tab/>
      </w:r>
      <w:r w:rsidR="0048681C">
        <w:rPr>
          <w:rFonts w:ascii="Arial" w:hAnsi="Arial" w:cs="Arial"/>
        </w:rPr>
        <w:t>243</w:t>
      </w:r>
    </w:p>
    <w:p w:rsidR="007E7063" w:rsidRPr="00346A27" w:rsidRDefault="007E7063" w:rsidP="007E7063">
      <w:pPr>
        <w:tabs>
          <w:tab w:val="left" w:pos="567"/>
          <w:tab w:val="right" w:leader="dot" w:pos="7371"/>
        </w:tabs>
        <w:spacing w:before="180"/>
        <w:outlineLvl w:val="1"/>
        <w:rPr>
          <w:rFonts w:ascii="Arial" w:hAnsi="Arial" w:cs="Arial"/>
          <w:b/>
        </w:rPr>
      </w:pPr>
      <w:r w:rsidRPr="00346A27">
        <w:rPr>
          <w:rFonts w:ascii="Arial" w:hAnsi="Arial" w:cs="Arial"/>
          <w:b/>
        </w:rPr>
        <w:t>Section 3: Explanatory Tables and Budgeted Financial Statements</w:t>
      </w:r>
    </w:p>
    <w:p w:rsidR="007E7063" w:rsidRPr="00346A27" w:rsidRDefault="007E7063" w:rsidP="007E7063">
      <w:pPr>
        <w:tabs>
          <w:tab w:val="left" w:pos="709"/>
          <w:tab w:val="right" w:leader="dot" w:pos="7371"/>
        </w:tabs>
        <w:spacing w:before="60"/>
        <w:rPr>
          <w:rFonts w:ascii="Arial" w:hAnsi="Arial" w:cs="Arial"/>
        </w:rPr>
      </w:pPr>
      <w:r w:rsidRPr="00346A27">
        <w:rPr>
          <w:rFonts w:ascii="Arial" w:hAnsi="Arial" w:cs="Arial"/>
        </w:rPr>
        <w:t>3.1:</w:t>
      </w:r>
      <w:r w:rsidRPr="00346A27">
        <w:rPr>
          <w:rFonts w:ascii="Arial" w:hAnsi="Arial" w:cs="Arial"/>
        </w:rPr>
        <w:tab/>
        <w:t>Explanatory Tables</w:t>
      </w:r>
      <w:r w:rsidRPr="00346A27">
        <w:rPr>
          <w:rFonts w:ascii="Arial" w:hAnsi="Arial" w:cs="Arial"/>
        </w:rPr>
        <w:tab/>
      </w:r>
      <w:r w:rsidR="0048681C">
        <w:rPr>
          <w:rFonts w:ascii="Arial" w:hAnsi="Arial" w:cs="Arial"/>
        </w:rPr>
        <w:t>249</w:t>
      </w:r>
    </w:p>
    <w:p w:rsidR="007E7063" w:rsidRPr="00346A27" w:rsidRDefault="007E7063" w:rsidP="007E7063">
      <w:pPr>
        <w:tabs>
          <w:tab w:val="left" w:pos="709"/>
          <w:tab w:val="right" w:leader="dot" w:pos="7371"/>
        </w:tabs>
        <w:spacing w:before="60"/>
        <w:rPr>
          <w:rFonts w:ascii="Arial" w:hAnsi="Arial" w:cs="Arial"/>
        </w:rPr>
      </w:pPr>
      <w:r w:rsidRPr="00346A27">
        <w:rPr>
          <w:rFonts w:ascii="Arial" w:hAnsi="Arial" w:cs="Arial"/>
        </w:rPr>
        <w:t>3.2:</w:t>
      </w:r>
      <w:r w:rsidRPr="00346A27">
        <w:rPr>
          <w:rFonts w:ascii="Arial" w:hAnsi="Arial" w:cs="Arial"/>
        </w:rPr>
        <w:tab/>
        <w:t>Budgeted Financial Statements</w:t>
      </w:r>
      <w:r w:rsidRPr="00346A27">
        <w:rPr>
          <w:rFonts w:ascii="Arial" w:hAnsi="Arial" w:cs="Arial"/>
        </w:rPr>
        <w:tab/>
      </w:r>
      <w:r w:rsidR="0048681C">
        <w:rPr>
          <w:rFonts w:ascii="Arial" w:hAnsi="Arial" w:cs="Arial"/>
        </w:rPr>
        <w:t>250</w:t>
      </w:r>
    </w:p>
    <w:p w:rsidR="007E7063" w:rsidRPr="00346A27" w:rsidRDefault="007E7063" w:rsidP="007E7063">
      <w:pPr>
        <w:tabs>
          <w:tab w:val="left" w:pos="567"/>
          <w:tab w:val="right" w:pos="7371"/>
        </w:tabs>
      </w:pPr>
      <w:r w:rsidRPr="00346A27">
        <w:rPr>
          <w:rFonts w:ascii="Arial" w:hAnsi="Arial" w:cs="Arial"/>
          <w:b/>
        </w:rPr>
        <w:fldChar w:fldCharType="end"/>
      </w:r>
    </w:p>
    <w:p w:rsidR="007E7063" w:rsidRPr="00346A27" w:rsidRDefault="007E7063" w:rsidP="007E7063">
      <w:pPr>
        <w:pStyle w:val="SectionHeading"/>
        <w:sectPr w:rsidR="007E7063" w:rsidRPr="00346A27" w:rsidSect="00B14763">
          <w:headerReference w:type="even" r:id="rId15"/>
          <w:headerReference w:type="default" r:id="rId16"/>
          <w:footerReference w:type="even" r:id="rId17"/>
          <w:footerReference w:type="default" r:id="rId18"/>
          <w:pgSz w:w="11906" w:h="16838" w:code="9"/>
          <w:pgMar w:top="2665" w:right="2268" w:bottom="2126" w:left="2268" w:header="1899" w:footer="1899" w:gutter="0"/>
          <w:cols w:space="708"/>
          <w:docGrid w:linePitch="360"/>
        </w:sectPr>
      </w:pPr>
    </w:p>
    <w:p w:rsidR="007E7063" w:rsidRPr="00346A27" w:rsidRDefault="007E7063" w:rsidP="007E7063">
      <w:pPr>
        <w:pStyle w:val="SectionHeading"/>
      </w:pPr>
      <w:r w:rsidRPr="00346A27">
        <w:lastRenderedPageBreak/>
        <w:t xml:space="preserve">Section 1: </w:t>
      </w:r>
      <w:r w:rsidR="000422F4" w:rsidRPr="00346A27">
        <w:rPr>
          <w:bCs/>
        </w:rPr>
        <w:t>Entity</w:t>
      </w:r>
      <w:r w:rsidRPr="00346A27">
        <w:t xml:space="preserve"> Overview and Resources</w:t>
      </w:r>
    </w:p>
    <w:p w:rsidR="007E7063" w:rsidRPr="00346A27" w:rsidRDefault="007E7063" w:rsidP="007E7063">
      <w:pPr>
        <w:pStyle w:val="SectionSubheading"/>
      </w:pPr>
      <w:r w:rsidRPr="00346A27">
        <w:t>1.1</w:t>
      </w:r>
      <w:r w:rsidRPr="00346A27">
        <w:tab/>
        <w:t>Strategic Direction Statement</w:t>
      </w:r>
    </w:p>
    <w:p w:rsidR="00296009" w:rsidRPr="00346A27" w:rsidRDefault="00296009" w:rsidP="00296009">
      <w:pPr>
        <w:rPr>
          <w:snapToGrid w:val="0"/>
        </w:rPr>
      </w:pPr>
      <w:r w:rsidRPr="00346A27">
        <w:rPr>
          <w:snapToGrid w:val="0"/>
        </w:rPr>
        <w:t>The Australian Radiation Protection and Nuclear Safety Agency (ARPANSA), on behalf of the Australian Government, aims to protect the Australian people and environment from the harmful effects of radiation.</w:t>
      </w:r>
    </w:p>
    <w:p w:rsidR="00296009" w:rsidRPr="00346A27" w:rsidRDefault="00296009" w:rsidP="00296009">
      <w:pPr>
        <w:rPr>
          <w:snapToGrid w:val="0"/>
        </w:rPr>
      </w:pPr>
      <w:r w:rsidRPr="00346A27">
        <w:rPr>
          <w:snapToGrid w:val="0"/>
        </w:rPr>
        <w:t>ARPANSA provides advice and services to the Australian community on radiation protection, nuclear safety, security, and medical exposures to radiation, including related research. It promotes national uniformity of radiation protection and nuclear safety policy and practices across the Australian Government and States and Territories. It also independently regulates the radiation sources, radiation facilities and nuclear installations of Australian Government entities and contractors.</w:t>
      </w:r>
    </w:p>
    <w:p w:rsidR="007E7063" w:rsidRPr="00346A27" w:rsidRDefault="00296009" w:rsidP="00296009">
      <w:pPr>
        <w:rPr>
          <w:bCs/>
        </w:rPr>
      </w:pPr>
      <w:r w:rsidRPr="00346A27">
        <w:rPr>
          <w:snapToGrid w:val="0"/>
        </w:rPr>
        <w:t xml:space="preserve">The role and functions of ARPANSA are set out in the </w:t>
      </w:r>
      <w:r w:rsidRPr="00346A27">
        <w:rPr>
          <w:i/>
          <w:snapToGrid w:val="0"/>
        </w:rPr>
        <w:t>Australian Radiation Protection and Nuclear Safety Act 1998</w:t>
      </w:r>
      <w:r w:rsidRPr="00346A27">
        <w:rPr>
          <w:snapToGrid w:val="0"/>
        </w:rPr>
        <w:t>. ARPANSA is</w:t>
      </w:r>
      <w:r w:rsidRPr="00346A27">
        <w:t xml:space="preserve"> </w:t>
      </w:r>
      <w:r w:rsidR="0025149B" w:rsidRPr="00346A27">
        <w:t xml:space="preserve">a </w:t>
      </w:r>
      <w:r w:rsidR="001A765D" w:rsidRPr="00346A27">
        <w:t>Non</w:t>
      </w:r>
      <w:r w:rsidRPr="00346A27">
        <w:t xml:space="preserve">-corporate Commonwealth </w:t>
      </w:r>
      <w:r w:rsidR="001A765D" w:rsidRPr="00346A27">
        <w:t xml:space="preserve">Entity </w:t>
      </w:r>
      <w:r w:rsidRPr="00346A27">
        <w:t xml:space="preserve">under the </w:t>
      </w:r>
      <w:r w:rsidRPr="00346A27">
        <w:rPr>
          <w:i/>
        </w:rPr>
        <w:t>Public Governance, Performance and Accountability Act 2013</w:t>
      </w:r>
      <w:r w:rsidRPr="00346A27">
        <w:t>.</w:t>
      </w:r>
    </w:p>
    <w:p w:rsidR="007E7063" w:rsidRPr="00346A27" w:rsidRDefault="007E7063" w:rsidP="007E7063">
      <w:pPr>
        <w:pStyle w:val="SectionSubheading"/>
      </w:pPr>
      <w:r w:rsidRPr="00346A27">
        <w:t>1.2</w:t>
      </w:r>
      <w:r w:rsidRPr="00346A27">
        <w:tab/>
      </w:r>
      <w:r w:rsidR="000422F4" w:rsidRPr="00346A27">
        <w:rPr>
          <w:bCs/>
        </w:rPr>
        <w:t>Entity</w:t>
      </w:r>
      <w:r w:rsidRPr="00346A27">
        <w:t xml:space="preserve"> Resources</w:t>
      </w:r>
    </w:p>
    <w:p w:rsidR="007E7063" w:rsidRPr="00346A27" w:rsidRDefault="007E7063" w:rsidP="0096146C">
      <w:r w:rsidRPr="00346A27">
        <w:t>Table 1.</w:t>
      </w:r>
      <w:r w:rsidR="008C2DCC" w:rsidRPr="00346A27">
        <w:t>1</w:t>
      </w:r>
      <w:r w:rsidRPr="00346A27">
        <w:t xml:space="preserve"> shows the total resources from all </w:t>
      </w:r>
      <w:r w:rsidR="008C2DCC" w:rsidRPr="00346A27">
        <w:t>sources</w:t>
      </w:r>
      <w:r w:rsidRPr="00346A27">
        <w:t xml:space="preserve">. The table summarises how resources will be applied by outcome and by </w:t>
      </w:r>
      <w:r w:rsidR="008C2DCC" w:rsidRPr="00346A27">
        <w:t>administered and d</w:t>
      </w:r>
      <w:r w:rsidR="00EB0950">
        <w:t>epartmental classifications.</w:t>
      </w:r>
    </w:p>
    <w:p w:rsidR="009D2080" w:rsidRPr="00346A27" w:rsidRDefault="009D2080" w:rsidP="00EB0950">
      <w:r w:rsidRPr="00346A27">
        <w:br w:type="page"/>
      </w:r>
    </w:p>
    <w:p w:rsidR="007E7063" w:rsidRPr="00346A27" w:rsidRDefault="007E7063" w:rsidP="002B0C32">
      <w:pPr>
        <w:pStyle w:val="TableHeading"/>
      </w:pPr>
      <w:r w:rsidRPr="00346A27">
        <w:lastRenderedPageBreak/>
        <w:t>Table 1.</w:t>
      </w:r>
      <w:r w:rsidR="008C2DCC" w:rsidRPr="00346A27">
        <w:t>1</w:t>
      </w:r>
      <w:r w:rsidRPr="00346A27">
        <w:t>: ARPANSA Resource Statement – Budget Estimates for 201</w:t>
      </w:r>
      <w:r w:rsidR="00B14763" w:rsidRPr="00346A27">
        <w:t>5</w:t>
      </w:r>
      <w:r w:rsidRPr="00346A27">
        <w:t>-1</w:t>
      </w:r>
      <w:r w:rsidR="00B14763" w:rsidRPr="00346A27">
        <w:t>6</w:t>
      </w:r>
      <w:r w:rsidRPr="00346A27">
        <w:t xml:space="preserve"> as at Budget May 201</w:t>
      </w:r>
      <w:r w:rsidR="00B14763" w:rsidRPr="00346A27">
        <w:t>5</w:t>
      </w:r>
    </w:p>
    <w:tbl>
      <w:tblPr>
        <w:tblW w:w="7408" w:type="dxa"/>
        <w:tblInd w:w="93" w:type="dxa"/>
        <w:tblLook w:val="06A0" w:firstRow="1" w:lastRow="0" w:firstColumn="1" w:lastColumn="0" w:noHBand="1" w:noVBand="1"/>
        <w:tblCaption w:val="Table 1.1 ARPANSA Resource Statement"/>
        <w:tblDescription w:val="Table 1.1 provides a summary of all resources available to the Entity over the budget year which it may draw upon in achieving government outcomes and objectives. Read the first column for a breakdown of resources by funding source and then read across the table for unspent amounts from 2014-15, proposed at Budget, total estimate and estimated available. Note that there is no data for some categories."/>
      </w:tblPr>
      <w:tblGrid>
        <w:gridCol w:w="3080"/>
        <w:gridCol w:w="1248"/>
        <w:gridCol w:w="1120"/>
        <w:gridCol w:w="980"/>
        <w:gridCol w:w="980"/>
      </w:tblGrid>
      <w:tr w:rsidR="00346A27" w:rsidRPr="00346A27" w:rsidTr="00EB0950">
        <w:trPr>
          <w:trHeight w:val="1010"/>
        </w:trPr>
        <w:tc>
          <w:tcPr>
            <w:tcW w:w="3080" w:type="dxa"/>
            <w:tcBorders>
              <w:top w:val="single" w:sz="4" w:space="0" w:color="auto"/>
              <w:left w:val="nil"/>
              <w:bottom w:val="nil"/>
              <w:right w:val="nil"/>
            </w:tcBorders>
            <w:shd w:val="clear" w:color="auto" w:fill="auto"/>
            <w:hideMark/>
          </w:tcPr>
          <w:p w:rsidR="00101852" w:rsidRPr="00346A27" w:rsidRDefault="00101852" w:rsidP="00101852">
            <w:pPr>
              <w:keepNext w:val="0"/>
              <w:spacing w:before="40" w:after="0"/>
              <w:jc w:val="right"/>
              <w:rPr>
                <w:rFonts w:ascii="Arial" w:hAnsi="Arial" w:cs="Arial"/>
                <w:b/>
                <w:bCs/>
                <w:sz w:val="16"/>
                <w:szCs w:val="16"/>
              </w:rPr>
            </w:pPr>
          </w:p>
        </w:tc>
        <w:tc>
          <w:tcPr>
            <w:tcW w:w="1248" w:type="dxa"/>
            <w:tcBorders>
              <w:top w:val="single" w:sz="4" w:space="0" w:color="auto"/>
              <w:left w:val="nil"/>
              <w:bottom w:val="single" w:sz="4" w:space="0" w:color="auto"/>
              <w:right w:val="nil"/>
            </w:tcBorders>
            <w:shd w:val="clear" w:color="auto" w:fill="auto"/>
            <w:hideMark/>
          </w:tcPr>
          <w:p w:rsidR="00101852" w:rsidRPr="00346A27" w:rsidRDefault="00101852" w:rsidP="00101852">
            <w:pPr>
              <w:keepNext w:val="0"/>
              <w:spacing w:before="40" w:after="0"/>
              <w:jc w:val="right"/>
              <w:rPr>
                <w:rFonts w:ascii="Arial" w:hAnsi="Arial" w:cs="Arial"/>
                <w:b/>
                <w:bCs/>
                <w:sz w:val="16"/>
                <w:szCs w:val="16"/>
              </w:rPr>
            </w:pPr>
            <w:r w:rsidRPr="00346A27">
              <w:rPr>
                <w:rFonts w:ascii="Arial" w:hAnsi="Arial" w:cs="Arial"/>
                <w:b/>
                <w:bCs/>
                <w:sz w:val="16"/>
                <w:szCs w:val="16"/>
              </w:rPr>
              <w:t>Estimated available appropriation</w:t>
            </w:r>
            <w:r w:rsidRPr="00346A27">
              <w:rPr>
                <w:rFonts w:ascii="Arial" w:hAnsi="Arial" w:cs="Arial"/>
                <w:b/>
                <w:bCs/>
                <w:sz w:val="16"/>
                <w:szCs w:val="16"/>
              </w:rPr>
              <w:br/>
            </w:r>
            <w:r w:rsidRPr="00346A27">
              <w:rPr>
                <w:rFonts w:ascii="Arial" w:hAnsi="Arial" w:cs="Arial"/>
                <w:b/>
                <w:bCs/>
                <w:sz w:val="16"/>
                <w:szCs w:val="16"/>
              </w:rPr>
              <w:br/>
              <w:t>2014-15</w:t>
            </w:r>
            <w:r w:rsidRPr="00346A27">
              <w:rPr>
                <w:rFonts w:ascii="Arial" w:hAnsi="Arial" w:cs="Arial"/>
                <w:b/>
                <w:bCs/>
                <w:sz w:val="16"/>
                <w:szCs w:val="16"/>
              </w:rPr>
              <w:br/>
            </w:r>
            <w:r w:rsidRPr="00346A27">
              <w:rPr>
                <w:rFonts w:ascii="Arial" w:hAnsi="Arial" w:cs="Arial"/>
                <w:sz w:val="16"/>
                <w:szCs w:val="16"/>
              </w:rPr>
              <w:t>$'000</w:t>
            </w:r>
          </w:p>
        </w:tc>
        <w:tc>
          <w:tcPr>
            <w:tcW w:w="1120" w:type="dxa"/>
            <w:tcBorders>
              <w:top w:val="single" w:sz="4" w:space="0" w:color="auto"/>
              <w:left w:val="nil"/>
              <w:bottom w:val="single" w:sz="4" w:space="0" w:color="auto"/>
              <w:right w:val="nil"/>
            </w:tcBorders>
            <w:shd w:val="clear" w:color="auto" w:fill="auto"/>
            <w:hideMark/>
          </w:tcPr>
          <w:p w:rsidR="00101852" w:rsidRPr="00346A27" w:rsidRDefault="00101852" w:rsidP="00101852">
            <w:pPr>
              <w:keepNext w:val="0"/>
              <w:spacing w:before="40" w:after="0"/>
              <w:jc w:val="right"/>
              <w:rPr>
                <w:rFonts w:ascii="Arial" w:hAnsi="Arial" w:cs="Arial"/>
                <w:b/>
                <w:bCs/>
                <w:sz w:val="16"/>
                <w:szCs w:val="16"/>
              </w:rPr>
            </w:pPr>
            <w:r w:rsidRPr="00346A27">
              <w:rPr>
                <w:rFonts w:ascii="Arial" w:hAnsi="Arial" w:cs="Arial"/>
                <w:b/>
                <w:bCs/>
                <w:sz w:val="16"/>
                <w:szCs w:val="16"/>
              </w:rPr>
              <w:t>Estimate of prior year amounts available in 2015-16</w:t>
            </w:r>
            <w:r w:rsidRPr="00346A27">
              <w:rPr>
                <w:rFonts w:ascii="Arial" w:hAnsi="Arial" w:cs="Arial"/>
                <w:b/>
                <w:bCs/>
                <w:sz w:val="16"/>
                <w:szCs w:val="16"/>
              </w:rPr>
              <w:br/>
            </w:r>
            <w:r w:rsidRPr="00346A27">
              <w:rPr>
                <w:rFonts w:ascii="Arial" w:hAnsi="Arial" w:cs="Arial"/>
                <w:sz w:val="16"/>
                <w:szCs w:val="16"/>
              </w:rPr>
              <w:t>$'000</w:t>
            </w:r>
          </w:p>
        </w:tc>
        <w:tc>
          <w:tcPr>
            <w:tcW w:w="980" w:type="dxa"/>
            <w:tcBorders>
              <w:top w:val="single" w:sz="4" w:space="0" w:color="auto"/>
              <w:left w:val="nil"/>
              <w:bottom w:val="single" w:sz="4" w:space="0" w:color="auto"/>
              <w:right w:val="nil"/>
            </w:tcBorders>
            <w:shd w:val="clear" w:color="auto" w:fill="auto"/>
            <w:hideMark/>
          </w:tcPr>
          <w:p w:rsidR="00101852" w:rsidRPr="00346A27" w:rsidRDefault="00101852" w:rsidP="00101852">
            <w:pPr>
              <w:keepNext w:val="0"/>
              <w:spacing w:before="40" w:after="0"/>
              <w:jc w:val="right"/>
              <w:rPr>
                <w:rFonts w:ascii="Arial" w:hAnsi="Arial" w:cs="Arial"/>
                <w:b/>
                <w:bCs/>
                <w:sz w:val="16"/>
                <w:szCs w:val="16"/>
              </w:rPr>
            </w:pPr>
            <w:r w:rsidRPr="00346A27">
              <w:rPr>
                <w:rFonts w:ascii="Arial" w:hAnsi="Arial" w:cs="Arial"/>
                <w:b/>
                <w:bCs/>
                <w:sz w:val="16"/>
                <w:szCs w:val="16"/>
              </w:rPr>
              <w:t>Proposed at Budget</w:t>
            </w:r>
            <w:r w:rsidRPr="00346A27">
              <w:rPr>
                <w:rFonts w:ascii="Arial" w:hAnsi="Arial" w:cs="Arial"/>
                <w:b/>
                <w:bCs/>
                <w:sz w:val="16"/>
                <w:szCs w:val="16"/>
              </w:rPr>
              <w:br/>
            </w:r>
            <w:r w:rsidRPr="00346A27">
              <w:rPr>
                <w:rFonts w:ascii="Arial" w:hAnsi="Arial" w:cs="Arial"/>
                <w:b/>
                <w:bCs/>
                <w:sz w:val="16"/>
                <w:szCs w:val="16"/>
              </w:rPr>
              <w:br/>
            </w:r>
            <w:r w:rsidRPr="00346A27">
              <w:rPr>
                <w:rFonts w:ascii="Arial" w:hAnsi="Arial" w:cs="Arial"/>
                <w:b/>
                <w:bCs/>
                <w:sz w:val="16"/>
                <w:szCs w:val="16"/>
              </w:rPr>
              <w:br/>
              <w:t>2015-16</w:t>
            </w:r>
            <w:r w:rsidRPr="00346A27">
              <w:rPr>
                <w:rFonts w:ascii="Arial" w:hAnsi="Arial" w:cs="Arial"/>
                <w:b/>
                <w:bCs/>
                <w:sz w:val="16"/>
                <w:szCs w:val="16"/>
              </w:rPr>
              <w:br/>
            </w:r>
            <w:r w:rsidRPr="00346A27">
              <w:rPr>
                <w:rFonts w:ascii="Arial" w:hAnsi="Arial" w:cs="Arial"/>
                <w:sz w:val="16"/>
                <w:szCs w:val="16"/>
              </w:rPr>
              <w:t>$'000</w:t>
            </w:r>
          </w:p>
        </w:tc>
        <w:tc>
          <w:tcPr>
            <w:tcW w:w="980" w:type="dxa"/>
            <w:tcBorders>
              <w:top w:val="single" w:sz="4" w:space="0" w:color="auto"/>
              <w:left w:val="nil"/>
              <w:bottom w:val="single" w:sz="4" w:space="0" w:color="auto"/>
              <w:right w:val="nil"/>
            </w:tcBorders>
            <w:shd w:val="clear" w:color="000000" w:fill="D9D9D9"/>
            <w:hideMark/>
          </w:tcPr>
          <w:p w:rsidR="00101852" w:rsidRPr="00346A27" w:rsidRDefault="00101852" w:rsidP="00101852">
            <w:pPr>
              <w:keepNext w:val="0"/>
              <w:spacing w:before="40" w:after="0"/>
              <w:jc w:val="right"/>
              <w:rPr>
                <w:rFonts w:ascii="Arial" w:hAnsi="Arial" w:cs="Arial"/>
                <w:b/>
                <w:bCs/>
                <w:sz w:val="16"/>
                <w:szCs w:val="16"/>
              </w:rPr>
            </w:pPr>
            <w:r w:rsidRPr="00346A27">
              <w:rPr>
                <w:rFonts w:ascii="Arial" w:hAnsi="Arial" w:cs="Arial"/>
                <w:b/>
                <w:bCs/>
                <w:sz w:val="16"/>
                <w:szCs w:val="16"/>
              </w:rPr>
              <w:t>Total estimate</w:t>
            </w:r>
            <w:r w:rsidRPr="00346A27">
              <w:rPr>
                <w:rFonts w:ascii="Arial" w:hAnsi="Arial" w:cs="Arial"/>
                <w:b/>
                <w:bCs/>
                <w:sz w:val="16"/>
                <w:szCs w:val="16"/>
              </w:rPr>
              <w:br/>
            </w:r>
            <w:r w:rsidRPr="00346A27">
              <w:rPr>
                <w:rFonts w:ascii="Arial" w:hAnsi="Arial" w:cs="Arial"/>
                <w:b/>
                <w:bCs/>
                <w:sz w:val="16"/>
                <w:szCs w:val="16"/>
              </w:rPr>
              <w:br/>
            </w:r>
            <w:r w:rsidRPr="00346A27">
              <w:rPr>
                <w:rFonts w:ascii="Arial" w:hAnsi="Arial" w:cs="Arial"/>
                <w:b/>
                <w:bCs/>
                <w:sz w:val="16"/>
                <w:szCs w:val="16"/>
              </w:rPr>
              <w:br/>
              <w:t>2015-16</w:t>
            </w:r>
            <w:r w:rsidRPr="00346A27">
              <w:rPr>
                <w:rFonts w:ascii="Arial" w:hAnsi="Arial" w:cs="Arial"/>
                <w:b/>
                <w:bCs/>
                <w:sz w:val="16"/>
                <w:szCs w:val="16"/>
              </w:rPr>
              <w:br/>
            </w:r>
            <w:r w:rsidRPr="00346A27">
              <w:rPr>
                <w:rFonts w:ascii="Arial" w:hAnsi="Arial" w:cs="Arial"/>
                <w:sz w:val="16"/>
                <w:szCs w:val="16"/>
              </w:rPr>
              <w:t>$'000</w:t>
            </w:r>
          </w:p>
        </w:tc>
      </w:tr>
      <w:tr w:rsidR="00346A27" w:rsidRPr="00346A27" w:rsidTr="00EB0950">
        <w:trPr>
          <w:trHeight w:val="225"/>
        </w:trPr>
        <w:tc>
          <w:tcPr>
            <w:tcW w:w="3080"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rPr>
                <w:rFonts w:ascii="Arial" w:hAnsi="Arial" w:cs="Arial"/>
                <w:b/>
                <w:bCs/>
                <w:sz w:val="16"/>
                <w:szCs w:val="16"/>
              </w:rPr>
            </w:pPr>
            <w:r w:rsidRPr="00346A27">
              <w:rPr>
                <w:rFonts w:ascii="Arial" w:hAnsi="Arial" w:cs="Arial"/>
                <w:b/>
                <w:bCs/>
                <w:sz w:val="16"/>
                <w:szCs w:val="16"/>
              </w:rPr>
              <w:t>Ordinary annual services</w:t>
            </w:r>
            <w:r w:rsidRPr="00346A27">
              <w:rPr>
                <w:rFonts w:ascii="Arial" w:hAnsi="Arial" w:cs="Arial"/>
                <w:b/>
                <w:bCs/>
                <w:sz w:val="16"/>
                <w:szCs w:val="16"/>
                <w:vertAlign w:val="superscript"/>
              </w:rPr>
              <w:t>1</w:t>
            </w:r>
          </w:p>
        </w:tc>
        <w:tc>
          <w:tcPr>
            <w:tcW w:w="1248"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jc w:val="right"/>
              <w:rPr>
                <w:rFonts w:ascii="Arial" w:hAnsi="Arial" w:cs="Arial"/>
                <w:sz w:val="16"/>
                <w:szCs w:val="16"/>
              </w:rPr>
            </w:pPr>
          </w:p>
        </w:tc>
        <w:tc>
          <w:tcPr>
            <w:tcW w:w="1120"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jc w:val="right"/>
              <w:rPr>
                <w:rFonts w:ascii="Arial" w:hAnsi="Arial" w:cs="Arial"/>
                <w:sz w:val="16"/>
                <w:szCs w:val="16"/>
              </w:rPr>
            </w:pPr>
          </w:p>
        </w:tc>
        <w:tc>
          <w:tcPr>
            <w:tcW w:w="980"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jc w:val="right"/>
              <w:rPr>
                <w:rFonts w:ascii="Arial" w:hAnsi="Arial" w:cs="Arial"/>
                <w:b/>
                <w:bCs/>
                <w:sz w:val="16"/>
                <w:szCs w:val="16"/>
              </w:rPr>
            </w:pPr>
          </w:p>
        </w:tc>
        <w:tc>
          <w:tcPr>
            <w:tcW w:w="980" w:type="dxa"/>
            <w:tcBorders>
              <w:top w:val="nil"/>
              <w:left w:val="nil"/>
              <w:bottom w:val="nil"/>
              <w:right w:val="nil"/>
            </w:tcBorders>
            <w:shd w:val="clear" w:color="000000" w:fill="D9D9D9"/>
            <w:noWrap/>
            <w:vAlign w:val="bottom"/>
            <w:hideMark/>
          </w:tcPr>
          <w:p w:rsidR="00101852" w:rsidRPr="00346A27" w:rsidRDefault="00101852" w:rsidP="00101852">
            <w:pPr>
              <w:keepNext w:val="0"/>
              <w:spacing w:after="0"/>
              <w:jc w:val="right"/>
              <w:rPr>
                <w:rFonts w:ascii="Arial" w:hAnsi="Arial" w:cs="Arial"/>
                <w:b/>
                <w:bCs/>
                <w:sz w:val="16"/>
                <w:szCs w:val="16"/>
              </w:rPr>
            </w:pPr>
            <w:r w:rsidRPr="00346A27">
              <w:rPr>
                <w:rFonts w:ascii="Arial" w:hAnsi="Arial" w:cs="Arial"/>
                <w:b/>
                <w:bCs/>
                <w:sz w:val="16"/>
                <w:szCs w:val="16"/>
              </w:rPr>
              <w:t> </w:t>
            </w:r>
          </w:p>
        </w:tc>
      </w:tr>
      <w:tr w:rsidR="00346A27" w:rsidRPr="00346A27" w:rsidTr="00EB0950">
        <w:trPr>
          <w:trHeight w:val="300"/>
        </w:trPr>
        <w:tc>
          <w:tcPr>
            <w:tcW w:w="3080"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rPr>
                <w:rFonts w:ascii="Arial" w:hAnsi="Arial" w:cs="Arial"/>
                <w:b/>
                <w:bCs/>
                <w:sz w:val="16"/>
                <w:szCs w:val="16"/>
              </w:rPr>
            </w:pPr>
            <w:r w:rsidRPr="00346A27">
              <w:rPr>
                <w:rFonts w:ascii="Arial" w:hAnsi="Arial" w:cs="Arial"/>
                <w:b/>
                <w:bCs/>
                <w:sz w:val="16"/>
                <w:szCs w:val="16"/>
              </w:rPr>
              <w:t>Departmental appropriation</w:t>
            </w:r>
          </w:p>
        </w:tc>
        <w:tc>
          <w:tcPr>
            <w:tcW w:w="1248"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jc w:val="right"/>
              <w:rPr>
                <w:rFonts w:ascii="Arial" w:hAnsi="Arial" w:cs="Arial"/>
                <w:sz w:val="16"/>
                <w:szCs w:val="16"/>
              </w:rPr>
            </w:pPr>
          </w:p>
        </w:tc>
        <w:tc>
          <w:tcPr>
            <w:tcW w:w="1120"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jc w:val="right"/>
              <w:rPr>
                <w:rFonts w:ascii="Arial" w:hAnsi="Arial" w:cs="Arial"/>
                <w:sz w:val="16"/>
                <w:szCs w:val="16"/>
              </w:rPr>
            </w:pPr>
          </w:p>
        </w:tc>
        <w:tc>
          <w:tcPr>
            <w:tcW w:w="980"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jc w:val="right"/>
              <w:rPr>
                <w:rFonts w:ascii="Arial" w:hAnsi="Arial" w:cs="Arial"/>
                <w:sz w:val="16"/>
                <w:szCs w:val="16"/>
              </w:rPr>
            </w:pPr>
          </w:p>
        </w:tc>
        <w:tc>
          <w:tcPr>
            <w:tcW w:w="980" w:type="dxa"/>
            <w:tcBorders>
              <w:top w:val="nil"/>
              <w:left w:val="nil"/>
              <w:bottom w:val="nil"/>
              <w:right w:val="nil"/>
            </w:tcBorders>
            <w:shd w:val="clear" w:color="000000" w:fill="D9D9D9"/>
            <w:noWrap/>
            <w:vAlign w:val="bottom"/>
            <w:hideMark/>
          </w:tcPr>
          <w:p w:rsidR="00101852" w:rsidRPr="00346A27" w:rsidRDefault="00101852" w:rsidP="00101852">
            <w:pPr>
              <w:keepNext w:val="0"/>
              <w:spacing w:after="0"/>
              <w:jc w:val="right"/>
              <w:rPr>
                <w:rFonts w:ascii="Arial" w:hAnsi="Arial" w:cs="Arial"/>
                <w:sz w:val="16"/>
                <w:szCs w:val="16"/>
              </w:rPr>
            </w:pPr>
            <w:r w:rsidRPr="00346A27">
              <w:rPr>
                <w:rFonts w:ascii="Arial" w:hAnsi="Arial" w:cs="Arial"/>
                <w:sz w:val="16"/>
                <w:szCs w:val="16"/>
              </w:rPr>
              <w:t> </w:t>
            </w:r>
          </w:p>
        </w:tc>
      </w:tr>
      <w:tr w:rsidR="00346A27" w:rsidRPr="00346A27" w:rsidTr="00EB0950">
        <w:trPr>
          <w:trHeight w:val="225"/>
        </w:trPr>
        <w:tc>
          <w:tcPr>
            <w:tcW w:w="3080"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ind w:firstLineChars="100" w:firstLine="160"/>
              <w:rPr>
                <w:rFonts w:ascii="Arial" w:hAnsi="Arial" w:cs="Arial"/>
                <w:sz w:val="16"/>
                <w:szCs w:val="16"/>
              </w:rPr>
            </w:pPr>
            <w:r w:rsidRPr="00346A27">
              <w:rPr>
                <w:rFonts w:ascii="Arial" w:hAnsi="Arial" w:cs="Arial"/>
                <w:sz w:val="16"/>
                <w:szCs w:val="16"/>
              </w:rPr>
              <w:t>Prior year departmental</w:t>
            </w:r>
          </w:p>
        </w:tc>
        <w:tc>
          <w:tcPr>
            <w:tcW w:w="1248"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jc w:val="right"/>
              <w:rPr>
                <w:rFonts w:ascii="Arial" w:hAnsi="Arial" w:cs="Arial"/>
                <w:sz w:val="16"/>
                <w:szCs w:val="16"/>
              </w:rPr>
            </w:pPr>
          </w:p>
        </w:tc>
        <w:tc>
          <w:tcPr>
            <w:tcW w:w="1120"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jc w:val="right"/>
              <w:rPr>
                <w:rFonts w:ascii="Arial" w:hAnsi="Arial" w:cs="Arial"/>
                <w:sz w:val="16"/>
                <w:szCs w:val="16"/>
              </w:rPr>
            </w:pPr>
          </w:p>
        </w:tc>
        <w:tc>
          <w:tcPr>
            <w:tcW w:w="980"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jc w:val="right"/>
              <w:rPr>
                <w:rFonts w:ascii="Arial" w:hAnsi="Arial" w:cs="Arial"/>
                <w:sz w:val="16"/>
                <w:szCs w:val="16"/>
              </w:rPr>
            </w:pPr>
          </w:p>
        </w:tc>
        <w:tc>
          <w:tcPr>
            <w:tcW w:w="980" w:type="dxa"/>
            <w:tcBorders>
              <w:top w:val="nil"/>
              <w:left w:val="nil"/>
              <w:bottom w:val="nil"/>
              <w:right w:val="nil"/>
            </w:tcBorders>
            <w:shd w:val="clear" w:color="000000" w:fill="D9D9D9"/>
            <w:noWrap/>
            <w:vAlign w:val="bottom"/>
            <w:hideMark/>
          </w:tcPr>
          <w:p w:rsidR="00101852" w:rsidRPr="00346A27" w:rsidRDefault="00101852" w:rsidP="00101852">
            <w:pPr>
              <w:keepNext w:val="0"/>
              <w:spacing w:after="0"/>
              <w:jc w:val="right"/>
              <w:rPr>
                <w:rFonts w:ascii="Arial" w:hAnsi="Arial" w:cs="Arial"/>
                <w:sz w:val="16"/>
                <w:szCs w:val="16"/>
              </w:rPr>
            </w:pPr>
            <w:r w:rsidRPr="00346A27">
              <w:rPr>
                <w:rFonts w:ascii="Arial" w:hAnsi="Arial" w:cs="Arial"/>
                <w:sz w:val="16"/>
                <w:szCs w:val="16"/>
              </w:rPr>
              <w:t> </w:t>
            </w:r>
          </w:p>
        </w:tc>
      </w:tr>
      <w:tr w:rsidR="00346A27" w:rsidRPr="00346A27" w:rsidTr="00EB0950">
        <w:trPr>
          <w:trHeight w:val="240"/>
        </w:trPr>
        <w:tc>
          <w:tcPr>
            <w:tcW w:w="3080" w:type="dxa"/>
            <w:tcBorders>
              <w:top w:val="nil"/>
              <w:left w:val="nil"/>
              <w:bottom w:val="nil"/>
              <w:right w:val="nil"/>
            </w:tcBorders>
            <w:shd w:val="clear" w:color="auto" w:fill="auto"/>
            <w:noWrap/>
            <w:vAlign w:val="bottom"/>
            <w:hideMark/>
          </w:tcPr>
          <w:p w:rsidR="00101852" w:rsidRPr="00346A27" w:rsidRDefault="00CF4777" w:rsidP="00CF4777">
            <w:pPr>
              <w:keepNext w:val="0"/>
              <w:spacing w:after="0"/>
              <w:ind w:firstLineChars="200" w:firstLine="320"/>
              <w:rPr>
                <w:rFonts w:ascii="Arial" w:hAnsi="Arial" w:cs="Arial"/>
                <w:sz w:val="16"/>
                <w:szCs w:val="16"/>
              </w:rPr>
            </w:pPr>
            <w:r>
              <w:rPr>
                <w:rFonts w:ascii="Arial" w:hAnsi="Arial" w:cs="Arial"/>
                <w:sz w:val="16"/>
                <w:szCs w:val="16"/>
              </w:rPr>
              <w:t>a</w:t>
            </w:r>
            <w:r w:rsidR="00101852" w:rsidRPr="00346A27">
              <w:rPr>
                <w:rFonts w:ascii="Arial" w:hAnsi="Arial" w:cs="Arial"/>
                <w:sz w:val="16"/>
                <w:szCs w:val="16"/>
              </w:rPr>
              <w:t>ppropriation</w:t>
            </w:r>
            <w:r>
              <w:rPr>
                <w:rFonts w:ascii="Arial" w:hAnsi="Arial" w:cs="Arial"/>
                <w:sz w:val="16"/>
                <w:szCs w:val="16"/>
                <w:vertAlign w:val="superscript"/>
              </w:rPr>
              <w:t>2</w:t>
            </w:r>
          </w:p>
        </w:tc>
        <w:tc>
          <w:tcPr>
            <w:tcW w:w="1248"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jc w:val="right"/>
              <w:rPr>
                <w:rFonts w:ascii="Arial" w:hAnsi="Arial" w:cs="Arial"/>
                <w:sz w:val="16"/>
                <w:szCs w:val="16"/>
              </w:rPr>
            </w:pPr>
            <w:r w:rsidRPr="00346A27">
              <w:rPr>
                <w:rFonts w:ascii="Arial" w:hAnsi="Arial" w:cs="Arial"/>
                <w:sz w:val="16"/>
                <w:szCs w:val="16"/>
              </w:rPr>
              <w:t>2,869</w:t>
            </w:r>
          </w:p>
        </w:tc>
        <w:tc>
          <w:tcPr>
            <w:tcW w:w="1120"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jc w:val="right"/>
              <w:rPr>
                <w:rFonts w:ascii="Arial" w:hAnsi="Arial" w:cs="Arial"/>
                <w:sz w:val="16"/>
                <w:szCs w:val="16"/>
              </w:rPr>
            </w:pPr>
            <w:r w:rsidRPr="00346A27">
              <w:rPr>
                <w:rFonts w:ascii="Arial" w:hAnsi="Arial" w:cs="Arial"/>
                <w:sz w:val="16"/>
                <w:szCs w:val="16"/>
              </w:rPr>
              <w:t>2,869</w:t>
            </w:r>
          </w:p>
        </w:tc>
        <w:tc>
          <w:tcPr>
            <w:tcW w:w="980"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jc w:val="right"/>
              <w:rPr>
                <w:rFonts w:ascii="Arial" w:hAnsi="Arial" w:cs="Arial"/>
                <w:sz w:val="16"/>
                <w:szCs w:val="16"/>
              </w:rPr>
            </w:pPr>
            <w:r w:rsidRPr="00346A27">
              <w:rPr>
                <w:rFonts w:ascii="Arial" w:hAnsi="Arial" w:cs="Arial"/>
                <w:sz w:val="16"/>
                <w:szCs w:val="16"/>
              </w:rPr>
              <w:t>-</w:t>
            </w:r>
          </w:p>
        </w:tc>
        <w:tc>
          <w:tcPr>
            <w:tcW w:w="980" w:type="dxa"/>
            <w:tcBorders>
              <w:top w:val="nil"/>
              <w:left w:val="nil"/>
              <w:bottom w:val="nil"/>
              <w:right w:val="nil"/>
            </w:tcBorders>
            <w:shd w:val="clear" w:color="000000" w:fill="D9D9D9"/>
            <w:noWrap/>
            <w:vAlign w:val="bottom"/>
            <w:hideMark/>
          </w:tcPr>
          <w:p w:rsidR="00101852" w:rsidRPr="00346A27" w:rsidRDefault="00101852" w:rsidP="00101852">
            <w:pPr>
              <w:keepNext w:val="0"/>
              <w:spacing w:after="0"/>
              <w:jc w:val="right"/>
              <w:rPr>
                <w:rFonts w:ascii="Arial" w:hAnsi="Arial" w:cs="Arial"/>
                <w:sz w:val="16"/>
                <w:szCs w:val="16"/>
              </w:rPr>
            </w:pPr>
            <w:r w:rsidRPr="00346A27">
              <w:rPr>
                <w:rFonts w:ascii="Arial" w:hAnsi="Arial" w:cs="Arial"/>
                <w:sz w:val="16"/>
                <w:szCs w:val="16"/>
              </w:rPr>
              <w:t>2,869</w:t>
            </w:r>
          </w:p>
        </w:tc>
      </w:tr>
      <w:tr w:rsidR="00346A27" w:rsidRPr="00346A27" w:rsidTr="00EB0950">
        <w:trPr>
          <w:trHeight w:val="255"/>
        </w:trPr>
        <w:tc>
          <w:tcPr>
            <w:tcW w:w="3080"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ind w:firstLineChars="100" w:firstLine="160"/>
              <w:rPr>
                <w:rFonts w:ascii="Arial" w:hAnsi="Arial" w:cs="Arial"/>
                <w:sz w:val="16"/>
                <w:szCs w:val="16"/>
              </w:rPr>
            </w:pPr>
            <w:r w:rsidRPr="00346A27">
              <w:rPr>
                <w:rFonts w:ascii="Arial" w:hAnsi="Arial" w:cs="Arial"/>
                <w:sz w:val="16"/>
                <w:szCs w:val="16"/>
              </w:rPr>
              <w:t>Departmental appropriation</w:t>
            </w:r>
            <w:r w:rsidRPr="00346A27">
              <w:rPr>
                <w:rFonts w:ascii="Arial" w:hAnsi="Arial" w:cs="Arial"/>
                <w:sz w:val="16"/>
                <w:szCs w:val="16"/>
                <w:vertAlign w:val="superscript"/>
              </w:rPr>
              <w:t>3</w:t>
            </w:r>
          </w:p>
        </w:tc>
        <w:tc>
          <w:tcPr>
            <w:tcW w:w="1248"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jc w:val="right"/>
              <w:rPr>
                <w:rFonts w:ascii="Arial" w:hAnsi="Arial" w:cs="Arial"/>
                <w:sz w:val="16"/>
                <w:szCs w:val="16"/>
              </w:rPr>
            </w:pPr>
            <w:r w:rsidRPr="00346A27">
              <w:rPr>
                <w:rFonts w:ascii="Arial" w:hAnsi="Arial" w:cs="Arial"/>
                <w:sz w:val="16"/>
                <w:szCs w:val="16"/>
              </w:rPr>
              <w:t>15,256</w:t>
            </w:r>
          </w:p>
        </w:tc>
        <w:tc>
          <w:tcPr>
            <w:tcW w:w="1120"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jc w:val="right"/>
              <w:rPr>
                <w:rFonts w:ascii="Arial" w:hAnsi="Arial" w:cs="Arial"/>
                <w:sz w:val="16"/>
                <w:szCs w:val="16"/>
              </w:rPr>
            </w:pPr>
            <w:r w:rsidRPr="00346A27">
              <w:rPr>
                <w:rFonts w:ascii="Arial" w:hAnsi="Arial" w:cs="Arial"/>
                <w:sz w:val="16"/>
                <w:szCs w:val="16"/>
              </w:rPr>
              <w:t>-</w:t>
            </w:r>
          </w:p>
        </w:tc>
        <w:tc>
          <w:tcPr>
            <w:tcW w:w="980"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jc w:val="right"/>
              <w:rPr>
                <w:rFonts w:ascii="Arial" w:hAnsi="Arial" w:cs="Arial"/>
                <w:sz w:val="16"/>
                <w:szCs w:val="16"/>
              </w:rPr>
            </w:pPr>
            <w:r w:rsidRPr="00346A27">
              <w:rPr>
                <w:rFonts w:ascii="Arial" w:hAnsi="Arial" w:cs="Arial"/>
                <w:sz w:val="16"/>
                <w:szCs w:val="16"/>
              </w:rPr>
              <w:t>15,043</w:t>
            </w:r>
          </w:p>
        </w:tc>
        <w:tc>
          <w:tcPr>
            <w:tcW w:w="980" w:type="dxa"/>
            <w:tcBorders>
              <w:top w:val="nil"/>
              <w:left w:val="nil"/>
              <w:bottom w:val="nil"/>
              <w:right w:val="nil"/>
            </w:tcBorders>
            <w:shd w:val="clear" w:color="000000" w:fill="D9D9D9"/>
            <w:noWrap/>
            <w:vAlign w:val="bottom"/>
            <w:hideMark/>
          </w:tcPr>
          <w:p w:rsidR="00101852" w:rsidRPr="00346A27" w:rsidRDefault="00101852" w:rsidP="00101852">
            <w:pPr>
              <w:keepNext w:val="0"/>
              <w:spacing w:after="0"/>
              <w:jc w:val="right"/>
              <w:rPr>
                <w:rFonts w:ascii="Arial" w:hAnsi="Arial" w:cs="Arial"/>
                <w:sz w:val="16"/>
                <w:szCs w:val="16"/>
              </w:rPr>
            </w:pPr>
            <w:r w:rsidRPr="00346A27">
              <w:rPr>
                <w:rFonts w:ascii="Arial" w:hAnsi="Arial" w:cs="Arial"/>
                <w:sz w:val="16"/>
                <w:szCs w:val="16"/>
              </w:rPr>
              <w:t>15,043</w:t>
            </w:r>
          </w:p>
        </w:tc>
      </w:tr>
      <w:tr w:rsidR="00346A27" w:rsidRPr="00346A27" w:rsidTr="00EB0950">
        <w:trPr>
          <w:trHeight w:val="225"/>
        </w:trPr>
        <w:tc>
          <w:tcPr>
            <w:tcW w:w="3080"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ind w:firstLineChars="100" w:firstLine="160"/>
              <w:rPr>
                <w:rFonts w:ascii="Arial" w:hAnsi="Arial" w:cs="Arial"/>
                <w:sz w:val="16"/>
                <w:szCs w:val="16"/>
              </w:rPr>
            </w:pPr>
            <w:r w:rsidRPr="00346A27">
              <w:rPr>
                <w:rFonts w:ascii="Arial" w:hAnsi="Arial" w:cs="Arial"/>
                <w:sz w:val="16"/>
                <w:szCs w:val="16"/>
              </w:rPr>
              <w:t>s74 retained revenue receipts</w:t>
            </w:r>
            <w:r w:rsidRPr="00346A27">
              <w:rPr>
                <w:rFonts w:ascii="Arial" w:hAnsi="Arial" w:cs="Arial"/>
                <w:sz w:val="16"/>
                <w:szCs w:val="16"/>
                <w:vertAlign w:val="superscript"/>
              </w:rPr>
              <w:t>4</w:t>
            </w:r>
          </w:p>
        </w:tc>
        <w:tc>
          <w:tcPr>
            <w:tcW w:w="1248"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jc w:val="right"/>
              <w:rPr>
                <w:rFonts w:ascii="Arial" w:hAnsi="Arial" w:cs="Arial"/>
                <w:sz w:val="16"/>
                <w:szCs w:val="16"/>
              </w:rPr>
            </w:pPr>
            <w:r w:rsidRPr="00346A27">
              <w:rPr>
                <w:rFonts w:ascii="Arial" w:hAnsi="Arial" w:cs="Arial"/>
                <w:sz w:val="16"/>
                <w:szCs w:val="16"/>
              </w:rPr>
              <w:t>-</w:t>
            </w:r>
          </w:p>
        </w:tc>
        <w:tc>
          <w:tcPr>
            <w:tcW w:w="1120"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jc w:val="right"/>
              <w:rPr>
                <w:rFonts w:ascii="Arial" w:hAnsi="Arial" w:cs="Arial"/>
                <w:sz w:val="16"/>
                <w:szCs w:val="16"/>
              </w:rPr>
            </w:pPr>
            <w:r w:rsidRPr="00346A27">
              <w:rPr>
                <w:rFonts w:ascii="Arial" w:hAnsi="Arial" w:cs="Arial"/>
                <w:sz w:val="16"/>
                <w:szCs w:val="16"/>
              </w:rPr>
              <w:t>-</w:t>
            </w:r>
          </w:p>
        </w:tc>
        <w:tc>
          <w:tcPr>
            <w:tcW w:w="980"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jc w:val="right"/>
              <w:rPr>
                <w:rFonts w:ascii="Arial" w:hAnsi="Arial" w:cs="Arial"/>
                <w:sz w:val="16"/>
                <w:szCs w:val="16"/>
              </w:rPr>
            </w:pPr>
            <w:r w:rsidRPr="00346A27">
              <w:rPr>
                <w:rFonts w:ascii="Arial" w:hAnsi="Arial" w:cs="Arial"/>
                <w:sz w:val="16"/>
                <w:szCs w:val="16"/>
              </w:rPr>
              <w:t>-</w:t>
            </w:r>
          </w:p>
        </w:tc>
        <w:tc>
          <w:tcPr>
            <w:tcW w:w="980" w:type="dxa"/>
            <w:tcBorders>
              <w:top w:val="nil"/>
              <w:left w:val="nil"/>
              <w:bottom w:val="nil"/>
              <w:right w:val="nil"/>
            </w:tcBorders>
            <w:shd w:val="clear" w:color="000000" w:fill="D9D9D9"/>
            <w:noWrap/>
            <w:vAlign w:val="bottom"/>
            <w:hideMark/>
          </w:tcPr>
          <w:p w:rsidR="00101852" w:rsidRPr="00346A27" w:rsidRDefault="00101852" w:rsidP="00101852">
            <w:pPr>
              <w:keepNext w:val="0"/>
              <w:spacing w:after="0"/>
              <w:jc w:val="right"/>
              <w:rPr>
                <w:rFonts w:ascii="Arial" w:hAnsi="Arial" w:cs="Arial"/>
                <w:sz w:val="16"/>
                <w:szCs w:val="16"/>
              </w:rPr>
            </w:pPr>
            <w:r w:rsidRPr="00346A27">
              <w:rPr>
                <w:rFonts w:ascii="Arial" w:hAnsi="Arial" w:cs="Arial"/>
                <w:sz w:val="16"/>
                <w:szCs w:val="16"/>
              </w:rPr>
              <w:t>-</w:t>
            </w:r>
          </w:p>
        </w:tc>
      </w:tr>
      <w:tr w:rsidR="00346A27" w:rsidRPr="00346A27" w:rsidTr="00EB0950">
        <w:trPr>
          <w:trHeight w:val="225"/>
        </w:trPr>
        <w:tc>
          <w:tcPr>
            <w:tcW w:w="3080"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ind w:firstLineChars="100" w:firstLine="161"/>
              <w:rPr>
                <w:rFonts w:ascii="Arial" w:hAnsi="Arial" w:cs="Arial"/>
                <w:b/>
                <w:bCs/>
                <w:sz w:val="16"/>
                <w:szCs w:val="16"/>
              </w:rPr>
            </w:pPr>
            <w:r w:rsidRPr="00346A27">
              <w:rPr>
                <w:rFonts w:ascii="Arial" w:hAnsi="Arial" w:cs="Arial"/>
                <w:b/>
                <w:bCs/>
                <w:sz w:val="16"/>
                <w:szCs w:val="16"/>
              </w:rPr>
              <w:t>Total</w:t>
            </w:r>
          </w:p>
        </w:tc>
        <w:tc>
          <w:tcPr>
            <w:tcW w:w="1248" w:type="dxa"/>
            <w:tcBorders>
              <w:top w:val="nil"/>
              <w:left w:val="nil"/>
              <w:bottom w:val="single" w:sz="4" w:space="0" w:color="auto"/>
              <w:right w:val="nil"/>
            </w:tcBorders>
            <w:shd w:val="clear" w:color="auto" w:fill="auto"/>
            <w:noWrap/>
            <w:vAlign w:val="bottom"/>
            <w:hideMark/>
          </w:tcPr>
          <w:p w:rsidR="00101852" w:rsidRPr="00346A27" w:rsidRDefault="00101852" w:rsidP="00101852">
            <w:pPr>
              <w:keepNext w:val="0"/>
              <w:spacing w:after="0"/>
              <w:jc w:val="right"/>
              <w:rPr>
                <w:rFonts w:ascii="Arial" w:hAnsi="Arial" w:cs="Arial"/>
                <w:b/>
                <w:bCs/>
                <w:sz w:val="16"/>
                <w:szCs w:val="16"/>
              </w:rPr>
            </w:pPr>
            <w:r w:rsidRPr="00346A27">
              <w:rPr>
                <w:rFonts w:ascii="Arial" w:hAnsi="Arial" w:cs="Arial"/>
                <w:b/>
                <w:bCs/>
                <w:sz w:val="16"/>
                <w:szCs w:val="16"/>
              </w:rPr>
              <w:t>18,125</w:t>
            </w:r>
          </w:p>
        </w:tc>
        <w:tc>
          <w:tcPr>
            <w:tcW w:w="1120" w:type="dxa"/>
            <w:tcBorders>
              <w:top w:val="nil"/>
              <w:left w:val="nil"/>
              <w:bottom w:val="single" w:sz="4" w:space="0" w:color="auto"/>
              <w:right w:val="nil"/>
            </w:tcBorders>
            <w:shd w:val="clear" w:color="auto" w:fill="auto"/>
            <w:noWrap/>
            <w:vAlign w:val="bottom"/>
            <w:hideMark/>
          </w:tcPr>
          <w:p w:rsidR="00101852" w:rsidRPr="00346A27" w:rsidRDefault="00101852" w:rsidP="00101852">
            <w:pPr>
              <w:keepNext w:val="0"/>
              <w:spacing w:after="0"/>
              <w:jc w:val="right"/>
              <w:rPr>
                <w:rFonts w:ascii="Arial" w:hAnsi="Arial" w:cs="Arial"/>
                <w:b/>
                <w:bCs/>
                <w:sz w:val="16"/>
                <w:szCs w:val="16"/>
              </w:rPr>
            </w:pPr>
            <w:r w:rsidRPr="00346A27">
              <w:rPr>
                <w:rFonts w:ascii="Arial" w:hAnsi="Arial" w:cs="Arial"/>
                <w:b/>
                <w:bCs/>
                <w:sz w:val="16"/>
                <w:szCs w:val="16"/>
              </w:rPr>
              <w:t>2,869</w:t>
            </w:r>
          </w:p>
        </w:tc>
        <w:tc>
          <w:tcPr>
            <w:tcW w:w="980" w:type="dxa"/>
            <w:tcBorders>
              <w:top w:val="nil"/>
              <w:left w:val="nil"/>
              <w:bottom w:val="single" w:sz="4" w:space="0" w:color="auto"/>
              <w:right w:val="nil"/>
            </w:tcBorders>
            <w:shd w:val="clear" w:color="auto" w:fill="auto"/>
            <w:noWrap/>
            <w:vAlign w:val="bottom"/>
            <w:hideMark/>
          </w:tcPr>
          <w:p w:rsidR="00101852" w:rsidRPr="00346A27" w:rsidRDefault="00101852" w:rsidP="00101852">
            <w:pPr>
              <w:keepNext w:val="0"/>
              <w:spacing w:after="0"/>
              <w:jc w:val="right"/>
              <w:rPr>
                <w:rFonts w:ascii="Arial" w:hAnsi="Arial" w:cs="Arial"/>
                <w:b/>
                <w:bCs/>
                <w:sz w:val="16"/>
                <w:szCs w:val="16"/>
              </w:rPr>
            </w:pPr>
            <w:r w:rsidRPr="00346A27">
              <w:rPr>
                <w:rFonts w:ascii="Arial" w:hAnsi="Arial" w:cs="Arial"/>
                <w:b/>
                <w:bCs/>
                <w:sz w:val="16"/>
                <w:szCs w:val="16"/>
              </w:rPr>
              <w:t>15,043</w:t>
            </w:r>
          </w:p>
        </w:tc>
        <w:tc>
          <w:tcPr>
            <w:tcW w:w="980" w:type="dxa"/>
            <w:tcBorders>
              <w:top w:val="nil"/>
              <w:left w:val="nil"/>
              <w:bottom w:val="single" w:sz="4" w:space="0" w:color="auto"/>
              <w:right w:val="nil"/>
            </w:tcBorders>
            <w:shd w:val="clear" w:color="000000" w:fill="D9D9D9"/>
            <w:noWrap/>
            <w:vAlign w:val="bottom"/>
            <w:hideMark/>
          </w:tcPr>
          <w:p w:rsidR="00101852" w:rsidRPr="00346A27" w:rsidRDefault="00101852" w:rsidP="00101852">
            <w:pPr>
              <w:keepNext w:val="0"/>
              <w:spacing w:after="0"/>
              <w:jc w:val="right"/>
              <w:rPr>
                <w:rFonts w:ascii="Arial" w:hAnsi="Arial" w:cs="Arial"/>
                <w:b/>
                <w:bCs/>
                <w:sz w:val="16"/>
                <w:szCs w:val="16"/>
              </w:rPr>
            </w:pPr>
            <w:r w:rsidRPr="00346A27">
              <w:rPr>
                <w:rFonts w:ascii="Arial" w:hAnsi="Arial" w:cs="Arial"/>
                <w:b/>
                <w:bCs/>
                <w:sz w:val="16"/>
                <w:szCs w:val="16"/>
              </w:rPr>
              <w:t>17,912</w:t>
            </w:r>
          </w:p>
        </w:tc>
      </w:tr>
      <w:tr w:rsidR="00346A27" w:rsidRPr="00346A27" w:rsidTr="00EB0950">
        <w:trPr>
          <w:trHeight w:val="300"/>
        </w:trPr>
        <w:tc>
          <w:tcPr>
            <w:tcW w:w="3080"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rPr>
                <w:rFonts w:ascii="Arial" w:hAnsi="Arial" w:cs="Arial"/>
                <w:b/>
                <w:bCs/>
                <w:sz w:val="16"/>
                <w:szCs w:val="16"/>
              </w:rPr>
            </w:pPr>
            <w:r w:rsidRPr="00346A27">
              <w:rPr>
                <w:rFonts w:ascii="Arial" w:hAnsi="Arial" w:cs="Arial"/>
                <w:b/>
                <w:bCs/>
                <w:sz w:val="16"/>
                <w:szCs w:val="16"/>
              </w:rPr>
              <w:t>Total ordinary annual services</w:t>
            </w:r>
          </w:p>
        </w:tc>
        <w:tc>
          <w:tcPr>
            <w:tcW w:w="1248" w:type="dxa"/>
            <w:tcBorders>
              <w:top w:val="nil"/>
              <w:left w:val="nil"/>
              <w:bottom w:val="single" w:sz="4" w:space="0" w:color="auto"/>
              <w:right w:val="nil"/>
            </w:tcBorders>
            <w:shd w:val="clear" w:color="auto" w:fill="auto"/>
            <w:noWrap/>
            <w:vAlign w:val="bottom"/>
            <w:hideMark/>
          </w:tcPr>
          <w:p w:rsidR="00101852" w:rsidRPr="00346A27" w:rsidRDefault="00101852" w:rsidP="00101852">
            <w:pPr>
              <w:keepNext w:val="0"/>
              <w:spacing w:after="0"/>
              <w:jc w:val="right"/>
              <w:rPr>
                <w:rFonts w:ascii="Arial" w:hAnsi="Arial" w:cs="Arial"/>
                <w:b/>
                <w:bCs/>
                <w:sz w:val="16"/>
                <w:szCs w:val="16"/>
              </w:rPr>
            </w:pPr>
            <w:r w:rsidRPr="00346A27">
              <w:rPr>
                <w:rFonts w:ascii="Arial" w:hAnsi="Arial" w:cs="Arial"/>
                <w:b/>
                <w:bCs/>
                <w:sz w:val="16"/>
                <w:szCs w:val="16"/>
              </w:rPr>
              <w:t>18,125</w:t>
            </w:r>
          </w:p>
        </w:tc>
        <w:tc>
          <w:tcPr>
            <w:tcW w:w="1120" w:type="dxa"/>
            <w:tcBorders>
              <w:top w:val="nil"/>
              <w:left w:val="nil"/>
              <w:bottom w:val="single" w:sz="4" w:space="0" w:color="auto"/>
              <w:right w:val="nil"/>
            </w:tcBorders>
            <w:shd w:val="clear" w:color="auto" w:fill="auto"/>
            <w:noWrap/>
            <w:vAlign w:val="bottom"/>
            <w:hideMark/>
          </w:tcPr>
          <w:p w:rsidR="00101852" w:rsidRPr="00346A27" w:rsidRDefault="00101852" w:rsidP="00101852">
            <w:pPr>
              <w:keepNext w:val="0"/>
              <w:spacing w:after="0"/>
              <w:jc w:val="right"/>
              <w:rPr>
                <w:rFonts w:ascii="Arial" w:hAnsi="Arial" w:cs="Arial"/>
                <w:b/>
                <w:bCs/>
                <w:sz w:val="16"/>
                <w:szCs w:val="16"/>
              </w:rPr>
            </w:pPr>
            <w:r w:rsidRPr="00346A27">
              <w:rPr>
                <w:rFonts w:ascii="Arial" w:hAnsi="Arial" w:cs="Arial"/>
                <w:b/>
                <w:bCs/>
                <w:sz w:val="16"/>
                <w:szCs w:val="16"/>
              </w:rPr>
              <w:t>2,869</w:t>
            </w:r>
          </w:p>
        </w:tc>
        <w:tc>
          <w:tcPr>
            <w:tcW w:w="980" w:type="dxa"/>
            <w:tcBorders>
              <w:top w:val="nil"/>
              <w:left w:val="nil"/>
              <w:bottom w:val="single" w:sz="4" w:space="0" w:color="auto"/>
              <w:right w:val="nil"/>
            </w:tcBorders>
            <w:shd w:val="clear" w:color="auto" w:fill="auto"/>
            <w:noWrap/>
            <w:vAlign w:val="bottom"/>
            <w:hideMark/>
          </w:tcPr>
          <w:p w:rsidR="00101852" w:rsidRPr="00346A27" w:rsidRDefault="00101852" w:rsidP="00101852">
            <w:pPr>
              <w:keepNext w:val="0"/>
              <w:spacing w:after="0"/>
              <w:jc w:val="right"/>
              <w:rPr>
                <w:rFonts w:ascii="Arial" w:hAnsi="Arial" w:cs="Arial"/>
                <w:b/>
                <w:bCs/>
                <w:sz w:val="16"/>
                <w:szCs w:val="16"/>
              </w:rPr>
            </w:pPr>
            <w:r w:rsidRPr="00346A27">
              <w:rPr>
                <w:rFonts w:ascii="Arial" w:hAnsi="Arial" w:cs="Arial"/>
                <w:b/>
                <w:bCs/>
                <w:sz w:val="16"/>
                <w:szCs w:val="16"/>
              </w:rPr>
              <w:t>15,043</w:t>
            </w:r>
          </w:p>
        </w:tc>
        <w:tc>
          <w:tcPr>
            <w:tcW w:w="980" w:type="dxa"/>
            <w:tcBorders>
              <w:top w:val="nil"/>
              <w:left w:val="nil"/>
              <w:bottom w:val="single" w:sz="4" w:space="0" w:color="auto"/>
              <w:right w:val="nil"/>
            </w:tcBorders>
            <w:shd w:val="clear" w:color="000000" w:fill="D9D9D9"/>
            <w:noWrap/>
            <w:vAlign w:val="bottom"/>
            <w:hideMark/>
          </w:tcPr>
          <w:p w:rsidR="00101852" w:rsidRPr="00346A27" w:rsidRDefault="00101852" w:rsidP="00101852">
            <w:pPr>
              <w:keepNext w:val="0"/>
              <w:spacing w:after="0"/>
              <w:jc w:val="right"/>
              <w:rPr>
                <w:rFonts w:ascii="Arial" w:hAnsi="Arial" w:cs="Arial"/>
                <w:b/>
                <w:bCs/>
                <w:sz w:val="16"/>
                <w:szCs w:val="16"/>
              </w:rPr>
            </w:pPr>
            <w:r w:rsidRPr="00346A27">
              <w:rPr>
                <w:rFonts w:ascii="Arial" w:hAnsi="Arial" w:cs="Arial"/>
                <w:b/>
                <w:bCs/>
                <w:sz w:val="16"/>
                <w:szCs w:val="16"/>
              </w:rPr>
              <w:t>17,912</w:t>
            </w:r>
          </w:p>
        </w:tc>
      </w:tr>
      <w:tr w:rsidR="00346A27" w:rsidRPr="00346A27" w:rsidTr="00EB0950">
        <w:trPr>
          <w:trHeight w:val="300"/>
        </w:trPr>
        <w:tc>
          <w:tcPr>
            <w:tcW w:w="3080"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rPr>
                <w:rFonts w:ascii="Arial" w:hAnsi="Arial" w:cs="Arial"/>
                <w:b/>
                <w:bCs/>
                <w:sz w:val="16"/>
                <w:szCs w:val="16"/>
              </w:rPr>
            </w:pPr>
            <w:r w:rsidRPr="00346A27">
              <w:rPr>
                <w:rFonts w:ascii="Arial" w:hAnsi="Arial" w:cs="Arial"/>
                <w:b/>
                <w:bCs/>
                <w:sz w:val="16"/>
                <w:szCs w:val="16"/>
              </w:rPr>
              <w:t>Other services - Bill 2</w:t>
            </w:r>
            <w:r w:rsidRPr="00346A27">
              <w:rPr>
                <w:rFonts w:ascii="Arial" w:hAnsi="Arial" w:cs="Arial"/>
                <w:b/>
                <w:bCs/>
                <w:sz w:val="16"/>
                <w:szCs w:val="16"/>
                <w:vertAlign w:val="superscript"/>
              </w:rPr>
              <w:t>5</w:t>
            </w:r>
          </w:p>
        </w:tc>
        <w:tc>
          <w:tcPr>
            <w:tcW w:w="1248"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jc w:val="right"/>
              <w:rPr>
                <w:rFonts w:ascii="Arial" w:hAnsi="Arial" w:cs="Arial"/>
                <w:sz w:val="16"/>
                <w:szCs w:val="16"/>
              </w:rPr>
            </w:pPr>
          </w:p>
        </w:tc>
        <w:tc>
          <w:tcPr>
            <w:tcW w:w="1120"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jc w:val="right"/>
              <w:rPr>
                <w:rFonts w:ascii="Arial" w:hAnsi="Arial" w:cs="Arial"/>
                <w:sz w:val="16"/>
                <w:szCs w:val="16"/>
              </w:rPr>
            </w:pPr>
          </w:p>
        </w:tc>
        <w:tc>
          <w:tcPr>
            <w:tcW w:w="980"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jc w:val="right"/>
              <w:rPr>
                <w:rFonts w:ascii="Arial" w:hAnsi="Arial" w:cs="Arial"/>
                <w:b/>
                <w:bCs/>
                <w:sz w:val="16"/>
                <w:szCs w:val="16"/>
              </w:rPr>
            </w:pPr>
          </w:p>
        </w:tc>
        <w:tc>
          <w:tcPr>
            <w:tcW w:w="980" w:type="dxa"/>
            <w:tcBorders>
              <w:top w:val="nil"/>
              <w:left w:val="nil"/>
              <w:bottom w:val="nil"/>
              <w:right w:val="nil"/>
            </w:tcBorders>
            <w:shd w:val="clear" w:color="000000" w:fill="D9D9D9"/>
            <w:noWrap/>
            <w:vAlign w:val="bottom"/>
            <w:hideMark/>
          </w:tcPr>
          <w:p w:rsidR="00101852" w:rsidRPr="00346A27" w:rsidRDefault="00101852" w:rsidP="00101852">
            <w:pPr>
              <w:keepNext w:val="0"/>
              <w:spacing w:after="0"/>
              <w:jc w:val="right"/>
              <w:rPr>
                <w:rFonts w:ascii="Arial" w:hAnsi="Arial" w:cs="Arial"/>
                <w:b/>
                <w:bCs/>
                <w:sz w:val="16"/>
                <w:szCs w:val="16"/>
              </w:rPr>
            </w:pPr>
            <w:r w:rsidRPr="00346A27">
              <w:rPr>
                <w:rFonts w:ascii="Arial" w:hAnsi="Arial" w:cs="Arial"/>
                <w:b/>
                <w:bCs/>
                <w:sz w:val="16"/>
                <w:szCs w:val="16"/>
              </w:rPr>
              <w:t> </w:t>
            </w:r>
          </w:p>
        </w:tc>
      </w:tr>
      <w:tr w:rsidR="00346A27" w:rsidRPr="00346A27" w:rsidTr="00EB0950">
        <w:trPr>
          <w:trHeight w:val="225"/>
        </w:trPr>
        <w:tc>
          <w:tcPr>
            <w:tcW w:w="3080"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rPr>
                <w:rFonts w:ascii="Arial" w:hAnsi="Arial" w:cs="Arial"/>
                <w:b/>
                <w:bCs/>
                <w:sz w:val="16"/>
                <w:szCs w:val="16"/>
              </w:rPr>
            </w:pPr>
            <w:r w:rsidRPr="00346A27">
              <w:rPr>
                <w:rFonts w:ascii="Arial" w:hAnsi="Arial" w:cs="Arial"/>
                <w:b/>
                <w:bCs/>
                <w:sz w:val="16"/>
                <w:szCs w:val="16"/>
              </w:rPr>
              <w:t>Departmental non-operating</w:t>
            </w:r>
          </w:p>
        </w:tc>
        <w:tc>
          <w:tcPr>
            <w:tcW w:w="1248"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jc w:val="right"/>
              <w:rPr>
                <w:rFonts w:ascii="Arial" w:hAnsi="Arial" w:cs="Arial"/>
                <w:sz w:val="16"/>
                <w:szCs w:val="16"/>
              </w:rPr>
            </w:pPr>
          </w:p>
        </w:tc>
        <w:tc>
          <w:tcPr>
            <w:tcW w:w="1120"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jc w:val="right"/>
              <w:rPr>
                <w:rFonts w:ascii="Arial" w:hAnsi="Arial" w:cs="Arial"/>
                <w:b/>
                <w:bCs/>
                <w:sz w:val="16"/>
                <w:szCs w:val="16"/>
              </w:rPr>
            </w:pPr>
          </w:p>
        </w:tc>
        <w:tc>
          <w:tcPr>
            <w:tcW w:w="980"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jc w:val="right"/>
              <w:rPr>
                <w:rFonts w:ascii="Arial" w:hAnsi="Arial" w:cs="Arial"/>
                <w:b/>
                <w:bCs/>
                <w:sz w:val="16"/>
                <w:szCs w:val="16"/>
              </w:rPr>
            </w:pPr>
          </w:p>
        </w:tc>
        <w:tc>
          <w:tcPr>
            <w:tcW w:w="980" w:type="dxa"/>
            <w:tcBorders>
              <w:top w:val="nil"/>
              <w:left w:val="nil"/>
              <w:bottom w:val="nil"/>
              <w:right w:val="nil"/>
            </w:tcBorders>
            <w:shd w:val="clear" w:color="000000" w:fill="D9D9D9"/>
            <w:vAlign w:val="bottom"/>
            <w:hideMark/>
          </w:tcPr>
          <w:p w:rsidR="00101852" w:rsidRPr="00346A27" w:rsidRDefault="00101852" w:rsidP="00101852">
            <w:pPr>
              <w:keepNext w:val="0"/>
              <w:spacing w:after="0"/>
              <w:jc w:val="right"/>
              <w:rPr>
                <w:rFonts w:ascii="Arial" w:hAnsi="Arial" w:cs="Arial"/>
                <w:sz w:val="16"/>
                <w:szCs w:val="16"/>
              </w:rPr>
            </w:pPr>
            <w:r w:rsidRPr="00346A27">
              <w:rPr>
                <w:rFonts w:ascii="Arial" w:hAnsi="Arial" w:cs="Arial"/>
                <w:sz w:val="16"/>
                <w:szCs w:val="16"/>
              </w:rPr>
              <w:t> </w:t>
            </w:r>
          </w:p>
        </w:tc>
      </w:tr>
      <w:tr w:rsidR="00346A27" w:rsidRPr="00346A27" w:rsidTr="00EB0950">
        <w:trPr>
          <w:trHeight w:val="225"/>
        </w:trPr>
        <w:tc>
          <w:tcPr>
            <w:tcW w:w="3080"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ind w:firstLineChars="100" w:firstLine="160"/>
              <w:rPr>
                <w:rFonts w:ascii="Arial" w:hAnsi="Arial" w:cs="Arial"/>
                <w:sz w:val="16"/>
                <w:szCs w:val="16"/>
              </w:rPr>
            </w:pPr>
            <w:r w:rsidRPr="00346A27">
              <w:rPr>
                <w:rFonts w:ascii="Arial" w:hAnsi="Arial" w:cs="Arial"/>
                <w:sz w:val="16"/>
                <w:szCs w:val="16"/>
              </w:rPr>
              <w:t>Equity injections</w:t>
            </w:r>
          </w:p>
        </w:tc>
        <w:tc>
          <w:tcPr>
            <w:tcW w:w="1248"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jc w:val="right"/>
              <w:rPr>
                <w:rFonts w:ascii="Arial" w:hAnsi="Arial" w:cs="Arial"/>
                <w:sz w:val="16"/>
                <w:szCs w:val="16"/>
              </w:rPr>
            </w:pPr>
            <w:r w:rsidRPr="00346A27">
              <w:rPr>
                <w:rFonts w:ascii="Arial" w:hAnsi="Arial" w:cs="Arial"/>
                <w:sz w:val="16"/>
                <w:szCs w:val="16"/>
              </w:rPr>
              <w:t>-</w:t>
            </w:r>
          </w:p>
        </w:tc>
        <w:tc>
          <w:tcPr>
            <w:tcW w:w="1120"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jc w:val="right"/>
              <w:rPr>
                <w:rFonts w:ascii="Arial" w:hAnsi="Arial" w:cs="Arial"/>
                <w:sz w:val="16"/>
                <w:szCs w:val="16"/>
              </w:rPr>
            </w:pPr>
            <w:r w:rsidRPr="00346A27">
              <w:rPr>
                <w:rFonts w:ascii="Arial" w:hAnsi="Arial" w:cs="Arial"/>
                <w:sz w:val="16"/>
                <w:szCs w:val="16"/>
              </w:rPr>
              <w:t>-</w:t>
            </w:r>
          </w:p>
        </w:tc>
        <w:tc>
          <w:tcPr>
            <w:tcW w:w="980"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jc w:val="right"/>
              <w:rPr>
                <w:rFonts w:ascii="Arial" w:hAnsi="Arial" w:cs="Arial"/>
                <w:sz w:val="16"/>
                <w:szCs w:val="16"/>
              </w:rPr>
            </w:pPr>
            <w:r w:rsidRPr="00346A27">
              <w:rPr>
                <w:rFonts w:ascii="Arial" w:hAnsi="Arial" w:cs="Arial"/>
                <w:sz w:val="16"/>
                <w:szCs w:val="16"/>
              </w:rPr>
              <w:t>-</w:t>
            </w:r>
          </w:p>
        </w:tc>
        <w:tc>
          <w:tcPr>
            <w:tcW w:w="980" w:type="dxa"/>
            <w:tcBorders>
              <w:top w:val="nil"/>
              <w:left w:val="nil"/>
              <w:bottom w:val="nil"/>
              <w:right w:val="nil"/>
            </w:tcBorders>
            <w:shd w:val="clear" w:color="000000" w:fill="D9D9D9"/>
            <w:noWrap/>
            <w:vAlign w:val="bottom"/>
            <w:hideMark/>
          </w:tcPr>
          <w:p w:rsidR="00101852" w:rsidRPr="00346A27" w:rsidRDefault="00101852" w:rsidP="00101852">
            <w:pPr>
              <w:keepNext w:val="0"/>
              <w:spacing w:after="0"/>
              <w:jc w:val="right"/>
              <w:rPr>
                <w:rFonts w:ascii="Arial" w:hAnsi="Arial" w:cs="Arial"/>
                <w:sz w:val="16"/>
                <w:szCs w:val="16"/>
              </w:rPr>
            </w:pPr>
            <w:r w:rsidRPr="00346A27">
              <w:rPr>
                <w:rFonts w:ascii="Arial" w:hAnsi="Arial" w:cs="Arial"/>
                <w:sz w:val="16"/>
                <w:szCs w:val="16"/>
              </w:rPr>
              <w:t>-</w:t>
            </w:r>
          </w:p>
        </w:tc>
      </w:tr>
      <w:tr w:rsidR="00346A27" w:rsidRPr="00346A27" w:rsidTr="00EB0950">
        <w:trPr>
          <w:trHeight w:val="225"/>
        </w:trPr>
        <w:tc>
          <w:tcPr>
            <w:tcW w:w="3080"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ind w:firstLineChars="100" w:firstLine="160"/>
              <w:rPr>
                <w:rFonts w:ascii="Arial" w:hAnsi="Arial" w:cs="Arial"/>
                <w:sz w:val="16"/>
                <w:szCs w:val="16"/>
              </w:rPr>
            </w:pPr>
            <w:r w:rsidRPr="00346A27">
              <w:rPr>
                <w:rFonts w:ascii="Arial" w:hAnsi="Arial" w:cs="Arial"/>
                <w:sz w:val="16"/>
                <w:szCs w:val="16"/>
              </w:rPr>
              <w:t>Previous years' programmes</w:t>
            </w:r>
          </w:p>
        </w:tc>
        <w:tc>
          <w:tcPr>
            <w:tcW w:w="1248"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jc w:val="right"/>
              <w:rPr>
                <w:rFonts w:ascii="Arial" w:hAnsi="Arial" w:cs="Arial"/>
                <w:sz w:val="16"/>
                <w:szCs w:val="16"/>
              </w:rPr>
            </w:pPr>
            <w:r w:rsidRPr="00346A27">
              <w:rPr>
                <w:rFonts w:ascii="Arial" w:hAnsi="Arial" w:cs="Arial"/>
                <w:sz w:val="16"/>
                <w:szCs w:val="16"/>
              </w:rPr>
              <w:t>-</w:t>
            </w:r>
          </w:p>
        </w:tc>
        <w:tc>
          <w:tcPr>
            <w:tcW w:w="1120"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jc w:val="right"/>
              <w:rPr>
                <w:rFonts w:ascii="Arial" w:hAnsi="Arial" w:cs="Arial"/>
                <w:sz w:val="16"/>
                <w:szCs w:val="16"/>
              </w:rPr>
            </w:pPr>
            <w:r w:rsidRPr="00346A27">
              <w:rPr>
                <w:rFonts w:ascii="Arial" w:hAnsi="Arial" w:cs="Arial"/>
                <w:sz w:val="16"/>
                <w:szCs w:val="16"/>
              </w:rPr>
              <w:t>-</w:t>
            </w:r>
          </w:p>
        </w:tc>
        <w:tc>
          <w:tcPr>
            <w:tcW w:w="980"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jc w:val="right"/>
              <w:rPr>
                <w:rFonts w:ascii="Arial" w:hAnsi="Arial" w:cs="Arial"/>
                <w:sz w:val="16"/>
                <w:szCs w:val="16"/>
              </w:rPr>
            </w:pPr>
            <w:r w:rsidRPr="00346A27">
              <w:rPr>
                <w:rFonts w:ascii="Arial" w:hAnsi="Arial" w:cs="Arial"/>
                <w:sz w:val="16"/>
                <w:szCs w:val="16"/>
              </w:rPr>
              <w:t>-</w:t>
            </w:r>
          </w:p>
        </w:tc>
        <w:tc>
          <w:tcPr>
            <w:tcW w:w="980" w:type="dxa"/>
            <w:tcBorders>
              <w:top w:val="nil"/>
              <w:left w:val="nil"/>
              <w:bottom w:val="nil"/>
              <w:right w:val="nil"/>
            </w:tcBorders>
            <w:shd w:val="clear" w:color="000000" w:fill="D9D9D9"/>
            <w:noWrap/>
            <w:vAlign w:val="bottom"/>
            <w:hideMark/>
          </w:tcPr>
          <w:p w:rsidR="00101852" w:rsidRPr="00346A27" w:rsidRDefault="00101852" w:rsidP="00101852">
            <w:pPr>
              <w:keepNext w:val="0"/>
              <w:spacing w:after="0"/>
              <w:jc w:val="right"/>
              <w:rPr>
                <w:rFonts w:ascii="Arial" w:hAnsi="Arial" w:cs="Arial"/>
                <w:sz w:val="16"/>
                <w:szCs w:val="16"/>
              </w:rPr>
            </w:pPr>
            <w:r w:rsidRPr="00346A27">
              <w:rPr>
                <w:rFonts w:ascii="Arial" w:hAnsi="Arial" w:cs="Arial"/>
                <w:sz w:val="16"/>
                <w:szCs w:val="16"/>
              </w:rPr>
              <w:t>-</w:t>
            </w:r>
          </w:p>
        </w:tc>
      </w:tr>
      <w:tr w:rsidR="00346A27" w:rsidRPr="00346A27" w:rsidTr="00EB0950">
        <w:trPr>
          <w:trHeight w:val="225"/>
        </w:trPr>
        <w:tc>
          <w:tcPr>
            <w:tcW w:w="3080"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ind w:firstLineChars="100" w:firstLine="161"/>
              <w:rPr>
                <w:rFonts w:ascii="Arial" w:hAnsi="Arial" w:cs="Arial"/>
                <w:b/>
                <w:bCs/>
                <w:sz w:val="16"/>
                <w:szCs w:val="16"/>
              </w:rPr>
            </w:pPr>
            <w:r w:rsidRPr="00346A27">
              <w:rPr>
                <w:rFonts w:ascii="Arial" w:hAnsi="Arial" w:cs="Arial"/>
                <w:b/>
                <w:bCs/>
                <w:sz w:val="16"/>
                <w:szCs w:val="16"/>
              </w:rPr>
              <w:t>Total</w:t>
            </w:r>
          </w:p>
        </w:tc>
        <w:tc>
          <w:tcPr>
            <w:tcW w:w="1248" w:type="dxa"/>
            <w:tcBorders>
              <w:top w:val="nil"/>
              <w:left w:val="nil"/>
              <w:bottom w:val="single" w:sz="4" w:space="0" w:color="auto"/>
              <w:right w:val="nil"/>
            </w:tcBorders>
            <w:shd w:val="clear" w:color="auto" w:fill="auto"/>
            <w:noWrap/>
            <w:vAlign w:val="bottom"/>
            <w:hideMark/>
          </w:tcPr>
          <w:p w:rsidR="00101852" w:rsidRPr="00346A27" w:rsidRDefault="00101852" w:rsidP="00101852">
            <w:pPr>
              <w:keepNext w:val="0"/>
              <w:spacing w:after="0"/>
              <w:jc w:val="right"/>
              <w:rPr>
                <w:rFonts w:ascii="Arial" w:hAnsi="Arial" w:cs="Arial"/>
                <w:b/>
                <w:bCs/>
                <w:sz w:val="16"/>
                <w:szCs w:val="16"/>
              </w:rPr>
            </w:pPr>
            <w:r w:rsidRPr="00346A27">
              <w:rPr>
                <w:rFonts w:ascii="Arial" w:hAnsi="Arial" w:cs="Arial"/>
                <w:b/>
                <w:bCs/>
                <w:sz w:val="16"/>
                <w:szCs w:val="16"/>
              </w:rPr>
              <w:t>-</w:t>
            </w:r>
          </w:p>
        </w:tc>
        <w:tc>
          <w:tcPr>
            <w:tcW w:w="1120" w:type="dxa"/>
            <w:tcBorders>
              <w:top w:val="nil"/>
              <w:left w:val="nil"/>
              <w:bottom w:val="single" w:sz="4" w:space="0" w:color="auto"/>
              <w:right w:val="nil"/>
            </w:tcBorders>
            <w:shd w:val="clear" w:color="auto" w:fill="auto"/>
            <w:noWrap/>
            <w:vAlign w:val="bottom"/>
            <w:hideMark/>
          </w:tcPr>
          <w:p w:rsidR="00101852" w:rsidRPr="00346A27" w:rsidRDefault="00101852" w:rsidP="00101852">
            <w:pPr>
              <w:keepNext w:val="0"/>
              <w:spacing w:after="0"/>
              <w:jc w:val="right"/>
              <w:rPr>
                <w:rFonts w:ascii="Arial" w:hAnsi="Arial" w:cs="Arial"/>
                <w:b/>
                <w:bCs/>
                <w:sz w:val="16"/>
                <w:szCs w:val="16"/>
              </w:rPr>
            </w:pPr>
            <w:r w:rsidRPr="00346A27">
              <w:rPr>
                <w:rFonts w:ascii="Arial" w:hAnsi="Arial" w:cs="Arial"/>
                <w:b/>
                <w:bCs/>
                <w:sz w:val="16"/>
                <w:szCs w:val="16"/>
              </w:rPr>
              <w:t>-</w:t>
            </w:r>
          </w:p>
        </w:tc>
        <w:tc>
          <w:tcPr>
            <w:tcW w:w="980" w:type="dxa"/>
            <w:tcBorders>
              <w:top w:val="nil"/>
              <w:left w:val="nil"/>
              <w:bottom w:val="single" w:sz="4" w:space="0" w:color="auto"/>
              <w:right w:val="nil"/>
            </w:tcBorders>
            <w:shd w:val="clear" w:color="auto" w:fill="auto"/>
            <w:noWrap/>
            <w:vAlign w:val="bottom"/>
            <w:hideMark/>
          </w:tcPr>
          <w:p w:rsidR="00101852" w:rsidRPr="00346A27" w:rsidRDefault="00101852" w:rsidP="00101852">
            <w:pPr>
              <w:keepNext w:val="0"/>
              <w:spacing w:after="0"/>
              <w:jc w:val="right"/>
              <w:rPr>
                <w:rFonts w:ascii="Arial" w:hAnsi="Arial" w:cs="Arial"/>
                <w:b/>
                <w:bCs/>
                <w:sz w:val="16"/>
                <w:szCs w:val="16"/>
              </w:rPr>
            </w:pPr>
            <w:r w:rsidRPr="00346A27">
              <w:rPr>
                <w:rFonts w:ascii="Arial" w:hAnsi="Arial" w:cs="Arial"/>
                <w:b/>
                <w:bCs/>
                <w:sz w:val="16"/>
                <w:szCs w:val="16"/>
              </w:rPr>
              <w:t>-</w:t>
            </w:r>
          </w:p>
        </w:tc>
        <w:tc>
          <w:tcPr>
            <w:tcW w:w="980" w:type="dxa"/>
            <w:tcBorders>
              <w:top w:val="nil"/>
              <w:left w:val="nil"/>
              <w:bottom w:val="single" w:sz="4" w:space="0" w:color="auto"/>
              <w:right w:val="nil"/>
            </w:tcBorders>
            <w:shd w:val="clear" w:color="000000" w:fill="D9D9D9"/>
            <w:noWrap/>
            <w:vAlign w:val="bottom"/>
            <w:hideMark/>
          </w:tcPr>
          <w:p w:rsidR="00101852" w:rsidRPr="00346A27" w:rsidRDefault="00101852" w:rsidP="00101852">
            <w:pPr>
              <w:keepNext w:val="0"/>
              <w:spacing w:after="0"/>
              <w:jc w:val="right"/>
              <w:rPr>
                <w:rFonts w:ascii="Arial" w:hAnsi="Arial" w:cs="Arial"/>
                <w:b/>
                <w:bCs/>
                <w:sz w:val="16"/>
                <w:szCs w:val="16"/>
              </w:rPr>
            </w:pPr>
            <w:r w:rsidRPr="00346A27">
              <w:rPr>
                <w:rFonts w:ascii="Arial" w:hAnsi="Arial" w:cs="Arial"/>
                <w:b/>
                <w:bCs/>
                <w:sz w:val="16"/>
                <w:szCs w:val="16"/>
              </w:rPr>
              <w:t>-</w:t>
            </w:r>
          </w:p>
        </w:tc>
      </w:tr>
      <w:tr w:rsidR="00346A27" w:rsidRPr="00346A27" w:rsidTr="00EB0950">
        <w:trPr>
          <w:trHeight w:val="300"/>
        </w:trPr>
        <w:tc>
          <w:tcPr>
            <w:tcW w:w="3080"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rPr>
                <w:rFonts w:ascii="Arial" w:hAnsi="Arial" w:cs="Arial"/>
                <w:b/>
                <w:bCs/>
                <w:sz w:val="16"/>
                <w:szCs w:val="16"/>
              </w:rPr>
            </w:pPr>
            <w:r w:rsidRPr="00346A27">
              <w:rPr>
                <w:rFonts w:ascii="Arial" w:hAnsi="Arial" w:cs="Arial"/>
                <w:b/>
                <w:bCs/>
                <w:sz w:val="16"/>
                <w:szCs w:val="16"/>
              </w:rPr>
              <w:t xml:space="preserve">Total other services </w:t>
            </w:r>
          </w:p>
        </w:tc>
        <w:tc>
          <w:tcPr>
            <w:tcW w:w="1248" w:type="dxa"/>
            <w:tcBorders>
              <w:top w:val="nil"/>
              <w:left w:val="nil"/>
              <w:bottom w:val="single" w:sz="4" w:space="0" w:color="auto"/>
              <w:right w:val="nil"/>
            </w:tcBorders>
            <w:shd w:val="clear" w:color="auto" w:fill="auto"/>
            <w:noWrap/>
            <w:vAlign w:val="bottom"/>
            <w:hideMark/>
          </w:tcPr>
          <w:p w:rsidR="00101852" w:rsidRPr="00346A27" w:rsidRDefault="00101852" w:rsidP="00101852">
            <w:pPr>
              <w:keepNext w:val="0"/>
              <w:spacing w:after="0"/>
              <w:jc w:val="right"/>
              <w:rPr>
                <w:rFonts w:ascii="Arial" w:hAnsi="Arial" w:cs="Arial"/>
                <w:b/>
                <w:bCs/>
                <w:sz w:val="16"/>
                <w:szCs w:val="16"/>
              </w:rPr>
            </w:pPr>
            <w:r w:rsidRPr="00346A27">
              <w:rPr>
                <w:rFonts w:ascii="Arial" w:hAnsi="Arial" w:cs="Arial"/>
                <w:b/>
                <w:bCs/>
                <w:sz w:val="16"/>
                <w:szCs w:val="16"/>
              </w:rPr>
              <w:t>-</w:t>
            </w:r>
          </w:p>
        </w:tc>
        <w:tc>
          <w:tcPr>
            <w:tcW w:w="1120" w:type="dxa"/>
            <w:tcBorders>
              <w:top w:val="nil"/>
              <w:left w:val="nil"/>
              <w:bottom w:val="single" w:sz="4" w:space="0" w:color="auto"/>
              <w:right w:val="nil"/>
            </w:tcBorders>
            <w:shd w:val="clear" w:color="auto" w:fill="auto"/>
            <w:noWrap/>
            <w:vAlign w:val="bottom"/>
            <w:hideMark/>
          </w:tcPr>
          <w:p w:rsidR="00101852" w:rsidRPr="00346A27" w:rsidRDefault="00101852" w:rsidP="00101852">
            <w:pPr>
              <w:keepNext w:val="0"/>
              <w:spacing w:after="0"/>
              <w:jc w:val="right"/>
              <w:rPr>
                <w:rFonts w:ascii="Arial" w:hAnsi="Arial" w:cs="Arial"/>
                <w:b/>
                <w:bCs/>
                <w:sz w:val="16"/>
                <w:szCs w:val="16"/>
              </w:rPr>
            </w:pPr>
            <w:r w:rsidRPr="00346A27">
              <w:rPr>
                <w:rFonts w:ascii="Arial" w:hAnsi="Arial" w:cs="Arial"/>
                <w:b/>
                <w:bCs/>
                <w:sz w:val="16"/>
                <w:szCs w:val="16"/>
              </w:rPr>
              <w:t>-</w:t>
            </w:r>
          </w:p>
        </w:tc>
        <w:tc>
          <w:tcPr>
            <w:tcW w:w="980" w:type="dxa"/>
            <w:tcBorders>
              <w:top w:val="nil"/>
              <w:left w:val="nil"/>
              <w:bottom w:val="single" w:sz="4" w:space="0" w:color="auto"/>
              <w:right w:val="nil"/>
            </w:tcBorders>
            <w:shd w:val="clear" w:color="auto" w:fill="auto"/>
            <w:noWrap/>
            <w:vAlign w:val="bottom"/>
            <w:hideMark/>
          </w:tcPr>
          <w:p w:rsidR="00101852" w:rsidRPr="00346A27" w:rsidRDefault="00101852" w:rsidP="00101852">
            <w:pPr>
              <w:keepNext w:val="0"/>
              <w:spacing w:after="0"/>
              <w:jc w:val="right"/>
              <w:rPr>
                <w:rFonts w:ascii="Arial" w:hAnsi="Arial" w:cs="Arial"/>
                <w:b/>
                <w:bCs/>
                <w:sz w:val="16"/>
                <w:szCs w:val="16"/>
              </w:rPr>
            </w:pPr>
            <w:r w:rsidRPr="00346A27">
              <w:rPr>
                <w:rFonts w:ascii="Arial" w:hAnsi="Arial" w:cs="Arial"/>
                <w:b/>
                <w:bCs/>
                <w:sz w:val="16"/>
                <w:szCs w:val="16"/>
              </w:rPr>
              <w:t>-</w:t>
            </w:r>
          </w:p>
        </w:tc>
        <w:tc>
          <w:tcPr>
            <w:tcW w:w="980" w:type="dxa"/>
            <w:tcBorders>
              <w:top w:val="nil"/>
              <w:left w:val="nil"/>
              <w:bottom w:val="single" w:sz="4" w:space="0" w:color="auto"/>
              <w:right w:val="nil"/>
            </w:tcBorders>
            <w:shd w:val="clear" w:color="000000" w:fill="D9D9D9"/>
            <w:noWrap/>
            <w:vAlign w:val="bottom"/>
            <w:hideMark/>
          </w:tcPr>
          <w:p w:rsidR="00101852" w:rsidRPr="00346A27" w:rsidRDefault="00101852" w:rsidP="00101852">
            <w:pPr>
              <w:keepNext w:val="0"/>
              <w:spacing w:after="0"/>
              <w:jc w:val="right"/>
              <w:rPr>
                <w:rFonts w:ascii="Arial" w:hAnsi="Arial" w:cs="Arial"/>
                <w:b/>
                <w:bCs/>
                <w:sz w:val="16"/>
                <w:szCs w:val="16"/>
              </w:rPr>
            </w:pPr>
            <w:r w:rsidRPr="00346A27">
              <w:rPr>
                <w:rFonts w:ascii="Arial" w:hAnsi="Arial" w:cs="Arial"/>
                <w:b/>
                <w:bCs/>
                <w:sz w:val="16"/>
                <w:szCs w:val="16"/>
              </w:rPr>
              <w:t>-</w:t>
            </w:r>
          </w:p>
        </w:tc>
      </w:tr>
      <w:tr w:rsidR="00346A27" w:rsidRPr="00346A27" w:rsidTr="00EB0950">
        <w:trPr>
          <w:trHeight w:val="300"/>
        </w:trPr>
        <w:tc>
          <w:tcPr>
            <w:tcW w:w="3080"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rPr>
                <w:rFonts w:ascii="Arial" w:hAnsi="Arial" w:cs="Arial"/>
                <w:b/>
                <w:bCs/>
                <w:sz w:val="16"/>
                <w:szCs w:val="16"/>
              </w:rPr>
            </w:pPr>
            <w:r w:rsidRPr="00346A27">
              <w:rPr>
                <w:rFonts w:ascii="Arial" w:hAnsi="Arial" w:cs="Arial"/>
                <w:b/>
                <w:bCs/>
                <w:sz w:val="16"/>
                <w:szCs w:val="16"/>
              </w:rPr>
              <w:t>Total available annual appropriations</w:t>
            </w:r>
          </w:p>
        </w:tc>
        <w:tc>
          <w:tcPr>
            <w:tcW w:w="1248" w:type="dxa"/>
            <w:tcBorders>
              <w:top w:val="nil"/>
              <w:left w:val="nil"/>
              <w:bottom w:val="single" w:sz="4" w:space="0" w:color="auto"/>
              <w:right w:val="nil"/>
            </w:tcBorders>
            <w:shd w:val="clear" w:color="auto" w:fill="auto"/>
            <w:noWrap/>
            <w:vAlign w:val="bottom"/>
            <w:hideMark/>
          </w:tcPr>
          <w:p w:rsidR="00101852" w:rsidRPr="00346A27" w:rsidRDefault="00101852" w:rsidP="00101852">
            <w:pPr>
              <w:keepNext w:val="0"/>
              <w:spacing w:after="0"/>
              <w:jc w:val="right"/>
              <w:rPr>
                <w:rFonts w:ascii="Arial" w:hAnsi="Arial" w:cs="Arial"/>
                <w:b/>
                <w:bCs/>
                <w:sz w:val="16"/>
                <w:szCs w:val="16"/>
              </w:rPr>
            </w:pPr>
            <w:r w:rsidRPr="00346A27">
              <w:rPr>
                <w:rFonts w:ascii="Arial" w:hAnsi="Arial" w:cs="Arial"/>
                <w:b/>
                <w:bCs/>
                <w:sz w:val="16"/>
                <w:szCs w:val="16"/>
              </w:rPr>
              <w:t>18,125</w:t>
            </w:r>
          </w:p>
        </w:tc>
        <w:tc>
          <w:tcPr>
            <w:tcW w:w="1120" w:type="dxa"/>
            <w:tcBorders>
              <w:top w:val="nil"/>
              <w:left w:val="nil"/>
              <w:bottom w:val="single" w:sz="4" w:space="0" w:color="auto"/>
              <w:right w:val="nil"/>
            </w:tcBorders>
            <w:shd w:val="clear" w:color="auto" w:fill="auto"/>
            <w:noWrap/>
            <w:vAlign w:val="bottom"/>
            <w:hideMark/>
          </w:tcPr>
          <w:p w:rsidR="00101852" w:rsidRPr="00346A27" w:rsidRDefault="00101852" w:rsidP="00101852">
            <w:pPr>
              <w:keepNext w:val="0"/>
              <w:spacing w:after="0"/>
              <w:jc w:val="right"/>
              <w:rPr>
                <w:rFonts w:ascii="Arial" w:hAnsi="Arial" w:cs="Arial"/>
                <w:b/>
                <w:bCs/>
                <w:sz w:val="16"/>
                <w:szCs w:val="16"/>
              </w:rPr>
            </w:pPr>
            <w:r w:rsidRPr="00346A27">
              <w:rPr>
                <w:rFonts w:ascii="Arial" w:hAnsi="Arial" w:cs="Arial"/>
                <w:b/>
                <w:bCs/>
                <w:sz w:val="16"/>
                <w:szCs w:val="16"/>
              </w:rPr>
              <w:t>2,869</w:t>
            </w:r>
          </w:p>
        </w:tc>
        <w:tc>
          <w:tcPr>
            <w:tcW w:w="980" w:type="dxa"/>
            <w:tcBorders>
              <w:top w:val="nil"/>
              <w:left w:val="nil"/>
              <w:bottom w:val="single" w:sz="4" w:space="0" w:color="auto"/>
              <w:right w:val="nil"/>
            </w:tcBorders>
            <w:shd w:val="clear" w:color="000000" w:fill="FFFFFF"/>
            <w:noWrap/>
            <w:vAlign w:val="bottom"/>
            <w:hideMark/>
          </w:tcPr>
          <w:p w:rsidR="00101852" w:rsidRPr="00346A27" w:rsidRDefault="00101852" w:rsidP="00101852">
            <w:pPr>
              <w:keepNext w:val="0"/>
              <w:spacing w:after="0"/>
              <w:jc w:val="right"/>
              <w:rPr>
                <w:rFonts w:ascii="Arial" w:hAnsi="Arial" w:cs="Arial"/>
                <w:b/>
                <w:bCs/>
                <w:sz w:val="16"/>
                <w:szCs w:val="16"/>
              </w:rPr>
            </w:pPr>
            <w:r w:rsidRPr="00346A27">
              <w:rPr>
                <w:rFonts w:ascii="Arial" w:hAnsi="Arial" w:cs="Arial"/>
                <w:b/>
                <w:bCs/>
                <w:sz w:val="16"/>
                <w:szCs w:val="16"/>
              </w:rPr>
              <w:t>15,043</w:t>
            </w:r>
          </w:p>
        </w:tc>
        <w:tc>
          <w:tcPr>
            <w:tcW w:w="980" w:type="dxa"/>
            <w:tcBorders>
              <w:top w:val="nil"/>
              <w:left w:val="nil"/>
              <w:bottom w:val="single" w:sz="4" w:space="0" w:color="auto"/>
              <w:right w:val="nil"/>
            </w:tcBorders>
            <w:shd w:val="clear" w:color="000000" w:fill="D9D9D9"/>
            <w:noWrap/>
            <w:vAlign w:val="bottom"/>
            <w:hideMark/>
          </w:tcPr>
          <w:p w:rsidR="00101852" w:rsidRPr="00346A27" w:rsidRDefault="00101852" w:rsidP="00101852">
            <w:pPr>
              <w:keepNext w:val="0"/>
              <w:spacing w:after="0"/>
              <w:jc w:val="right"/>
              <w:rPr>
                <w:rFonts w:ascii="Arial" w:hAnsi="Arial" w:cs="Arial"/>
                <w:b/>
                <w:bCs/>
                <w:sz w:val="16"/>
                <w:szCs w:val="16"/>
              </w:rPr>
            </w:pPr>
            <w:r w:rsidRPr="00346A27">
              <w:rPr>
                <w:rFonts w:ascii="Arial" w:hAnsi="Arial" w:cs="Arial"/>
                <w:b/>
                <w:bCs/>
                <w:sz w:val="16"/>
                <w:szCs w:val="16"/>
              </w:rPr>
              <w:t>17,912</w:t>
            </w:r>
          </w:p>
        </w:tc>
      </w:tr>
      <w:tr w:rsidR="00346A27" w:rsidRPr="00346A27" w:rsidTr="00EB0950">
        <w:trPr>
          <w:trHeight w:val="300"/>
        </w:trPr>
        <w:tc>
          <w:tcPr>
            <w:tcW w:w="3080"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rPr>
                <w:rFonts w:ascii="Arial" w:hAnsi="Arial" w:cs="Arial"/>
                <w:b/>
                <w:bCs/>
                <w:sz w:val="16"/>
                <w:szCs w:val="16"/>
              </w:rPr>
            </w:pPr>
            <w:r w:rsidRPr="00346A27">
              <w:rPr>
                <w:rFonts w:ascii="Arial" w:hAnsi="Arial" w:cs="Arial"/>
                <w:b/>
                <w:bCs/>
                <w:sz w:val="16"/>
                <w:szCs w:val="16"/>
              </w:rPr>
              <w:t>Total appropriations excluding</w:t>
            </w:r>
          </w:p>
        </w:tc>
        <w:tc>
          <w:tcPr>
            <w:tcW w:w="1248"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jc w:val="right"/>
              <w:rPr>
                <w:rFonts w:ascii="Arial" w:hAnsi="Arial" w:cs="Arial"/>
                <w:sz w:val="16"/>
                <w:szCs w:val="16"/>
              </w:rPr>
            </w:pPr>
          </w:p>
        </w:tc>
        <w:tc>
          <w:tcPr>
            <w:tcW w:w="1120"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jc w:val="right"/>
              <w:rPr>
                <w:rFonts w:ascii="Arial" w:hAnsi="Arial" w:cs="Arial"/>
                <w:sz w:val="16"/>
                <w:szCs w:val="16"/>
              </w:rPr>
            </w:pPr>
          </w:p>
        </w:tc>
        <w:tc>
          <w:tcPr>
            <w:tcW w:w="980"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jc w:val="right"/>
              <w:rPr>
                <w:rFonts w:ascii="Arial" w:hAnsi="Arial" w:cs="Arial"/>
                <w:sz w:val="16"/>
                <w:szCs w:val="16"/>
              </w:rPr>
            </w:pPr>
          </w:p>
        </w:tc>
        <w:tc>
          <w:tcPr>
            <w:tcW w:w="980" w:type="dxa"/>
            <w:tcBorders>
              <w:top w:val="nil"/>
              <w:left w:val="nil"/>
              <w:bottom w:val="nil"/>
              <w:right w:val="nil"/>
            </w:tcBorders>
            <w:shd w:val="clear" w:color="000000" w:fill="D9D9D9"/>
            <w:noWrap/>
            <w:vAlign w:val="bottom"/>
            <w:hideMark/>
          </w:tcPr>
          <w:p w:rsidR="00101852" w:rsidRPr="00346A27" w:rsidRDefault="00101852" w:rsidP="00101852">
            <w:pPr>
              <w:keepNext w:val="0"/>
              <w:spacing w:after="0"/>
              <w:jc w:val="right"/>
              <w:rPr>
                <w:rFonts w:ascii="Arial" w:hAnsi="Arial" w:cs="Arial"/>
                <w:sz w:val="16"/>
                <w:szCs w:val="16"/>
              </w:rPr>
            </w:pPr>
            <w:r w:rsidRPr="00346A27">
              <w:rPr>
                <w:rFonts w:ascii="Arial" w:hAnsi="Arial" w:cs="Arial"/>
                <w:sz w:val="16"/>
                <w:szCs w:val="16"/>
              </w:rPr>
              <w:t> </w:t>
            </w:r>
          </w:p>
        </w:tc>
      </w:tr>
      <w:tr w:rsidR="00346A27" w:rsidRPr="00346A27" w:rsidTr="00EB0950">
        <w:trPr>
          <w:trHeight w:val="225"/>
        </w:trPr>
        <w:tc>
          <w:tcPr>
            <w:tcW w:w="3080"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ind w:firstLineChars="100" w:firstLine="161"/>
              <w:rPr>
                <w:rFonts w:ascii="Arial" w:hAnsi="Arial" w:cs="Arial"/>
                <w:b/>
                <w:bCs/>
                <w:sz w:val="16"/>
                <w:szCs w:val="16"/>
              </w:rPr>
            </w:pPr>
            <w:r w:rsidRPr="00346A27">
              <w:rPr>
                <w:rFonts w:ascii="Arial" w:hAnsi="Arial" w:cs="Arial"/>
                <w:b/>
                <w:bCs/>
                <w:sz w:val="16"/>
                <w:szCs w:val="16"/>
              </w:rPr>
              <w:t>Special Accounts</w:t>
            </w:r>
          </w:p>
        </w:tc>
        <w:tc>
          <w:tcPr>
            <w:tcW w:w="1248" w:type="dxa"/>
            <w:tcBorders>
              <w:top w:val="nil"/>
              <w:left w:val="nil"/>
              <w:bottom w:val="single" w:sz="4" w:space="0" w:color="auto"/>
              <w:right w:val="nil"/>
            </w:tcBorders>
            <w:shd w:val="clear" w:color="auto" w:fill="auto"/>
            <w:noWrap/>
            <w:vAlign w:val="bottom"/>
            <w:hideMark/>
          </w:tcPr>
          <w:p w:rsidR="00101852" w:rsidRPr="00346A27" w:rsidRDefault="00101852" w:rsidP="00101852">
            <w:pPr>
              <w:keepNext w:val="0"/>
              <w:spacing w:after="0"/>
              <w:jc w:val="right"/>
              <w:rPr>
                <w:rFonts w:ascii="Arial" w:hAnsi="Arial" w:cs="Arial"/>
                <w:b/>
                <w:bCs/>
                <w:sz w:val="16"/>
                <w:szCs w:val="16"/>
              </w:rPr>
            </w:pPr>
            <w:r w:rsidRPr="00346A27">
              <w:rPr>
                <w:rFonts w:ascii="Arial" w:hAnsi="Arial" w:cs="Arial"/>
                <w:b/>
                <w:bCs/>
                <w:sz w:val="16"/>
                <w:szCs w:val="16"/>
              </w:rPr>
              <w:t>18,125</w:t>
            </w:r>
          </w:p>
        </w:tc>
        <w:tc>
          <w:tcPr>
            <w:tcW w:w="1120" w:type="dxa"/>
            <w:tcBorders>
              <w:top w:val="nil"/>
              <w:left w:val="nil"/>
              <w:bottom w:val="single" w:sz="4" w:space="0" w:color="auto"/>
              <w:right w:val="nil"/>
            </w:tcBorders>
            <w:shd w:val="clear" w:color="auto" w:fill="auto"/>
            <w:noWrap/>
            <w:vAlign w:val="bottom"/>
            <w:hideMark/>
          </w:tcPr>
          <w:p w:rsidR="00101852" w:rsidRPr="00346A27" w:rsidRDefault="00101852" w:rsidP="00101852">
            <w:pPr>
              <w:keepNext w:val="0"/>
              <w:spacing w:after="0"/>
              <w:jc w:val="right"/>
              <w:rPr>
                <w:rFonts w:ascii="Arial" w:hAnsi="Arial" w:cs="Arial"/>
                <w:b/>
                <w:bCs/>
                <w:sz w:val="16"/>
                <w:szCs w:val="16"/>
              </w:rPr>
            </w:pPr>
            <w:r w:rsidRPr="00346A27">
              <w:rPr>
                <w:rFonts w:ascii="Arial" w:hAnsi="Arial" w:cs="Arial"/>
                <w:b/>
                <w:bCs/>
                <w:sz w:val="16"/>
                <w:szCs w:val="16"/>
              </w:rPr>
              <w:t>2,869</w:t>
            </w:r>
          </w:p>
        </w:tc>
        <w:tc>
          <w:tcPr>
            <w:tcW w:w="980" w:type="dxa"/>
            <w:tcBorders>
              <w:top w:val="nil"/>
              <w:left w:val="nil"/>
              <w:bottom w:val="single" w:sz="4" w:space="0" w:color="auto"/>
              <w:right w:val="nil"/>
            </w:tcBorders>
            <w:shd w:val="clear" w:color="auto" w:fill="auto"/>
            <w:noWrap/>
            <w:vAlign w:val="bottom"/>
            <w:hideMark/>
          </w:tcPr>
          <w:p w:rsidR="00101852" w:rsidRPr="00346A27" w:rsidRDefault="00101852" w:rsidP="00101852">
            <w:pPr>
              <w:keepNext w:val="0"/>
              <w:spacing w:after="0"/>
              <w:jc w:val="right"/>
              <w:rPr>
                <w:rFonts w:ascii="Arial" w:hAnsi="Arial" w:cs="Arial"/>
                <w:b/>
                <w:bCs/>
                <w:sz w:val="16"/>
                <w:szCs w:val="16"/>
              </w:rPr>
            </w:pPr>
            <w:r w:rsidRPr="00346A27">
              <w:rPr>
                <w:rFonts w:ascii="Arial" w:hAnsi="Arial" w:cs="Arial"/>
                <w:b/>
                <w:bCs/>
                <w:sz w:val="16"/>
                <w:szCs w:val="16"/>
              </w:rPr>
              <w:t>15,043</w:t>
            </w:r>
          </w:p>
        </w:tc>
        <w:tc>
          <w:tcPr>
            <w:tcW w:w="980" w:type="dxa"/>
            <w:tcBorders>
              <w:top w:val="nil"/>
              <w:left w:val="nil"/>
              <w:bottom w:val="single" w:sz="4" w:space="0" w:color="auto"/>
              <w:right w:val="nil"/>
            </w:tcBorders>
            <w:shd w:val="clear" w:color="000000" w:fill="D9D9D9"/>
            <w:noWrap/>
            <w:vAlign w:val="bottom"/>
            <w:hideMark/>
          </w:tcPr>
          <w:p w:rsidR="00101852" w:rsidRPr="00346A27" w:rsidRDefault="00101852" w:rsidP="00101852">
            <w:pPr>
              <w:keepNext w:val="0"/>
              <w:spacing w:after="0"/>
              <w:jc w:val="right"/>
              <w:rPr>
                <w:rFonts w:ascii="Arial" w:hAnsi="Arial" w:cs="Arial"/>
                <w:b/>
                <w:bCs/>
                <w:sz w:val="16"/>
                <w:szCs w:val="16"/>
              </w:rPr>
            </w:pPr>
            <w:r w:rsidRPr="00346A27">
              <w:rPr>
                <w:rFonts w:ascii="Arial" w:hAnsi="Arial" w:cs="Arial"/>
                <w:b/>
                <w:bCs/>
                <w:sz w:val="16"/>
                <w:szCs w:val="16"/>
              </w:rPr>
              <w:t>17,912</w:t>
            </w:r>
          </w:p>
        </w:tc>
      </w:tr>
      <w:tr w:rsidR="00346A27" w:rsidRPr="00346A27" w:rsidTr="00EB0950">
        <w:trPr>
          <w:trHeight w:val="300"/>
        </w:trPr>
        <w:tc>
          <w:tcPr>
            <w:tcW w:w="3080"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rPr>
                <w:rFonts w:ascii="Arial" w:hAnsi="Arial" w:cs="Arial"/>
                <w:b/>
                <w:bCs/>
                <w:sz w:val="16"/>
                <w:szCs w:val="16"/>
              </w:rPr>
            </w:pPr>
            <w:r w:rsidRPr="00346A27">
              <w:rPr>
                <w:rFonts w:ascii="Arial" w:hAnsi="Arial" w:cs="Arial"/>
                <w:b/>
                <w:bCs/>
                <w:sz w:val="16"/>
                <w:szCs w:val="16"/>
              </w:rPr>
              <w:t>Special Accounts</w:t>
            </w:r>
          </w:p>
        </w:tc>
        <w:tc>
          <w:tcPr>
            <w:tcW w:w="1248"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jc w:val="right"/>
              <w:rPr>
                <w:rFonts w:ascii="Arial" w:hAnsi="Arial" w:cs="Arial"/>
                <w:sz w:val="16"/>
                <w:szCs w:val="16"/>
              </w:rPr>
            </w:pPr>
          </w:p>
        </w:tc>
        <w:tc>
          <w:tcPr>
            <w:tcW w:w="1120"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jc w:val="right"/>
              <w:rPr>
                <w:rFonts w:ascii="Arial" w:hAnsi="Arial" w:cs="Arial"/>
                <w:sz w:val="16"/>
                <w:szCs w:val="16"/>
              </w:rPr>
            </w:pPr>
          </w:p>
        </w:tc>
        <w:tc>
          <w:tcPr>
            <w:tcW w:w="980"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jc w:val="right"/>
              <w:rPr>
                <w:rFonts w:ascii="Arial" w:hAnsi="Arial" w:cs="Arial"/>
                <w:b/>
                <w:bCs/>
                <w:sz w:val="16"/>
                <w:szCs w:val="16"/>
              </w:rPr>
            </w:pPr>
          </w:p>
        </w:tc>
        <w:tc>
          <w:tcPr>
            <w:tcW w:w="980" w:type="dxa"/>
            <w:tcBorders>
              <w:top w:val="nil"/>
              <w:left w:val="nil"/>
              <w:bottom w:val="nil"/>
              <w:right w:val="nil"/>
            </w:tcBorders>
            <w:shd w:val="clear" w:color="000000" w:fill="D9D9D9"/>
            <w:noWrap/>
            <w:vAlign w:val="bottom"/>
            <w:hideMark/>
          </w:tcPr>
          <w:p w:rsidR="00101852" w:rsidRPr="00346A27" w:rsidRDefault="00101852" w:rsidP="00101852">
            <w:pPr>
              <w:keepNext w:val="0"/>
              <w:spacing w:after="0"/>
              <w:jc w:val="right"/>
              <w:rPr>
                <w:rFonts w:ascii="Arial" w:hAnsi="Arial" w:cs="Arial"/>
                <w:b/>
                <w:bCs/>
                <w:sz w:val="16"/>
                <w:szCs w:val="16"/>
              </w:rPr>
            </w:pPr>
            <w:r w:rsidRPr="00346A27">
              <w:rPr>
                <w:rFonts w:ascii="Arial" w:hAnsi="Arial" w:cs="Arial"/>
                <w:b/>
                <w:bCs/>
                <w:sz w:val="16"/>
                <w:szCs w:val="16"/>
              </w:rPr>
              <w:t> </w:t>
            </w:r>
          </w:p>
        </w:tc>
      </w:tr>
      <w:tr w:rsidR="00346A27" w:rsidRPr="00346A27" w:rsidTr="00EB0950">
        <w:trPr>
          <w:trHeight w:val="255"/>
        </w:trPr>
        <w:tc>
          <w:tcPr>
            <w:tcW w:w="3080"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ind w:firstLineChars="100" w:firstLine="160"/>
              <w:rPr>
                <w:rFonts w:ascii="Arial" w:hAnsi="Arial" w:cs="Arial"/>
                <w:sz w:val="16"/>
                <w:szCs w:val="16"/>
              </w:rPr>
            </w:pPr>
            <w:r w:rsidRPr="00346A27">
              <w:rPr>
                <w:rFonts w:ascii="Arial" w:hAnsi="Arial" w:cs="Arial"/>
                <w:sz w:val="16"/>
                <w:szCs w:val="16"/>
              </w:rPr>
              <w:t>Opening balance</w:t>
            </w:r>
            <w:r w:rsidRPr="00346A27">
              <w:rPr>
                <w:rFonts w:ascii="Arial" w:hAnsi="Arial" w:cs="Arial"/>
                <w:sz w:val="16"/>
                <w:szCs w:val="16"/>
                <w:vertAlign w:val="superscript"/>
              </w:rPr>
              <w:t>6</w:t>
            </w:r>
          </w:p>
        </w:tc>
        <w:tc>
          <w:tcPr>
            <w:tcW w:w="1248"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jc w:val="right"/>
              <w:rPr>
                <w:rFonts w:ascii="Arial" w:hAnsi="Arial" w:cs="Arial"/>
                <w:sz w:val="16"/>
                <w:szCs w:val="16"/>
              </w:rPr>
            </w:pPr>
            <w:r w:rsidRPr="00346A27">
              <w:rPr>
                <w:rFonts w:ascii="Arial" w:hAnsi="Arial" w:cs="Arial"/>
                <w:sz w:val="16"/>
                <w:szCs w:val="16"/>
              </w:rPr>
              <w:t>1,395</w:t>
            </w:r>
          </w:p>
        </w:tc>
        <w:tc>
          <w:tcPr>
            <w:tcW w:w="1120"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jc w:val="right"/>
              <w:rPr>
                <w:rFonts w:ascii="Arial" w:hAnsi="Arial" w:cs="Arial"/>
                <w:sz w:val="16"/>
                <w:szCs w:val="16"/>
              </w:rPr>
            </w:pPr>
            <w:r w:rsidRPr="00346A27">
              <w:rPr>
                <w:rFonts w:ascii="Arial" w:hAnsi="Arial" w:cs="Arial"/>
                <w:sz w:val="16"/>
                <w:szCs w:val="16"/>
              </w:rPr>
              <w:t>880</w:t>
            </w:r>
          </w:p>
        </w:tc>
        <w:tc>
          <w:tcPr>
            <w:tcW w:w="980"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jc w:val="right"/>
              <w:rPr>
                <w:rFonts w:ascii="Arial" w:hAnsi="Arial" w:cs="Arial"/>
                <w:sz w:val="16"/>
                <w:szCs w:val="16"/>
              </w:rPr>
            </w:pPr>
            <w:r w:rsidRPr="00346A27">
              <w:rPr>
                <w:rFonts w:ascii="Arial" w:hAnsi="Arial" w:cs="Arial"/>
                <w:sz w:val="16"/>
                <w:szCs w:val="16"/>
              </w:rPr>
              <w:t>-</w:t>
            </w:r>
          </w:p>
        </w:tc>
        <w:tc>
          <w:tcPr>
            <w:tcW w:w="980" w:type="dxa"/>
            <w:tcBorders>
              <w:top w:val="nil"/>
              <w:left w:val="nil"/>
              <w:bottom w:val="nil"/>
              <w:right w:val="nil"/>
            </w:tcBorders>
            <w:shd w:val="clear" w:color="000000" w:fill="D9D9D9"/>
            <w:noWrap/>
            <w:vAlign w:val="bottom"/>
            <w:hideMark/>
          </w:tcPr>
          <w:p w:rsidR="00101852" w:rsidRPr="00346A27" w:rsidRDefault="00101852" w:rsidP="00101852">
            <w:pPr>
              <w:keepNext w:val="0"/>
              <w:spacing w:after="0"/>
              <w:jc w:val="right"/>
              <w:rPr>
                <w:rFonts w:ascii="Arial" w:hAnsi="Arial" w:cs="Arial"/>
                <w:sz w:val="16"/>
                <w:szCs w:val="16"/>
              </w:rPr>
            </w:pPr>
            <w:r w:rsidRPr="00346A27">
              <w:rPr>
                <w:rFonts w:ascii="Arial" w:hAnsi="Arial" w:cs="Arial"/>
                <w:sz w:val="16"/>
                <w:szCs w:val="16"/>
              </w:rPr>
              <w:t>880</w:t>
            </w:r>
          </w:p>
        </w:tc>
      </w:tr>
      <w:tr w:rsidR="00346A27" w:rsidRPr="00346A27" w:rsidTr="00EB0950">
        <w:trPr>
          <w:trHeight w:val="255"/>
        </w:trPr>
        <w:tc>
          <w:tcPr>
            <w:tcW w:w="3080"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ind w:firstLineChars="100" w:firstLine="160"/>
              <w:rPr>
                <w:rFonts w:ascii="Arial" w:hAnsi="Arial" w:cs="Arial"/>
                <w:sz w:val="16"/>
                <w:szCs w:val="16"/>
              </w:rPr>
            </w:pPr>
            <w:r w:rsidRPr="00346A27">
              <w:rPr>
                <w:rFonts w:ascii="Arial" w:hAnsi="Arial" w:cs="Arial"/>
                <w:sz w:val="16"/>
                <w:szCs w:val="16"/>
              </w:rPr>
              <w:t>Appropriation receipts</w:t>
            </w:r>
            <w:r w:rsidRPr="00346A27">
              <w:rPr>
                <w:rFonts w:ascii="Arial" w:hAnsi="Arial" w:cs="Arial"/>
                <w:sz w:val="16"/>
                <w:szCs w:val="16"/>
                <w:vertAlign w:val="superscript"/>
              </w:rPr>
              <w:t>7</w:t>
            </w:r>
          </w:p>
        </w:tc>
        <w:tc>
          <w:tcPr>
            <w:tcW w:w="1248"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jc w:val="right"/>
              <w:rPr>
                <w:rFonts w:ascii="Arial" w:hAnsi="Arial" w:cs="Arial"/>
                <w:sz w:val="16"/>
                <w:szCs w:val="16"/>
              </w:rPr>
            </w:pPr>
            <w:r w:rsidRPr="00346A27">
              <w:rPr>
                <w:rFonts w:ascii="Arial" w:hAnsi="Arial" w:cs="Arial"/>
                <w:sz w:val="16"/>
                <w:szCs w:val="16"/>
              </w:rPr>
              <w:t>15,256</w:t>
            </w:r>
          </w:p>
        </w:tc>
        <w:tc>
          <w:tcPr>
            <w:tcW w:w="1120"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jc w:val="right"/>
              <w:rPr>
                <w:rFonts w:ascii="Arial" w:hAnsi="Arial" w:cs="Arial"/>
                <w:sz w:val="16"/>
                <w:szCs w:val="16"/>
              </w:rPr>
            </w:pPr>
            <w:r w:rsidRPr="00346A27">
              <w:rPr>
                <w:rFonts w:ascii="Arial" w:hAnsi="Arial" w:cs="Arial"/>
                <w:sz w:val="16"/>
                <w:szCs w:val="16"/>
              </w:rPr>
              <w:t>-</w:t>
            </w:r>
          </w:p>
        </w:tc>
        <w:tc>
          <w:tcPr>
            <w:tcW w:w="980"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jc w:val="right"/>
              <w:rPr>
                <w:rFonts w:ascii="Arial" w:hAnsi="Arial" w:cs="Arial"/>
                <w:sz w:val="16"/>
                <w:szCs w:val="16"/>
              </w:rPr>
            </w:pPr>
            <w:r w:rsidRPr="00346A27">
              <w:rPr>
                <w:rFonts w:ascii="Arial" w:hAnsi="Arial" w:cs="Arial"/>
                <w:sz w:val="16"/>
                <w:szCs w:val="16"/>
              </w:rPr>
              <w:t>15,907</w:t>
            </w:r>
          </w:p>
        </w:tc>
        <w:tc>
          <w:tcPr>
            <w:tcW w:w="980" w:type="dxa"/>
            <w:tcBorders>
              <w:top w:val="nil"/>
              <w:left w:val="nil"/>
              <w:bottom w:val="nil"/>
              <w:right w:val="nil"/>
            </w:tcBorders>
            <w:shd w:val="clear" w:color="000000" w:fill="D9D9D9"/>
            <w:noWrap/>
            <w:vAlign w:val="bottom"/>
            <w:hideMark/>
          </w:tcPr>
          <w:p w:rsidR="00101852" w:rsidRPr="00346A27" w:rsidRDefault="00101852" w:rsidP="00101852">
            <w:pPr>
              <w:keepNext w:val="0"/>
              <w:spacing w:after="0"/>
              <w:jc w:val="right"/>
              <w:rPr>
                <w:rFonts w:ascii="Arial" w:hAnsi="Arial" w:cs="Arial"/>
                <w:sz w:val="16"/>
                <w:szCs w:val="16"/>
              </w:rPr>
            </w:pPr>
            <w:r w:rsidRPr="00346A27">
              <w:rPr>
                <w:rFonts w:ascii="Arial" w:hAnsi="Arial" w:cs="Arial"/>
                <w:sz w:val="16"/>
                <w:szCs w:val="16"/>
              </w:rPr>
              <w:t>15,907</w:t>
            </w:r>
          </w:p>
        </w:tc>
      </w:tr>
      <w:tr w:rsidR="00346A27" w:rsidRPr="00346A27" w:rsidTr="00EB0950">
        <w:trPr>
          <w:trHeight w:val="225"/>
        </w:trPr>
        <w:tc>
          <w:tcPr>
            <w:tcW w:w="3080"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ind w:firstLineChars="100" w:firstLine="160"/>
              <w:rPr>
                <w:rFonts w:ascii="Arial" w:hAnsi="Arial" w:cs="Arial"/>
                <w:sz w:val="16"/>
                <w:szCs w:val="16"/>
              </w:rPr>
            </w:pPr>
            <w:r w:rsidRPr="00346A27">
              <w:rPr>
                <w:rFonts w:ascii="Arial" w:hAnsi="Arial" w:cs="Arial"/>
                <w:sz w:val="16"/>
                <w:szCs w:val="16"/>
              </w:rPr>
              <w:t>Non-appropriation receipts to</w:t>
            </w:r>
          </w:p>
        </w:tc>
        <w:tc>
          <w:tcPr>
            <w:tcW w:w="1248"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jc w:val="right"/>
              <w:rPr>
                <w:rFonts w:ascii="Arial" w:hAnsi="Arial" w:cs="Arial"/>
                <w:sz w:val="16"/>
                <w:szCs w:val="16"/>
              </w:rPr>
            </w:pPr>
          </w:p>
        </w:tc>
        <w:tc>
          <w:tcPr>
            <w:tcW w:w="1120"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jc w:val="right"/>
              <w:rPr>
                <w:rFonts w:ascii="Arial" w:hAnsi="Arial" w:cs="Arial"/>
                <w:sz w:val="16"/>
                <w:szCs w:val="16"/>
              </w:rPr>
            </w:pPr>
          </w:p>
        </w:tc>
        <w:tc>
          <w:tcPr>
            <w:tcW w:w="980"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jc w:val="right"/>
              <w:rPr>
                <w:rFonts w:ascii="Arial" w:hAnsi="Arial" w:cs="Arial"/>
                <w:sz w:val="16"/>
                <w:szCs w:val="16"/>
              </w:rPr>
            </w:pPr>
          </w:p>
        </w:tc>
        <w:tc>
          <w:tcPr>
            <w:tcW w:w="980" w:type="dxa"/>
            <w:tcBorders>
              <w:top w:val="nil"/>
              <w:left w:val="nil"/>
              <w:bottom w:val="nil"/>
              <w:right w:val="nil"/>
            </w:tcBorders>
            <w:shd w:val="clear" w:color="000000" w:fill="D9D9D9"/>
            <w:noWrap/>
            <w:vAlign w:val="bottom"/>
            <w:hideMark/>
          </w:tcPr>
          <w:p w:rsidR="00101852" w:rsidRPr="00346A27" w:rsidRDefault="00101852" w:rsidP="00101852">
            <w:pPr>
              <w:keepNext w:val="0"/>
              <w:spacing w:after="0"/>
              <w:jc w:val="right"/>
              <w:rPr>
                <w:rFonts w:ascii="Arial" w:hAnsi="Arial" w:cs="Arial"/>
                <w:sz w:val="16"/>
                <w:szCs w:val="16"/>
              </w:rPr>
            </w:pPr>
            <w:r w:rsidRPr="00346A27">
              <w:rPr>
                <w:rFonts w:ascii="Arial" w:hAnsi="Arial" w:cs="Arial"/>
                <w:sz w:val="16"/>
                <w:szCs w:val="16"/>
              </w:rPr>
              <w:t> </w:t>
            </w:r>
          </w:p>
        </w:tc>
      </w:tr>
      <w:tr w:rsidR="00346A27" w:rsidRPr="00346A27" w:rsidTr="00EB0950">
        <w:trPr>
          <w:trHeight w:val="225"/>
        </w:trPr>
        <w:tc>
          <w:tcPr>
            <w:tcW w:w="3080"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ind w:firstLineChars="200" w:firstLine="320"/>
              <w:rPr>
                <w:rFonts w:ascii="Arial" w:hAnsi="Arial" w:cs="Arial"/>
                <w:sz w:val="16"/>
                <w:szCs w:val="16"/>
              </w:rPr>
            </w:pPr>
            <w:r w:rsidRPr="00346A27">
              <w:rPr>
                <w:rFonts w:ascii="Arial" w:hAnsi="Arial" w:cs="Arial"/>
                <w:sz w:val="16"/>
                <w:szCs w:val="16"/>
              </w:rPr>
              <w:t>Special Accounts</w:t>
            </w:r>
          </w:p>
        </w:tc>
        <w:tc>
          <w:tcPr>
            <w:tcW w:w="1248"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jc w:val="right"/>
              <w:rPr>
                <w:rFonts w:ascii="Arial" w:hAnsi="Arial" w:cs="Arial"/>
                <w:sz w:val="16"/>
                <w:szCs w:val="16"/>
              </w:rPr>
            </w:pPr>
            <w:r w:rsidRPr="00346A27">
              <w:rPr>
                <w:rFonts w:ascii="Arial" w:hAnsi="Arial" w:cs="Arial"/>
                <w:sz w:val="16"/>
                <w:szCs w:val="16"/>
              </w:rPr>
              <w:t>9,561</w:t>
            </w:r>
          </w:p>
        </w:tc>
        <w:tc>
          <w:tcPr>
            <w:tcW w:w="1120"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jc w:val="right"/>
              <w:rPr>
                <w:rFonts w:ascii="Arial" w:hAnsi="Arial" w:cs="Arial"/>
                <w:sz w:val="16"/>
                <w:szCs w:val="16"/>
              </w:rPr>
            </w:pPr>
            <w:r w:rsidRPr="00346A27">
              <w:rPr>
                <w:rFonts w:ascii="Arial" w:hAnsi="Arial" w:cs="Arial"/>
                <w:sz w:val="16"/>
                <w:szCs w:val="16"/>
              </w:rPr>
              <w:t>-</w:t>
            </w:r>
          </w:p>
        </w:tc>
        <w:tc>
          <w:tcPr>
            <w:tcW w:w="980"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jc w:val="right"/>
              <w:rPr>
                <w:rFonts w:ascii="Arial" w:hAnsi="Arial" w:cs="Arial"/>
                <w:sz w:val="16"/>
                <w:szCs w:val="16"/>
              </w:rPr>
            </w:pPr>
            <w:r w:rsidRPr="00346A27">
              <w:rPr>
                <w:rFonts w:ascii="Arial" w:hAnsi="Arial" w:cs="Arial"/>
                <w:sz w:val="16"/>
                <w:szCs w:val="16"/>
              </w:rPr>
              <w:t>9,561</w:t>
            </w:r>
          </w:p>
        </w:tc>
        <w:tc>
          <w:tcPr>
            <w:tcW w:w="980" w:type="dxa"/>
            <w:tcBorders>
              <w:top w:val="nil"/>
              <w:left w:val="nil"/>
              <w:bottom w:val="nil"/>
              <w:right w:val="nil"/>
            </w:tcBorders>
            <w:shd w:val="clear" w:color="000000" w:fill="D9D9D9"/>
            <w:noWrap/>
            <w:vAlign w:val="bottom"/>
            <w:hideMark/>
          </w:tcPr>
          <w:p w:rsidR="00101852" w:rsidRPr="00346A27" w:rsidRDefault="00101852" w:rsidP="00101852">
            <w:pPr>
              <w:keepNext w:val="0"/>
              <w:spacing w:after="0"/>
              <w:jc w:val="right"/>
              <w:rPr>
                <w:rFonts w:ascii="Arial" w:hAnsi="Arial" w:cs="Arial"/>
                <w:sz w:val="16"/>
                <w:szCs w:val="16"/>
              </w:rPr>
            </w:pPr>
            <w:r w:rsidRPr="00346A27">
              <w:rPr>
                <w:rFonts w:ascii="Arial" w:hAnsi="Arial" w:cs="Arial"/>
                <w:sz w:val="16"/>
                <w:szCs w:val="16"/>
              </w:rPr>
              <w:t>9,561</w:t>
            </w:r>
          </w:p>
        </w:tc>
      </w:tr>
      <w:tr w:rsidR="00346A27" w:rsidRPr="00346A27" w:rsidTr="00EB0950">
        <w:trPr>
          <w:trHeight w:val="225"/>
        </w:trPr>
        <w:tc>
          <w:tcPr>
            <w:tcW w:w="3080"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rPr>
                <w:rFonts w:ascii="Arial" w:hAnsi="Arial" w:cs="Arial"/>
                <w:b/>
                <w:bCs/>
                <w:sz w:val="16"/>
                <w:szCs w:val="16"/>
              </w:rPr>
            </w:pPr>
            <w:r w:rsidRPr="00346A27">
              <w:rPr>
                <w:rFonts w:ascii="Arial" w:hAnsi="Arial" w:cs="Arial"/>
                <w:b/>
                <w:bCs/>
                <w:sz w:val="16"/>
                <w:szCs w:val="16"/>
              </w:rPr>
              <w:t>Total Special Accounts</w:t>
            </w:r>
          </w:p>
        </w:tc>
        <w:tc>
          <w:tcPr>
            <w:tcW w:w="1248" w:type="dxa"/>
            <w:tcBorders>
              <w:top w:val="nil"/>
              <w:left w:val="nil"/>
              <w:bottom w:val="single" w:sz="4" w:space="0" w:color="auto"/>
              <w:right w:val="nil"/>
            </w:tcBorders>
            <w:shd w:val="clear" w:color="auto" w:fill="auto"/>
            <w:noWrap/>
            <w:vAlign w:val="bottom"/>
            <w:hideMark/>
          </w:tcPr>
          <w:p w:rsidR="00101852" w:rsidRPr="00346A27" w:rsidRDefault="00101852" w:rsidP="00101852">
            <w:pPr>
              <w:keepNext w:val="0"/>
              <w:spacing w:after="0"/>
              <w:jc w:val="right"/>
              <w:rPr>
                <w:rFonts w:ascii="Arial" w:hAnsi="Arial" w:cs="Arial"/>
                <w:b/>
                <w:bCs/>
                <w:sz w:val="16"/>
                <w:szCs w:val="16"/>
              </w:rPr>
            </w:pPr>
            <w:r w:rsidRPr="00346A27">
              <w:rPr>
                <w:rFonts w:ascii="Arial" w:hAnsi="Arial" w:cs="Arial"/>
                <w:b/>
                <w:bCs/>
                <w:sz w:val="16"/>
                <w:szCs w:val="16"/>
              </w:rPr>
              <w:t>26,212</w:t>
            </w:r>
          </w:p>
        </w:tc>
        <w:tc>
          <w:tcPr>
            <w:tcW w:w="1120" w:type="dxa"/>
            <w:tcBorders>
              <w:top w:val="nil"/>
              <w:left w:val="nil"/>
              <w:bottom w:val="single" w:sz="4" w:space="0" w:color="auto"/>
              <w:right w:val="nil"/>
            </w:tcBorders>
            <w:shd w:val="clear" w:color="auto" w:fill="auto"/>
            <w:noWrap/>
            <w:vAlign w:val="bottom"/>
            <w:hideMark/>
          </w:tcPr>
          <w:p w:rsidR="00101852" w:rsidRPr="00346A27" w:rsidRDefault="00101852" w:rsidP="00101852">
            <w:pPr>
              <w:keepNext w:val="0"/>
              <w:spacing w:after="0"/>
              <w:jc w:val="right"/>
              <w:rPr>
                <w:rFonts w:ascii="Arial" w:hAnsi="Arial" w:cs="Arial"/>
                <w:b/>
                <w:bCs/>
                <w:sz w:val="16"/>
                <w:szCs w:val="16"/>
              </w:rPr>
            </w:pPr>
            <w:r w:rsidRPr="00346A27">
              <w:rPr>
                <w:rFonts w:ascii="Arial" w:hAnsi="Arial" w:cs="Arial"/>
                <w:b/>
                <w:bCs/>
                <w:sz w:val="16"/>
                <w:szCs w:val="16"/>
              </w:rPr>
              <w:t>880</w:t>
            </w:r>
          </w:p>
        </w:tc>
        <w:tc>
          <w:tcPr>
            <w:tcW w:w="980" w:type="dxa"/>
            <w:tcBorders>
              <w:top w:val="nil"/>
              <w:left w:val="nil"/>
              <w:bottom w:val="single" w:sz="4" w:space="0" w:color="auto"/>
              <w:right w:val="nil"/>
            </w:tcBorders>
            <w:shd w:val="clear" w:color="auto" w:fill="auto"/>
            <w:noWrap/>
            <w:vAlign w:val="bottom"/>
            <w:hideMark/>
          </w:tcPr>
          <w:p w:rsidR="00101852" w:rsidRPr="00346A27" w:rsidRDefault="00101852" w:rsidP="00101852">
            <w:pPr>
              <w:keepNext w:val="0"/>
              <w:spacing w:after="0"/>
              <w:jc w:val="right"/>
              <w:rPr>
                <w:rFonts w:ascii="Arial" w:hAnsi="Arial" w:cs="Arial"/>
                <w:b/>
                <w:bCs/>
                <w:sz w:val="16"/>
                <w:szCs w:val="16"/>
              </w:rPr>
            </w:pPr>
            <w:r w:rsidRPr="00346A27">
              <w:rPr>
                <w:rFonts w:ascii="Arial" w:hAnsi="Arial" w:cs="Arial"/>
                <w:b/>
                <w:bCs/>
                <w:sz w:val="16"/>
                <w:szCs w:val="16"/>
              </w:rPr>
              <w:t>25,468</w:t>
            </w:r>
          </w:p>
        </w:tc>
        <w:tc>
          <w:tcPr>
            <w:tcW w:w="980" w:type="dxa"/>
            <w:tcBorders>
              <w:top w:val="nil"/>
              <w:left w:val="nil"/>
              <w:bottom w:val="single" w:sz="4" w:space="0" w:color="auto"/>
              <w:right w:val="nil"/>
            </w:tcBorders>
            <w:shd w:val="clear" w:color="000000" w:fill="D9D9D9"/>
            <w:noWrap/>
            <w:vAlign w:val="bottom"/>
            <w:hideMark/>
          </w:tcPr>
          <w:p w:rsidR="00101852" w:rsidRPr="00346A27" w:rsidRDefault="00101852" w:rsidP="00101852">
            <w:pPr>
              <w:keepNext w:val="0"/>
              <w:spacing w:after="0"/>
              <w:jc w:val="right"/>
              <w:rPr>
                <w:rFonts w:ascii="Arial" w:hAnsi="Arial" w:cs="Arial"/>
                <w:b/>
                <w:bCs/>
                <w:sz w:val="16"/>
                <w:szCs w:val="16"/>
              </w:rPr>
            </w:pPr>
            <w:r w:rsidRPr="00346A27">
              <w:rPr>
                <w:rFonts w:ascii="Arial" w:hAnsi="Arial" w:cs="Arial"/>
                <w:b/>
                <w:bCs/>
                <w:sz w:val="16"/>
                <w:szCs w:val="16"/>
              </w:rPr>
              <w:t>26,348</w:t>
            </w:r>
          </w:p>
        </w:tc>
      </w:tr>
      <w:tr w:rsidR="00346A27" w:rsidRPr="00346A27" w:rsidTr="00EB0950">
        <w:trPr>
          <w:trHeight w:val="300"/>
        </w:trPr>
        <w:tc>
          <w:tcPr>
            <w:tcW w:w="3080"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rPr>
                <w:rFonts w:ascii="Arial" w:hAnsi="Arial" w:cs="Arial"/>
                <w:b/>
                <w:bCs/>
                <w:sz w:val="16"/>
                <w:szCs w:val="16"/>
              </w:rPr>
            </w:pPr>
            <w:r w:rsidRPr="00346A27">
              <w:rPr>
                <w:rFonts w:ascii="Arial" w:hAnsi="Arial" w:cs="Arial"/>
                <w:b/>
                <w:bCs/>
                <w:sz w:val="16"/>
                <w:szCs w:val="16"/>
              </w:rPr>
              <w:t>Total resourcing</w:t>
            </w:r>
          </w:p>
        </w:tc>
        <w:tc>
          <w:tcPr>
            <w:tcW w:w="1248" w:type="dxa"/>
            <w:tcBorders>
              <w:top w:val="nil"/>
              <w:left w:val="nil"/>
              <w:bottom w:val="single" w:sz="4" w:space="0" w:color="auto"/>
              <w:right w:val="nil"/>
            </w:tcBorders>
            <w:shd w:val="clear" w:color="auto" w:fill="auto"/>
            <w:noWrap/>
            <w:vAlign w:val="bottom"/>
            <w:hideMark/>
          </w:tcPr>
          <w:p w:rsidR="00101852" w:rsidRPr="00346A27" w:rsidRDefault="00101852" w:rsidP="00101852">
            <w:pPr>
              <w:keepNext w:val="0"/>
              <w:spacing w:after="0"/>
              <w:jc w:val="right"/>
              <w:rPr>
                <w:rFonts w:ascii="Arial" w:hAnsi="Arial" w:cs="Arial"/>
                <w:b/>
                <w:bCs/>
                <w:sz w:val="16"/>
                <w:szCs w:val="16"/>
              </w:rPr>
            </w:pPr>
            <w:r w:rsidRPr="00346A27">
              <w:rPr>
                <w:rFonts w:ascii="Arial" w:hAnsi="Arial" w:cs="Arial"/>
                <w:b/>
                <w:bCs/>
                <w:sz w:val="16"/>
                <w:szCs w:val="16"/>
              </w:rPr>
              <w:t>44,337</w:t>
            </w:r>
          </w:p>
        </w:tc>
        <w:tc>
          <w:tcPr>
            <w:tcW w:w="1120" w:type="dxa"/>
            <w:tcBorders>
              <w:top w:val="nil"/>
              <w:left w:val="nil"/>
              <w:bottom w:val="single" w:sz="4" w:space="0" w:color="auto"/>
              <w:right w:val="nil"/>
            </w:tcBorders>
            <w:shd w:val="clear" w:color="auto" w:fill="auto"/>
            <w:noWrap/>
            <w:vAlign w:val="bottom"/>
            <w:hideMark/>
          </w:tcPr>
          <w:p w:rsidR="00101852" w:rsidRPr="00346A27" w:rsidRDefault="00101852" w:rsidP="00101852">
            <w:pPr>
              <w:keepNext w:val="0"/>
              <w:spacing w:after="0"/>
              <w:jc w:val="right"/>
              <w:rPr>
                <w:rFonts w:ascii="Arial" w:hAnsi="Arial" w:cs="Arial"/>
                <w:b/>
                <w:bCs/>
                <w:sz w:val="16"/>
                <w:szCs w:val="16"/>
              </w:rPr>
            </w:pPr>
            <w:r w:rsidRPr="00346A27">
              <w:rPr>
                <w:rFonts w:ascii="Arial" w:hAnsi="Arial" w:cs="Arial"/>
                <w:b/>
                <w:bCs/>
                <w:sz w:val="16"/>
                <w:szCs w:val="16"/>
              </w:rPr>
              <w:t>3,749</w:t>
            </w:r>
          </w:p>
        </w:tc>
        <w:tc>
          <w:tcPr>
            <w:tcW w:w="980" w:type="dxa"/>
            <w:tcBorders>
              <w:top w:val="nil"/>
              <w:left w:val="nil"/>
              <w:bottom w:val="single" w:sz="4" w:space="0" w:color="auto"/>
              <w:right w:val="nil"/>
            </w:tcBorders>
            <w:shd w:val="clear" w:color="auto" w:fill="auto"/>
            <w:noWrap/>
            <w:vAlign w:val="bottom"/>
            <w:hideMark/>
          </w:tcPr>
          <w:p w:rsidR="00101852" w:rsidRPr="00346A27" w:rsidRDefault="00101852" w:rsidP="00101852">
            <w:pPr>
              <w:keepNext w:val="0"/>
              <w:spacing w:after="0"/>
              <w:jc w:val="right"/>
              <w:rPr>
                <w:rFonts w:ascii="Arial" w:hAnsi="Arial" w:cs="Arial"/>
                <w:b/>
                <w:bCs/>
                <w:sz w:val="16"/>
                <w:szCs w:val="16"/>
              </w:rPr>
            </w:pPr>
            <w:r w:rsidRPr="00346A27">
              <w:rPr>
                <w:rFonts w:ascii="Arial" w:hAnsi="Arial" w:cs="Arial"/>
                <w:b/>
                <w:bCs/>
                <w:sz w:val="16"/>
                <w:szCs w:val="16"/>
              </w:rPr>
              <w:t>40,511</w:t>
            </w:r>
          </w:p>
        </w:tc>
        <w:tc>
          <w:tcPr>
            <w:tcW w:w="980" w:type="dxa"/>
            <w:tcBorders>
              <w:top w:val="nil"/>
              <w:left w:val="nil"/>
              <w:bottom w:val="single" w:sz="4" w:space="0" w:color="auto"/>
              <w:right w:val="nil"/>
            </w:tcBorders>
            <w:shd w:val="clear" w:color="000000" w:fill="D9D9D9"/>
            <w:noWrap/>
            <w:vAlign w:val="bottom"/>
            <w:hideMark/>
          </w:tcPr>
          <w:p w:rsidR="00101852" w:rsidRPr="00346A27" w:rsidRDefault="00101852" w:rsidP="00101852">
            <w:pPr>
              <w:keepNext w:val="0"/>
              <w:spacing w:after="0"/>
              <w:jc w:val="right"/>
              <w:rPr>
                <w:rFonts w:ascii="Arial" w:hAnsi="Arial" w:cs="Arial"/>
                <w:b/>
                <w:bCs/>
                <w:sz w:val="16"/>
                <w:szCs w:val="16"/>
              </w:rPr>
            </w:pPr>
            <w:r w:rsidRPr="00346A27">
              <w:rPr>
                <w:rFonts w:ascii="Arial" w:hAnsi="Arial" w:cs="Arial"/>
                <w:b/>
                <w:bCs/>
                <w:sz w:val="16"/>
                <w:szCs w:val="16"/>
              </w:rPr>
              <w:t>44,260</w:t>
            </w:r>
          </w:p>
        </w:tc>
      </w:tr>
      <w:tr w:rsidR="00346A27" w:rsidRPr="00346A27" w:rsidTr="00EB0950">
        <w:trPr>
          <w:trHeight w:val="225"/>
        </w:trPr>
        <w:tc>
          <w:tcPr>
            <w:tcW w:w="3080"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ind w:firstLineChars="100" w:firstLine="160"/>
              <w:rPr>
                <w:rFonts w:ascii="Arial" w:hAnsi="Arial" w:cs="Arial"/>
                <w:sz w:val="16"/>
                <w:szCs w:val="16"/>
              </w:rPr>
            </w:pPr>
            <w:r w:rsidRPr="00346A27">
              <w:rPr>
                <w:rFonts w:ascii="Arial" w:hAnsi="Arial" w:cs="Arial"/>
                <w:sz w:val="16"/>
                <w:szCs w:val="16"/>
              </w:rPr>
              <w:t>Less appropriations drawn from</w:t>
            </w:r>
          </w:p>
        </w:tc>
        <w:tc>
          <w:tcPr>
            <w:tcW w:w="1248"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jc w:val="right"/>
              <w:rPr>
                <w:rFonts w:ascii="Arial" w:hAnsi="Arial" w:cs="Arial"/>
                <w:sz w:val="16"/>
                <w:szCs w:val="16"/>
              </w:rPr>
            </w:pPr>
          </w:p>
        </w:tc>
        <w:tc>
          <w:tcPr>
            <w:tcW w:w="1120"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jc w:val="right"/>
              <w:rPr>
                <w:rFonts w:ascii="Arial" w:hAnsi="Arial" w:cs="Arial"/>
                <w:sz w:val="16"/>
                <w:szCs w:val="16"/>
              </w:rPr>
            </w:pPr>
          </w:p>
        </w:tc>
        <w:tc>
          <w:tcPr>
            <w:tcW w:w="980"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jc w:val="right"/>
              <w:rPr>
                <w:rFonts w:ascii="Arial" w:hAnsi="Arial" w:cs="Arial"/>
                <w:sz w:val="16"/>
                <w:szCs w:val="16"/>
              </w:rPr>
            </w:pPr>
          </w:p>
        </w:tc>
        <w:tc>
          <w:tcPr>
            <w:tcW w:w="980" w:type="dxa"/>
            <w:tcBorders>
              <w:top w:val="nil"/>
              <w:left w:val="nil"/>
              <w:bottom w:val="nil"/>
              <w:right w:val="nil"/>
            </w:tcBorders>
            <w:shd w:val="clear" w:color="000000" w:fill="D9D9D9"/>
            <w:noWrap/>
            <w:vAlign w:val="bottom"/>
            <w:hideMark/>
          </w:tcPr>
          <w:p w:rsidR="00101852" w:rsidRPr="00346A27" w:rsidRDefault="00101852" w:rsidP="00101852">
            <w:pPr>
              <w:keepNext w:val="0"/>
              <w:spacing w:after="0"/>
              <w:jc w:val="right"/>
              <w:rPr>
                <w:rFonts w:ascii="Arial" w:hAnsi="Arial" w:cs="Arial"/>
                <w:sz w:val="16"/>
                <w:szCs w:val="16"/>
              </w:rPr>
            </w:pPr>
            <w:r w:rsidRPr="00346A27">
              <w:rPr>
                <w:rFonts w:ascii="Arial" w:hAnsi="Arial" w:cs="Arial"/>
                <w:sz w:val="16"/>
                <w:szCs w:val="16"/>
              </w:rPr>
              <w:t> </w:t>
            </w:r>
          </w:p>
        </w:tc>
      </w:tr>
      <w:tr w:rsidR="00346A27" w:rsidRPr="00346A27" w:rsidTr="00EB0950">
        <w:trPr>
          <w:trHeight w:val="225"/>
        </w:trPr>
        <w:tc>
          <w:tcPr>
            <w:tcW w:w="3080"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ind w:firstLineChars="200" w:firstLine="320"/>
              <w:rPr>
                <w:rFonts w:ascii="Arial" w:hAnsi="Arial" w:cs="Arial"/>
                <w:sz w:val="16"/>
                <w:szCs w:val="16"/>
              </w:rPr>
            </w:pPr>
            <w:r w:rsidRPr="00346A27">
              <w:rPr>
                <w:rFonts w:ascii="Arial" w:hAnsi="Arial" w:cs="Arial"/>
                <w:sz w:val="16"/>
                <w:szCs w:val="16"/>
              </w:rPr>
              <w:t>annual or special appropriations</w:t>
            </w:r>
          </w:p>
        </w:tc>
        <w:tc>
          <w:tcPr>
            <w:tcW w:w="1248"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jc w:val="right"/>
              <w:rPr>
                <w:rFonts w:ascii="Arial" w:hAnsi="Arial" w:cs="Arial"/>
                <w:sz w:val="16"/>
                <w:szCs w:val="16"/>
              </w:rPr>
            </w:pPr>
          </w:p>
        </w:tc>
        <w:tc>
          <w:tcPr>
            <w:tcW w:w="1120"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jc w:val="right"/>
              <w:rPr>
                <w:rFonts w:ascii="Arial" w:hAnsi="Arial" w:cs="Arial"/>
                <w:sz w:val="16"/>
                <w:szCs w:val="16"/>
              </w:rPr>
            </w:pPr>
          </w:p>
        </w:tc>
        <w:tc>
          <w:tcPr>
            <w:tcW w:w="980"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jc w:val="right"/>
              <w:rPr>
                <w:rFonts w:ascii="Arial" w:hAnsi="Arial" w:cs="Arial"/>
                <w:sz w:val="16"/>
                <w:szCs w:val="16"/>
              </w:rPr>
            </w:pPr>
          </w:p>
        </w:tc>
        <w:tc>
          <w:tcPr>
            <w:tcW w:w="980" w:type="dxa"/>
            <w:tcBorders>
              <w:top w:val="nil"/>
              <w:left w:val="nil"/>
              <w:bottom w:val="nil"/>
              <w:right w:val="nil"/>
            </w:tcBorders>
            <w:shd w:val="clear" w:color="000000" w:fill="D9D9D9"/>
            <w:noWrap/>
            <w:vAlign w:val="bottom"/>
            <w:hideMark/>
          </w:tcPr>
          <w:p w:rsidR="00101852" w:rsidRPr="00346A27" w:rsidRDefault="00101852" w:rsidP="00101852">
            <w:pPr>
              <w:keepNext w:val="0"/>
              <w:spacing w:after="0"/>
              <w:jc w:val="right"/>
              <w:rPr>
                <w:rFonts w:ascii="Arial" w:hAnsi="Arial" w:cs="Arial"/>
                <w:sz w:val="16"/>
                <w:szCs w:val="16"/>
              </w:rPr>
            </w:pPr>
            <w:r w:rsidRPr="00346A27">
              <w:rPr>
                <w:rFonts w:ascii="Arial" w:hAnsi="Arial" w:cs="Arial"/>
                <w:sz w:val="16"/>
                <w:szCs w:val="16"/>
              </w:rPr>
              <w:t> </w:t>
            </w:r>
          </w:p>
        </w:tc>
      </w:tr>
      <w:tr w:rsidR="00346A27" w:rsidRPr="00346A27" w:rsidTr="00EB0950">
        <w:trPr>
          <w:trHeight w:val="225"/>
        </w:trPr>
        <w:tc>
          <w:tcPr>
            <w:tcW w:w="4328" w:type="dxa"/>
            <w:gridSpan w:val="2"/>
            <w:tcBorders>
              <w:top w:val="nil"/>
              <w:left w:val="nil"/>
              <w:bottom w:val="nil"/>
              <w:right w:val="nil"/>
            </w:tcBorders>
            <w:shd w:val="clear" w:color="auto" w:fill="auto"/>
            <w:noWrap/>
            <w:vAlign w:val="bottom"/>
            <w:hideMark/>
          </w:tcPr>
          <w:p w:rsidR="00101852" w:rsidRPr="00346A27" w:rsidRDefault="00101852" w:rsidP="00101852">
            <w:pPr>
              <w:keepNext w:val="0"/>
              <w:spacing w:after="0"/>
              <w:ind w:firstLineChars="200" w:firstLine="320"/>
              <w:rPr>
                <w:rFonts w:ascii="Arial" w:hAnsi="Arial" w:cs="Arial"/>
                <w:sz w:val="16"/>
                <w:szCs w:val="16"/>
              </w:rPr>
            </w:pPr>
            <w:r w:rsidRPr="00346A27">
              <w:rPr>
                <w:rFonts w:ascii="Arial" w:hAnsi="Arial" w:cs="Arial"/>
                <w:sz w:val="16"/>
                <w:szCs w:val="16"/>
              </w:rPr>
              <w:t>above and credited to Special Accounts</w:t>
            </w:r>
          </w:p>
        </w:tc>
        <w:tc>
          <w:tcPr>
            <w:tcW w:w="1120"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jc w:val="right"/>
              <w:rPr>
                <w:rFonts w:ascii="Arial" w:hAnsi="Arial" w:cs="Arial"/>
                <w:sz w:val="16"/>
                <w:szCs w:val="16"/>
              </w:rPr>
            </w:pPr>
          </w:p>
        </w:tc>
        <w:tc>
          <w:tcPr>
            <w:tcW w:w="980"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jc w:val="right"/>
              <w:rPr>
                <w:rFonts w:ascii="Arial" w:hAnsi="Arial" w:cs="Arial"/>
                <w:sz w:val="16"/>
                <w:szCs w:val="16"/>
              </w:rPr>
            </w:pPr>
          </w:p>
        </w:tc>
        <w:tc>
          <w:tcPr>
            <w:tcW w:w="980" w:type="dxa"/>
            <w:tcBorders>
              <w:top w:val="nil"/>
              <w:left w:val="nil"/>
              <w:bottom w:val="nil"/>
              <w:right w:val="nil"/>
            </w:tcBorders>
            <w:shd w:val="clear" w:color="000000" w:fill="D9D9D9"/>
            <w:noWrap/>
            <w:vAlign w:val="bottom"/>
            <w:hideMark/>
          </w:tcPr>
          <w:p w:rsidR="00101852" w:rsidRPr="00346A27" w:rsidRDefault="00101852" w:rsidP="00101852">
            <w:pPr>
              <w:keepNext w:val="0"/>
              <w:spacing w:after="0"/>
              <w:jc w:val="right"/>
              <w:rPr>
                <w:rFonts w:ascii="Arial" w:hAnsi="Arial" w:cs="Arial"/>
                <w:sz w:val="16"/>
                <w:szCs w:val="16"/>
              </w:rPr>
            </w:pPr>
            <w:r w:rsidRPr="00346A27">
              <w:rPr>
                <w:rFonts w:ascii="Arial" w:hAnsi="Arial" w:cs="Arial"/>
                <w:sz w:val="16"/>
                <w:szCs w:val="16"/>
              </w:rPr>
              <w:t> </w:t>
            </w:r>
          </w:p>
        </w:tc>
      </w:tr>
      <w:tr w:rsidR="00346A27" w:rsidRPr="00346A27" w:rsidTr="00EB0950">
        <w:trPr>
          <w:trHeight w:val="225"/>
        </w:trPr>
        <w:tc>
          <w:tcPr>
            <w:tcW w:w="4328" w:type="dxa"/>
            <w:gridSpan w:val="2"/>
            <w:tcBorders>
              <w:top w:val="nil"/>
              <w:left w:val="nil"/>
              <w:bottom w:val="nil"/>
              <w:right w:val="nil"/>
            </w:tcBorders>
            <w:shd w:val="clear" w:color="auto" w:fill="auto"/>
            <w:noWrap/>
            <w:vAlign w:val="bottom"/>
            <w:hideMark/>
          </w:tcPr>
          <w:p w:rsidR="00101852" w:rsidRPr="00346A27" w:rsidRDefault="00101852" w:rsidP="00101852">
            <w:pPr>
              <w:keepNext w:val="0"/>
              <w:spacing w:after="0"/>
              <w:ind w:firstLine="327"/>
              <w:rPr>
                <w:rFonts w:ascii="Arial" w:hAnsi="Arial" w:cs="Arial"/>
                <w:sz w:val="16"/>
                <w:szCs w:val="16"/>
              </w:rPr>
            </w:pPr>
            <w:r w:rsidRPr="00346A27">
              <w:rPr>
                <w:rFonts w:ascii="Arial" w:hAnsi="Arial" w:cs="Arial"/>
                <w:sz w:val="16"/>
                <w:szCs w:val="16"/>
              </w:rPr>
              <w:t>and/or payments to corporate entities</w:t>
            </w:r>
          </w:p>
        </w:tc>
        <w:tc>
          <w:tcPr>
            <w:tcW w:w="1120"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jc w:val="right"/>
              <w:rPr>
                <w:rFonts w:ascii="Arial" w:hAnsi="Arial" w:cs="Arial"/>
                <w:sz w:val="16"/>
                <w:szCs w:val="16"/>
              </w:rPr>
            </w:pPr>
          </w:p>
        </w:tc>
        <w:tc>
          <w:tcPr>
            <w:tcW w:w="980"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jc w:val="right"/>
              <w:rPr>
                <w:rFonts w:ascii="Arial" w:hAnsi="Arial" w:cs="Arial"/>
                <w:sz w:val="16"/>
                <w:szCs w:val="16"/>
              </w:rPr>
            </w:pPr>
          </w:p>
        </w:tc>
        <w:tc>
          <w:tcPr>
            <w:tcW w:w="980" w:type="dxa"/>
            <w:tcBorders>
              <w:top w:val="nil"/>
              <w:left w:val="nil"/>
              <w:bottom w:val="nil"/>
              <w:right w:val="nil"/>
            </w:tcBorders>
            <w:shd w:val="clear" w:color="000000" w:fill="D9D9D9"/>
            <w:noWrap/>
            <w:vAlign w:val="bottom"/>
            <w:hideMark/>
          </w:tcPr>
          <w:p w:rsidR="00101852" w:rsidRPr="00346A27" w:rsidRDefault="00101852" w:rsidP="00101852">
            <w:pPr>
              <w:keepNext w:val="0"/>
              <w:spacing w:after="0"/>
              <w:jc w:val="right"/>
              <w:rPr>
                <w:rFonts w:ascii="Arial" w:hAnsi="Arial" w:cs="Arial"/>
                <w:sz w:val="16"/>
                <w:szCs w:val="16"/>
              </w:rPr>
            </w:pPr>
            <w:r w:rsidRPr="00346A27">
              <w:rPr>
                <w:rFonts w:ascii="Arial" w:hAnsi="Arial" w:cs="Arial"/>
                <w:sz w:val="16"/>
                <w:szCs w:val="16"/>
              </w:rPr>
              <w:t> </w:t>
            </w:r>
          </w:p>
        </w:tc>
      </w:tr>
      <w:tr w:rsidR="00346A27" w:rsidRPr="00346A27" w:rsidTr="00EB0950">
        <w:trPr>
          <w:trHeight w:val="225"/>
        </w:trPr>
        <w:tc>
          <w:tcPr>
            <w:tcW w:w="3080" w:type="dxa"/>
            <w:tcBorders>
              <w:top w:val="nil"/>
              <w:left w:val="nil"/>
              <w:bottom w:val="nil"/>
              <w:right w:val="nil"/>
            </w:tcBorders>
            <w:shd w:val="clear" w:color="auto" w:fill="auto"/>
            <w:noWrap/>
            <w:vAlign w:val="bottom"/>
            <w:hideMark/>
          </w:tcPr>
          <w:p w:rsidR="00101852" w:rsidRPr="00346A27" w:rsidRDefault="00101852" w:rsidP="00101852">
            <w:pPr>
              <w:keepNext w:val="0"/>
              <w:spacing w:after="0"/>
              <w:ind w:firstLineChars="200" w:firstLine="320"/>
              <w:rPr>
                <w:rFonts w:ascii="Arial" w:hAnsi="Arial" w:cs="Arial"/>
                <w:sz w:val="16"/>
                <w:szCs w:val="16"/>
              </w:rPr>
            </w:pPr>
            <w:r w:rsidRPr="00346A27">
              <w:rPr>
                <w:rFonts w:ascii="Arial" w:hAnsi="Arial" w:cs="Arial"/>
                <w:sz w:val="16"/>
                <w:szCs w:val="16"/>
              </w:rPr>
              <w:t>through annual appropriations</w:t>
            </w:r>
          </w:p>
        </w:tc>
        <w:tc>
          <w:tcPr>
            <w:tcW w:w="1248" w:type="dxa"/>
            <w:tcBorders>
              <w:top w:val="nil"/>
              <w:left w:val="nil"/>
              <w:bottom w:val="single" w:sz="4" w:space="0" w:color="auto"/>
              <w:right w:val="nil"/>
            </w:tcBorders>
            <w:shd w:val="clear" w:color="auto" w:fill="auto"/>
            <w:noWrap/>
            <w:vAlign w:val="bottom"/>
            <w:hideMark/>
          </w:tcPr>
          <w:p w:rsidR="00101852" w:rsidRPr="00346A27" w:rsidRDefault="00101852" w:rsidP="00101852">
            <w:pPr>
              <w:keepNext w:val="0"/>
              <w:spacing w:after="0"/>
              <w:jc w:val="right"/>
              <w:rPr>
                <w:rFonts w:ascii="Arial" w:hAnsi="Arial" w:cs="Arial"/>
                <w:sz w:val="16"/>
                <w:szCs w:val="16"/>
              </w:rPr>
            </w:pPr>
            <w:r w:rsidRPr="00346A27">
              <w:rPr>
                <w:rFonts w:ascii="Arial" w:hAnsi="Arial" w:cs="Arial"/>
                <w:sz w:val="16"/>
                <w:szCs w:val="16"/>
              </w:rPr>
              <w:t>(15,256)</w:t>
            </w:r>
          </w:p>
        </w:tc>
        <w:tc>
          <w:tcPr>
            <w:tcW w:w="1120" w:type="dxa"/>
            <w:tcBorders>
              <w:top w:val="nil"/>
              <w:left w:val="nil"/>
              <w:bottom w:val="single" w:sz="4" w:space="0" w:color="auto"/>
              <w:right w:val="nil"/>
            </w:tcBorders>
            <w:shd w:val="clear" w:color="000000" w:fill="FFFFFF"/>
            <w:noWrap/>
            <w:vAlign w:val="bottom"/>
            <w:hideMark/>
          </w:tcPr>
          <w:p w:rsidR="00101852" w:rsidRPr="00346A27" w:rsidRDefault="00101852" w:rsidP="00101852">
            <w:pPr>
              <w:keepNext w:val="0"/>
              <w:spacing w:after="0"/>
              <w:jc w:val="right"/>
              <w:rPr>
                <w:rFonts w:ascii="Arial" w:hAnsi="Arial" w:cs="Arial"/>
                <w:sz w:val="16"/>
                <w:szCs w:val="16"/>
              </w:rPr>
            </w:pPr>
            <w:r w:rsidRPr="00346A27">
              <w:rPr>
                <w:rFonts w:ascii="Arial" w:hAnsi="Arial" w:cs="Arial"/>
                <w:sz w:val="16"/>
                <w:szCs w:val="16"/>
              </w:rPr>
              <w:t>-</w:t>
            </w:r>
          </w:p>
        </w:tc>
        <w:tc>
          <w:tcPr>
            <w:tcW w:w="980" w:type="dxa"/>
            <w:tcBorders>
              <w:top w:val="nil"/>
              <w:left w:val="nil"/>
              <w:bottom w:val="single" w:sz="4" w:space="0" w:color="auto"/>
              <w:right w:val="nil"/>
            </w:tcBorders>
            <w:shd w:val="clear" w:color="000000" w:fill="FFFFFF"/>
            <w:noWrap/>
            <w:vAlign w:val="bottom"/>
            <w:hideMark/>
          </w:tcPr>
          <w:p w:rsidR="00101852" w:rsidRPr="00346A27" w:rsidRDefault="00101852" w:rsidP="00101852">
            <w:pPr>
              <w:keepNext w:val="0"/>
              <w:spacing w:after="0"/>
              <w:jc w:val="right"/>
              <w:rPr>
                <w:rFonts w:ascii="Arial" w:hAnsi="Arial" w:cs="Arial"/>
                <w:sz w:val="16"/>
                <w:szCs w:val="16"/>
              </w:rPr>
            </w:pPr>
            <w:r w:rsidRPr="00346A27">
              <w:rPr>
                <w:rFonts w:ascii="Arial" w:hAnsi="Arial" w:cs="Arial"/>
                <w:sz w:val="16"/>
                <w:szCs w:val="16"/>
              </w:rPr>
              <w:t>(15,907)</w:t>
            </w:r>
          </w:p>
        </w:tc>
        <w:tc>
          <w:tcPr>
            <w:tcW w:w="980" w:type="dxa"/>
            <w:tcBorders>
              <w:top w:val="nil"/>
              <w:left w:val="nil"/>
              <w:bottom w:val="single" w:sz="4" w:space="0" w:color="auto"/>
              <w:right w:val="nil"/>
            </w:tcBorders>
            <w:shd w:val="clear" w:color="000000" w:fill="D9D9D9"/>
            <w:noWrap/>
            <w:vAlign w:val="bottom"/>
            <w:hideMark/>
          </w:tcPr>
          <w:p w:rsidR="00101852" w:rsidRPr="00346A27" w:rsidRDefault="00101852" w:rsidP="00101852">
            <w:pPr>
              <w:keepNext w:val="0"/>
              <w:spacing w:after="0"/>
              <w:jc w:val="right"/>
              <w:rPr>
                <w:rFonts w:ascii="Arial" w:hAnsi="Arial" w:cs="Arial"/>
                <w:sz w:val="16"/>
                <w:szCs w:val="16"/>
              </w:rPr>
            </w:pPr>
            <w:r w:rsidRPr="00346A27">
              <w:rPr>
                <w:rFonts w:ascii="Arial" w:hAnsi="Arial" w:cs="Arial"/>
                <w:sz w:val="16"/>
                <w:szCs w:val="16"/>
              </w:rPr>
              <w:t>(15,907)</w:t>
            </w:r>
          </w:p>
        </w:tc>
      </w:tr>
      <w:tr w:rsidR="00346A27" w:rsidRPr="00346A27" w:rsidTr="00EB0950">
        <w:trPr>
          <w:trHeight w:val="300"/>
        </w:trPr>
        <w:tc>
          <w:tcPr>
            <w:tcW w:w="3080" w:type="dxa"/>
            <w:tcBorders>
              <w:top w:val="nil"/>
              <w:left w:val="nil"/>
              <w:bottom w:val="single" w:sz="4" w:space="0" w:color="auto"/>
              <w:right w:val="nil"/>
            </w:tcBorders>
            <w:shd w:val="clear" w:color="auto" w:fill="auto"/>
            <w:noWrap/>
            <w:vAlign w:val="bottom"/>
            <w:hideMark/>
          </w:tcPr>
          <w:p w:rsidR="00101852" w:rsidRPr="00346A27" w:rsidRDefault="00101852" w:rsidP="00101852">
            <w:pPr>
              <w:keepNext w:val="0"/>
              <w:spacing w:after="0"/>
              <w:rPr>
                <w:rFonts w:ascii="Arial" w:hAnsi="Arial" w:cs="Arial"/>
                <w:b/>
                <w:bCs/>
                <w:sz w:val="16"/>
                <w:szCs w:val="16"/>
              </w:rPr>
            </w:pPr>
            <w:r w:rsidRPr="00346A27">
              <w:rPr>
                <w:rFonts w:ascii="Arial" w:hAnsi="Arial" w:cs="Arial"/>
                <w:b/>
                <w:bCs/>
                <w:sz w:val="16"/>
                <w:szCs w:val="16"/>
              </w:rPr>
              <w:t>Total net resourcing for ARPANSA</w:t>
            </w:r>
          </w:p>
        </w:tc>
        <w:tc>
          <w:tcPr>
            <w:tcW w:w="1248" w:type="dxa"/>
            <w:tcBorders>
              <w:top w:val="nil"/>
              <w:left w:val="nil"/>
              <w:bottom w:val="single" w:sz="4" w:space="0" w:color="auto"/>
              <w:right w:val="nil"/>
            </w:tcBorders>
            <w:shd w:val="clear" w:color="auto" w:fill="auto"/>
            <w:noWrap/>
            <w:vAlign w:val="bottom"/>
            <w:hideMark/>
          </w:tcPr>
          <w:p w:rsidR="00101852" w:rsidRPr="00346A27" w:rsidRDefault="00101852" w:rsidP="00101852">
            <w:pPr>
              <w:keepNext w:val="0"/>
              <w:spacing w:after="0"/>
              <w:jc w:val="right"/>
              <w:rPr>
                <w:rFonts w:ascii="Arial" w:hAnsi="Arial" w:cs="Arial"/>
                <w:b/>
                <w:bCs/>
                <w:sz w:val="16"/>
                <w:szCs w:val="16"/>
              </w:rPr>
            </w:pPr>
            <w:r w:rsidRPr="00346A27">
              <w:rPr>
                <w:rFonts w:ascii="Arial" w:hAnsi="Arial" w:cs="Arial"/>
                <w:b/>
                <w:bCs/>
                <w:sz w:val="16"/>
                <w:szCs w:val="16"/>
              </w:rPr>
              <w:t>29,081</w:t>
            </w:r>
          </w:p>
        </w:tc>
        <w:tc>
          <w:tcPr>
            <w:tcW w:w="1120" w:type="dxa"/>
            <w:tcBorders>
              <w:top w:val="nil"/>
              <w:left w:val="nil"/>
              <w:bottom w:val="single" w:sz="4" w:space="0" w:color="auto"/>
              <w:right w:val="nil"/>
            </w:tcBorders>
            <w:shd w:val="clear" w:color="auto" w:fill="auto"/>
            <w:noWrap/>
            <w:vAlign w:val="bottom"/>
            <w:hideMark/>
          </w:tcPr>
          <w:p w:rsidR="00101852" w:rsidRPr="00346A27" w:rsidRDefault="00101852" w:rsidP="00101852">
            <w:pPr>
              <w:keepNext w:val="0"/>
              <w:spacing w:after="0"/>
              <w:jc w:val="right"/>
              <w:rPr>
                <w:rFonts w:ascii="Arial" w:hAnsi="Arial" w:cs="Arial"/>
                <w:b/>
                <w:bCs/>
                <w:sz w:val="16"/>
                <w:szCs w:val="16"/>
              </w:rPr>
            </w:pPr>
            <w:r w:rsidRPr="00346A27">
              <w:rPr>
                <w:rFonts w:ascii="Arial" w:hAnsi="Arial" w:cs="Arial"/>
                <w:b/>
                <w:bCs/>
                <w:sz w:val="16"/>
                <w:szCs w:val="16"/>
              </w:rPr>
              <w:t>3,749</w:t>
            </w:r>
          </w:p>
        </w:tc>
        <w:tc>
          <w:tcPr>
            <w:tcW w:w="980" w:type="dxa"/>
            <w:tcBorders>
              <w:top w:val="nil"/>
              <w:left w:val="nil"/>
              <w:bottom w:val="single" w:sz="4" w:space="0" w:color="auto"/>
              <w:right w:val="nil"/>
            </w:tcBorders>
            <w:shd w:val="clear" w:color="auto" w:fill="auto"/>
            <w:noWrap/>
            <w:vAlign w:val="bottom"/>
            <w:hideMark/>
          </w:tcPr>
          <w:p w:rsidR="00101852" w:rsidRPr="00346A27" w:rsidRDefault="00101852" w:rsidP="00101852">
            <w:pPr>
              <w:keepNext w:val="0"/>
              <w:spacing w:after="0"/>
              <w:jc w:val="right"/>
              <w:rPr>
                <w:rFonts w:ascii="Arial" w:hAnsi="Arial" w:cs="Arial"/>
                <w:b/>
                <w:bCs/>
                <w:sz w:val="16"/>
                <w:szCs w:val="16"/>
              </w:rPr>
            </w:pPr>
            <w:r w:rsidRPr="00346A27">
              <w:rPr>
                <w:rFonts w:ascii="Arial" w:hAnsi="Arial" w:cs="Arial"/>
                <w:b/>
                <w:bCs/>
                <w:sz w:val="16"/>
                <w:szCs w:val="16"/>
              </w:rPr>
              <w:t>24,604</w:t>
            </w:r>
          </w:p>
        </w:tc>
        <w:tc>
          <w:tcPr>
            <w:tcW w:w="980" w:type="dxa"/>
            <w:tcBorders>
              <w:top w:val="nil"/>
              <w:left w:val="nil"/>
              <w:bottom w:val="single" w:sz="4" w:space="0" w:color="auto"/>
              <w:right w:val="nil"/>
            </w:tcBorders>
            <w:shd w:val="clear" w:color="000000" w:fill="D9D9D9"/>
            <w:noWrap/>
            <w:vAlign w:val="bottom"/>
            <w:hideMark/>
          </w:tcPr>
          <w:p w:rsidR="00101852" w:rsidRPr="00346A27" w:rsidRDefault="00101852" w:rsidP="00101852">
            <w:pPr>
              <w:keepNext w:val="0"/>
              <w:spacing w:after="0"/>
              <w:jc w:val="right"/>
              <w:rPr>
                <w:rFonts w:ascii="Arial" w:hAnsi="Arial" w:cs="Arial"/>
                <w:b/>
                <w:bCs/>
                <w:sz w:val="16"/>
                <w:szCs w:val="16"/>
              </w:rPr>
            </w:pPr>
            <w:r w:rsidRPr="00346A27">
              <w:rPr>
                <w:rFonts w:ascii="Arial" w:hAnsi="Arial" w:cs="Arial"/>
                <w:b/>
                <w:bCs/>
                <w:sz w:val="16"/>
                <w:szCs w:val="16"/>
              </w:rPr>
              <w:t>28,353</w:t>
            </w:r>
          </w:p>
        </w:tc>
      </w:tr>
    </w:tbl>
    <w:p w:rsidR="009D2080" w:rsidRPr="00346A27" w:rsidRDefault="009D2080" w:rsidP="00CB774A">
      <w:pPr>
        <w:pStyle w:val="FootnoteText"/>
        <w:keepNext w:val="0"/>
        <w:spacing w:before="120"/>
        <w:rPr>
          <w:sz w:val="15"/>
          <w:szCs w:val="15"/>
        </w:rPr>
      </w:pPr>
      <w:r w:rsidRPr="00346A27">
        <w:rPr>
          <w:sz w:val="15"/>
          <w:szCs w:val="15"/>
        </w:rPr>
        <w:t>All figures are GST exclusive.</w:t>
      </w:r>
    </w:p>
    <w:p w:rsidR="009D2080" w:rsidRPr="00346A27" w:rsidRDefault="009D2080" w:rsidP="009D2080">
      <w:pPr>
        <w:pStyle w:val="FootnoteText"/>
        <w:keepNext w:val="0"/>
        <w:rPr>
          <w:sz w:val="15"/>
          <w:szCs w:val="15"/>
        </w:rPr>
      </w:pPr>
      <w:r w:rsidRPr="00346A27">
        <w:rPr>
          <w:sz w:val="15"/>
          <w:szCs w:val="15"/>
        </w:rPr>
        <w:t>1</w:t>
      </w:r>
      <w:r w:rsidRPr="00346A27">
        <w:rPr>
          <w:sz w:val="15"/>
          <w:szCs w:val="15"/>
        </w:rPr>
        <w:tab/>
        <w:t>Appropriation Bill (No. 1) 2015-16.</w:t>
      </w:r>
    </w:p>
    <w:p w:rsidR="009D2080" w:rsidRPr="00346A27" w:rsidRDefault="009D2080" w:rsidP="009D2080">
      <w:pPr>
        <w:pStyle w:val="FootnoteText"/>
        <w:keepNext w:val="0"/>
        <w:rPr>
          <w:sz w:val="15"/>
          <w:szCs w:val="15"/>
        </w:rPr>
      </w:pPr>
      <w:r w:rsidRPr="00346A27">
        <w:rPr>
          <w:sz w:val="15"/>
          <w:szCs w:val="15"/>
        </w:rPr>
        <w:t>2</w:t>
      </w:r>
      <w:r w:rsidRPr="00346A27">
        <w:rPr>
          <w:sz w:val="15"/>
          <w:szCs w:val="15"/>
        </w:rPr>
        <w:tab/>
        <w:t>Estimated adjusted balance carried forward from previous year.</w:t>
      </w:r>
    </w:p>
    <w:p w:rsidR="009D2080" w:rsidRPr="00346A27" w:rsidRDefault="009D2080" w:rsidP="009D2080">
      <w:pPr>
        <w:pStyle w:val="FootnoteText"/>
        <w:keepNext w:val="0"/>
        <w:rPr>
          <w:sz w:val="15"/>
          <w:szCs w:val="15"/>
        </w:rPr>
      </w:pPr>
      <w:r w:rsidRPr="00346A27">
        <w:rPr>
          <w:sz w:val="15"/>
          <w:szCs w:val="15"/>
        </w:rPr>
        <w:t>3</w:t>
      </w:r>
      <w:r w:rsidRPr="00346A27">
        <w:rPr>
          <w:sz w:val="15"/>
          <w:szCs w:val="15"/>
        </w:rPr>
        <w:tab/>
        <w:t>Includes an amount of $1.979m in 2015-16 for the Departmental Capital Budget (refer to Table 3.2.5 for further details). For accounting purposes this amount has been designated as 'contributions by owners'.</w:t>
      </w:r>
    </w:p>
    <w:p w:rsidR="009D2080" w:rsidRPr="00346A27" w:rsidRDefault="009D2080" w:rsidP="009D2080">
      <w:pPr>
        <w:pStyle w:val="FootnoteText"/>
        <w:keepNext w:val="0"/>
        <w:rPr>
          <w:sz w:val="15"/>
          <w:szCs w:val="15"/>
        </w:rPr>
      </w:pPr>
      <w:r w:rsidRPr="00346A27">
        <w:rPr>
          <w:sz w:val="15"/>
          <w:szCs w:val="15"/>
        </w:rPr>
        <w:t>4</w:t>
      </w:r>
      <w:r w:rsidRPr="00346A27">
        <w:rPr>
          <w:sz w:val="15"/>
          <w:szCs w:val="15"/>
        </w:rPr>
        <w:tab/>
        <w:t xml:space="preserve">Estimated retained revenue receipts under s74 of the </w:t>
      </w:r>
      <w:r w:rsidRPr="00346A27">
        <w:rPr>
          <w:i/>
          <w:sz w:val="15"/>
          <w:szCs w:val="15"/>
        </w:rPr>
        <w:t>Public Governance, Performance and Accountability</w:t>
      </w:r>
      <w:r w:rsidRPr="00346A27">
        <w:rPr>
          <w:sz w:val="15"/>
          <w:szCs w:val="15"/>
        </w:rPr>
        <w:t xml:space="preserve"> (PGPA) </w:t>
      </w:r>
      <w:r w:rsidRPr="00346A27">
        <w:rPr>
          <w:i/>
          <w:sz w:val="15"/>
          <w:szCs w:val="15"/>
        </w:rPr>
        <w:t>Act 2013</w:t>
      </w:r>
      <w:r w:rsidRPr="00346A27">
        <w:rPr>
          <w:sz w:val="15"/>
          <w:szCs w:val="15"/>
        </w:rPr>
        <w:t>.</w:t>
      </w:r>
    </w:p>
    <w:p w:rsidR="009D2080" w:rsidRPr="00346A27" w:rsidRDefault="009D2080" w:rsidP="009D2080">
      <w:pPr>
        <w:pStyle w:val="FootnoteText"/>
        <w:keepNext w:val="0"/>
        <w:rPr>
          <w:sz w:val="15"/>
          <w:szCs w:val="15"/>
        </w:rPr>
      </w:pPr>
      <w:r w:rsidRPr="00346A27">
        <w:rPr>
          <w:sz w:val="15"/>
          <w:szCs w:val="15"/>
        </w:rPr>
        <w:t>5</w:t>
      </w:r>
      <w:r w:rsidRPr="00346A27">
        <w:rPr>
          <w:sz w:val="15"/>
          <w:szCs w:val="15"/>
        </w:rPr>
        <w:tab/>
        <w:t>Appropriation Bill (No. 2) 2015-16.</w:t>
      </w:r>
    </w:p>
    <w:p w:rsidR="009D2080" w:rsidRPr="00346A27" w:rsidRDefault="009D2080" w:rsidP="009D2080">
      <w:pPr>
        <w:pStyle w:val="FootnoteText"/>
        <w:keepNext w:val="0"/>
        <w:rPr>
          <w:sz w:val="15"/>
          <w:szCs w:val="15"/>
        </w:rPr>
      </w:pPr>
      <w:r w:rsidRPr="00346A27">
        <w:rPr>
          <w:sz w:val="15"/>
          <w:szCs w:val="15"/>
        </w:rPr>
        <w:t>6</w:t>
      </w:r>
      <w:r w:rsidRPr="00346A27">
        <w:rPr>
          <w:sz w:val="15"/>
          <w:szCs w:val="15"/>
        </w:rPr>
        <w:tab/>
        <w:t>Estimated opening balance for special accounts. For further informatio</w:t>
      </w:r>
      <w:r w:rsidR="000F3266" w:rsidRPr="00346A27">
        <w:rPr>
          <w:sz w:val="15"/>
          <w:szCs w:val="15"/>
        </w:rPr>
        <w:t>n on special accounts see Table </w:t>
      </w:r>
      <w:r w:rsidRPr="00346A27">
        <w:rPr>
          <w:sz w:val="15"/>
          <w:szCs w:val="15"/>
        </w:rPr>
        <w:t>3.1.</w:t>
      </w:r>
      <w:r w:rsidR="007B30E4">
        <w:rPr>
          <w:sz w:val="15"/>
          <w:szCs w:val="15"/>
        </w:rPr>
        <w:t>1</w:t>
      </w:r>
      <w:r w:rsidRPr="00346A27">
        <w:rPr>
          <w:sz w:val="15"/>
          <w:szCs w:val="15"/>
        </w:rPr>
        <w:t>.</w:t>
      </w:r>
    </w:p>
    <w:p w:rsidR="007E7063" w:rsidRPr="00346A27" w:rsidRDefault="009D2080" w:rsidP="009D2080">
      <w:pPr>
        <w:pStyle w:val="FootnoteText"/>
        <w:keepNext w:val="0"/>
        <w:rPr>
          <w:sz w:val="15"/>
          <w:szCs w:val="15"/>
        </w:rPr>
      </w:pPr>
      <w:r w:rsidRPr="00346A27">
        <w:rPr>
          <w:sz w:val="15"/>
          <w:szCs w:val="15"/>
        </w:rPr>
        <w:t>7</w:t>
      </w:r>
      <w:r w:rsidR="004A7C98" w:rsidRPr="00346A27">
        <w:rPr>
          <w:sz w:val="15"/>
          <w:szCs w:val="15"/>
        </w:rPr>
        <w:tab/>
      </w:r>
      <w:r w:rsidRPr="00346A27">
        <w:rPr>
          <w:sz w:val="15"/>
          <w:szCs w:val="15"/>
        </w:rPr>
        <w:t>Appropriation receipts from ARPANSA annual and special appropriations for 2015-16 included above.</w:t>
      </w:r>
    </w:p>
    <w:p w:rsidR="007E7063" w:rsidRPr="00346A27" w:rsidRDefault="007E7063" w:rsidP="007E7063">
      <w:pPr>
        <w:pStyle w:val="SectionSubheading"/>
      </w:pPr>
      <w:r w:rsidRPr="00346A27">
        <w:lastRenderedPageBreak/>
        <w:t>1.3</w:t>
      </w:r>
      <w:r w:rsidRPr="00346A27">
        <w:tab/>
        <w:t>Budget Measures</w:t>
      </w:r>
    </w:p>
    <w:p w:rsidR="00BF6435" w:rsidRPr="00346A27" w:rsidRDefault="00BF6435" w:rsidP="00BF6435">
      <w:r w:rsidRPr="00346A27">
        <w:t>Section 1</w:t>
      </w:r>
      <w:r w:rsidR="00FE7C57" w:rsidRPr="00346A27">
        <w:t>.3 is not applicable to ARPANSA</w:t>
      </w:r>
      <w:r w:rsidRPr="00346A27">
        <w:t>.</w:t>
      </w:r>
    </w:p>
    <w:p w:rsidR="007E7063" w:rsidRPr="00346A27" w:rsidRDefault="007E7063" w:rsidP="0062303E"/>
    <w:p w:rsidR="00C2714B" w:rsidRPr="00346A27" w:rsidRDefault="00C2714B" w:rsidP="007E7063">
      <w:pPr>
        <w:pStyle w:val="SectionHeading"/>
        <w:sectPr w:rsidR="00C2714B" w:rsidRPr="00346A27" w:rsidSect="00714BAE">
          <w:headerReference w:type="even" r:id="rId19"/>
          <w:headerReference w:type="default" r:id="rId20"/>
          <w:pgSz w:w="11906" w:h="16838" w:code="9"/>
          <w:pgMar w:top="2665" w:right="2268" w:bottom="2126" w:left="2268" w:header="1899" w:footer="1899" w:gutter="0"/>
          <w:cols w:space="708"/>
          <w:docGrid w:linePitch="360"/>
        </w:sectPr>
      </w:pPr>
    </w:p>
    <w:p w:rsidR="007E7063" w:rsidRPr="00346A27" w:rsidRDefault="007E7063" w:rsidP="007E7063">
      <w:pPr>
        <w:pStyle w:val="SectionHeading"/>
      </w:pPr>
      <w:r w:rsidRPr="00346A27">
        <w:lastRenderedPageBreak/>
        <w:t>Section 2: Outcomes and Planned Performance</w:t>
      </w:r>
    </w:p>
    <w:p w:rsidR="007E7063" w:rsidRPr="00346A27" w:rsidRDefault="007E7063" w:rsidP="007E7063">
      <w:pPr>
        <w:pStyle w:val="SectionSubheading"/>
      </w:pPr>
      <w:r w:rsidRPr="00346A27">
        <w:t>2.1</w:t>
      </w:r>
      <w:r w:rsidRPr="00346A27">
        <w:tab/>
        <w:t>Outcomes and Performance Information</w:t>
      </w:r>
    </w:p>
    <w:p w:rsidR="007E7063" w:rsidRPr="00346A27" w:rsidRDefault="007E7063" w:rsidP="007E7063">
      <w:pPr>
        <w:pStyle w:val="OutcomeStatement"/>
      </w:pPr>
      <w:r w:rsidRPr="00346A27">
        <w:t>Protection of people and the environment through radiation protection and nuclear safety research, policy, advice, codes, standards, services and regulation</w:t>
      </w:r>
    </w:p>
    <w:p w:rsidR="007E7063" w:rsidRPr="00346A27" w:rsidRDefault="007E7063" w:rsidP="007E7063">
      <w:pPr>
        <w:pStyle w:val="OutcomeStrategy"/>
      </w:pPr>
      <w:r w:rsidRPr="00346A27">
        <w:t>Outcome Strategy</w:t>
      </w:r>
    </w:p>
    <w:p w:rsidR="00296009" w:rsidRPr="00346A27" w:rsidRDefault="00296009" w:rsidP="00296009">
      <w:pPr>
        <w:rPr>
          <w:snapToGrid w:val="0"/>
        </w:rPr>
      </w:pPr>
      <w:r w:rsidRPr="00346A27">
        <w:rPr>
          <w:snapToGrid w:val="0"/>
        </w:rPr>
        <w:t xml:space="preserve">ARPANSA aims to protect people and the environment from the harmful effects of radiation. It applies national and international research to promote national uniformity in radiation protection; regulates the use of radiation sources, facilities and </w:t>
      </w:r>
      <w:proofErr w:type="gramStart"/>
      <w:r w:rsidRPr="00346A27">
        <w:rPr>
          <w:snapToGrid w:val="0"/>
        </w:rPr>
        <w:t>nuclear installations controlled by the Australian Government; and promotes</w:t>
      </w:r>
      <w:proofErr w:type="gramEnd"/>
      <w:r w:rsidRPr="00346A27">
        <w:rPr>
          <w:snapToGrid w:val="0"/>
        </w:rPr>
        <w:t xml:space="preserve"> public awareness of the harmful effects of radiation.</w:t>
      </w:r>
    </w:p>
    <w:p w:rsidR="00296009" w:rsidRPr="00346A27" w:rsidRDefault="00296009" w:rsidP="00296009">
      <w:pPr>
        <w:rPr>
          <w:rFonts w:eastAsiaTheme="minorHAnsi" w:cs="Book Antiqua"/>
          <w:lang w:eastAsia="en-US"/>
        </w:rPr>
      </w:pPr>
      <w:r w:rsidRPr="00346A27">
        <w:rPr>
          <w:snapToGrid w:val="0"/>
        </w:rPr>
        <w:t>ARPANSA’s regulatory and advisory frameworks are based on evidence regarding levels of ionising</w:t>
      </w:r>
      <w:r w:rsidRPr="00346A27">
        <w:rPr>
          <w:rStyle w:val="FootnoteReference"/>
          <w:snapToGrid w:val="0"/>
        </w:rPr>
        <w:footnoteReference w:id="1"/>
      </w:r>
      <w:r w:rsidRPr="00346A27">
        <w:rPr>
          <w:snapToGrid w:val="0"/>
        </w:rPr>
        <w:t xml:space="preserve"> and non-ionising</w:t>
      </w:r>
      <w:r w:rsidRPr="00346A27">
        <w:rPr>
          <w:rStyle w:val="FootnoteReference"/>
          <w:snapToGrid w:val="0"/>
        </w:rPr>
        <w:footnoteReference w:id="2"/>
      </w:r>
      <w:r w:rsidRPr="00346A27">
        <w:rPr>
          <w:snapToGrid w:val="0"/>
        </w:rPr>
        <w:t xml:space="preserve"> radiation in the environment and the effect on human and environmental health and wellbeing. In 2015-16, ARPANSA will continue to develop its risk</w:t>
      </w:r>
      <w:r w:rsidRPr="00346A27">
        <w:rPr>
          <w:snapToGrid w:val="0"/>
        </w:rPr>
        <w:noBreakHyphen/>
        <w:t>informed and proportionate approach to the radiation regulation framework.</w:t>
      </w:r>
      <w:r w:rsidRPr="00346A27">
        <w:rPr>
          <w:rFonts w:eastAsiaTheme="minorHAnsi" w:cs="Book Antiqua"/>
          <w:lang w:eastAsia="en-US"/>
        </w:rPr>
        <w:t xml:space="preserve"> ARPANSA will continue to assess exposure to the public, workers and the environment to ionising and non-ionising radiation from natural and </w:t>
      </w:r>
      <w:r w:rsidR="000A56E1" w:rsidRPr="00346A27">
        <w:rPr>
          <w:rFonts w:eastAsiaTheme="minorHAnsi" w:cs="Book Antiqua"/>
          <w:lang w:eastAsia="en-US"/>
        </w:rPr>
        <w:t>man-</w:t>
      </w:r>
      <w:r w:rsidRPr="00346A27">
        <w:rPr>
          <w:rFonts w:eastAsiaTheme="minorHAnsi" w:cs="Book Antiqua"/>
          <w:lang w:eastAsia="en-US"/>
        </w:rPr>
        <w:t>made sources.</w:t>
      </w:r>
    </w:p>
    <w:p w:rsidR="00296009" w:rsidRPr="00346A27" w:rsidRDefault="00296009" w:rsidP="00296009">
      <w:pPr>
        <w:rPr>
          <w:snapToGrid w:val="0"/>
        </w:rPr>
      </w:pPr>
      <w:r w:rsidRPr="00346A27">
        <w:rPr>
          <w:snapToGrid w:val="0"/>
        </w:rPr>
        <w:t>While beneficial medically, diagnostic imaging procedures are also the largest man-made source of ionising radiation exposure to the Australian population. ARPANSA will promote radiation protection</w:t>
      </w:r>
      <w:r w:rsidR="00880DC3" w:rsidRPr="00346A27">
        <w:rPr>
          <w:snapToGrid w:val="0"/>
        </w:rPr>
        <w:t>,</w:t>
      </w:r>
      <w:r w:rsidRPr="00346A27">
        <w:rPr>
          <w:snapToGrid w:val="0"/>
        </w:rPr>
        <w:t xml:space="preserve"> in the use of ionising radiation in imaging technologies</w:t>
      </w:r>
      <w:r w:rsidR="00880DC3" w:rsidRPr="00346A27">
        <w:rPr>
          <w:snapToGrid w:val="0"/>
        </w:rPr>
        <w:t>,</w:t>
      </w:r>
      <w:r w:rsidRPr="00346A27">
        <w:rPr>
          <w:snapToGrid w:val="0"/>
        </w:rPr>
        <w:t xml:space="preserve"> to ensure best practice safety strategies for patients and health workers. It will continue its auditing of radiotherapy facilities and their calibration.</w:t>
      </w:r>
    </w:p>
    <w:p w:rsidR="007E7063" w:rsidRPr="00346A27" w:rsidRDefault="00296009" w:rsidP="00296009">
      <w:pPr>
        <w:rPr>
          <w:snapToGrid w:val="0"/>
        </w:rPr>
      </w:pPr>
      <w:r w:rsidRPr="00346A27">
        <w:rPr>
          <w:snapToGrid w:val="0"/>
        </w:rPr>
        <w:t>ARPANSA will continue to strengthen the security of radioactive sources through the promotion of a national approach to legislative, administrative and operational controls. It will provide expert support to Australian Government arrangements for response to nuclear and radiological emergencies</w:t>
      </w:r>
      <w:r w:rsidR="00880DC3" w:rsidRPr="00346A27">
        <w:rPr>
          <w:snapToGrid w:val="0"/>
        </w:rPr>
        <w:t>,</w:t>
      </w:r>
      <w:r w:rsidRPr="00346A27">
        <w:rPr>
          <w:snapToGrid w:val="0"/>
        </w:rPr>
        <w:t xml:space="preserve"> and will work with regional regulators to strengthen the safety and security infrastructure. ARPANSA supports Australia’s nuclear non</w:t>
      </w:r>
      <w:r w:rsidRPr="00346A27">
        <w:rPr>
          <w:snapToGrid w:val="0"/>
        </w:rPr>
        <w:noBreakHyphen/>
        <w:t>proliferation objectives and obligations under the Comprehensive Nuclear</w:t>
      </w:r>
      <w:r w:rsidRPr="00346A27">
        <w:rPr>
          <w:snapToGrid w:val="0"/>
        </w:rPr>
        <w:noBreakHyphen/>
        <w:t>Test</w:t>
      </w:r>
      <w:r w:rsidRPr="00346A27">
        <w:rPr>
          <w:snapToGrid w:val="0"/>
        </w:rPr>
        <w:noBreakHyphen/>
        <w:t>Ban Treaty through the maintenance of systems to detect clandestine testing of nuclear weapons.</w:t>
      </w:r>
    </w:p>
    <w:p w:rsidR="00A20E06" w:rsidRPr="00346A27" w:rsidRDefault="00A20E06" w:rsidP="00677A7B">
      <w:r w:rsidRPr="00346A27">
        <w:br w:type="page"/>
      </w:r>
    </w:p>
    <w:p w:rsidR="007E7063" w:rsidRPr="00346A27" w:rsidRDefault="007E7063" w:rsidP="007E7063">
      <w:pPr>
        <w:pStyle w:val="ExpensesandResources"/>
      </w:pPr>
      <w:r w:rsidRPr="00346A27">
        <w:lastRenderedPageBreak/>
        <w:t>ARPANSA Budgeted Expenses and Resources</w:t>
      </w:r>
    </w:p>
    <w:p w:rsidR="007E7063" w:rsidRPr="00346A27" w:rsidRDefault="007E7063" w:rsidP="0096146C">
      <w:r w:rsidRPr="00346A27">
        <w:t xml:space="preserve">Table 2.1 provides an overview of the total expenses for ARPANSA by </w:t>
      </w:r>
      <w:r w:rsidR="0057718F" w:rsidRPr="00346A27">
        <w:t>p</w:t>
      </w:r>
      <w:r w:rsidRPr="00346A27">
        <w:t>rogramme.</w:t>
      </w:r>
    </w:p>
    <w:p w:rsidR="007E7063" w:rsidRPr="00346A27" w:rsidRDefault="007E7063" w:rsidP="002B0C32">
      <w:pPr>
        <w:pStyle w:val="TableHeading"/>
      </w:pPr>
      <w:r w:rsidRPr="00346A27">
        <w:t>Table 2.1: Budgeted Expenses for ARPANSA</w:t>
      </w:r>
    </w:p>
    <w:tbl>
      <w:tblPr>
        <w:tblW w:w="7360" w:type="dxa"/>
        <w:tblInd w:w="93" w:type="dxa"/>
        <w:tblLook w:val="06A0" w:firstRow="1" w:lastRow="0" w:firstColumn="1" w:lastColumn="0" w:noHBand="1" w:noVBand="1"/>
        <w:tblCaption w:val="Table 2.1 Budgeted Expenses for ARPANSA"/>
        <w:tblDescription w:val="Table 2.1 shows the budgeted expenses for the entity by programme. Read the first column for the programme number and funding source and then across the table to compare the estimated actual expenses for 2014-15 with the estimated expenses for 2015-16. The bottom of the table provides a total of budgeted programme expenses and an estimate of Average Staffing Levels by outcome for 2014-15 and 2015-16. Note that there is no data for some categories."/>
      </w:tblPr>
      <w:tblGrid>
        <w:gridCol w:w="2860"/>
        <w:gridCol w:w="981"/>
        <w:gridCol w:w="900"/>
        <w:gridCol w:w="900"/>
        <w:gridCol w:w="900"/>
        <w:gridCol w:w="900"/>
      </w:tblGrid>
      <w:tr w:rsidR="00346A27" w:rsidRPr="00346A27" w:rsidTr="00EB0950">
        <w:trPr>
          <w:trHeight w:val="652"/>
        </w:trPr>
        <w:tc>
          <w:tcPr>
            <w:tcW w:w="2860" w:type="dxa"/>
            <w:tcBorders>
              <w:top w:val="single" w:sz="4" w:space="0" w:color="auto"/>
              <w:left w:val="nil"/>
              <w:bottom w:val="nil"/>
              <w:right w:val="nil"/>
            </w:tcBorders>
            <w:shd w:val="clear" w:color="auto" w:fill="auto"/>
            <w:hideMark/>
          </w:tcPr>
          <w:p w:rsidR="00A42EBC" w:rsidRPr="00346A27" w:rsidRDefault="00A42EBC" w:rsidP="00A42EBC">
            <w:pPr>
              <w:keepNext w:val="0"/>
              <w:spacing w:before="40" w:after="0"/>
              <w:jc w:val="right"/>
              <w:rPr>
                <w:rFonts w:ascii="Arial" w:hAnsi="Arial" w:cs="Arial"/>
                <w:b/>
                <w:bCs/>
                <w:sz w:val="16"/>
                <w:szCs w:val="16"/>
              </w:rPr>
            </w:pPr>
          </w:p>
        </w:tc>
        <w:tc>
          <w:tcPr>
            <w:tcW w:w="900" w:type="dxa"/>
            <w:tcBorders>
              <w:top w:val="single" w:sz="4" w:space="0" w:color="auto"/>
              <w:left w:val="nil"/>
              <w:bottom w:val="single" w:sz="4" w:space="0" w:color="auto"/>
              <w:right w:val="nil"/>
            </w:tcBorders>
            <w:shd w:val="clear" w:color="auto" w:fill="auto"/>
            <w:hideMark/>
          </w:tcPr>
          <w:p w:rsidR="00A42EBC" w:rsidRPr="00346A27" w:rsidRDefault="00A42EBC" w:rsidP="00A42EBC">
            <w:pPr>
              <w:keepNext w:val="0"/>
              <w:spacing w:before="40" w:after="0"/>
              <w:jc w:val="right"/>
              <w:rPr>
                <w:rFonts w:ascii="Arial" w:hAnsi="Arial" w:cs="Arial"/>
                <w:b/>
                <w:bCs/>
                <w:sz w:val="16"/>
                <w:szCs w:val="16"/>
              </w:rPr>
            </w:pPr>
            <w:r w:rsidRPr="00346A27">
              <w:rPr>
                <w:rFonts w:ascii="Arial" w:hAnsi="Arial" w:cs="Arial"/>
                <w:b/>
                <w:bCs/>
                <w:sz w:val="16"/>
                <w:szCs w:val="16"/>
              </w:rPr>
              <w:t>2014-15 Estimated actual</w:t>
            </w:r>
            <w:r w:rsidRPr="00346A27">
              <w:rPr>
                <w:rFonts w:ascii="Arial" w:hAnsi="Arial" w:cs="Arial"/>
                <w:b/>
                <w:bCs/>
                <w:sz w:val="16"/>
                <w:szCs w:val="16"/>
              </w:rPr>
              <w:br/>
            </w:r>
            <w:r w:rsidRPr="00346A27">
              <w:rPr>
                <w:rFonts w:ascii="Arial" w:hAnsi="Arial" w:cs="Arial"/>
                <w:bCs/>
                <w:sz w:val="16"/>
                <w:szCs w:val="16"/>
              </w:rPr>
              <w:t>$'000</w:t>
            </w:r>
          </w:p>
        </w:tc>
        <w:tc>
          <w:tcPr>
            <w:tcW w:w="900" w:type="dxa"/>
            <w:tcBorders>
              <w:top w:val="single" w:sz="4" w:space="0" w:color="auto"/>
              <w:left w:val="nil"/>
              <w:bottom w:val="single" w:sz="4" w:space="0" w:color="auto"/>
              <w:right w:val="nil"/>
            </w:tcBorders>
            <w:shd w:val="clear" w:color="000000" w:fill="D9D9D9"/>
            <w:hideMark/>
          </w:tcPr>
          <w:p w:rsidR="00A42EBC" w:rsidRPr="00346A27" w:rsidRDefault="00A42EBC" w:rsidP="00EB0950">
            <w:pPr>
              <w:keepNext w:val="0"/>
              <w:spacing w:before="40" w:after="0"/>
              <w:jc w:val="right"/>
              <w:rPr>
                <w:rFonts w:ascii="Arial" w:hAnsi="Arial" w:cs="Arial"/>
                <w:b/>
                <w:bCs/>
                <w:sz w:val="16"/>
                <w:szCs w:val="16"/>
              </w:rPr>
            </w:pPr>
            <w:r w:rsidRPr="00346A27">
              <w:rPr>
                <w:rFonts w:ascii="Arial" w:hAnsi="Arial" w:cs="Arial"/>
                <w:b/>
                <w:bCs/>
                <w:sz w:val="16"/>
                <w:szCs w:val="16"/>
              </w:rPr>
              <w:t>2015-16 Budget</w:t>
            </w:r>
            <w:r w:rsidRPr="00346A27">
              <w:rPr>
                <w:rFonts w:ascii="Arial" w:hAnsi="Arial" w:cs="Arial"/>
                <w:b/>
                <w:bCs/>
                <w:sz w:val="16"/>
                <w:szCs w:val="16"/>
              </w:rPr>
              <w:br/>
            </w:r>
            <w:r w:rsidRPr="00346A27">
              <w:rPr>
                <w:rFonts w:ascii="Arial" w:hAnsi="Arial" w:cs="Arial"/>
                <w:b/>
                <w:bCs/>
                <w:sz w:val="16"/>
                <w:szCs w:val="16"/>
              </w:rPr>
              <w:br/>
            </w:r>
            <w:r w:rsidRPr="00346A27">
              <w:rPr>
                <w:rFonts w:ascii="Arial" w:hAnsi="Arial" w:cs="Arial"/>
                <w:bCs/>
                <w:sz w:val="16"/>
                <w:szCs w:val="16"/>
              </w:rPr>
              <w:t>$'000</w:t>
            </w:r>
          </w:p>
        </w:tc>
        <w:tc>
          <w:tcPr>
            <w:tcW w:w="900" w:type="dxa"/>
            <w:tcBorders>
              <w:top w:val="single" w:sz="4" w:space="0" w:color="auto"/>
              <w:left w:val="nil"/>
              <w:bottom w:val="single" w:sz="4" w:space="0" w:color="auto"/>
              <w:right w:val="nil"/>
            </w:tcBorders>
            <w:shd w:val="clear" w:color="auto" w:fill="auto"/>
            <w:hideMark/>
          </w:tcPr>
          <w:p w:rsidR="00A42EBC" w:rsidRPr="00346A27" w:rsidRDefault="00A42EBC" w:rsidP="00A42EBC">
            <w:pPr>
              <w:keepNext w:val="0"/>
              <w:spacing w:before="40" w:after="0"/>
              <w:jc w:val="right"/>
              <w:rPr>
                <w:rFonts w:ascii="Arial" w:hAnsi="Arial" w:cs="Arial"/>
                <w:b/>
                <w:bCs/>
                <w:sz w:val="16"/>
                <w:szCs w:val="16"/>
              </w:rPr>
            </w:pPr>
            <w:r w:rsidRPr="00346A27">
              <w:rPr>
                <w:rFonts w:ascii="Arial" w:hAnsi="Arial" w:cs="Arial"/>
                <w:b/>
                <w:bCs/>
                <w:sz w:val="16"/>
                <w:szCs w:val="16"/>
              </w:rPr>
              <w:t>2016-17 Forward Year 1</w:t>
            </w:r>
            <w:r w:rsidRPr="00346A27">
              <w:rPr>
                <w:rFonts w:ascii="Arial" w:hAnsi="Arial" w:cs="Arial"/>
                <w:b/>
                <w:bCs/>
                <w:sz w:val="16"/>
                <w:szCs w:val="16"/>
              </w:rPr>
              <w:br/>
            </w:r>
            <w:r w:rsidRPr="00346A27">
              <w:rPr>
                <w:rFonts w:ascii="Arial" w:hAnsi="Arial" w:cs="Arial"/>
                <w:bCs/>
                <w:sz w:val="16"/>
                <w:szCs w:val="16"/>
              </w:rPr>
              <w:t>$'000</w:t>
            </w:r>
          </w:p>
        </w:tc>
        <w:tc>
          <w:tcPr>
            <w:tcW w:w="900" w:type="dxa"/>
            <w:tcBorders>
              <w:top w:val="single" w:sz="4" w:space="0" w:color="auto"/>
              <w:left w:val="nil"/>
              <w:bottom w:val="single" w:sz="4" w:space="0" w:color="auto"/>
              <w:right w:val="nil"/>
            </w:tcBorders>
            <w:shd w:val="clear" w:color="auto" w:fill="auto"/>
            <w:hideMark/>
          </w:tcPr>
          <w:p w:rsidR="00A42EBC" w:rsidRPr="00346A27" w:rsidRDefault="00A42EBC" w:rsidP="00A42EBC">
            <w:pPr>
              <w:keepNext w:val="0"/>
              <w:spacing w:before="40" w:after="0"/>
              <w:jc w:val="right"/>
              <w:rPr>
                <w:rFonts w:ascii="Arial" w:hAnsi="Arial" w:cs="Arial"/>
                <w:b/>
                <w:bCs/>
                <w:sz w:val="16"/>
                <w:szCs w:val="16"/>
              </w:rPr>
            </w:pPr>
            <w:r w:rsidRPr="00346A27">
              <w:rPr>
                <w:rFonts w:ascii="Arial" w:hAnsi="Arial" w:cs="Arial"/>
                <w:b/>
                <w:bCs/>
                <w:sz w:val="16"/>
                <w:szCs w:val="16"/>
              </w:rPr>
              <w:t>2017-18 Forward Year 2</w:t>
            </w:r>
            <w:r w:rsidRPr="00346A27">
              <w:rPr>
                <w:rFonts w:ascii="Arial" w:hAnsi="Arial" w:cs="Arial"/>
                <w:b/>
                <w:bCs/>
                <w:sz w:val="16"/>
                <w:szCs w:val="16"/>
              </w:rPr>
              <w:br/>
            </w:r>
            <w:r w:rsidRPr="00346A27">
              <w:rPr>
                <w:rFonts w:ascii="Arial" w:hAnsi="Arial" w:cs="Arial"/>
                <w:bCs/>
                <w:sz w:val="16"/>
                <w:szCs w:val="16"/>
              </w:rPr>
              <w:t>$'000</w:t>
            </w:r>
          </w:p>
        </w:tc>
        <w:tc>
          <w:tcPr>
            <w:tcW w:w="900" w:type="dxa"/>
            <w:tcBorders>
              <w:top w:val="single" w:sz="4" w:space="0" w:color="auto"/>
              <w:left w:val="nil"/>
              <w:bottom w:val="single" w:sz="4" w:space="0" w:color="auto"/>
              <w:right w:val="nil"/>
            </w:tcBorders>
            <w:shd w:val="clear" w:color="auto" w:fill="auto"/>
            <w:hideMark/>
          </w:tcPr>
          <w:p w:rsidR="00A42EBC" w:rsidRPr="00346A27" w:rsidRDefault="00A42EBC" w:rsidP="00A42EBC">
            <w:pPr>
              <w:keepNext w:val="0"/>
              <w:spacing w:before="40" w:after="0"/>
              <w:jc w:val="right"/>
              <w:rPr>
                <w:rFonts w:ascii="Arial" w:hAnsi="Arial" w:cs="Arial"/>
                <w:b/>
                <w:bCs/>
                <w:sz w:val="16"/>
                <w:szCs w:val="16"/>
              </w:rPr>
            </w:pPr>
            <w:r w:rsidRPr="00346A27">
              <w:rPr>
                <w:rFonts w:ascii="Arial" w:hAnsi="Arial" w:cs="Arial"/>
                <w:b/>
                <w:bCs/>
                <w:sz w:val="16"/>
                <w:szCs w:val="16"/>
              </w:rPr>
              <w:t>2018-19 Forward Year 3</w:t>
            </w:r>
            <w:r w:rsidRPr="00346A27">
              <w:rPr>
                <w:rFonts w:ascii="Arial" w:hAnsi="Arial" w:cs="Arial"/>
                <w:b/>
                <w:bCs/>
                <w:sz w:val="16"/>
                <w:szCs w:val="16"/>
              </w:rPr>
              <w:br/>
            </w:r>
            <w:r w:rsidRPr="00346A27">
              <w:rPr>
                <w:rFonts w:ascii="Arial" w:hAnsi="Arial" w:cs="Arial"/>
                <w:bCs/>
                <w:sz w:val="16"/>
                <w:szCs w:val="16"/>
              </w:rPr>
              <w:t>$'000</w:t>
            </w:r>
          </w:p>
        </w:tc>
      </w:tr>
      <w:tr w:rsidR="00346A27" w:rsidRPr="00346A27" w:rsidTr="00EB0950">
        <w:trPr>
          <w:trHeight w:val="300"/>
        </w:trPr>
        <w:tc>
          <w:tcPr>
            <w:tcW w:w="7360" w:type="dxa"/>
            <w:gridSpan w:val="6"/>
            <w:tcBorders>
              <w:top w:val="nil"/>
              <w:left w:val="nil"/>
              <w:bottom w:val="nil"/>
              <w:right w:val="nil"/>
            </w:tcBorders>
            <w:shd w:val="clear" w:color="auto" w:fill="auto"/>
            <w:noWrap/>
            <w:vAlign w:val="bottom"/>
            <w:hideMark/>
          </w:tcPr>
          <w:p w:rsidR="00A42EBC" w:rsidRPr="00346A27" w:rsidRDefault="00A42EBC" w:rsidP="00A42EBC">
            <w:pPr>
              <w:keepNext w:val="0"/>
              <w:spacing w:after="0"/>
              <w:rPr>
                <w:rFonts w:ascii="Arial" w:hAnsi="Arial" w:cs="Arial"/>
                <w:b/>
                <w:bCs/>
                <w:sz w:val="16"/>
                <w:szCs w:val="16"/>
              </w:rPr>
            </w:pPr>
            <w:r w:rsidRPr="00346A27">
              <w:rPr>
                <w:rFonts w:ascii="Arial" w:hAnsi="Arial" w:cs="Arial"/>
                <w:b/>
                <w:bCs/>
                <w:sz w:val="16"/>
                <w:szCs w:val="16"/>
              </w:rPr>
              <w:t>Programme 1.1: Radiation protection and nuclear safety</w:t>
            </w:r>
          </w:p>
        </w:tc>
      </w:tr>
      <w:tr w:rsidR="00346A27" w:rsidRPr="00346A27" w:rsidTr="00EB0950">
        <w:trPr>
          <w:trHeight w:val="225"/>
        </w:trPr>
        <w:tc>
          <w:tcPr>
            <w:tcW w:w="2860" w:type="dxa"/>
            <w:tcBorders>
              <w:top w:val="nil"/>
              <w:left w:val="nil"/>
              <w:bottom w:val="nil"/>
              <w:right w:val="nil"/>
            </w:tcBorders>
            <w:shd w:val="clear" w:color="auto" w:fill="auto"/>
            <w:noWrap/>
            <w:vAlign w:val="bottom"/>
            <w:hideMark/>
          </w:tcPr>
          <w:p w:rsidR="00A42EBC" w:rsidRPr="00346A27" w:rsidRDefault="00A42EBC" w:rsidP="00A42EBC">
            <w:pPr>
              <w:keepNext w:val="0"/>
              <w:spacing w:after="0"/>
              <w:rPr>
                <w:rFonts w:ascii="Arial" w:hAnsi="Arial" w:cs="Arial"/>
                <w:sz w:val="16"/>
                <w:szCs w:val="16"/>
              </w:rPr>
            </w:pPr>
            <w:r w:rsidRPr="00346A27">
              <w:rPr>
                <w:rFonts w:ascii="Arial" w:hAnsi="Arial" w:cs="Arial"/>
                <w:sz w:val="16"/>
                <w:szCs w:val="16"/>
              </w:rPr>
              <w:t>Departmental expenses</w:t>
            </w:r>
          </w:p>
        </w:tc>
        <w:tc>
          <w:tcPr>
            <w:tcW w:w="900" w:type="dxa"/>
            <w:tcBorders>
              <w:top w:val="nil"/>
              <w:left w:val="nil"/>
              <w:bottom w:val="nil"/>
              <w:right w:val="nil"/>
            </w:tcBorders>
            <w:shd w:val="clear" w:color="auto" w:fill="auto"/>
            <w:noWrap/>
            <w:vAlign w:val="bottom"/>
            <w:hideMark/>
          </w:tcPr>
          <w:p w:rsidR="00A42EBC" w:rsidRPr="00346A27" w:rsidRDefault="00A42EBC" w:rsidP="00A42EBC">
            <w:pPr>
              <w:keepNext w:val="0"/>
              <w:spacing w:after="0"/>
              <w:jc w:val="right"/>
              <w:rPr>
                <w:rFonts w:ascii="Arial" w:hAnsi="Arial" w:cs="Arial"/>
                <w:sz w:val="16"/>
                <w:szCs w:val="16"/>
              </w:rPr>
            </w:pPr>
          </w:p>
        </w:tc>
        <w:tc>
          <w:tcPr>
            <w:tcW w:w="900" w:type="dxa"/>
            <w:tcBorders>
              <w:top w:val="nil"/>
              <w:left w:val="nil"/>
              <w:bottom w:val="nil"/>
              <w:right w:val="nil"/>
            </w:tcBorders>
            <w:shd w:val="clear" w:color="000000" w:fill="D9D9D9"/>
            <w:noWrap/>
            <w:vAlign w:val="bottom"/>
          </w:tcPr>
          <w:p w:rsidR="00A42EBC" w:rsidRPr="00346A27" w:rsidRDefault="00A42EBC" w:rsidP="00A42EBC">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A42EBC" w:rsidRPr="00346A27" w:rsidRDefault="00A42EBC" w:rsidP="00A42EBC">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A42EBC" w:rsidRPr="00346A27" w:rsidRDefault="00A42EBC" w:rsidP="00A42EBC">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A42EBC" w:rsidRPr="00346A27" w:rsidRDefault="00A42EBC" w:rsidP="00A42EBC">
            <w:pPr>
              <w:keepNext w:val="0"/>
              <w:spacing w:after="0"/>
              <w:jc w:val="right"/>
              <w:rPr>
                <w:rFonts w:ascii="Arial" w:hAnsi="Arial" w:cs="Arial"/>
                <w:sz w:val="16"/>
                <w:szCs w:val="16"/>
              </w:rPr>
            </w:pPr>
          </w:p>
        </w:tc>
      </w:tr>
      <w:tr w:rsidR="00346A27" w:rsidRPr="00346A27" w:rsidTr="00EB0950">
        <w:trPr>
          <w:trHeight w:val="225"/>
        </w:trPr>
        <w:tc>
          <w:tcPr>
            <w:tcW w:w="2860" w:type="dxa"/>
            <w:tcBorders>
              <w:top w:val="nil"/>
              <w:left w:val="nil"/>
              <w:bottom w:val="nil"/>
              <w:right w:val="nil"/>
            </w:tcBorders>
            <w:shd w:val="clear" w:color="auto" w:fill="auto"/>
            <w:noWrap/>
            <w:vAlign w:val="bottom"/>
            <w:hideMark/>
          </w:tcPr>
          <w:p w:rsidR="00A42EBC" w:rsidRPr="00346A27" w:rsidRDefault="00A42EBC" w:rsidP="00A42EBC">
            <w:pPr>
              <w:keepNext w:val="0"/>
              <w:spacing w:after="0"/>
              <w:ind w:firstLineChars="100" w:firstLine="160"/>
              <w:rPr>
                <w:rFonts w:ascii="Arial" w:hAnsi="Arial" w:cs="Arial"/>
                <w:sz w:val="16"/>
                <w:szCs w:val="16"/>
              </w:rPr>
            </w:pPr>
            <w:r w:rsidRPr="00346A27">
              <w:rPr>
                <w:rFonts w:ascii="Arial" w:hAnsi="Arial" w:cs="Arial"/>
                <w:sz w:val="16"/>
                <w:szCs w:val="16"/>
              </w:rPr>
              <w:t>Ordinary annual services</w:t>
            </w:r>
          </w:p>
        </w:tc>
        <w:tc>
          <w:tcPr>
            <w:tcW w:w="900" w:type="dxa"/>
            <w:tcBorders>
              <w:top w:val="nil"/>
              <w:left w:val="nil"/>
              <w:bottom w:val="nil"/>
              <w:right w:val="nil"/>
            </w:tcBorders>
            <w:shd w:val="clear" w:color="auto" w:fill="auto"/>
            <w:noWrap/>
            <w:vAlign w:val="bottom"/>
            <w:hideMark/>
          </w:tcPr>
          <w:p w:rsidR="00A42EBC" w:rsidRPr="00346A27" w:rsidRDefault="00A42EBC" w:rsidP="00A42EBC">
            <w:pPr>
              <w:keepNext w:val="0"/>
              <w:spacing w:after="0"/>
              <w:jc w:val="right"/>
              <w:rPr>
                <w:rFonts w:ascii="Arial" w:hAnsi="Arial" w:cs="Arial"/>
                <w:sz w:val="16"/>
                <w:szCs w:val="16"/>
              </w:rPr>
            </w:pPr>
          </w:p>
        </w:tc>
        <w:tc>
          <w:tcPr>
            <w:tcW w:w="900" w:type="dxa"/>
            <w:tcBorders>
              <w:top w:val="nil"/>
              <w:left w:val="nil"/>
              <w:bottom w:val="nil"/>
              <w:right w:val="nil"/>
            </w:tcBorders>
            <w:shd w:val="clear" w:color="000000" w:fill="D9D9D9"/>
            <w:noWrap/>
            <w:vAlign w:val="bottom"/>
          </w:tcPr>
          <w:p w:rsidR="00A42EBC" w:rsidRPr="00346A27" w:rsidRDefault="00A42EBC" w:rsidP="00A42EBC">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A42EBC" w:rsidRPr="00346A27" w:rsidRDefault="00A42EBC" w:rsidP="00A42EBC">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A42EBC" w:rsidRPr="00346A27" w:rsidRDefault="00A42EBC" w:rsidP="00A42EBC">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A42EBC" w:rsidRPr="00346A27" w:rsidRDefault="00A42EBC" w:rsidP="00A42EBC">
            <w:pPr>
              <w:keepNext w:val="0"/>
              <w:spacing w:after="0"/>
              <w:jc w:val="right"/>
              <w:rPr>
                <w:rFonts w:ascii="Arial" w:hAnsi="Arial" w:cs="Arial"/>
                <w:sz w:val="16"/>
                <w:szCs w:val="16"/>
              </w:rPr>
            </w:pPr>
          </w:p>
        </w:tc>
      </w:tr>
      <w:tr w:rsidR="00346A27" w:rsidRPr="00346A27" w:rsidTr="00EB0950">
        <w:trPr>
          <w:trHeight w:val="225"/>
        </w:trPr>
        <w:tc>
          <w:tcPr>
            <w:tcW w:w="2860" w:type="dxa"/>
            <w:tcBorders>
              <w:top w:val="nil"/>
              <w:left w:val="nil"/>
              <w:bottom w:val="nil"/>
              <w:right w:val="nil"/>
            </w:tcBorders>
            <w:shd w:val="clear" w:color="auto" w:fill="auto"/>
            <w:noWrap/>
            <w:vAlign w:val="bottom"/>
            <w:hideMark/>
          </w:tcPr>
          <w:p w:rsidR="00A42EBC" w:rsidRPr="00346A27" w:rsidRDefault="00A42EBC" w:rsidP="00A42EBC">
            <w:pPr>
              <w:keepNext w:val="0"/>
              <w:spacing w:after="0"/>
              <w:ind w:firstLineChars="200" w:firstLine="320"/>
              <w:rPr>
                <w:rFonts w:ascii="Arial" w:hAnsi="Arial" w:cs="Arial"/>
                <w:sz w:val="16"/>
                <w:szCs w:val="16"/>
              </w:rPr>
            </w:pPr>
            <w:r w:rsidRPr="00346A27">
              <w:rPr>
                <w:rFonts w:ascii="Arial" w:hAnsi="Arial" w:cs="Arial"/>
                <w:sz w:val="16"/>
                <w:szCs w:val="16"/>
              </w:rPr>
              <w:t>(Appropriation Bill No. 1)</w:t>
            </w:r>
          </w:p>
        </w:tc>
        <w:tc>
          <w:tcPr>
            <w:tcW w:w="900" w:type="dxa"/>
            <w:tcBorders>
              <w:top w:val="nil"/>
              <w:left w:val="nil"/>
              <w:bottom w:val="nil"/>
              <w:right w:val="nil"/>
            </w:tcBorders>
            <w:shd w:val="clear" w:color="auto" w:fill="auto"/>
            <w:noWrap/>
            <w:vAlign w:val="bottom"/>
            <w:hideMark/>
          </w:tcPr>
          <w:p w:rsidR="00A42EBC" w:rsidRPr="00346A27" w:rsidRDefault="00A42EBC" w:rsidP="00A42EBC">
            <w:pPr>
              <w:keepNext w:val="0"/>
              <w:spacing w:after="0"/>
              <w:jc w:val="right"/>
              <w:rPr>
                <w:rFonts w:ascii="Arial" w:hAnsi="Arial" w:cs="Arial"/>
                <w:sz w:val="16"/>
                <w:szCs w:val="16"/>
              </w:rPr>
            </w:pPr>
            <w:r w:rsidRPr="00346A27">
              <w:rPr>
                <w:rFonts w:ascii="Arial" w:hAnsi="Arial" w:cs="Arial"/>
                <w:sz w:val="16"/>
                <w:szCs w:val="16"/>
              </w:rPr>
              <w:t>13,253</w:t>
            </w:r>
          </w:p>
        </w:tc>
        <w:tc>
          <w:tcPr>
            <w:tcW w:w="900" w:type="dxa"/>
            <w:tcBorders>
              <w:top w:val="nil"/>
              <w:left w:val="nil"/>
              <w:bottom w:val="nil"/>
              <w:right w:val="nil"/>
            </w:tcBorders>
            <w:shd w:val="clear" w:color="000000" w:fill="D9D9D9"/>
            <w:noWrap/>
            <w:vAlign w:val="bottom"/>
            <w:hideMark/>
          </w:tcPr>
          <w:p w:rsidR="00A42EBC" w:rsidRPr="00346A27" w:rsidRDefault="00A42EBC" w:rsidP="00A42EBC">
            <w:pPr>
              <w:keepNext w:val="0"/>
              <w:spacing w:after="0"/>
              <w:jc w:val="right"/>
              <w:rPr>
                <w:rFonts w:ascii="Arial" w:hAnsi="Arial" w:cs="Arial"/>
                <w:sz w:val="16"/>
                <w:szCs w:val="16"/>
              </w:rPr>
            </w:pPr>
            <w:r w:rsidRPr="00346A27">
              <w:rPr>
                <w:rFonts w:ascii="Arial" w:hAnsi="Arial" w:cs="Arial"/>
                <w:sz w:val="16"/>
                <w:szCs w:val="16"/>
              </w:rPr>
              <w:t>13,064</w:t>
            </w:r>
          </w:p>
        </w:tc>
        <w:tc>
          <w:tcPr>
            <w:tcW w:w="900" w:type="dxa"/>
            <w:tcBorders>
              <w:top w:val="nil"/>
              <w:left w:val="nil"/>
              <w:bottom w:val="nil"/>
              <w:right w:val="nil"/>
            </w:tcBorders>
            <w:shd w:val="clear" w:color="auto" w:fill="auto"/>
            <w:noWrap/>
            <w:vAlign w:val="bottom"/>
            <w:hideMark/>
          </w:tcPr>
          <w:p w:rsidR="00A42EBC" w:rsidRPr="00346A27" w:rsidRDefault="00A42EBC" w:rsidP="00A42EBC">
            <w:pPr>
              <w:keepNext w:val="0"/>
              <w:spacing w:after="0"/>
              <w:jc w:val="right"/>
              <w:rPr>
                <w:rFonts w:ascii="Arial" w:hAnsi="Arial" w:cs="Arial"/>
                <w:sz w:val="16"/>
                <w:szCs w:val="16"/>
              </w:rPr>
            </w:pPr>
            <w:r w:rsidRPr="00346A27">
              <w:rPr>
                <w:rFonts w:ascii="Arial" w:hAnsi="Arial" w:cs="Arial"/>
                <w:sz w:val="16"/>
                <w:szCs w:val="16"/>
              </w:rPr>
              <w:t>12,937</w:t>
            </w:r>
          </w:p>
        </w:tc>
        <w:tc>
          <w:tcPr>
            <w:tcW w:w="900" w:type="dxa"/>
            <w:tcBorders>
              <w:top w:val="nil"/>
              <w:left w:val="nil"/>
              <w:bottom w:val="nil"/>
              <w:right w:val="nil"/>
            </w:tcBorders>
            <w:shd w:val="clear" w:color="auto" w:fill="auto"/>
            <w:noWrap/>
            <w:vAlign w:val="bottom"/>
            <w:hideMark/>
          </w:tcPr>
          <w:p w:rsidR="00A42EBC" w:rsidRPr="00346A27" w:rsidRDefault="00A42EBC" w:rsidP="00A42EBC">
            <w:pPr>
              <w:keepNext w:val="0"/>
              <w:spacing w:after="0"/>
              <w:jc w:val="right"/>
              <w:rPr>
                <w:rFonts w:ascii="Arial" w:hAnsi="Arial" w:cs="Arial"/>
                <w:sz w:val="16"/>
                <w:szCs w:val="16"/>
              </w:rPr>
            </w:pPr>
            <w:r w:rsidRPr="00346A27">
              <w:rPr>
                <w:rFonts w:ascii="Arial" w:hAnsi="Arial" w:cs="Arial"/>
                <w:sz w:val="16"/>
                <w:szCs w:val="16"/>
              </w:rPr>
              <w:t>13,019</w:t>
            </w:r>
          </w:p>
        </w:tc>
        <w:tc>
          <w:tcPr>
            <w:tcW w:w="900" w:type="dxa"/>
            <w:tcBorders>
              <w:top w:val="nil"/>
              <w:left w:val="nil"/>
              <w:bottom w:val="nil"/>
              <w:right w:val="nil"/>
            </w:tcBorders>
            <w:shd w:val="clear" w:color="auto" w:fill="auto"/>
            <w:noWrap/>
            <w:vAlign w:val="bottom"/>
            <w:hideMark/>
          </w:tcPr>
          <w:p w:rsidR="00A42EBC" w:rsidRPr="00346A27" w:rsidRDefault="00A42EBC" w:rsidP="00A42EBC">
            <w:pPr>
              <w:keepNext w:val="0"/>
              <w:spacing w:after="0"/>
              <w:jc w:val="right"/>
              <w:rPr>
                <w:rFonts w:ascii="Arial" w:hAnsi="Arial" w:cs="Arial"/>
                <w:sz w:val="16"/>
                <w:szCs w:val="16"/>
              </w:rPr>
            </w:pPr>
            <w:r w:rsidRPr="00346A27">
              <w:rPr>
                <w:rFonts w:ascii="Arial" w:hAnsi="Arial" w:cs="Arial"/>
                <w:sz w:val="16"/>
                <w:szCs w:val="16"/>
              </w:rPr>
              <w:t>13,103</w:t>
            </w:r>
          </w:p>
        </w:tc>
      </w:tr>
      <w:tr w:rsidR="00346A27" w:rsidRPr="00346A27" w:rsidTr="00EB0950">
        <w:trPr>
          <w:trHeight w:val="225"/>
        </w:trPr>
        <w:tc>
          <w:tcPr>
            <w:tcW w:w="2860" w:type="dxa"/>
            <w:tcBorders>
              <w:top w:val="nil"/>
              <w:left w:val="nil"/>
              <w:bottom w:val="nil"/>
              <w:right w:val="nil"/>
            </w:tcBorders>
            <w:shd w:val="clear" w:color="auto" w:fill="auto"/>
            <w:noWrap/>
            <w:vAlign w:val="bottom"/>
            <w:hideMark/>
          </w:tcPr>
          <w:p w:rsidR="00A42EBC" w:rsidRPr="00346A27" w:rsidRDefault="00A42EBC" w:rsidP="00A42EBC">
            <w:pPr>
              <w:keepNext w:val="0"/>
              <w:spacing w:after="0"/>
              <w:ind w:firstLineChars="100" w:firstLine="160"/>
              <w:rPr>
                <w:rFonts w:ascii="Arial" w:hAnsi="Arial" w:cs="Arial"/>
                <w:sz w:val="16"/>
                <w:szCs w:val="16"/>
              </w:rPr>
            </w:pPr>
            <w:r w:rsidRPr="00346A27">
              <w:rPr>
                <w:rFonts w:ascii="Arial" w:hAnsi="Arial" w:cs="Arial"/>
                <w:sz w:val="16"/>
                <w:szCs w:val="16"/>
              </w:rPr>
              <w:t>Special Accounts</w:t>
            </w:r>
          </w:p>
        </w:tc>
        <w:tc>
          <w:tcPr>
            <w:tcW w:w="900" w:type="dxa"/>
            <w:tcBorders>
              <w:top w:val="nil"/>
              <w:left w:val="nil"/>
              <w:bottom w:val="nil"/>
              <w:right w:val="nil"/>
            </w:tcBorders>
            <w:shd w:val="clear" w:color="auto" w:fill="auto"/>
            <w:noWrap/>
            <w:vAlign w:val="bottom"/>
            <w:hideMark/>
          </w:tcPr>
          <w:p w:rsidR="00A42EBC" w:rsidRPr="00346A27" w:rsidRDefault="00A42EBC" w:rsidP="00A42EBC">
            <w:pPr>
              <w:keepNext w:val="0"/>
              <w:spacing w:after="0"/>
              <w:jc w:val="right"/>
              <w:rPr>
                <w:rFonts w:ascii="Arial" w:hAnsi="Arial" w:cs="Arial"/>
                <w:sz w:val="16"/>
                <w:szCs w:val="16"/>
              </w:rPr>
            </w:pPr>
            <w:r w:rsidRPr="00346A27">
              <w:rPr>
                <w:rFonts w:ascii="Arial" w:hAnsi="Arial" w:cs="Arial"/>
                <w:sz w:val="16"/>
                <w:szCs w:val="16"/>
              </w:rPr>
              <w:t>10,046</w:t>
            </w:r>
          </w:p>
        </w:tc>
        <w:tc>
          <w:tcPr>
            <w:tcW w:w="900" w:type="dxa"/>
            <w:tcBorders>
              <w:top w:val="nil"/>
              <w:left w:val="nil"/>
              <w:bottom w:val="nil"/>
              <w:right w:val="nil"/>
            </w:tcBorders>
            <w:shd w:val="clear" w:color="000000" w:fill="D9D9D9"/>
            <w:noWrap/>
            <w:vAlign w:val="bottom"/>
            <w:hideMark/>
          </w:tcPr>
          <w:p w:rsidR="00A42EBC" w:rsidRPr="00346A27" w:rsidRDefault="00A42EBC" w:rsidP="00A42EBC">
            <w:pPr>
              <w:keepNext w:val="0"/>
              <w:spacing w:after="0"/>
              <w:jc w:val="right"/>
              <w:rPr>
                <w:rFonts w:ascii="Arial" w:hAnsi="Arial" w:cs="Arial"/>
                <w:sz w:val="16"/>
                <w:szCs w:val="16"/>
              </w:rPr>
            </w:pPr>
            <w:r w:rsidRPr="00346A27">
              <w:rPr>
                <w:rFonts w:ascii="Arial" w:hAnsi="Arial" w:cs="Arial"/>
                <w:sz w:val="16"/>
                <w:szCs w:val="16"/>
              </w:rPr>
              <w:t>10,046</w:t>
            </w:r>
          </w:p>
        </w:tc>
        <w:tc>
          <w:tcPr>
            <w:tcW w:w="900" w:type="dxa"/>
            <w:tcBorders>
              <w:top w:val="nil"/>
              <w:left w:val="nil"/>
              <w:bottom w:val="nil"/>
              <w:right w:val="nil"/>
            </w:tcBorders>
            <w:shd w:val="clear" w:color="auto" w:fill="auto"/>
            <w:noWrap/>
            <w:vAlign w:val="bottom"/>
            <w:hideMark/>
          </w:tcPr>
          <w:p w:rsidR="00A42EBC" w:rsidRPr="00346A27" w:rsidRDefault="00A42EBC" w:rsidP="00A42EBC">
            <w:pPr>
              <w:keepNext w:val="0"/>
              <w:spacing w:after="0"/>
              <w:jc w:val="right"/>
              <w:rPr>
                <w:rFonts w:ascii="Arial" w:hAnsi="Arial" w:cs="Arial"/>
                <w:sz w:val="16"/>
                <w:szCs w:val="16"/>
              </w:rPr>
            </w:pPr>
            <w:r w:rsidRPr="00346A27">
              <w:rPr>
                <w:rFonts w:ascii="Arial" w:hAnsi="Arial" w:cs="Arial"/>
                <w:sz w:val="16"/>
                <w:szCs w:val="16"/>
              </w:rPr>
              <w:t>10,046</w:t>
            </w:r>
          </w:p>
        </w:tc>
        <w:tc>
          <w:tcPr>
            <w:tcW w:w="900" w:type="dxa"/>
            <w:tcBorders>
              <w:top w:val="nil"/>
              <w:left w:val="nil"/>
              <w:bottom w:val="nil"/>
              <w:right w:val="nil"/>
            </w:tcBorders>
            <w:shd w:val="clear" w:color="auto" w:fill="auto"/>
            <w:noWrap/>
            <w:vAlign w:val="bottom"/>
            <w:hideMark/>
          </w:tcPr>
          <w:p w:rsidR="00A42EBC" w:rsidRPr="00346A27" w:rsidRDefault="00A42EBC" w:rsidP="00A42EBC">
            <w:pPr>
              <w:keepNext w:val="0"/>
              <w:spacing w:after="0"/>
              <w:jc w:val="right"/>
              <w:rPr>
                <w:rFonts w:ascii="Arial" w:hAnsi="Arial" w:cs="Arial"/>
                <w:sz w:val="16"/>
                <w:szCs w:val="16"/>
              </w:rPr>
            </w:pPr>
            <w:r w:rsidRPr="00346A27">
              <w:rPr>
                <w:rFonts w:ascii="Arial" w:hAnsi="Arial" w:cs="Arial"/>
                <w:sz w:val="16"/>
                <w:szCs w:val="16"/>
              </w:rPr>
              <w:t>10,046</w:t>
            </w:r>
          </w:p>
        </w:tc>
        <w:tc>
          <w:tcPr>
            <w:tcW w:w="900" w:type="dxa"/>
            <w:tcBorders>
              <w:top w:val="nil"/>
              <w:left w:val="nil"/>
              <w:bottom w:val="nil"/>
              <w:right w:val="nil"/>
            </w:tcBorders>
            <w:shd w:val="clear" w:color="auto" w:fill="auto"/>
            <w:noWrap/>
            <w:vAlign w:val="bottom"/>
            <w:hideMark/>
          </w:tcPr>
          <w:p w:rsidR="00A42EBC" w:rsidRPr="00346A27" w:rsidRDefault="00A42EBC" w:rsidP="00A42EBC">
            <w:pPr>
              <w:keepNext w:val="0"/>
              <w:spacing w:after="0"/>
              <w:jc w:val="right"/>
              <w:rPr>
                <w:rFonts w:ascii="Arial" w:hAnsi="Arial" w:cs="Arial"/>
                <w:sz w:val="16"/>
                <w:szCs w:val="16"/>
              </w:rPr>
            </w:pPr>
            <w:r w:rsidRPr="00346A27">
              <w:rPr>
                <w:rFonts w:ascii="Arial" w:hAnsi="Arial" w:cs="Arial"/>
                <w:sz w:val="16"/>
                <w:szCs w:val="16"/>
              </w:rPr>
              <w:t>10,046</w:t>
            </w:r>
          </w:p>
        </w:tc>
      </w:tr>
      <w:tr w:rsidR="00346A27" w:rsidRPr="00346A27" w:rsidTr="00EB0950">
        <w:trPr>
          <w:trHeight w:val="225"/>
        </w:trPr>
        <w:tc>
          <w:tcPr>
            <w:tcW w:w="3760" w:type="dxa"/>
            <w:gridSpan w:val="2"/>
            <w:tcBorders>
              <w:top w:val="nil"/>
              <w:left w:val="nil"/>
              <w:bottom w:val="nil"/>
              <w:right w:val="nil"/>
            </w:tcBorders>
            <w:shd w:val="clear" w:color="auto" w:fill="auto"/>
            <w:noWrap/>
            <w:vAlign w:val="bottom"/>
            <w:hideMark/>
          </w:tcPr>
          <w:p w:rsidR="00A42EBC" w:rsidRPr="00346A27" w:rsidRDefault="00A42EBC" w:rsidP="00A42EBC">
            <w:pPr>
              <w:keepNext w:val="0"/>
              <w:spacing w:after="0"/>
              <w:ind w:firstLineChars="100" w:firstLine="160"/>
              <w:rPr>
                <w:rFonts w:ascii="Arial" w:hAnsi="Arial" w:cs="Arial"/>
                <w:sz w:val="16"/>
                <w:szCs w:val="16"/>
              </w:rPr>
            </w:pPr>
            <w:r w:rsidRPr="00346A27">
              <w:rPr>
                <w:rFonts w:ascii="Arial" w:hAnsi="Arial" w:cs="Arial"/>
                <w:sz w:val="16"/>
                <w:szCs w:val="16"/>
              </w:rPr>
              <w:t>Expenses not requiring appropriation</w:t>
            </w:r>
          </w:p>
        </w:tc>
        <w:tc>
          <w:tcPr>
            <w:tcW w:w="900" w:type="dxa"/>
            <w:tcBorders>
              <w:top w:val="nil"/>
              <w:left w:val="nil"/>
              <w:bottom w:val="nil"/>
              <w:right w:val="nil"/>
            </w:tcBorders>
            <w:shd w:val="clear" w:color="000000" w:fill="D9D9D9"/>
            <w:noWrap/>
            <w:vAlign w:val="bottom"/>
            <w:hideMark/>
          </w:tcPr>
          <w:p w:rsidR="00A42EBC" w:rsidRPr="00346A27" w:rsidRDefault="00A42EBC" w:rsidP="00A42EBC">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A42EBC" w:rsidRPr="00346A27" w:rsidRDefault="00A42EBC" w:rsidP="00A42EBC">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A42EBC" w:rsidRPr="00346A27" w:rsidRDefault="00A42EBC" w:rsidP="00A42EBC">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A42EBC" w:rsidRPr="00346A27" w:rsidRDefault="00A42EBC" w:rsidP="00A42EBC">
            <w:pPr>
              <w:keepNext w:val="0"/>
              <w:spacing w:after="0"/>
              <w:jc w:val="right"/>
              <w:rPr>
                <w:rFonts w:ascii="Arial" w:hAnsi="Arial" w:cs="Arial"/>
                <w:sz w:val="16"/>
                <w:szCs w:val="16"/>
              </w:rPr>
            </w:pPr>
          </w:p>
        </w:tc>
      </w:tr>
      <w:tr w:rsidR="00346A27" w:rsidRPr="00346A27" w:rsidTr="00EB0950">
        <w:trPr>
          <w:trHeight w:val="240"/>
        </w:trPr>
        <w:tc>
          <w:tcPr>
            <w:tcW w:w="2860" w:type="dxa"/>
            <w:tcBorders>
              <w:top w:val="nil"/>
              <w:left w:val="nil"/>
              <w:bottom w:val="nil"/>
              <w:right w:val="nil"/>
            </w:tcBorders>
            <w:shd w:val="clear" w:color="auto" w:fill="auto"/>
            <w:noWrap/>
            <w:vAlign w:val="bottom"/>
            <w:hideMark/>
          </w:tcPr>
          <w:p w:rsidR="00A42EBC" w:rsidRPr="00346A27" w:rsidRDefault="00A42EBC" w:rsidP="00A42EBC">
            <w:pPr>
              <w:keepNext w:val="0"/>
              <w:spacing w:after="0"/>
              <w:ind w:firstLineChars="200" w:firstLine="320"/>
              <w:rPr>
                <w:rFonts w:ascii="Arial" w:hAnsi="Arial" w:cs="Arial"/>
                <w:sz w:val="16"/>
                <w:szCs w:val="16"/>
              </w:rPr>
            </w:pPr>
            <w:r w:rsidRPr="00346A27">
              <w:rPr>
                <w:rFonts w:ascii="Arial" w:hAnsi="Arial" w:cs="Arial"/>
                <w:sz w:val="16"/>
                <w:szCs w:val="16"/>
              </w:rPr>
              <w:t>in the budget year</w:t>
            </w:r>
            <w:r w:rsidRPr="00346A27">
              <w:rPr>
                <w:rFonts w:ascii="Arial" w:hAnsi="Arial" w:cs="Arial"/>
                <w:sz w:val="16"/>
                <w:szCs w:val="16"/>
                <w:vertAlign w:val="superscript"/>
              </w:rPr>
              <w:t>1</w:t>
            </w:r>
          </w:p>
        </w:tc>
        <w:tc>
          <w:tcPr>
            <w:tcW w:w="900" w:type="dxa"/>
            <w:tcBorders>
              <w:top w:val="nil"/>
              <w:left w:val="nil"/>
              <w:bottom w:val="nil"/>
              <w:right w:val="nil"/>
            </w:tcBorders>
            <w:shd w:val="clear" w:color="auto" w:fill="auto"/>
            <w:noWrap/>
            <w:vAlign w:val="bottom"/>
            <w:hideMark/>
          </w:tcPr>
          <w:p w:rsidR="00A42EBC" w:rsidRPr="00346A27" w:rsidRDefault="00A42EBC" w:rsidP="00A42EBC">
            <w:pPr>
              <w:keepNext w:val="0"/>
              <w:spacing w:after="0"/>
              <w:jc w:val="right"/>
              <w:rPr>
                <w:rFonts w:ascii="Arial" w:hAnsi="Arial" w:cs="Arial"/>
                <w:sz w:val="16"/>
                <w:szCs w:val="16"/>
              </w:rPr>
            </w:pPr>
            <w:r w:rsidRPr="00346A27">
              <w:rPr>
                <w:rFonts w:ascii="Arial" w:hAnsi="Arial" w:cs="Arial"/>
                <w:sz w:val="16"/>
                <w:szCs w:val="16"/>
              </w:rPr>
              <w:t>2,171</w:t>
            </w:r>
          </w:p>
        </w:tc>
        <w:tc>
          <w:tcPr>
            <w:tcW w:w="900" w:type="dxa"/>
            <w:tcBorders>
              <w:top w:val="nil"/>
              <w:left w:val="nil"/>
              <w:bottom w:val="nil"/>
              <w:right w:val="nil"/>
            </w:tcBorders>
            <w:shd w:val="clear" w:color="000000" w:fill="D9D9D9"/>
            <w:noWrap/>
            <w:vAlign w:val="bottom"/>
            <w:hideMark/>
          </w:tcPr>
          <w:p w:rsidR="00A42EBC" w:rsidRPr="00346A27" w:rsidRDefault="00A42EBC" w:rsidP="00A42EBC">
            <w:pPr>
              <w:keepNext w:val="0"/>
              <w:spacing w:after="0"/>
              <w:jc w:val="right"/>
              <w:rPr>
                <w:rFonts w:ascii="Arial" w:hAnsi="Arial" w:cs="Arial"/>
                <w:sz w:val="16"/>
                <w:szCs w:val="16"/>
              </w:rPr>
            </w:pPr>
            <w:r w:rsidRPr="00346A27">
              <w:rPr>
                <w:rFonts w:ascii="Arial" w:hAnsi="Arial" w:cs="Arial"/>
                <w:sz w:val="16"/>
                <w:szCs w:val="16"/>
              </w:rPr>
              <w:t>2,171</w:t>
            </w:r>
          </w:p>
        </w:tc>
        <w:tc>
          <w:tcPr>
            <w:tcW w:w="900" w:type="dxa"/>
            <w:tcBorders>
              <w:top w:val="nil"/>
              <w:left w:val="nil"/>
              <w:bottom w:val="nil"/>
              <w:right w:val="nil"/>
            </w:tcBorders>
            <w:shd w:val="clear" w:color="auto" w:fill="auto"/>
            <w:noWrap/>
            <w:vAlign w:val="bottom"/>
            <w:hideMark/>
          </w:tcPr>
          <w:p w:rsidR="00A42EBC" w:rsidRPr="00346A27" w:rsidRDefault="00A42EBC" w:rsidP="00A42EBC">
            <w:pPr>
              <w:keepNext w:val="0"/>
              <w:spacing w:after="0"/>
              <w:jc w:val="right"/>
              <w:rPr>
                <w:rFonts w:ascii="Arial" w:hAnsi="Arial" w:cs="Arial"/>
                <w:sz w:val="16"/>
                <w:szCs w:val="16"/>
              </w:rPr>
            </w:pPr>
            <w:r w:rsidRPr="00346A27">
              <w:rPr>
                <w:rFonts w:ascii="Arial" w:hAnsi="Arial" w:cs="Arial"/>
                <w:sz w:val="16"/>
                <w:szCs w:val="16"/>
              </w:rPr>
              <w:t>2,171</w:t>
            </w:r>
          </w:p>
        </w:tc>
        <w:tc>
          <w:tcPr>
            <w:tcW w:w="900" w:type="dxa"/>
            <w:tcBorders>
              <w:top w:val="nil"/>
              <w:left w:val="nil"/>
              <w:bottom w:val="nil"/>
              <w:right w:val="nil"/>
            </w:tcBorders>
            <w:shd w:val="clear" w:color="auto" w:fill="auto"/>
            <w:noWrap/>
            <w:vAlign w:val="bottom"/>
            <w:hideMark/>
          </w:tcPr>
          <w:p w:rsidR="00A42EBC" w:rsidRPr="00346A27" w:rsidRDefault="00A42EBC" w:rsidP="00A42EBC">
            <w:pPr>
              <w:keepNext w:val="0"/>
              <w:spacing w:after="0"/>
              <w:jc w:val="right"/>
              <w:rPr>
                <w:rFonts w:ascii="Arial" w:hAnsi="Arial" w:cs="Arial"/>
                <w:sz w:val="16"/>
                <w:szCs w:val="16"/>
              </w:rPr>
            </w:pPr>
            <w:r w:rsidRPr="00346A27">
              <w:rPr>
                <w:rFonts w:ascii="Arial" w:hAnsi="Arial" w:cs="Arial"/>
                <w:sz w:val="16"/>
                <w:szCs w:val="16"/>
              </w:rPr>
              <w:t>2,171</w:t>
            </w:r>
          </w:p>
        </w:tc>
        <w:tc>
          <w:tcPr>
            <w:tcW w:w="900" w:type="dxa"/>
            <w:tcBorders>
              <w:top w:val="nil"/>
              <w:left w:val="nil"/>
              <w:bottom w:val="nil"/>
              <w:right w:val="nil"/>
            </w:tcBorders>
            <w:shd w:val="clear" w:color="auto" w:fill="auto"/>
            <w:noWrap/>
            <w:vAlign w:val="bottom"/>
            <w:hideMark/>
          </w:tcPr>
          <w:p w:rsidR="00A42EBC" w:rsidRPr="00346A27" w:rsidRDefault="00A42EBC" w:rsidP="00A42EBC">
            <w:pPr>
              <w:keepNext w:val="0"/>
              <w:spacing w:after="0"/>
              <w:jc w:val="right"/>
              <w:rPr>
                <w:rFonts w:ascii="Arial" w:hAnsi="Arial" w:cs="Arial"/>
                <w:sz w:val="16"/>
                <w:szCs w:val="16"/>
              </w:rPr>
            </w:pPr>
            <w:r w:rsidRPr="00346A27">
              <w:rPr>
                <w:rFonts w:ascii="Arial" w:hAnsi="Arial" w:cs="Arial"/>
                <w:sz w:val="16"/>
                <w:szCs w:val="16"/>
              </w:rPr>
              <w:t>2,171</w:t>
            </w:r>
          </w:p>
        </w:tc>
      </w:tr>
      <w:tr w:rsidR="00346A27" w:rsidRPr="00346A27" w:rsidTr="00EB0950">
        <w:trPr>
          <w:trHeight w:val="240"/>
        </w:trPr>
        <w:tc>
          <w:tcPr>
            <w:tcW w:w="2860" w:type="dxa"/>
            <w:tcBorders>
              <w:top w:val="nil"/>
              <w:left w:val="nil"/>
              <w:bottom w:val="nil"/>
              <w:right w:val="nil"/>
            </w:tcBorders>
            <w:shd w:val="clear" w:color="auto" w:fill="auto"/>
            <w:noWrap/>
            <w:vAlign w:val="bottom"/>
            <w:hideMark/>
          </w:tcPr>
          <w:p w:rsidR="00A42EBC" w:rsidRPr="00346A27" w:rsidRDefault="00A42EBC" w:rsidP="00A42EBC">
            <w:pPr>
              <w:keepNext w:val="0"/>
              <w:spacing w:after="0"/>
              <w:ind w:firstLineChars="100" w:firstLine="160"/>
              <w:rPr>
                <w:rFonts w:ascii="Arial" w:hAnsi="Arial" w:cs="Arial"/>
                <w:sz w:val="16"/>
                <w:szCs w:val="16"/>
              </w:rPr>
            </w:pPr>
            <w:r w:rsidRPr="00346A27">
              <w:rPr>
                <w:rFonts w:ascii="Arial" w:hAnsi="Arial" w:cs="Arial"/>
                <w:sz w:val="16"/>
                <w:szCs w:val="16"/>
              </w:rPr>
              <w:t>Operating Loss (Surplus)</w:t>
            </w:r>
          </w:p>
        </w:tc>
        <w:tc>
          <w:tcPr>
            <w:tcW w:w="900" w:type="dxa"/>
            <w:tcBorders>
              <w:top w:val="nil"/>
              <w:left w:val="nil"/>
              <w:bottom w:val="single" w:sz="4" w:space="0" w:color="auto"/>
              <w:right w:val="nil"/>
            </w:tcBorders>
            <w:shd w:val="clear" w:color="auto" w:fill="auto"/>
            <w:noWrap/>
            <w:vAlign w:val="bottom"/>
            <w:hideMark/>
          </w:tcPr>
          <w:p w:rsidR="00A42EBC" w:rsidRPr="00346A27" w:rsidRDefault="00A42EBC" w:rsidP="00A42EBC">
            <w:pPr>
              <w:keepNext w:val="0"/>
              <w:spacing w:after="0"/>
              <w:jc w:val="right"/>
              <w:rPr>
                <w:rFonts w:ascii="Arial" w:hAnsi="Arial" w:cs="Arial"/>
                <w:sz w:val="16"/>
                <w:szCs w:val="16"/>
              </w:rPr>
            </w:pPr>
            <w:r w:rsidRPr="00346A27">
              <w:rPr>
                <w:rFonts w:ascii="Arial" w:hAnsi="Arial" w:cs="Arial"/>
                <w:sz w:val="16"/>
                <w:szCs w:val="16"/>
              </w:rPr>
              <w:t>536</w:t>
            </w:r>
          </w:p>
        </w:tc>
        <w:tc>
          <w:tcPr>
            <w:tcW w:w="900" w:type="dxa"/>
            <w:tcBorders>
              <w:top w:val="nil"/>
              <w:left w:val="nil"/>
              <w:bottom w:val="single" w:sz="4" w:space="0" w:color="auto"/>
              <w:right w:val="nil"/>
            </w:tcBorders>
            <w:shd w:val="clear" w:color="000000" w:fill="D9D9D9"/>
            <w:noWrap/>
            <w:vAlign w:val="bottom"/>
            <w:hideMark/>
          </w:tcPr>
          <w:p w:rsidR="00A42EBC" w:rsidRPr="00346A27" w:rsidRDefault="00A42EBC" w:rsidP="00A42EBC">
            <w:pPr>
              <w:keepNext w:val="0"/>
              <w:spacing w:after="0"/>
              <w:jc w:val="right"/>
              <w:rPr>
                <w:rFonts w:ascii="Arial" w:hAnsi="Arial" w:cs="Arial"/>
                <w:sz w:val="16"/>
                <w:szCs w:val="16"/>
              </w:rPr>
            </w:pPr>
            <w:r w:rsidRPr="00346A27">
              <w:rPr>
                <w:rFonts w:ascii="Arial" w:hAnsi="Arial" w:cs="Arial"/>
                <w:sz w:val="16"/>
                <w:szCs w:val="16"/>
              </w:rPr>
              <w:t>643</w:t>
            </w:r>
          </w:p>
        </w:tc>
        <w:tc>
          <w:tcPr>
            <w:tcW w:w="900" w:type="dxa"/>
            <w:tcBorders>
              <w:top w:val="nil"/>
              <w:left w:val="nil"/>
              <w:bottom w:val="single" w:sz="4" w:space="0" w:color="auto"/>
              <w:right w:val="nil"/>
            </w:tcBorders>
            <w:shd w:val="clear" w:color="auto" w:fill="auto"/>
            <w:noWrap/>
            <w:vAlign w:val="bottom"/>
            <w:hideMark/>
          </w:tcPr>
          <w:p w:rsidR="00A42EBC" w:rsidRPr="00346A27" w:rsidRDefault="00A42EBC" w:rsidP="00A42EBC">
            <w:pPr>
              <w:keepNext w:val="0"/>
              <w:spacing w:after="0"/>
              <w:jc w:val="right"/>
              <w:rPr>
                <w:rFonts w:ascii="Arial" w:hAnsi="Arial" w:cs="Arial"/>
                <w:sz w:val="16"/>
                <w:szCs w:val="16"/>
              </w:rPr>
            </w:pPr>
            <w:r w:rsidRPr="00346A27">
              <w:rPr>
                <w:rFonts w:ascii="Arial" w:hAnsi="Arial" w:cs="Arial"/>
                <w:sz w:val="16"/>
                <w:szCs w:val="16"/>
              </w:rPr>
              <w:t>-</w:t>
            </w:r>
          </w:p>
        </w:tc>
        <w:tc>
          <w:tcPr>
            <w:tcW w:w="900" w:type="dxa"/>
            <w:tcBorders>
              <w:top w:val="nil"/>
              <w:left w:val="nil"/>
              <w:bottom w:val="single" w:sz="4" w:space="0" w:color="auto"/>
              <w:right w:val="nil"/>
            </w:tcBorders>
            <w:shd w:val="clear" w:color="auto" w:fill="auto"/>
            <w:noWrap/>
            <w:vAlign w:val="bottom"/>
            <w:hideMark/>
          </w:tcPr>
          <w:p w:rsidR="00A42EBC" w:rsidRPr="00346A27" w:rsidRDefault="00A42EBC" w:rsidP="00A42EBC">
            <w:pPr>
              <w:keepNext w:val="0"/>
              <w:spacing w:after="0"/>
              <w:jc w:val="right"/>
              <w:rPr>
                <w:rFonts w:ascii="Arial" w:hAnsi="Arial" w:cs="Arial"/>
                <w:sz w:val="16"/>
                <w:szCs w:val="16"/>
              </w:rPr>
            </w:pPr>
            <w:r w:rsidRPr="00346A27">
              <w:rPr>
                <w:rFonts w:ascii="Arial" w:hAnsi="Arial" w:cs="Arial"/>
                <w:sz w:val="16"/>
                <w:szCs w:val="16"/>
              </w:rPr>
              <w:t>-</w:t>
            </w:r>
          </w:p>
        </w:tc>
        <w:tc>
          <w:tcPr>
            <w:tcW w:w="900" w:type="dxa"/>
            <w:tcBorders>
              <w:top w:val="nil"/>
              <w:left w:val="nil"/>
              <w:bottom w:val="single" w:sz="4" w:space="0" w:color="auto"/>
              <w:right w:val="nil"/>
            </w:tcBorders>
            <w:shd w:val="clear" w:color="auto" w:fill="auto"/>
            <w:noWrap/>
            <w:vAlign w:val="bottom"/>
            <w:hideMark/>
          </w:tcPr>
          <w:p w:rsidR="00A42EBC" w:rsidRPr="00346A27" w:rsidRDefault="00A42EBC" w:rsidP="00A42EBC">
            <w:pPr>
              <w:keepNext w:val="0"/>
              <w:spacing w:after="0"/>
              <w:jc w:val="right"/>
              <w:rPr>
                <w:rFonts w:ascii="Arial" w:hAnsi="Arial" w:cs="Arial"/>
                <w:sz w:val="16"/>
                <w:szCs w:val="16"/>
              </w:rPr>
            </w:pPr>
            <w:r w:rsidRPr="00346A27">
              <w:rPr>
                <w:rFonts w:ascii="Arial" w:hAnsi="Arial" w:cs="Arial"/>
                <w:sz w:val="16"/>
                <w:szCs w:val="16"/>
              </w:rPr>
              <w:t>-</w:t>
            </w:r>
          </w:p>
        </w:tc>
      </w:tr>
      <w:tr w:rsidR="00346A27" w:rsidRPr="00346A27" w:rsidTr="00EB0950">
        <w:trPr>
          <w:trHeight w:val="300"/>
        </w:trPr>
        <w:tc>
          <w:tcPr>
            <w:tcW w:w="2860" w:type="dxa"/>
            <w:tcBorders>
              <w:top w:val="nil"/>
              <w:left w:val="nil"/>
              <w:bottom w:val="nil"/>
              <w:right w:val="nil"/>
            </w:tcBorders>
            <w:shd w:val="clear" w:color="auto" w:fill="auto"/>
            <w:vAlign w:val="bottom"/>
            <w:hideMark/>
          </w:tcPr>
          <w:p w:rsidR="00A42EBC" w:rsidRPr="00346A27" w:rsidRDefault="00A42EBC" w:rsidP="00A42EBC">
            <w:pPr>
              <w:keepNext w:val="0"/>
              <w:spacing w:after="0"/>
              <w:ind w:firstLineChars="100" w:firstLine="161"/>
              <w:rPr>
                <w:rFonts w:ascii="Arial" w:hAnsi="Arial" w:cs="Arial"/>
                <w:b/>
                <w:bCs/>
                <w:sz w:val="16"/>
                <w:szCs w:val="16"/>
              </w:rPr>
            </w:pPr>
            <w:r w:rsidRPr="00346A27">
              <w:rPr>
                <w:rFonts w:ascii="Arial" w:hAnsi="Arial" w:cs="Arial"/>
                <w:b/>
                <w:bCs/>
                <w:sz w:val="16"/>
                <w:szCs w:val="16"/>
              </w:rPr>
              <w:t>Total for Programme 1.1</w:t>
            </w:r>
          </w:p>
        </w:tc>
        <w:tc>
          <w:tcPr>
            <w:tcW w:w="900" w:type="dxa"/>
            <w:tcBorders>
              <w:top w:val="nil"/>
              <w:left w:val="nil"/>
              <w:bottom w:val="single" w:sz="4" w:space="0" w:color="auto"/>
              <w:right w:val="nil"/>
            </w:tcBorders>
            <w:shd w:val="clear" w:color="auto" w:fill="auto"/>
            <w:noWrap/>
            <w:vAlign w:val="bottom"/>
            <w:hideMark/>
          </w:tcPr>
          <w:p w:rsidR="00A42EBC" w:rsidRPr="00346A27" w:rsidRDefault="00A42EBC" w:rsidP="00A42EBC">
            <w:pPr>
              <w:keepNext w:val="0"/>
              <w:spacing w:after="0"/>
              <w:jc w:val="right"/>
              <w:rPr>
                <w:rFonts w:ascii="Arial" w:hAnsi="Arial" w:cs="Arial"/>
                <w:b/>
                <w:bCs/>
                <w:sz w:val="16"/>
                <w:szCs w:val="16"/>
              </w:rPr>
            </w:pPr>
            <w:r w:rsidRPr="00346A27">
              <w:rPr>
                <w:rFonts w:ascii="Arial" w:hAnsi="Arial" w:cs="Arial"/>
                <w:b/>
                <w:bCs/>
                <w:sz w:val="16"/>
                <w:szCs w:val="16"/>
              </w:rPr>
              <w:t>26,006</w:t>
            </w:r>
          </w:p>
        </w:tc>
        <w:tc>
          <w:tcPr>
            <w:tcW w:w="900" w:type="dxa"/>
            <w:tcBorders>
              <w:top w:val="nil"/>
              <w:left w:val="nil"/>
              <w:bottom w:val="single" w:sz="4" w:space="0" w:color="auto"/>
              <w:right w:val="nil"/>
            </w:tcBorders>
            <w:shd w:val="clear" w:color="000000" w:fill="D9D9D9"/>
            <w:noWrap/>
            <w:vAlign w:val="bottom"/>
            <w:hideMark/>
          </w:tcPr>
          <w:p w:rsidR="00A42EBC" w:rsidRPr="00346A27" w:rsidRDefault="00A42EBC" w:rsidP="00A42EBC">
            <w:pPr>
              <w:keepNext w:val="0"/>
              <w:spacing w:after="0"/>
              <w:jc w:val="right"/>
              <w:rPr>
                <w:rFonts w:ascii="Arial" w:hAnsi="Arial" w:cs="Arial"/>
                <w:b/>
                <w:bCs/>
                <w:sz w:val="16"/>
                <w:szCs w:val="16"/>
              </w:rPr>
            </w:pPr>
            <w:r w:rsidRPr="00346A27">
              <w:rPr>
                <w:rFonts w:ascii="Arial" w:hAnsi="Arial" w:cs="Arial"/>
                <w:b/>
                <w:bCs/>
                <w:sz w:val="16"/>
                <w:szCs w:val="16"/>
              </w:rPr>
              <w:t>25,924</w:t>
            </w:r>
          </w:p>
        </w:tc>
        <w:tc>
          <w:tcPr>
            <w:tcW w:w="900" w:type="dxa"/>
            <w:tcBorders>
              <w:top w:val="nil"/>
              <w:left w:val="nil"/>
              <w:bottom w:val="single" w:sz="4" w:space="0" w:color="auto"/>
              <w:right w:val="nil"/>
            </w:tcBorders>
            <w:shd w:val="clear" w:color="auto" w:fill="auto"/>
            <w:noWrap/>
            <w:vAlign w:val="bottom"/>
            <w:hideMark/>
          </w:tcPr>
          <w:p w:rsidR="00A42EBC" w:rsidRPr="00346A27" w:rsidRDefault="00A42EBC" w:rsidP="00A42EBC">
            <w:pPr>
              <w:keepNext w:val="0"/>
              <w:spacing w:after="0"/>
              <w:jc w:val="right"/>
              <w:rPr>
                <w:rFonts w:ascii="Arial" w:hAnsi="Arial" w:cs="Arial"/>
                <w:b/>
                <w:bCs/>
                <w:sz w:val="16"/>
                <w:szCs w:val="16"/>
              </w:rPr>
            </w:pPr>
            <w:r w:rsidRPr="00346A27">
              <w:rPr>
                <w:rFonts w:ascii="Arial" w:hAnsi="Arial" w:cs="Arial"/>
                <w:b/>
                <w:bCs/>
                <w:sz w:val="16"/>
                <w:szCs w:val="16"/>
              </w:rPr>
              <w:t>25,154</w:t>
            </w:r>
          </w:p>
        </w:tc>
        <w:tc>
          <w:tcPr>
            <w:tcW w:w="900" w:type="dxa"/>
            <w:tcBorders>
              <w:top w:val="nil"/>
              <w:left w:val="nil"/>
              <w:bottom w:val="single" w:sz="4" w:space="0" w:color="auto"/>
              <w:right w:val="nil"/>
            </w:tcBorders>
            <w:shd w:val="clear" w:color="auto" w:fill="auto"/>
            <w:noWrap/>
            <w:vAlign w:val="bottom"/>
            <w:hideMark/>
          </w:tcPr>
          <w:p w:rsidR="00A42EBC" w:rsidRPr="00346A27" w:rsidRDefault="00A42EBC" w:rsidP="00A42EBC">
            <w:pPr>
              <w:keepNext w:val="0"/>
              <w:spacing w:after="0"/>
              <w:jc w:val="right"/>
              <w:rPr>
                <w:rFonts w:ascii="Arial" w:hAnsi="Arial" w:cs="Arial"/>
                <w:b/>
                <w:bCs/>
                <w:sz w:val="16"/>
                <w:szCs w:val="16"/>
              </w:rPr>
            </w:pPr>
            <w:r w:rsidRPr="00346A27">
              <w:rPr>
                <w:rFonts w:ascii="Arial" w:hAnsi="Arial" w:cs="Arial"/>
                <w:b/>
                <w:bCs/>
                <w:sz w:val="16"/>
                <w:szCs w:val="16"/>
              </w:rPr>
              <w:t>25,236</w:t>
            </w:r>
          </w:p>
        </w:tc>
        <w:tc>
          <w:tcPr>
            <w:tcW w:w="900" w:type="dxa"/>
            <w:tcBorders>
              <w:top w:val="nil"/>
              <w:left w:val="nil"/>
              <w:bottom w:val="single" w:sz="4" w:space="0" w:color="auto"/>
              <w:right w:val="nil"/>
            </w:tcBorders>
            <w:shd w:val="clear" w:color="auto" w:fill="auto"/>
            <w:noWrap/>
            <w:vAlign w:val="bottom"/>
            <w:hideMark/>
          </w:tcPr>
          <w:p w:rsidR="00A42EBC" w:rsidRPr="00346A27" w:rsidRDefault="00A42EBC" w:rsidP="00A42EBC">
            <w:pPr>
              <w:keepNext w:val="0"/>
              <w:spacing w:after="0"/>
              <w:jc w:val="right"/>
              <w:rPr>
                <w:rFonts w:ascii="Arial" w:hAnsi="Arial" w:cs="Arial"/>
                <w:b/>
                <w:bCs/>
                <w:sz w:val="16"/>
                <w:szCs w:val="16"/>
              </w:rPr>
            </w:pPr>
            <w:r w:rsidRPr="00346A27">
              <w:rPr>
                <w:rFonts w:ascii="Arial" w:hAnsi="Arial" w:cs="Arial"/>
                <w:b/>
                <w:bCs/>
                <w:sz w:val="16"/>
                <w:szCs w:val="16"/>
              </w:rPr>
              <w:t>25,320</w:t>
            </w:r>
          </w:p>
        </w:tc>
      </w:tr>
      <w:tr w:rsidR="00346A27" w:rsidRPr="00346A27" w:rsidTr="00EB0950">
        <w:trPr>
          <w:trHeight w:val="300"/>
        </w:trPr>
        <w:tc>
          <w:tcPr>
            <w:tcW w:w="2860" w:type="dxa"/>
            <w:tcBorders>
              <w:top w:val="nil"/>
              <w:left w:val="nil"/>
              <w:bottom w:val="single" w:sz="4" w:space="0" w:color="auto"/>
              <w:right w:val="nil"/>
            </w:tcBorders>
            <w:shd w:val="clear" w:color="auto" w:fill="auto"/>
            <w:noWrap/>
            <w:vAlign w:val="bottom"/>
            <w:hideMark/>
          </w:tcPr>
          <w:p w:rsidR="00A42EBC" w:rsidRPr="00346A27" w:rsidRDefault="00A42EBC" w:rsidP="00A42EBC">
            <w:pPr>
              <w:keepNext w:val="0"/>
              <w:spacing w:after="0"/>
              <w:rPr>
                <w:rFonts w:ascii="Arial" w:hAnsi="Arial" w:cs="Arial"/>
                <w:b/>
                <w:bCs/>
                <w:sz w:val="16"/>
                <w:szCs w:val="16"/>
              </w:rPr>
            </w:pPr>
            <w:r w:rsidRPr="00346A27">
              <w:rPr>
                <w:rFonts w:ascii="Arial" w:hAnsi="Arial" w:cs="Arial"/>
                <w:b/>
                <w:bCs/>
                <w:sz w:val="16"/>
                <w:szCs w:val="16"/>
              </w:rPr>
              <w:t>Total expenses for Outcome 1</w:t>
            </w:r>
          </w:p>
        </w:tc>
        <w:tc>
          <w:tcPr>
            <w:tcW w:w="900" w:type="dxa"/>
            <w:tcBorders>
              <w:top w:val="nil"/>
              <w:left w:val="nil"/>
              <w:bottom w:val="single" w:sz="4" w:space="0" w:color="auto"/>
              <w:right w:val="nil"/>
            </w:tcBorders>
            <w:shd w:val="clear" w:color="auto" w:fill="auto"/>
            <w:noWrap/>
            <w:vAlign w:val="bottom"/>
            <w:hideMark/>
          </w:tcPr>
          <w:p w:rsidR="00A42EBC" w:rsidRPr="00346A27" w:rsidRDefault="00A42EBC" w:rsidP="00A42EBC">
            <w:pPr>
              <w:keepNext w:val="0"/>
              <w:spacing w:after="0"/>
              <w:jc w:val="right"/>
              <w:rPr>
                <w:rFonts w:ascii="Arial" w:hAnsi="Arial" w:cs="Arial"/>
                <w:b/>
                <w:bCs/>
                <w:sz w:val="16"/>
                <w:szCs w:val="16"/>
              </w:rPr>
            </w:pPr>
            <w:r w:rsidRPr="00346A27">
              <w:rPr>
                <w:rFonts w:ascii="Arial" w:hAnsi="Arial" w:cs="Arial"/>
                <w:b/>
                <w:bCs/>
                <w:sz w:val="16"/>
                <w:szCs w:val="16"/>
              </w:rPr>
              <w:t>26,006</w:t>
            </w:r>
          </w:p>
        </w:tc>
        <w:tc>
          <w:tcPr>
            <w:tcW w:w="900" w:type="dxa"/>
            <w:tcBorders>
              <w:top w:val="nil"/>
              <w:left w:val="nil"/>
              <w:bottom w:val="single" w:sz="4" w:space="0" w:color="auto"/>
              <w:right w:val="nil"/>
            </w:tcBorders>
            <w:shd w:val="clear" w:color="000000" w:fill="D9D9D9"/>
            <w:noWrap/>
            <w:vAlign w:val="bottom"/>
            <w:hideMark/>
          </w:tcPr>
          <w:p w:rsidR="00A42EBC" w:rsidRPr="00346A27" w:rsidRDefault="00A42EBC" w:rsidP="00A42EBC">
            <w:pPr>
              <w:keepNext w:val="0"/>
              <w:spacing w:after="0"/>
              <w:jc w:val="right"/>
              <w:rPr>
                <w:rFonts w:ascii="Arial" w:hAnsi="Arial" w:cs="Arial"/>
                <w:b/>
                <w:bCs/>
                <w:sz w:val="16"/>
                <w:szCs w:val="16"/>
              </w:rPr>
            </w:pPr>
            <w:r w:rsidRPr="00346A27">
              <w:rPr>
                <w:rFonts w:ascii="Arial" w:hAnsi="Arial" w:cs="Arial"/>
                <w:b/>
                <w:bCs/>
                <w:sz w:val="16"/>
                <w:szCs w:val="16"/>
              </w:rPr>
              <w:t>25,924</w:t>
            </w:r>
          </w:p>
        </w:tc>
        <w:tc>
          <w:tcPr>
            <w:tcW w:w="900" w:type="dxa"/>
            <w:tcBorders>
              <w:top w:val="nil"/>
              <w:left w:val="nil"/>
              <w:bottom w:val="single" w:sz="4" w:space="0" w:color="auto"/>
              <w:right w:val="nil"/>
            </w:tcBorders>
            <w:shd w:val="clear" w:color="auto" w:fill="auto"/>
            <w:noWrap/>
            <w:vAlign w:val="bottom"/>
            <w:hideMark/>
          </w:tcPr>
          <w:p w:rsidR="00A42EBC" w:rsidRPr="00346A27" w:rsidRDefault="00A42EBC" w:rsidP="00A42EBC">
            <w:pPr>
              <w:keepNext w:val="0"/>
              <w:spacing w:after="0"/>
              <w:jc w:val="right"/>
              <w:rPr>
                <w:rFonts w:ascii="Arial" w:hAnsi="Arial" w:cs="Arial"/>
                <w:b/>
                <w:bCs/>
                <w:sz w:val="16"/>
                <w:szCs w:val="16"/>
              </w:rPr>
            </w:pPr>
            <w:r w:rsidRPr="00346A27">
              <w:rPr>
                <w:rFonts w:ascii="Arial" w:hAnsi="Arial" w:cs="Arial"/>
                <w:b/>
                <w:bCs/>
                <w:sz w:val="16"/>
                <w:szCs w:val="16"/>
              </w:rPr>
              <w:t>25,154</w:t>
            </w:r>
          </w:p>
        </w:tc>
        <w:tc>
          <w:tcPr>
            <w:tcW w:w="900" w:type="dxa"/>
            <w:tcBorders>
              <w:top w:val="nil"/>
              <w:left w:val="nil"/>
              <w:bottom w:val="single" w:sz="4" w:space="0" w:color="auto"/>
              <w:right w:val="nil"/>
            </w:tcBorders>
            <w:shd w:val="clear" w:color="auto" w:fill="auto"/>
            <w:noWrap/>
            <w:vAlign w:val="bottom"/>
            <w:hideMark/>
          </w:tcPr>
          <w:p w:rsidR="00A42EBC" w:rsidRPr="00346A27" w:rsidRDefault="00A42EBC" w:rsidP="00A42EBC">
            <w:pPr>
              <w:keepNext w:val="0"/>
              <w:spacing w:after="0"/>
              <w:jc w:val="right"/>
              <w:rPr>
                <w:rFonts w:ascii="Arial" w:hAnsi="Arial" w:cs="Arial"/>
                <w:b/>
                <w:bCs/>
                <w:sz w:val="16"/>
                <w:szCs w:val="16"/>
              </w:rPr>
            </w:pPr>
            <w:r w:rsidRPr="00346A27">
              <w:rPr>
                <w:rFonts w:ascii="Arial" w:hAnsi="Arial" w:cs="Arial"/>
                <w:b/>
                <w:bCs/>
                <w:sz w:val="16"/>
                <w:szCs w:val="16"/>
              </w:rPr>
              <w:t>25,236</w:t>
            </w:r>
          </w:p>
        </w:tc>
        <w:tc>
          <w:tcPr>
            <w:tcW w:w="900" w:type="dxa"/>
            <w:tcBorders>
              <w:top w:val="nil"/>
              <w:left w:val="nil"/>
              <w:bottom w:val="single" w:sz="4" w:space="0" w:color="auto"/>
              <w:right w:val="nil"/>
            </w:tcBorders>
            <w:shd w:val="clear" w:color="auto" w:fill="auto"/>
            <w:noWrap/>
            <w:vAlign w:val="bottom"/>
            <w:hideMark/>
          </w:tcPr>
          <w:p w:rsidR="00A42EBC" w:rsidRPr="00346A27" w:rsidRDefault="00A42EBC" w:rsidP="00A42EBC">
            <w:pPr>
              <w:keepNext w:val="0"/>
              <w:spacing w:after="0"/>
              <w:jc w:val="right"/>
              <w:rPr>
                <w:rFonts w:ascii="Arial" w:hAnsi="Arial" w:cs="Arial"/>
                <w:b/>
                <w:bCs/>
                <w:sz w:val="16"/>
                <w:szCs w:val="16"/>
              </w:rPr>
            </w:pPr>
            <w:r w:rsidRPr="00346A27">
              <w:rPr>
                <w:rFonts w:ascii="Arial" w:hAnsi="Arial" w:cs="Arial"/>
                <w:b/>
                <w:bCs/>
                <w:sz w:val="16"/>
                <w:szCs w:val="16"/>
              </w:rPr>
              <w:t>25,320</w:t>
            </w:r>
          </w:p>
        </w:tc>
      </w:tr>
      <w:tr w:rsidR="00346A27" w:rsidRPr="00346A27" w:rsidTr="00EB0950">
        <w:trPr>
          <w:trHeight w:val="225"/>
        </w:trPr>
        <w:tc>
          <w:tcPr>
            <w:tcW w:w="2860" w:type="dxa"/>
            <w:tcBorders>
              <w:top w:val="nil"/>
              <w:left w:val="nil"/>
              <w:bottom w:val="single" w:sz="4" w:space="0" w:color="auto"/>
              <w:right w:val="nil"/>
            </w:tcBorders>
            <w:shd w:val="clear" w:color="auto" w:fill="auto"/>
            <w:noWrap/>
            <w:vAlign w:val="bottom"/>
            <w:hideMark/>
          </w:tcPr>
          <w:p w:rsidR="00A42EBC" w:rsidRPr="00346A27" w:rsidRDefault="00A42EBC" w:rsidP="00A42EBC">
            <w:pPr>
              <w:keepNext w:val="0"/>
              <w:spacing w:after="0"/>
              <w:rPr>
                <w:rFonts w:ascii="Arial" w:hAnsi="Arial" w:cs="Arial"/>
                <w:sz w:val="16"/>
                <w:szCs w:val="16"/>
              </w:rPr>
            </w:pPr>
          </w:p>
        </w:tc>
        <w:tc>
          <w:tcPr>
            <w:tcW w:w="900" w:type="dxa"/>
            <w:tcBorders>
              <w:top w:val="nil"/>
              <w:left w:val="nil"/>
              <w:bottom w:val="single" w:sz="4" w:space="0" w:color="auto"/>
              <w:right w:val="nil"/>
            </w:tcBorders>
            <w:shd w:val="clear" w:color="auto" w:fill="auto"/>
            <w:noWrap/>
            <w:vAlign w:val="bottom"/>
          </w:tcPr>
          <w:p w:rsidR="00A42EBC" w:rsidRPr="00346A27" w:rsidRDefault="00A42EBC" w:rsidP="00A42EBC">
            <w:pPr>
              <w:keepNext w:val="0"/>
              <w:spacing w:after="0"/>
              <w:jc w:val="right"/>
              <w:rPr>
                <w:rFonts w:ascii="Arial" w:hAnsi="Arial" w:cs="Arial"/>
                <w:sz w:val="16"/>
                <w:szCs w:val="16"/>
              </w:rPr>
            </w:pPr>
          </w:p>
        </w:tc>
        <w:tc>
          <w:tcPr>
            <w:tcW w:w="900" w:type="dxa"/>
            <w:tcBorders>
              <w:top w:val="nil"/>
              <w:left w:val="nil"/>
              <w:bottom w:val="single" w:sz="4" w:space="0" w:color="auto"/>
              <w:right w:val="nil"/>
            </w:tcBorders>
            <w:shd w:val="clear" w:color="000000" w:fill="FFFFFF"/>
            <w:vAlign w:val="bottom"/>
          </w:tcPr>
          <w:p w:rsidR="00A42EBC" w:rsidRPr="00346A27" w:rsidRDefault="00A42EBC" w:rsidP="00A42EBC">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A42EBC" w:rsidRPr="00346A27" w:rsidRDefault="00A42EBC" w:rsidP="00A42EBC">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A42EBC" w:rsidRPr="00346A27" w:rsidRDefault="00A42EBC" w:rsidP="00A42EBC">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A42EBC" w:rsidRPr="00346A27" w:rsidRDefault="00A42EBC" w:rsidP="00A42EBC">
            <w:pPr>
              <w:keepNext w:val="0"/>
              <w:spacing w:after="0"/>
              <w:jc w:val="right"/>
              <w:rPr>
                <w:rFonts w:ascii="Arial" w:hAnsi="Arial" w:cs="Arial"/>
                <w:sz w:val="16"/>
                <w:szCs w:val="16"/>
              </w:rPr>
            </w:pPr>
          </w:p>
        </w:tc>
      </w:tr>
      <w:tr w:rsidR="00346A27" w:rsidRPr="00346A27" w:rsidTr="00EB0950">
        <w:trPr>
          <w:trHeight w:val="225"/>
        </w:trPr>
        <w:tc>
          <w:tcPr>
            <w:tcW w:w="2860" w:type="dxa"/>
            <w:tcBorders>
              <w:top w:val="nil"/>
              <w:left w:val="nil"/>
              <w:bottom w:val="nil"/>
              <w:right w:val="nil"/>
            </w:tcBorders>
            <w:shd w:val="clear" w:color="auto" w:fill="auto"/>
            <w:noWrap/>
            <w:vAlign w:val="bottom"/>
            <w:hideMark/>
          </w:tcPr>
          <w:p w:rsidR="00A42EBC" w:rsidRPr="00346A27" w:rsidRDefault="00A42EBC" w:rsidP="00A42EBC">
            <w:pPr>
              <w:keepNext w:val="0"/>
              <w:spacing w:after="0"/>
              <w:rPr>
                <w:rFonts w:ascii="Arial" w:hAnsi="Arial" w:cs="Arial"/>
                <w:sz w:val="16"/>
                <w:szCs w:val="16"/>
              </w:rPr>
            </w:pPr>
          </w:p>
        </w:tc>
        <w:tc>
          <w:tcPr>
            <w:tcW w:w="900" w:type="dxa"/>
            <w:tcBorders>
              <w:top w:val="nil"/>
              <w:left w:val="nil"/>
              <w:bottom w:val="nil"/>
              <w:right w:val="nil"/>
            </w:tcBorders>
            <w:shd w:val="clear" w:color="auto" w:fill="auto"/>
            <w:vAlign w:val="bottom"/>
            <w:hideMark/>
          </w:tcPr>
          <w:p w:rsidR="00A42EBC" w:rsidRPr="00346A27" w:rsidRDefault="00A42EBC" w:rsidP="00A42EBC">
            <w:pPr>
              <w:keepNext w:val="0"/>
              <w:spacing w:after="0"/>
              <w:jc w:val="right"/>
              <w:rPr>
                <w:rFonts w:ascii="Arial" w:hAnsi="Arial" w:cs="Arial"/>
                <w:b/>
                <w:bCs/>
                <w:sz w:val="16"/>
                <w:szCs w:val="16"/>
              </w:rPr>
            </w:pPr>
            <w:r w:rsidRPr="00346A27">
              <w:rPr>
                <w:rFonts w:ascii="Arial" w:hAnsi="Arial" w:cs="Arial"/>
                <w:b/>
                <w:bCs/>
                <w:sz w:val="16"/>
                <w:szCs w:val="16"/>
              </w:rPr>
              <w:t>2014-15</w:t>
            </w:r>
          </w:p>
        </w:tc>
        <w:tc>
          <w:tcPr>
            <w:tcW w:w="900" w:type="dxa"/>
            <w:tcBorders>
              <w:top w:val="nil"/>
              <w:left w:val="nil"/>
              <w:bottom w:val="nil"/>
              <w:right w:val="nil"/>
            </w:tcBorders>
            <w:shd w:val="clear" w:color="000000" w:fill="D9D9D9"/>
            <w:vAlign w:val="bottom"/>
            <w:hideMark/>
          </w:tcPr>
          <w:p w:rsidR="00A42EBC" w:rsidRPr="00346A27" w:rsidRDefault="00A42EBC" w:rsidP="00A42EBC">
            <w:pPr>
              <w:keepNext w:val="0"/>
              <w:spacing w:after="0"/>
              <w:jc w:val="right"/>
              <w:rPr>
                <w:rFonts w:ascii="Arial" w:hAnsi="Arial" w:cs="Arial"/>
                <w:b/>
                <w:bCs/>
                <w:sz w:val="16"/>
                <w:szCs w:val="16"/>
              </w:rPr>
            </w:pPr>
            <w:r w:rsidRPr="00346A27">
              <w:rPr>
                <w:rFonts w:ascii="Arial" w:hAnsi="Arial" w:cs="Arial"/>
                <w:b/>
                <w:bCs/>
                <w:sz w:val="16"/>
                <w:szCs w:val="16"/>
              </w:rPr>
              <w:t>2015-16</w:t>
            </w:r>
          </w:p>
        </w:tc>
        <w:tc>
          <w:tcPr>
            <w:tcW w:w="900" w:type="dxa"/>
            <w:tcBorders>
              <w:top w:val="nil"/>
              <w:left w:val="nil"/>
              <w:bottom w:val="nil"/>
              <w:right w:val="nil"/>
            </w:tcBorders>
            <w:shd w:val="clear" w:color="auto" w:fill="auto"/>
            <w:noWrap/>
            <w:vAlign w:val="bottom"/>
            <w:hideMark/>
          </w:tcPr>
          <w:p w:rsidR="00A42EBC" w:rsidRPr="00346A27" w:rsidRDefault="00A42EBC" w:rsidP="00A42EBC">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A42EBC" w:rsidRPr="00346A27" w:rsidRDefault="00A42EBC" w:rsidP="00A42EBC">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A42EBC" w:rsidRPr="00346A27" w:rsidRDefault="00A42EBC" w:rsidP="00A42EBC">
            <w:pPr>
              <w:keepNext w:val="0"/>
              <w:spacing w:after="0"/>
              <w:jc w:val="right"/>
              <w:rPr>
                <w:rFonts w:ascii="Arial" w:hAnsi="Arial" w:cs="Arial"/>
                <w:sz w:val="16"/>
                <w:szCs w:val="16"/>
              </w:rPr>
            </w:pPr>
          </w:p>
        </w:tc>
      </w:tr>
      <w:tr w:rsidR="00346A27" w:rsidRPr="00346A27" w:rsidTr="00EB0950">
        <w:trPr>
          <w:trHeight w:val="225"/>
        </w:trPr>
        <w:tc>
          <w:tcPr>
            <w:tcW w:w="2860" w:type="dxa"/>
            <w:tcBorders>
              <w:top w:val="nil"/>
              <w:left w:val="nil"/>
              <w:bottom w:val="single" w:sz="4" w:space="0" w:color="000000"/>
              <w:right w:val="nil"/>
            </w:tcBorders>
            <w:shd w:val="clear" w:color="auto" w:fill="auto"/>
            <w:noWrap/>
            <w:vAlign w:val="bottom"/>
            <w:hideMark/>
          </w:tcPr>
          <w:p w:rsidR="00A42EBC" w:rsidRPr="00346A27" w:rsidRDefault="00A42EBC" w:rsidP="00A42EBC">
            <w:pPr>
              <w:keepNext w:val="0"/>
              <w:spacing w:after="0"/>
              <w:rPr>
                <w:rFonts w:ascii="Arial" w:hAnsi="Arial" w:cs="Arial"/>
                <w:b/>
                <w:bCs/>
                <w:sz w:val="16"/>
                <w:szCs w:val="16"/>
              </w:rPr>
            </w:pPr>
            <w:r w:rsidRPr="00346A27">
              <w:rPr>
                <w:rFonts w:ascii="Arial" w:hAnsi="Arial" w:cs="Arial"/>
                <w:b/>
                <w:bCs/>
                <w:sz w:val="16"/>
                <w:szCs w:val="16"/>
              </w:rPr>
              <w:t>Average staffing level (number)</w:t>
            </w:r>
          </w:p>
        </w:tc>
        <w:tc>
          <w:tcPr>
            <w:tcW w:w="900" w:type="dxa"/>
            <w:tcBorders>
              <w:top w:val="single" w:sz="4" w:space="0" w:color="000000"/>
              <w:left w:val="nil"/>
              <w:bottom w:val="single" w:sz="4" w:space="0" w:color="000000"/>
              <w:right w:val="nil"/>
            </w:tcBorders>
            <w:shd w:val="clear" w:color="auto" w:fill="auto"/>
            <w:noWrap/>
            <w:vAlign w:val="bottom"/>
            <w:hideMark/>
          </w:tcPr>
          <w:p w:rsidR="00A42EBC" w:rsidRPr="00346A27" w:rsidRDefault="00A42EBC" w:rsidP="00A42EBC">
            <w:pPr>
              <w:keepNext w:val="0"/>
              <w:spacing w:after="0"/>
              <w:jc w:val="right"/>
              <w:rPr>
                <w:rFonts w:ascii="Arial" w:hAnsi="Arial" w:cs="Arial"/>
                <w:sz w:val="16"/>
                <w:szCs w:val="16"/>
              </w:rPr>
            </w:pPr>
            <w:r w:rsidRPr="00346A27">
              <w:rPr>
                <w:rFonts w:ascii="Arial" w:hAnsi="Arial" w:cs="Arial"/>
                <w:sz w:val="16"/>
                <w:szCs w:val="16"/>
              </w:rPr>
              <w:t>127</w:t>
            </w:r>
          </w:p>
        </w:tc>
        <w:tc>
          <w:tcPr>
            <w:tcW w:w="900" w:type="dxa"/>
            <w:tcBorders>
              <w:top w:val="single" w:sz="4" w:space="0" w:color="000000"/>
              <w:left w:val="nil"/>
              <w:bottom w:val="single" w:sz="4" w:space="0" w:color="000000"/>
              <w:right w:val="nil"/>
            </w:tcBorders>
            <w:shd w:val="clear" w:color="000000" w:fill="D9D9D9"/>
            <w:noWrap/>
            <w:vAlign w:val="bottom"/>
            <w:hideMark/>
          </w:tcPr>
          <w:p w:rsidR="00A42EBC" w:rsidRPr="00346A27" w:rsidRDefault="00A42EBC" w:rsidP="00A42EBC">
            <w:pPr>
              <w:keepNext w:val="0"/>
              <w:spacing w:after="0"/>
              <w:jc w:val="right"/>
              <w:rPr>
                <w:rFonts w:ascii="Arial" w:hAnsi="Arial" w:cs="Arial"/>
                <w:sz w:val="16"/>
                <w:szCs w:val="16"/>
              </w:rPr>
            </w:pPr>
            <w:r w:rsidRPr="00346A27">
              <w:rPr>
                <w:rFonts w:ascii="Arial" w:hAnsi="Arial" w:cs="Arial"/>
                <w:sz w:val="16"/>
                <w:szCs w:val="16"/>
              </w:rPr>
              <w:t>135</w:t>
            </w:r>
          </w:p>
        </w:tc>
        <w:tc>
          <w:tcPr>
            <w:tcW w:w="900" w:type="dxa"/>
            <w:tcBorders>
              <w:top w:val="nil"/>
              <w:left w:val="nil"/>
              <w:bottom w:val="nil"/>
              <w:right w:val="nil"/>
            </w:tcBorders>
            <w:shd w:val="clear" w:color="auto" w:fill="auto"/>
            <w:noWrap/>
            <w:vAlign w:val="bottom"/>
            <w:hideMark/>
          </w:tcPr>
          <w:p w:rsidR="00A42EBC" w:rsidRPr="00346A27" w:rsidRDefault="00A42EBC" w:rsidP="00A42EBC">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A42EBC" w:rsidRPr="00346A27" w:rsidRDefault="00A42EBC" w:rsidP="00A42EBC">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A42EBC" w:rsidRPr="00346A27" w:rsidRDefault="00A42EBC" w:rsidP="00A42EBC">
            <w:pPr>
              <w:keepNext w:val="0"/>
              <w:spacing w:after="0"/>
              <w:jc w:val="right"/>
              <w:rPr>
                <w:rFonts w:ascii="Arial" w:hAnsi="Arial" w:cs="Arial"/>
                <w:sz w:val="16"/>
                <w:szCs w:val="16"/>
              </w:rPr>
            </w:pPr>
          </w:p>
        </w:tc>
      </w:tr>
    </w:tbl>
    <w:p w:rsidR="00F35CB8" w:rsidRPr="00346A27" w:rsidRDefault="00A42EBC" w:rsidP="00A42EBC">
      <w:pPr>
        <w:pStyle w:val="FootnoteText"/>
        <w:spacing w:before="120"/>
      </w:pPr>
      <w:r w:rsidRPr="00346A27">
        <w:t>1</w:t>
      </w:r>
      <w:r w:rsidRPr="00346A27">
        <w:tab/>
        <w:t xml:space="preserve">Expenses not requiring appropriation in the Budget year is made up of depreciation expense, amortisation expense, </w:t>
      </w:r>
      <w:proofErr w:type="gramStart"/>
      <w:r w:rsidRPr="00346A27">
        <w:t>makegood</w:t>
      </w:r>
      <w:proofErr w:type="gramEnd"/>
      <w:r w:rsidRPr="00346A27">
        <w:t xml:space="preserve"> expense and audit fees.</w:t>
      </w:r>
      <w:r w:rsidRPr="00346A27">
        <w:tab/>
      </w:r>
    </w:p>
    <w:p w:rsidR="000422F4" w:rsidRPr="00346A27" w:rsidRDefault="000422F4" w:rsidP="00677A7B">
      <w:pPr>
        <w:rPr>
          <w:snapToGrid w:val="0"/>
        </w:rPr>
      </w:pPr>
      <w:r w:rsidRPr="00346A27">
        <w:br w:type="page"/>
      </w:r>
    </w:p>
    <w:p w:rsidR="007E7063" w:rsidRPr="00346A27" w:rsidRDefault="007E7063" w:rsidP="007E7063">
      <w:pPr>
        <w:pStyle w:val="ProgramName"/>
      </w:pPr>
      <w:r w:rsidRPr="00346A27">
        <w:lastRenderedPageBreak/>
        <w:t>Pro</w:t>
      </w:r>
      <w:r w:rsidR="00F35CB8" w:rsidRPr="00346A27">
        <w:t xml:space="preserve">gramme </w:t>
      </w:r>
      <w:r w:rsidRPr="00346A27">
        <w:t>1.1: Radiation Protection and Nuclear Safety</w:t>
      </w:r>
    </w:p>
    <w:p w:rsidR="007E7063" w:rsidRPr="00346A27" w:rsidRDefault="007E7063" w:rsidP="00317BFB">
      <w:pPr>
        <w:pStyle w:val="ProgramObjectives"/>
      </w:pPr>
      <w:r w:rsidRPr="00346A27">
        <w:t>Programme Objectives</w:t>
      </w:r>
    </w:p>
    <w:p w:rsidR="0063094C" w:rsidRPr="00346A27" w:rsidRDefault="00296009" w:rsidP="0063094C">
      <w:pPr>
        <w:pStyle w:val="ProgramObjectiveHeading"/>
      </w:pPr>
      <w:r w:rsidRPr="00346A27">
        <w:t>Protect the public, workers and the environment from radiation exposure</w:t>
      </w:r>
    </w:p>
    <w:p w:rsidR="0063094C" w:rsidRPr="00346A27" w:rsidRDefault="00296009" w:rsidP="000717CC">
      <w:r w:rsidRPr="00346A27">
        <w:t xml:space="preserve">To protect the public from the harmful effects of radiation exposure, ARPANSA gathers up-to-date scientific knowledge to inform its regulatory activities and to provide evidence-based expert advice to the Australian Government and community. In 2015-16, these activities will focus on the assessment of sources of, and exposures to, ionising radiation (naturally occurring as well as resulting from regulated and legacy activities), </w:t>
      </w:r>
      <w:r w:rsidR="000A370A" w:rsidRPr="00346A27">
        <w:t xml:space="preserve">ultraviolet </w:t>
      </w:r>
      <w:r w:rsidR="003C23ED" w:rsidRPr="00346A27">
        <w:t xml:space="preserve">radiation </w:t>
      </w:r>
      <w:r w:rsidR="000A370A" w:rsidRPr="00346A27">
        <w:t>(</w:t>
      </w:r>
      <w:r w:rsidRPr="00346A27">
        <w:t>UV</w:t>
      </w:r>
      <w:r w:rsidR="000A370A" w:rsidRPr="00346A27">
        <w:t>)</w:t>
      </w:r>
      <w:r w:rsidRPr="00346A27">
        <w:t xml:space="preserve">, </w:t>
      </w:r>
      <w:r w:rsidR="000A370A" w:rsidRPr="00346A27">
        <w:t>electromagnetic radiation (</w:t>
      </w:r>
      <w:r w:rsidRPr="00346A27">
        <w:t>EMR</w:t>
      </w:r>
      <w:r w:rsidR="000A370A" w:rsidRPr="00346A27">
        <w:t>)</w:t>
      </w:r>
      <w:r w:rsidRPr="00346A27">
        <w:t>; and associated health and environmental risks.</w:t>
      </w:r>
    </w:p>
    <w:p w:rsidR="0063094C" w:rsidRPr="00346A27" w:rsidRDefault="00296009" w:rsidP="000717CC">
      <w:r w:rsidRPr="00346A27">
        <w:t>ARPANSA will continue to evaluate and monitor work environments to ensure workers are adequately protected and well informed about health risks from exposure to radiation. This includes providing a personal radiation monitoring service to assess worker exposure to ionising radiation and maintenance and expansion of the Australian National Radiation Dose Register.</w:t>
      </w:r>
    </w:p>
    <w:p w:rsidR="0063094C" w:rsidRPr="00346A27" w:rsidRDefault="00296009" w:rsidP="0063094C">
      <w:pPr>
        <w:pStyle w:val="ProgramObjectiveHeading"/>
      </w:pPr>
      <w:r w:rsidRPr="00346A27">
        <w:t>Ensure radiological and nuclear security and emergency preparedness</w:t>
      </w:r>
    </w:p>
    <w:p w:rsidR="0063094C" w:rsidRPr="00346A27" w:rsidRDefault="00296009" w:rsidP="000717CC">
      <w:pPr>
        <w:rPr>
          <w:snapToGrid w:val="0"/>
        </w:rPr>
      </w:pPr>
      <w:r w:rsidRPr="00346A27">
        <w:rPr>
          <w:snapToGrid w:val="0"/>
        </w:rPr>
        <w:t>ARPANSA will continue to develop its own capability, and will support the Australian Government’s and other entities’ capabilities, to deal with nuclear and radiological incidents and emergencies. This will be achieved through</w:t>
      </w:r>
      <w:r w:rsidR="003C23ED" w:rsidRPr="00346A27">
        <w:rPr>
          <w:snapToGrid w:val="0"/>
        </w:rPr>
        <w:t>:</w:t>
      </w:r>
      <w:r w:rsidRPr="00346A27">
        <w:rPr>
          <w:snapToGrid w:val="0"/>
        </w:rPr>
        <w:t xml:space="preserve"> the continued monitoring and control of nuclear and radiological imports and exports across our borders</w:t>
      </w:r>
      <w:r w:rsidR="007D4D8E" w:rsidRPr="00346A27">
        <w:rPr>
          <w:snapToGrid w:val="0"/>
        </w:rPr>
        <w:t xml:space="preserve">; </w:t>
      </w:r>
      <w:r w:rsidRPr="00346A27">
        <w:rPr>
          <w:snapToGrid w:val="0"/>
        </w:rPr>
        <w:t>the execution of ARPANSA’s safety and security monitoring and compliance regime for regulated entities</w:t>
      </w:r>
      <w:r w:rsidR="007D4D8E" w:rsidRPr="00346A27">
        <w:rPr>
          <w:snapToGrid w:val="0"/>
        </w:rPr>
        <w:t xml:space="preserve">; </w:t>
      </w:r>
      <w:r w:rsidRPr="00346A27">
        <w:rPr>
          <w:snapToGrid w:val="0"/>
        </w:rPr>
        <w:t>the development of trained radiation security advisors and emergency response personnel</w:t>
      </w:r>
      <w:r w:rsidR="007D4D8E" w:rsidRPr="00346A27">
        <w:rPr>
          <w:snapToGrid w:val="0"/>
        </w:rPr>
        <w:t xml:space="preserve">; </w:t>
      </w:r>
      <w:r w:rsidRPr="00346A27">
        <w:rPr>
          <w:snapToGrid w:val="0"/>
        </w:rPr>
        <w:t>and the continued engagement in nuclear emergency response planning and exercises, both nationally and internationally. ARPANSA will continue to support a national approach to the secure management of radiological material with the management of a national sealed source register and a secu</w:t>
      </w:r>
      <w:r w:rsidR="000E3AF5" w:rsidRPr="00346A27">
        <w:rPr>
          <w:snapToGrid w:val="0"/>
        </w:rPr>
        <w:t>rity incident reporting system.</w:t>
      </w:r>
    </w:p>
    <w:p w:rsidR="0063094C" w:rsidRPr="00346A27" w:rsidRDefault="00296009" w:rsidP="000717CC">
      <w:pPr>
        <w:pStyle w:val="ProgramObjectiveHeading"/>
      </w:pPr>
      <w:r w:rsidRPr="00346A27">
        <w:t>Promote the effective use of ionising radiation in medicine</w:t>
      </w:r>
    </w:p>
    <w:p w:rsidR="00296009" w:rsidRPr="00346A27" w:rsidRDefault="00296009" w:rsidP="000717CC">
      <w:r w:rsidRPr="00346A27">
        <w:t>In 2015-16, ARPANSA will continue to promote radiation protection of the patient through the safe and effective use of ionising radiation in diagnostic imaging. ARPANSA will continue to conduct surveys of radiation doses from computed tomography, nuclear medicine and interventional fluoroscopy that will either establish or develop Diagnostic Reference Levels for each of these disciplines.</w:t>
      </w:r>
      <w:r w:rsidR="003C23ED" w:rsidRPr="00346A27">
        <w:rPr>
          <w:rStyle w:val="FootnoteReference"/>
        </w:rPr>
        <w:footnoteReference w:id="3"/>
      </w:r>
    </w:p>
    <w:p w:rsidR="00296009" w:rsidRPr="00346A27" w:rsidRDefault="00296009" w:rsidP="000717CC">
      <w:pPr>
        <w:rPr>
          <w:snapToGrid w:val="0"/>
        </w:rPr>
      </w:pPr>
      <w:r w:rsidRPr="00346A27">
        <w:rPr>
          <w:snapToGrid w:val="0"/>
        </w:rPr>
        <w:t>The four year Australian Clinical Dosimetry Service pilot program</w:t>
      </w:r>
      <w:r w:rsidR="000A370A" w:rsidRPr="00346A27">
        <w:rPr>
          <w:snapToGrid w:val="0"/>
        </w:rPr>
        <w:t>me</w:t>
      </w:r>
      <w:r w:rsidRPr="00346A27">
        <w:rPr>
          <w:snapToGrid w:val="0"/>
        </w:rPr>
        <w:t xml:space="preserve"> has developed and delivered a national audit program</w:t>
      </w:r>
      <w:r w:rsidR="00A53DD4" w:rsidRPr="00346A27">
        <w:rPr>
          <w:snapToGrid w:val="0"/>
        </w:rPr>
        <w:t>me</w:t>
      </w:r>
      <w:r w:rsidRPr="00346A27">
        <w:rPr>
          <w:snapToGrid w:val="0"/>
        </w:rPr>
        <w:t xml:space="preserve"> for radiotherapy facilities which ensures that patients undergoing radiation therapy are receiving the correct dose in their treatment. It has been funded to continue until </w:t>
      </w:r>
      <w:r w:rsidR="0036511D" w:rsidRPr="00346A27">
        <w:rPr>
          <w:snapToGrid w:val="0"/>
        </w:rPr>
        <w:t>December</w:t>
      </w:r>
      <w:r w:rsidR="0079382F" w:rsidRPr="00346A27">
        <w:rPr>
          <w:snapToGrid w:val="0"/>
        </w:rPr>
        <w:t> </w:t>
      </w:r>
      <w:r w:rsidR="0036511D" w:rsidRPr="00346A27">
        <w:rPr>
          <w:snapToGrid w:val="0"/>
        </w:rPr>
        <w:t>2016</w:t>
      </w:r>
      <w:r w:rsidR="000E3AF5" w:rsidRPr="00346A27">
        <w:rPr>
          <w:snapToGrid w:val="0"/>
        </w:rPr>
        <w:t xml:space="preserve">. </w:t>
      </w:r>
      <w:r w:rsidR="0079382F" w:rsidRPr="00346A27">
        <w:rPr>
          <w:snapToGrid w:val="0"/>
        </w:rPr>
        <w:t>In </w:t>
      </w:r>
      <w:r w:rsidR="000E3AF5" w:rsidRPr="00346A27">
        <w:rPr>
          <w:snapToGrid w:val="0"/>
        </w:rPr>
        <w:t>2015-16, the program</w:t>
      </w:r>
      <w:r w:rsidR="00EC0710" w:rsidRPr="00346A27">
        <w:rPr>
          <w:snapToGrid w:val="0"/>
        </w:rPr>
        <w:t>me</w:t>
      </w:r>
      <w:r w:rsidR="007D4D8E" w:rsidRPr="00346A27">
        <w:rPr>
          <w:snapToGrid w:val="0"/>
        </w:rPr>
        <w:t xml:space="preserve"> </w:t>
      </w:r>
      <w:r w:rsidRPr="00346A27">
        <w:rPr>
          <w:snapToGrid w:val="0"/>
        </w:rPr>
        <w:t>will engage with stakeholders and design an on-going service incorporating a user contribution to the operational cost.</w:t>
      </w:r>
    </w:p>
    <w:p w:rsidR="00296009" w:rsidRPr="00346A27" w:rsidRDefault="00296009" w:rsidP="000717CC">
      <w:pPr>
        <w:rPr>
          <w:i/>
        </w:rPr>
      </w:pPr>
      <w:r w:rsidRPr="00346A27">
        <w:lastRenderedPageBreak/>
        <w:t xml:space="preserve">ARPANSA will continue to provide traceable calibration services to ensure radiotherapy centres hold correct dose calibration standards. </w:t>
      </w:r>
    </w:p>
    <w:p w:rsidR="00296009" w:rsidRPr="00346A27" w:rsidRDefault="00296009" w:rsidP="000717CC">
      <w:pPr>
        <w:pStyle w:val="ProgramObjectiveHeading"/>
      </w:pPr>
      <w:r w:rsidRPr="00346A27">
        <w:t>Ensure effective and proportionate regulation and enforcement activities</w:t>
      </w:r>
    </w:p>
    <w:p w:rsidR="00880DC3" w:rsidRPr="00346A27" w:rsidRDefault="00296009" w:rsidP="00677A7B">
      <w:r w:rsidRPr="00346A27">
        <w:t xml:space="preserve">ARPANSA is </w:t>
      </w:r>
      <w:r w:rsidR="00A53DD4" w:rsidRPr="00346A27">
        <w:t xml:space="preserve">also </w:t>
      </w:r>
      <w:r w:rsidRPr="00346A27">
        <w:t>committed to the effective and efficient regulation of radiation sources, radiation facilities and nuclear installations, as well as to the safe transport of radioactive material. In 2015-16, ARPANSA will continue to enhance its regulatory framework through implementation and continuous improvement of the new risk-informed regulatory delivery model. It will continue to regulate the use of radiation by Commonwealth entities through licensing, inspection, monitoring, and enforcement when necessary. ARPANSA will also continue to enhance awareness of radiation risks and to promote good practice in radiation protection and nuclear safety. ARPANSA will, in collaboration with State and Territory regulators, continue to further develop the national regulatory framework including the National Directory for Radiation Protection, building upon international best practice to ensure effective, efficient and internationally harmonised regulation and enforcement activities.</w:t>
      </w:r>
      <w:r w:rsidR="000E3AF5" w:rsidRPr="00346A27">
        <w:t xml:space="preserve"> I</w:t>
      </w:r>
      <w:r w:rsidRPr="00346A27">
        <w:t>t will also coordinate and maintain the Australian Radiation Incident Register as a source of important information for regulatory activities.</w:t>
      </w:r>
    </w:p>
    <w:p w:rsidR="007E7063" w:rsidRPr="00346A27" w:rsidRDefault="007E7063" w:rsidP="007E7063">
      <w:pPr>
        <w:pStyle w:val="ProgramDeliverables"/>
      </w:pPr>
      <w:r w:rsidRPr="00346A27">
        <w:t>Programme 1.1: Deliverables</w:t>
      </w:r>
    </w:p>
    <w:p w:rsidR="007E7063" w:rsidRPr="00346A27" w:rsidRDefault="007E7063" w:rsidP="007E7063">
      <w:pPr>
        <w:pStyle w:val="ProgramKPI"/>
      </w:pPr>
      <w:r w:rsidRPr="00346A27">
        <w:t>Qualitative Deliverables for Programme 1.1</w:t>
      </w:r>
    </w:p>
    <w:p w:rsidR="007E7063" w:rsidRPr="00346A27" w:rsidRDefault="007E7063" w:rsidP="002B0C32">
      <w:pPr>
        <w:pStyle w:val="TableHeading"/>
      </w:pPr>
      <w:r w:rsidRPr="00346A27">
        <w:t>Protect the public, workers and environment from radiation exposure</w:t>
      </w:r>
    </w:p>
    <w:tbl>
      <w:tblPr>
        <w:tblW w:w="7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Qualitative Deliverables for ARPANSA"/>
        <w:tblDescription w:val="This table shows the qualitative deliverables for the entity."/>
      </w:tblPr>
      <w:tblGrid>
        <w:gridCol w:w="3806"/>
        <w:gridCol w:w="3827"/>
      </w:tblGrid>
      <w:tr w:rsidR="00346A27" w:rsidRPr="00346A27" w:rsidTr="00CC0C4C">
        <w:trPr>
          <w:cantSplit/>
          <w:trHeight w:val="567"/>
          <w:tblHeader/>
        </w:trPr>
        <w:tc>
          <w:tcPr>
            <w:tcW w:w="3806" w:type="dxa"/>
            <w:tcBorders>
              <w:bottom w:val="single" w:sz="4" w:space="0" w:color="000000"/>
            </w:tcBorders>
            <w:vAlign w:val="center"/>
          </w:tcPr>
          <w:p w:rsidR="007E7063" w:rsidRPr="00346A27" w:rsidRDefault="007E7063" w:rsidP="005C454E">
            <w:pPr>
              <w:pStyle w:val="TableRow1"/>
            </w:pPr>
            <w:r w:rsidRPr="00346A27">
              <w:t>Qualitative Deliverable</w:t>
            </w:r>
            <w:r w:rsidR="00DC58A3" w:rsidRPr="00346A27">
              <w:t>s</w:t>
            </w:r>
          </w:p>
        </w:tc>
        <w:tc>
          <w:tcPr>
            <w:tcW w:w="3827" w:type="dxa"/>
            <w:tcBorders>
              <w:bottom w:val="single" w:sz="4" w:space="0" w:color="000000"/>
            </w:tcBorders>
            <w:vAlign w:val="center"/>
          </w:tcPr>
          <w:p w:rsidR="007E7063" w:rsidRPr="00346A27" w:rsidRDefault="007E7063" w:rsidP="005C454E">
            <w:pPr>
              <w:pStyle w:val="TableRow1"/>
            </w:pPr>
            <w:r w:rsidRPr="00346A27">
              <w:t>201</w:t>
            </w:r>
            <w:r w:rsidR="00105A2B" w:rsidRPr="00346A27">
              <w:t>5</w:t>
            </w:r>
            <w:r w:rsidRPr="00346A27">
              <w:t>-1</w:t>
            </w:r>
            <w:r w:rsidR="00105A2B" w:rsidRPr="00346A27">
              <w:t>6</w:t>
            </w:r>
            <w:r w:rsidRPr="00346A27">
              <w:t xml:space="preserve"> Reference Point or Target</w:t>
            </w:r>
          </w:p>
        </w:tc>
      </w:tr>
      <w:tr w:rsidR="00346A27" w:rsidRPr="00346A27" w:rsidTr="00CC0C4C">
        <w:trPr>
          <w:cantSplit/>
        </w:trPr>
        <w:tc>
          <w:tcPr>
            <w:tcW w:w="3806" w:type="dxa"/>
          </w:tcPr>
          <w:p w:rsidR="00FA00F8" w:rsidRPr="00346A27" w:rsidRDefault="0074114D" w:rsidP="00EB1A2E">
            <w:pPr>
              <w:pStyle w:val="TableText"/>
            </w:pPr>
            <w:r w:rsidRPr="00346A27">
              <w:t>Ensure appropriate strategies are in place to allow individuals and groups to make informed decisions about their risks from radiation exposure.</w:t>
            </w:r>
          </w:p>
        </w:tc>
        <w:tc>
          <w:tcPr>
            <w:tcW w:w="3827" w:type="dxa"/>
          </w:tcPr>
          <w:p w:rsidR="000E3AF5" w:rsidRPr="00346A27" w:rsidRDefault="0074114D" w:rsidP="00EB1A2E">
            <w:pPr>
              <w:pStyle w:val="TableText"/>
            </w:pPr>
            <w:r w:rsidRPr="00346A27">
              <w:t>Adequate information is provided to individuals and groups</w:t>
            </w:r>
            <w:r w:rsidR="000E3AF5" w:rsidRPr="00346A27">
              <w:t>.</w:t>
            </w:r>
          </w:p>
        </w:tc>
      </w:tr>
      <w:tr w:rsidR="00346A27" w:rsidRPr="00346A27" w:rsidTr="00CC0C4C">
        <w:trPr>
          <w:cantSplit/>
        </w:trPr>
        <w:tc>
          <w:tcPr>
            <w:tcW w:w="3806" w:type="dxa"/>
          </w:tcPr>
          <w:p w:rsidR="00880DC3" w:rsidRPr="00346A27" w:rsidRDefault="00880DC3" w:rsidP="00880DC3">
            <w:pPr>
              <w:pStyle w:val="TableText"/>
            </w:pPr>
            <w:r w:rsidRPr="00346A27">
              <w:t>Undertake assessments of worker exposure to ionising radiation</w:t>
            </w:r>
            <w:r w:rsidR="00EB1A2E" w:rsidRPr="00346A27">
              <w:t>.</w:t>
            </w:r>
          </w:p>
        </w:tc>
        <w:tc>
          <w:tcPr>
            <w:tcW w:w="3827" w:type="dxa"/>
          </w:tcPr>
          <w:p w:rsidR="00880DC3" w:rsidRPr="00346A27" w:rsidRDefault="00880DC3" w:rsidP="00880DC3">
            <w:pPr>
              <w:pStyle w:val="TableText"/>
            </w:pPr>
            <w:r w:rsidRPr="00346A27">
              <w:t>Personal radiation monitoring services provided to enable effective monitoring of worker exposure</w:t>
            </w:r>
            <w:r w:rsidR="00EB1A2E" w:rsidRPr="00346A27">
              <w:t>.</w:t>
            </w:r>
          </w:p>
        </w:tc>
      </w:tr>
    </w:tbl>
    <w:p w:rsidR="00FA00F8" w:rsidRPr="00346A27" w:rsidRDefault="00FA00F8" w:rsidP="00FA00F8">
      <w:pPr>
        <w:pStyle w:val="TableHeading"/>
      </w:pPr>
      <w:r w:rsidRPr="00346A27">
        <w:t>Ensure radiological and nuclear security and emergency preparedness</w:t>
      </w:r>
    </w:p>
    <w:tbl>
      <w:tblPr>
        <w:tblW w:w="7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Qualitative Deliverables for ARPANSA"/>
        <w:tblDescription w:val="This table shows the qualitative deliverables for the entity."/>
      </w:tblPr>
      <w:tblGrid>
        <w:gridCol w:w="3806"/>
        <w:gridCol w:w="3827"/>
      </w:tblGrid>
      <w:tr w:rsidR="00346A27" w:rsidRPr="00346A27" w:rsidTr="00CC0C4C">
        <w:trPr>
          <w:cantSplit/>
          <w:trHeight w:val="567"/>
          <w:tblHeader/>
        </w:trPr>
        <w:tc>
          <w:tcPr>
            <w:tcW w:w="3806" w:type="dxa"/>
            <w:tcBorders>
              <w:bottom w:val="single" w:sz="4" w:space="0" w:color="000000"/>
            </w:tcBorders>
            <w:vAlign w:val="center"/>
          </w:tcPr>
          <w:p w:rsidR="00FA00F8" w:rsidRPr="00346A27" w:rsidRDefault="00FA00F8" w:rsidP="00A965F1">
            <w:pPr>
              <w:pStyle w:val="TableRow1"/>
            </w:pPr>
            <w:r w:rsidRPr="00346A27">
              <w:t>Qualitative Deliverable</w:t>
            </w:r>
          </w:p>
        </w:tc>
        <w:tc>
          <w:tcPr>
            <w:tcW w:w="3827" w:type="dxa"/>
            <w:tcBorders>
              <w:bottom w:val="single" w:sz="4" w:space="0" w:color="000000"/>
            </w:tcBorders>
            <w:vAlign w:val="center"/>
          </w:tcPr>
          <w:p w:rsidR="00FA00F8" w:rsidRPr="00346A27" w:rsidRDefault="00FA00F8" w:rsidP="00A965F1">
            <w:pPr>
              <w:pStyle w:val="TableRow1"/>
            </w:pPr>
            <w:r w:rsidRPr="00346A27">
              <w:t>2015-16 Reference Point or Target</w:t>
            </w:r>
          </w:p>
        </w:tc>
      </w:tr>
      <w:tr w:rsidR="00346A27" w:rsidRPr="00346A27" w:rsidTr="00CC0C4C">
        <w:trPr>
          <w:cantSplit/>
        </w:trPr>
        <w:tc>
          <w:tcPr>
            <w:tcW w:w="3806" w:type="dxa"/>
          </w:tcPr>
          <w:p w:rsidR="00FA00F8" w:rsidRPr="00346A27" w:rsidRDefault="00FA00F8" w:rsidP="00A965F1">
            <w:pPr>
              <w:pStyle w:val="TableText"/>
            </w:pPr>
            <w:r w:rsidRPr="00346A27">
              <w:t>Enhanced system for response to radiological and nuclear threats and events consistent with international guidance and best practice</w:t>
            </w:r>
            <w:r w:rsidR="00EB1A2E" w:rsidRPr="00346A27">
              <w:t>.</w:t>
            </w:r>
          </w:p>
        </w:tc>
        <w:tc>
          <w:tcPr>
            <w:tcW w:w="3827" w:type="dxa"/>
          </w:tcPr>
          <w:p w:rsidR="00FA00F8" w:rsidRPr="00346A27" w:rsidRDefault="00FA00F8" w:rsidP="00A965F1">
            <w:pPr>
              <w:pStyle w:val="TableText"/>
            </w:pPr>
            <w:r w:rsidRPr="00346A27">
              <w:t>Effective integration of ARPANSA’s Emergency Preparedness and Response Manual into national planning arrangements.</w:t>
            </w:r>
          </w:p>
        </w:tc>
      </w:tr>
    </w:tbl>
    <w:p w:rsidR="00DB2BC4" w:rsidRPr="00346A27" w:rsidRDefault="00DB2BC4" w:rsidP="00677A7B">
      <w:r w:rsidRPr="00346A27">
        <w:br w:type="page"/>
      </w:r>
    </w:p>
    <w:p w:rsidR="007E7063" w:rsidRPr="00346A27" w:rsidRDefault="007E7063" w:rsidP="007E7063">
      <w:pPr>
        <w:pStyle w:val="ProgramKPI"/>
      </w:pPr>
      <w:r w:rsidRPr="00346A27">
        <w:lastRenderedPageBreak/>
        <w:t>Quantitative Deliverables for Programme 1.1</w:t>
      </w:r>
    </w:p>
    <w:p w:rsidR="007E7063" w:rsidRPr="00346A27" w:rsidRDefault="007E7063" w:rsidP="002B0C32">
      <w:pPr>
        <w:pStyle w:val="TableHeading"/>
      </w:pPr>
      <w:r w:rsidRPr="00346A27">
        <w:t>Ensure effective</w:t>
      </w:r>
      <w:r w:rsidR="00A20E06" w:rsidRPr="00346A27">
        <w:t xml:space="preserve"> and proportionate</w:t>
      </w:r>
      <w:r w:rsidRPr="00346A27">
        <w:t xml:space="preserve"> regulation and enforcement activities</w:t>
      </w:r>
    </w:p>
    <w:tbl>
      <w:tblPr>
        <w:tblW w:w="7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Quantitative Deliverables for ARPANSA"/>
        <w:tblDescription w:val="This table shows the quantitative deliverables for the entity."/>
      </w:tblPr>
      <w:tblGrid>
        <w:gridCol w:w="2551"/>
        <w:gridCol w:w="1020"/>
        <w:gridCol w:w="1020"/>
        <w:gridCol w:w="1020"/>
        <w:gridCol w:w="1020"/>
        <w:gridCol w:w="1020"/>
      </w:tblGrid>
      <w:tr w:rsidR="00346A27" w:rsidRPr="00346A27" w:rsidTr="00CC0C4C">
        <w:trPr>
          <w:cantSplit/>
          <w:trHeight w:val="1021"/>
          <w:tblHeader/>
        </w:trPr>
        <w:tc>
          <w:tcPr>
            <w:tcW w:w="2551" w:type="dxa"/>
            <w:tcBorders>
              <w:bottom w:val="single" w:sz="4" w:space="0" w:color="000000"/>
            </w:tcBorders>
            <w:vAlign w:val="center"/>
          </w:tcPr>
          <w:p w:rsidR="007E7063" w:rsidRPr="00346A27" w:rsidRDefault="007E7063" w:rsidP="0062303E">
            <w:pPr>
              <w:pStyle w:val="TableRow1"/>
            </w:pPr>
            <w:r w:rsidRPr="00346A27">
              <w:t>Quantitative Deliverable</w:t>
            </w:r>
          </w:p>
        </w:tc>
        <w:tc>
          <w:tcPr>
            <w:tcW w:w="1020" w:type="dxa"/>
            <w:tcBorders>
              <w:bottom w:val="single" w:sz="4" w:space="0" w:color="000000"/>
            </w:tcBorders>
            <w:vAlign w:val="center"/>
          </w:tcPr>
          <w:p w:rsidR="007E7063" w:rsidRPr="00346A27" w:rsidRDefault="007E7063" w:rsidP="0062303E">
            <w:pPr>
              <w:pStyle w:val="TableRow1"/>
            </w:pPr>
            <w:r w:rsidRPr="00346A27">
              <w:t>201</w:t>
            </w:r>
            <w:r w:rsidR="00105A2B" w:rsidRPr="00346A27">
              <w:t>4</w:t>
            </w:r>
            <w:r w:rsidRPr="00346A27">
              <w:t>-1</w:t>
            </w:r>
            <w:r w:rsidR="00105A2B" w:rsidRPr="00346A27">
              <w:t>5</w:t>
            </w:r>
            <w:r w:rsidRPr="00346A27">
              <w:t xml:space="preserve"> Revised Budget</w:t>
            </w:r>
          </w:p>
        </w:tc>
        <w:tc>
          <w:tcPr>
            <w:tcW w:w="1020" w:type="dxa"/>
            <w:tcBorders>
              <w:bottom w:val="single" w:sz="4" w:space="0" w:color="000000"/>
            </w:tcBorders>
            <w:shd w:val="clear" w:color="auto" w:fill="D9D9D9"/>
            <w:vAlign w:val="center"/>
          </w:tcPr>
          <w:p w:rsidR="007E7063" w:rsidRPr="00346A27" w:rsidRDefault="007E7063" w:rsidP="0062303E">
            <w:pPr>
              <w:pStyle w:val="TableRow1"/>
            </w:pPr>
            <w:r w:rsidRPr="00346A27">
              <w:t>201</w:t>
            </w:r>
            <w:r w:rsidR="00105A2B" w:rsidRPr="00346A27">
              <w:t>5</w:t>
            </w:r>
            <w:r w:rsidRPr="00346A27">
              <w:t>-1</w:t>
            </w:r>
            <w:r w:rsidR="00105A2B" w:rsidRPr="00346A27">
              <w:t>6</w:t>
            </w:r>
            <w:r w:rsidRPr="00346A27">
              <w:t xml:space="preserve"> Budget</w:t>
            </w:r>
            <w:r w:rsidRPr="00346A27">
              <w:br/>
              <w:t>Target</w:t>
            </w:r>
          </w:p>
        </w:tc>
        <w:tc>
          <w:tcPr>
            <w:tcW w:w="1020" w:type="dxa"/>
            <w:tcBorders>
              <w:bottom w:val="single" w:sz="4" w:space="0" w:color="000000"/>
            </w:tcBorders>
            <w:vAlign w:val="center"/>
          </w:tcPr>
          <w:p w:rsidR="007E7063" w:rsidRPr="00346A27" w:rsidRDefault="007E7063" w:rsidP="0062303E">
            <w:pPr>
              <w:pStyle w:val="TableRow1"/>
            </w:pPr>
            <w:r w:rsidRPr="00346A27">
              <w:t>201</w:t>
            </w:r>
            <w:r w:rsidR="00105A2B" w:rsidRPr="00346A27">
              <w:t>6</w:t>
            </w:r>
            <w:r w:rsidRPr="00346A27">
              <w:t>-1</w:t>
            </w:r>
            <w:r w:rsidR="00105A2B" w:rsidRPr="00346A27">
              <w:t>7</w:t>
            </w:r>
            <w:r w:rsidRPr="00346A27">
              <w:t xml:space="preserve"> Forward </w:t>
            </w:r>
            <w:r w:rsidRPr="00346A27">
              <w:br/>
              <w:t>Year 1</w:t>
            </w:r>
          </w:p>
        </w:tc>
        <w:tc>
          <w:tcPr>
            <w:tcW w:w="1020" w:type="dxa"/>
            <w:tcBorders>
              <w:bottom w:val="single" w:sz="4" w:space="0" w:color="000000"/>
            </w:tcBorders>
            <w:vAlign w:val="center"/>
          </w:tcPr>
          <w:p w:rsidR="007E7063" w:rsidRPr="00346A27" w:rsidRDefault="007E7063" w:rsidP="0062303E">
            <w:pPr>
              <w:pStyle w:val="TableRow1"/>
            </w:pPr>
            <w:r w:rsidRPr="00346A27">
              <w:t>201</w:t>
            </w:r>
            <w:r w:rsidR="00105A2B" w:rsidRPr="00346A27">
              <w:t>7</w:t>
            </w:r>
            <w:r w:rsidRPr="00346A27">
              <w:t>-1</w:t>
            </w:r>
            <w:r w:rsidR="00105A2B" w:rsidRPr="00346A27">
              <w:t>8</w:t>
            </w:r>
            <w:r w:rsidRPr="00346A27">
              <w:t xml:space="preserve"> Forward </w:t>
            </w:r>
            <w:r w:rsidRPr="00346A27">
              <w:br/>
              <w:t>Year 2</w:t>
            </w:r>
          </w:p>
        </w:tc>
        <w:tc>
          <w:tcPr>
            <w:tcW w:w="1020" w:type="dxa"/>
            <w:tcBorders>
              <w:bottom w:val="single" w:sz="4" w:space="0" w:color="000000"/>
            </w:tcBorders>
            <w:vAlign w:val="center"/>
          </w:tcPr>
          <w:p w:rsidR="007E7063" w:rsidRPr="00346A27" w:rsidRDefault="007E7063" w:rsidP="0062303E">
            <w:pPr>
              <w:pStyle w:val="TableRow1"/>
            </w:pPr>
            <w:r w:rsidRPr="00346A27">
              <w:t>201</w:t>
            </w:r>
            <w:r w:rsidR="00105A2B" w:rsidRPr="00346A27">
              <w:t>8</w:t>
            </w:r>
            <w:r w:rsidRPr="00346A27">
              <w:t>-1</w:t>
            </w:r>
            <w:r w:rsidR="00105A2B" w:rsidRPr="00346A27">
              <w:t>9</w:t>
            </w:r>
            <w:r w:rsidRPr="00346A27">
              <w:t xml:space="preserve"> Forward </w:t>
            </w:r>
            <w:r w:rsidRPr="00346A27">
              <w:br/>
              <w:t>Year 3</w:t>
            </w:r>
          </w:p>
        </w:tc>
      </w:tr>
      <w:tr w:rsidR="00346A27" w:rsidRPr="00346A27" w:rsidTr="00CC0C4C">
        <w:trPr>
          <w:cantSplit/>
        </w:trPr>
        <w:tc>
          <w:tcPr>
            <w:tcW w:w="2551" w:type="dxa"/>
          </w:tcPr>
          <w:p w:rsidR="00FA00F8" w:rsidRPr="00346A27" w:rsidRDefault="00FA00F8" w:rsidP="00A20E06">
            <w:pPr>
              <w:pStyle w:val="TableText"/>
            </w:pPr>
            <w:r w:rsidRPr="00346A27">
              <w:t>Percentage of scheduled inspections performed on time for licensed Commonwealth radiation sources, facilities and nuclear installations</w:t>
            </w:r>
            <w:r w:rsidR="00EB1A2E" w:rsidRPr="00346A27">
              <w:t>.</w:t>
            </w:r>
          </w:p>
        </w:tc>
        <w:tc>
          <w:tcPr>
            <w:tcW w:w="1020" w:type="dxa"/>
            <w:vAlign w:val="center"/>
          </w:tcPr>
          <w:p w:rsidR="00FA00F8" w:rsidRPr="00346A27" w:rsidRDefault="00FA00F8" w:rsidP="00A95996">
            <w:pPr>
              <w:pStyle w:val="TableFigures"/>
            </w:pPr>
            <w:r w:rsidRPr="00346A27">
              <w:t>N/A</w:t>
            </w:r>
            <w:r w:rsidR="00DC58A3" w:rsidRPr="00346A27">
              <w:rPr>
                <w:rStyle w:val="FootnoteReference"/>
              </w:rPr>
              <w:footnoteReference w:id="4"/>
            </w:r>
          </w:p>
        </w:tc>
        <w:tc>
          <w:tcPr>
            <w:tcW w:w="1020" w:type="dxa"/>
            <w:shd w:val="clear" w:color="auto" w:fill="D9D9D9"/>
            <w:vAlign w:val="center"/>
          </w:tcPr>
          <w:p w:rsidR="00FA00F8" w:rsidRPr="00346A27" w:rsidRDefault="00FA00F8" w:rsidP="00A95996">
            <w:pPr>
              <w:pStyle w:val="TableFigures"/>
            </w:pPr>
            <w:r w:rsidRPr="00346A27">
              <w:t>&gt;90%</w:t>
            </w:r>
          </w:p>
        </w:tc>
        <w:tc>
          <w:tcPr>
            <w:tcW w:w="1020" w:type="dxa"/>
            <w:vAlign w:val="center"/>
          </w:tcPr>
          <w:p w:rsidR="00FA00F8" w:rsidRPr="00346A27" w:rsidRDefault="00FA00F8" w:rsidP="00A95996">
            <w:pPr>
              <w:pStyle w:val="TableFigures"/>
            </w:pPr>
            <w:r w:rsidRPr="00346A27">
              <w:t>&gt;90%</w:t>
            </w:r>
          </w:p>
        </w:tc>
        <w:tc>
          <w:tcPr>
            <w:tcW w:w="1020" w:type="dxa"/>
            <w:vAlign w:val="center"/>
          </w:tcPr>
          <w:p w:rsidR="00FA00F8" w:rsidRPr="00346A27" w:rsidRDefault="00FA00F8" w:rsidP="00A95996">
            <w:pPr>
              <w:pStyle w:val="TableFigures"/>
            </w:pPr>
            <w:r w:rsidRPr="00346A27">
              <w:t>&gt;90%</w:t>
            </w:r>
          </w:p>
        </w:tc>
        <w:tc>
          <w:tcPr>
            <w:tcW w:w="1020" w:type="dxa"/>
            <w:vAlign w:val="center"/>
          </w:tcPr>
          <w:p w:rsidR="00FA00F8" w:rsidRPr="00346A27" w:rsidRDefault="00FA00F8" w:rsidP="00A95996">
            <w:pPr>
              <w:pStyle w:val="TableFigures"/>
            </w:pPr>
            <w:r w:rsidRPr="00346A27">
              <w:t>&gt;90%</w:t>
            </w:r>
          </w:p>
        </w:tc>
      </w:tr>
    </w:tbl>
    <w:p w:rsidR="00A20E06" w:rsidRPr="00346A27" w:rsidRDefault="007E7063" w:rsidP="00880822">
      <w:pPr>
        <w:pStyle w:val="ProgramDeliverables"/>
      </w:pPr>
      <w:r w:rsidRPr="00346A27">
        <w:t>Programme 1.1: Key Performance Indicators</w:t>
      </w:r>
    </w:p>
    <w:p w:rsidR="00A20E06" w:rsidRPr="00346A27" w:rsidRDefault="007E7063" w:rsidP="00880822">
      <w:pPr>
        <w:pStyle w:val="ProgramKPI"/>
      </w:pPr>
      <w:r w:rsidRPr="00346A27">
        <w:t>Qualitative Key Performance Indicators for Programme 1.1</w:t>
      </w:r>
    </w:p>
    <w:p w:rsidR="007E7063" w:rsidRPr="00346A27" w:rsidRDefault="007E7063" w:rsidP="00880822">
      <w:pPr>
        <w:pStyle w:val="TableHeading"/>
      </w:pPr>
      <w:r w:rsidRPr="00346A27">
        <w:t>Protect the public, workers and environment from radiation exposure</w:t>
      </w:r>
    </w:p>
    <w:tbl>
      <w:tblPr>
        <w:tblW w:w="7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Qualitative Key Performance Indicators for ARPANSA"/>
        <w:tblDescription w:val="This table shows the qualitative key performance indicators for the entity."/>
      </w:tblPr>
      <w:tblGrid>
        <w:gridCol w:w="3800"/>
        <w:gridCol w:w="3827"/>
      </w:tblGrid>
      <w:tr w:rsidR="00346A27" w:rsidRPr="00346A27" w:rsidTr="00CC0C4C">
        <w:trPr>
          <w:cantSplit/>
          <w:trHeight w:val="567"/>
          <w:tblHeader/>
        </w:trPr>
        <w:tc>
          <w:tcPr>
            <w:tcW w:w="3800" w:type="dxa"/>
            <w:tcBorders>
              <w:bottom w:val="single" w:sz="4" w:space="0" w:color="000000"/>
            </w:tcBorders>
            <w:vAlign w:val="center"/>
          </w:tcPr>
          <w:p w:rsidR="007E7063" w:rsidRPr="00346A27" w:rsidRDefault="007E7063" w:rsidP="0062303E">
            <w:pPr>
              <w:pStyle w:val="TableRow1"/>
            </w:pPr>
            <w:r w:rsidRPr="00346A27">
              <w:t>Qualitative Indicators</w:t>
            </w:r>
          </w:p>
        </w:tc>
        <w:tc>
          <w:tcPr>
            <w:tcW w:w="3827" w:type="dxa"/>
            <w:tcBorders>
              <w:bottom w:val="single" w:sz="4" w:space="0" w:color="000000"/>
            </w:tcBorders>
            <w:vAlign w:val="center"/>
          </w:tcPr>
          <w:p w:rsidR="007E7063" w:rsidRPr="00346A27" w:rsidRDefault="007E7063" w:rsidP="0062303E">
            <w:pPr>
              <w:pStyle w:val="TableRow1"/>
            </w:pPr>
            <w:r w:rsidRPr="00346A27">
              <w:t>201</w:t>
            </w:r>
            <w:r w:rsidR="00105A2B" w:rsidRPr="00346A27">
              <w:t>5</w:t>
            </w:r>
            <w:r w:rsidRPr="00346A27">
              <w:t>-1</w:t>
            </w:r>
            <w:r w:rsidR="00105A2B" w:rsidRPr="00346A27">
              <w:t>6</w:t>
            </w:r>
            <w:r w:rsidRPr="00346A27">
              <w:t xml:space="preserve"> Reference Point or Target</w:t>
            </w:r>
          </w:p>
        </w:tc>
      </w:tr>
      <w:tr w:rsidR="00346A27" w:rsidRPr="00346A27" w:rsidTr="00CC0C4C">
        <w:trPr>
          <w:cantSplit/>
        </w:trPr>
        <w:tc>
          <w:tcPr>
            <w:tcW w:w="3800" w:type="dxa"/>
            <w:shd w:val="clear" w:color="auto" w:fill="auto"/>
          </w:tcPr>
          <w:p w:rsidR="007E7063" w:rsidRPr="00346A27" w:rsidRDefault="007E7063" w:rsidP="00866F2D">
            <w:pPr>
              <w:pStyle w:val="TableText"/>
              <w:rPr>
                <w:rFonts w:cs="Aharoni"/>
              </w:rPr>
            </w:pPr>
            <w:r w:rsidRPr="00346A27">
              <w:rPr>
                <w:snapToGrid w:val="0"/>
              </w:rPr>
              <w:t>Relevant and timely advice for Australian Government decision-making</w:t>
            </w:r>
            <w:r w:rsidR="00EB1A2E" w:rsidRPr="00346A27">
              <w:rPr>
                <w:snapToGrid w:val="0"/>
              </w:rPr>
              <w:t>.</w:t>
            </w:r>
          </w:p>
        </w:tc>
        <w:tc>
          <w:tcPr>
            <w:tcW w:w="3827" w:type="dxa"/>
            <w:shd w:val="clear" w:color="auto" w:fill="auto"/>
          </w:tcPr>
          <w:p w:rsidR="007E7063" w:rsidRPr="00346A27" w:rsidRDefault="007E7063" w:rsidP="0062303E">
            <w:pPr>
              <w:pStyle w:val="TableText"/>
            </w:pPr>
            <w:r w:rsidRPr="00346A27">
              <w:t>Advice assessed as relevant and timely by the Assistant Minister for Health</w:t>
            </w:r>
            <w:r w:rsidR="00EB1A2E" w:rsidRPr="00346A27">
              <w:t>.</w:t>
            </w:r>
          </w:p>
        </w:tc>
      </w:tr>
      <w:tr w:rsidR="00346A27" w:rsidRPr="00346A27" w:rsidTr="00CC0C4C">
        <w:trPr>
          <w:cantSplit/>
        </w:trPr>
        <w:tc>
          <w:tcPr>
            <w:tcW w:w="3800" w:type="dxa"/>
            <w:shd w:val="clear" w:color="auto" w:fill="auto"/>
          </w:tcPr>
          <w:p w:rsidR="007E7063" w:rsidRPr="00346A27" w:rsidRDefault="0075108D" w:rsidP="0075108D">
            <w:pPr>
              <w:pStyle w:val="TableText"/>
            </w:pPr>
            <w:r w:rsidRPr="00346A27">
              <w:t xml:space="preserve">Monitor radiation </w:t>
            </w:r>
            <w:r w:rsidR="007E7063" w:rsidRPr="00346A27">
              <w:t>doses to uranium mining workers</w:t>
            </w:r>
            <w:r w:rsidR="00EB1A2E" w:rsidRPr="00346A27">
              <w:t>.</w:t>
            </w:r>
          </w:p>
        </w:tc>
        <w:tc>
          <w:tcPr>
            <w:tcW w:w="3827" w:type="dxa"/>
            <w:shd w:val="clear" w:color="auto" w:fill="auto"/>
          </w:tcPr>
          <w:p w:rsidR="007E7063" w:rsidRPr="00346A27" w:rsidRDefault="007E7063" w:rsidP="0062303E">
            <w:pPr>
              <w:pStyle w:val="TableText"/>
              <w:rPr>
                <w:rFonts w:cs="Aharoni"/>
              </w:rPr>
            </w:pPr>
            <w:r w:rsidRPr="00346A27">
              <w:t>Annual reporting of trend in radiation doses received by workers compiled from Australian National Radiation Dose Register provides evidence of optimisation of radiation protection in the uranium mining industry</w:t>
            </w:r>
            <w:r w:rsidR="00EB1A2E" w:rsidRPr="00346A27">
              <w:t>.</w:t>
            </w:r>
          </w:p>
        </w:tc>
      </w:tr>
    </w:tbl>
    <w:p w:rsidR="00CB774A" w:rsidRPr="00346A27" w:rsidRDefault="00CB774A" w:rsidP="00EB0950">
      <w:r w:rsidRPr="00346A27">
        <w:br w:type="page"/>
      </w:r>
    </w:p>
    <w:p w:rsidR="007E7063" w:rsidRPr="00346A27" w:rsidRDefault="007E7063" w:rsidP="007E7063">
      <w:pPr>
        <w:pStyle w:val="ProgramKPI"/>
      </w:pPr>
      <w:r w:rsidRPr="00346A27">
        <w:lastRenderedPageBreak/>
        <w:t>Quantitative Key Performance Indicators for Programme 1.1</w:t>
      </w:r>
    </w:p>
    <w:p w:rsidR="00423271" w:rsidRPr="00346A27" w:rsidRDefault="00423271" w:rsidP="00423271">
      <w:pPr>
        <w:pStyle w:val="TableHeading"/>
      </w:pPr>
      <w:r w:rsidRPr="00346A27">
        <w:t>Promote the effective use of ionising radiation in medicine</w:t>
      </w:r>
    </w:p>
    <w:tbl>
      <w:tblPr>
        <w:tblW w:w="7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Quantitative Key Performance Indicators for ARPANSA"/>
        <w:tblDescription w:val="This table shows the quantitative key performance indicators for the entity."/>
      </w:tblPr>
      <w:tblGrid>
        <w:gridCol w:w="2551"/>
        <w:gridCol w:w="1020"/>
        <w:gridCol w:w="1020"/>
        <w:gridCol w:w="1020"/>
        <w:gridCol w:w="1020"/>
        <w:gridCol w:w="1020"/>
      </w:tblGrid>
      <w:tr w:rsidR="00346A27" w:rsidRPr="00346A27" w:rsidTr="00CC0C4C">
        <w:trPr>
          <w:cantSplit/>
          <w:trHeight w:val="1021"/>
          <w:tblHeader/>
        </w:trPr>
        <w:tc>
          <w:tcPr>
            <w:tcW w:w="2551" w:type="dxa"/>
            <w:vAlign w:val="center"/>
          </w:tcPr>
          <w:p w:rsidR="00423271" w:rsidRPr="00346A27" w:rsidRDefault="00423271" w:rsidP="00A965F1">
            <w:pPr>
              <w:pStyle w:val="TableRow1"/>
            </w:pPr>
            <w:r w:rsidRPr="00346A27">
              <w:t xml:space="preserve">Quantitative </w:t>
            </w:r>
            <w:r w:rsidRPr="00346A27">
              <w:br/>
              <w:t>Indicator</w:t>
            </w:r>
            <w:r w:rsidR="0079382F" w:rsidRPr="00346A27">
              <w:t>s</w:t>
            </w:r>
          </w:p>
        </w:tc>
        <w:tc>
          <w:tcPr>
            <w:tcW w:w="1020" w:type="dxa"/>
            <w:vAlign w:val="center"/>
          </w:tcPr>
          <w:p w:rsidR="00423271" w:rsidRPr="00346A27" w:rsidRDefault="00423271" w:rsidP="00A965F1">
            <w:pPr>
              <w:pStyle w:val="TableRow1"/>
            </w:pPr>
            <w:r w:rsidRPr="00346A27">
              <w:t>2014-15 Revised Budget</w:t>
            </w:r>
          </w:p>
        </w:tc>
        <w:tc>
          <w:tcPr>
            <w:tcW w:w="1020" w:type="dxa"/>
            <w:shd w:val="clear" w:color="auto" w:fill="D9D9D9"/>
            <w:vAlign w:val="center"/>
          </w:tcPr>
          <w:p w:rsidR="00423271" w:rsidRPr="00346A27" w:rsidRDefault="00423271" w:rsidP="00A965F1">
            <w:pPr>
              <w:pStyle w:val="TableRow1"/>
            </w:pPr>
            <w:r w:rsidRPr="00346A27">
              <w:t>2015-16 Budget</w:t>
            </w:r>
            <w:r w:rsidRPr="00346A27">
              <w:br/>
              <w:t>Target</w:t>
            </w:r>
          </w:p>
        </w:tc>
        <w:tc>
          <w:tcPr>
            <w:tcW w:w="1020" w:type="dxa"/>
            <w:vAlign w:val="center"/>
          </w:tcPr>
          <w:p w:rsidR="00423271" w:rsidRPr="00346A27" w:rsidRDefault="00423271" w:rsidP="00EB0950">
            <w:pPr>
              <w:pStyle w:val="TableRow1"/>
            </w:pPr>
            <w:r w:rsidRPr="00346A27">
              <w:t>2016-17 Forward</w:t>
            </w:r>
            <w:r w:rsidRPr="00346A27">
              <w:br/>
              <w:t>Year 1</w:t>
            </w:r>
          </w:p>
        </w:tc>
        <w:tc>
          <w:tcPr>
            <w:tcW w:w="1020" w:type="dxa"/>
            <w:vAlign w:val="center"/>
          </w:tcPr>
          <w:p w:rsidR="00423271" w:rsidRPr="00346A27" w:rsidRDefault="00423271" w:rsidP="00EB0950">
            <w:pPr>
              <w:pStyle w:val="TableRow1"/>
            </w:pPr>
            <w:r w:rsidRPr="00346A27">
              <w:t>2017-18 Forward</w:t>
            </w:r>
            <w:r w:rsidRPr="00346A27">
              <w:br/>
              <w:t>Year 2</w:t>
            </w:r>
          </w:p>
        </w:tc>
        <w:tc>
          <w:tcPr>
            <w:tcW w:w="1020" w:type="dxa"/>
            <w:vAlign w:val="center"/>
          </w:tcPr>
          <w:p w:rsidR="00423271" w:rsidRPr="00346A27" w:rsidRDefault="00423271" w:rsidP="00EB0950">
            <w:pPr>
              <w:pStyle w:val="TableRow1"/>
            </w:pPr>
            <w:r w:rsidRPr="00346A27">
              <w:t>2018-19 Forward</w:t>
            </w:r>
            <w:r w:rsidRPr="00346A27">
              <w:br/>
              <w:t>Year 3</w:t>
            </w:r>
          </w:p>
        </w:tc>
      </w:tr>
      <w:tr w:rsidR="00346A27" w:rsidRPr="00346A27" w:rsidTr="00CC0C4C">
        <w:tblPrEx>
          <w:tblCellMar>
            <w:left w:w="0" w:type="dxa"/>
            <w:right w:w="0" w:type="dxa"/>
          </w:tblCellMar>
        </w:tblPrEx>
        <w:trPr>
          <w:cantSplit/>
        </w:trPr>
        <w:tc>
          <w:tcPr>
            <w:tcW w:w="2551" w:type="dxa"/>
            <w:tcMar>
              <w:top w:w="0" w:type="dxa"/>
              <w:left w:w="108" w:type="dxa"/>
              <w:bottom w:w="0" w:type="dxa"/>
              <w:right w:w="108" w:type="dxa"/>
            </w:tcMar>
            <w:hideMark/>
          </w:tcPr>
          <w:p w:rsidR="00423271" w:rsidRPr="00346A27" w:rsidRDefault="00423271" w:rsidP="00A965F1">
            <w:pPr>
              <w:pStyle w:val="TableText"/>
            </w:pPr>
            <w:r w:rsidRPr="00346A27">
              <w:t xml:space="preserve">Percentage of Australian Radiotherapy Providers participating in the national </w:t>
            </w:r>
            <w:proofErr w:type="spellStart"/>
            <w:r w:rsidRPr="00346A27">
              <w:t>dosimetric</w:t>
            </w:r>
            <w:proofErr w:type="spellEnd"/>
            <w:r w:rsidRPr="00346A27">
              <w:t xml:space="preserve"> auditing program</w:t>
            </w:r>
            <w:r w:rsidR="00196449" w:rsidRPr="00346A27">
              <w:t>me</w:t>
            </w:r>
            <w:r w:rsidRPr="00346A27">
              <w:t xml:space="preserve"> provided by the Australian Clinical Dosimetry Service</w:t>
            </w:r>
            <w:r w:rsidR="00EB1A2E" w:rsidRPr="00346A27">
              <w:t>.</w:t>
            </w:r>
          </w:p>
        </w:tc>
        <w:tc>
          <w:tcPr>
            <w:tcW w:w="1020" w:type="dxa"/>
            <w:tcMar>
              <w:top w:w="0" w:type="dxa"/>
              <w:left w:w="108" w:type="dxa"/>
              <w:bottom w:w="0" w:type="dxa"/>
              <w:right w:w="108" w:type="dxa"/>
            </w:tcMar>
            <w:vAlign w:val="center"/>
            <w:hideMark/>
          </w:tcPr>
          <w:p w:rsidR="00423271" w:rsidRPr="00346A27" w:rsidRDefault="00423271" w:rsidP="00A965F1">
            <w:pPr>
              <w:pStyle w:val="TableFigures"/>
            </w:pPr>
            <w:r w:rsidRPr="00346A27">
              <w:t>N/A</w:t>
            </w:r>
            <w:r w:rsidR="00DC58A3" w:rsidRPr="00346A27">
              <w:rPr>
                <w:rStyle w:val="FootnoteReference"/>
              </w:rPr>
              <w:footnoteReference w:id="5"/>
            </w:r>
          </w:p>
        </w:tc>
        <w:tc>
          <w:tcPr>
            <w:tcW w:w="1020" w:type="dxa"/>
            <w:shd w:val="clear" w:color="auto" w:fill="D9D9D9"/>
            <w:tcMar>
              <w:top w:w="0" w:type="dxa"/>
              <w:left w:w="108" w:type="dxa"/>
              <w:bottom w:w="0" w:type="dxa"/>
              <w:right w:w="108" w:type="dxa"/>
            </w:tcMar>
            <w:vAlign w:val="center"/>
            <w:hideMark/>
          </w:tcPr>
          <w:p w:rsidR="00423271" w:rsidRPr="00346A27" w:rsidRDefault="00423271" w:rsidP="00A965F1">
            <w:pPr>
              <w:pStyle w:val="TableFigures"/>
            </w:pPr>
            <w:r w:rsidRPr="00346A27">
              <w:t>&gt;95%</w:t>
            </w:r>
          </w:p>
        </w:tc>
        <w:tc>
          <w:tcPr>
            <w:tcW w:w="1020" w:type="dxa"/>
            <w:tcMar>
              <w:top w:w="0" w:type="dxa"/>
              <w:left w:w="108" w:type="dxa"/>
              <w:bottom w:w="0" w:type="dxa"/>
              <w:right w:w="108" w:type="dxa"/>
            </w:tcMar>
            <w:vAlign w:val="center"/>
            <w:hideMark/>
          </w:tcPr>
          <w:p w:rsidR="00423271" w:rsidRPr="00346A27" w:rsidRDefault="00423271" w:rsidP="000E3AF5">
            <w:pPr>
              <w:pStyle w:val="TableFigures"/>
            </w:pPr>
            <w:r w:rsidRPr="00346A27">
              <w:t>&gt;80%</w:t>
            </w:r>
            <w:r w:rsidR="009F0DA2" w:rsidRPr="00346A27">
              <w:rPr>
                <w:rStyle w:val="FootnoteReference"/>
              </w:rPr>
              <w:footnoteReference w:id="6"/>
            </w:r>
          </w:p>
        </w:tc>
        <w:tc>
          <w:tcPr>
            <w:tcW w:w="1020" w:type="dxa"/>
            <w:tcMar>
              <w:top w:w="0" w:type="dxa"/>
              <w:left w:w="108" w:type="dxa"/>
              <w:bottom w:w="0" w:type="dxa"/>
              <w:right w:w="108" w:type="dxa"/>
            </w:tcMar>
            <w:vAlign w:val="center"/>
            <w:hideMark/>
          </w:tcPr>
          <w:p w:rsidR="00423271" w:rsidRPr="00346A27" w:rsidRDefault="00423271" w:rsidP="00A965F1">
            <w:pPr>
              <w:pStyle w:val="TableFigures"/>
            </w:pPr>
            <w:r w:rsidRPr="00346A27">
              <w:t>&gt;80%</w:t>
            </w:r>
          </w:p>
        </w:tc>
        <w:tc>
          <w:tcPr>
            <w:tcW w:w="1020" w:type="dxa"/>
            <w:tcMar>
              <w:top w:w="0" w:type="dxa"/>
              <w:left w:w="108" w:type="dxa"/>
              <w:bottom w:w="0" w:type="dxa"/>
              <w:right w:w="108" w:type="dxa"/>
            </w:tcMar>
            <w:vAlign w:val="center"/>
            <w:hideMark/>
          </w:tcPr>
          <w:p w:rsidR="00423271" w:rsidRPr="00346A27" w:rsidRDefault="00423271" w:rsidP="00A965F1">
            <w:pPr>
              <w:pStyle w:val="TableFigures"/>
            </w:pPr>
            <w:r w:rsidRPr="00346A27">
              <w:t>&gt;80%</w:t>
            </w:r>
          </w:p>
        </w:tc>
      </w:tr>
      <w:tr w:rsidR="00346A27" w:rsidRPr="00346A27" w:rsidTr="00CC0C4C">
        <w:trPr>
          <w:cantSplit/>
        </w:trPr>
        <w:tc>
          <w:tcPr>
            <w:tcW w:w="2551" w:type="dxa"/>
          </w:tcPr>
          <w:p w:rsidR="00423271" w:rsidRPr="00346A27" w:rsidDel="0079674C" w:rsidRDefault="00423271" w:rsidP="00A965F1">
            <w:pPr>
              <w:pStyle w:val="TableText"/>
              <w:rPr>
                <w:rStyle w:val="CommentReference"/>
              </w:rPr>
            </w:pPr>
            <w:r w:rsidRPr="00346A27">
              <w:t>Percentage of Australian Radiotherapy Providers covered by ARPANSA dose calibration services</w:t>
            </w:r>
            <w:r w:rsidR="00EB1A2E" w:rsidRPr="00346A27">
              <w:t>.</w:t>
            </w:r>
          </w:p>
        </w:tc>
        <w:tc>
          <w:tcPr>
            <w:tcW w:w="1020" w:type="dxa"/>
            <w:vAlign w:val="center"/>
          </w:tcPr>
          <w:p w:rsidR="00423271" w:rsidRPr="00346A27" w:rsidRDefault="00423271" w:rsidP="00A965F1">
            <w:pPr>
              <w:pStyle w:val="TableFigures"/>
            </w:pPr>
            <w:r w:rsidRPr="00346A27">
              <w:t>N/A</w:t>
            </w:r>
            <w:r w:rsidR="00DC58A3" w:rsidRPr="00346A27">
              <w:rPr>
                <w:rStyle w:val="FootnoteReference"/>
              </w:rPr>
              <w:footnoteReference w:id="7"/>
            </w:r>
          </w:p>
        </w:tc>
        <w:tc>
          <w:tcPr>
            <w:tcW w:w="1020" w:type="dxa"/>
            <w:shd w:val="clear" w:color="auto" w:fill="D9D9D9"/>
            <w:vAlign w:val="center"/>
          </w:tcPr>
          <w:p w:rsidR="00423271" w:rsidRPr="00346A27" w:rsidRDefault="00423271" w:rsidP="00A965F1">
            <w:pPr>
              <w:pStyle w:val="TableFigures"/>
            </w:pPr>
            <w:r w:rsidRPr="00346A27">
              <w:t>&gt;70%</w:t>
            </w:r>
          </w:p>
        </w:tc>
        <w:tc>
          <w:tcPr>
            <w:tcW w:w="1020" w:type="dxa"/>
            <w:vAlign w:val="center"/>
          </w:tcPr>
          <w:p w:rsidR="00423271" w:rsidRPr="00346A27" w:rsidRDefault="00423271" w:rsidP="00A965F1">
            <w:pPr>
              <w:pStyle w:val="TableFigures"/>
            </w:pPr>
            <w:r w:rsidRPr="00346A27">
              <w:t>&gt;70%</w:t>
            </w:r>
          </w:p>
        </w:tc>
        <w:tc>
          <w:tcPr>
            <w:tcW w:w="1020" w:type="dxa"/>
            <w:vAlign w:val="center"/>
          </w:tcPr>
          <w:p w:rsidR="00423271" w:rsidRPr="00346A27" w:rsidRDefault="00423271" w:rsidP="00A965F1">
            <w:pPr>
              <w:pStyle w:val="TableFigures"/>
            </w:pPr>
            <w:r w:rsidRPr="00346A27">
              <w:t>&gt;70%</w:t>
            </w:r>
          </w:p>
        </w:tc>
        <w:tc>
          <w:tcPr>
            <w:tcW w:w="1020" w:type="dxa"/>
            <w:vAlign w:val="center"/>
          </w:tcPr>
          <w:p w:rsidR="00423271" w:rsidRPr="00346A27" w:rsidRDefault="00423271" w:rsidP="00A965F1">
            <w:pPr>
              <w:pStyle w:val="TableFigures"/>
            </w:pPr>
            <w:r w:rsidRPr="00346A27">
              <w:t>&gt;70%</w:t>
            </w:r>
          </w:p>
        </w:tc>
      </w:tr>
    </w:tbl>
    <w:p w:rsidR="00423271" w:rsidRPr="00346A27" w:rsidRDefault="00423271" w:rsidP="00423271">
      <w:pPr>
        <w:pStyle w:val="TableHeading"/>
      </w:pPr>
      <w:r w:rsidRPr="00346A27">
        <w:t xml:space="preserve">Ensure effective </w:t>
      </w:r>
      <w:r w:rsidR="00A20E06" w:rsidRPr="00346A27">
        <w:t xml:space="preserve">and proportionate </w:t>
      </w:r>
      <w:r w:rsidRPr="00346A27">
        <w:t>regulation and enforcement activities</w:t>
      </w:r>
    </w:p>
    <w:tbl>
      <w:tblPr>
        <w:tblW w:w="7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Quantitative Key Performance Indicators for ARPANSA"/>
        <w:tblDescription w:val="This table shows the quantitative key performance indicators for the entity."/>
      </w:tblPr>
      <w:tblGrid>
        <w:gridCol w:w="2551"/>
        <w:gridCol w:w="1020"/>
        <w:gridCol w:w="1020"/>
        <w:gridCol w:w="1020"/>
        <w:gridCol w:w="1020"/>
        <w:gridCol w:w="1020"/>
      </w:tblGrid>
      <w:tr w:rsidR="00346A27" w:rsidRPr="00346A27" w:rsidTr="00CC0C4C">
        <w:trPr>
          <w:cantSplit/>
          <w:trHeight w:val="1021"/>
          <w:tblHeader/>
        </w:trPr>
        <w:tc>
          <w:tcPr>
            <w:tcW w:w="2551" w:type="dxa"/>
            <w:tcBorders>
              <w:bottom w:val="single" w:sz="4" w:space="0" w:color="000000"/>
            </w:tcBorders>
            <w:vAlign w:val="center"/>
          </w:tcPr>
          <w:p w:rsidR="00423271" w:rsidRPr="00346A27" w:rsidRDefault="00423271" w:rsidP="00A965F1">
            <w:pPr>
              <w:pStyle w:val="TableRow1"/>
            </w:pPr>
            <w:r w:rsidRPr="00346A27">
              <w:t>Quantitative</w:t>
            </w:r>
            <w:r w:rsidRPr="00346A27">
              <w:br/>
              <w:t>Indicators</w:t>
            </w:r>
          </w:p>
        </w:tc>
        <w:tc>
          <w:tcPr>
            <w:tcW w:w="1020" w:type="dxa"/>
            <w:tcBorders>
              <w:bottom w:val="single" w:sz="4" w:space="0" w:color="000000"/>
            </w:tcBorders>
            <w:vAlign w:val="center"/>
          </w:tcPr>
          <w:p w:rsidR="00423271" w:rsidRPr="00346A27" w:rsidRDefault="00423271" w:rsidP="00A965F1">
            <w:pPr>
              <w:pStyle w:val="TableRow1"/>
            </w:pPr>
            <w:r w:rsidRPr="00346A27">
              <w:t>2014-15 Revised Budget</w:t>
            </w:r>
          </w:p>
        </w:tc>
        <w:tc>
          <w:tcPr>
            <w:tcW w:w="1020" w:type="dxa"/>
            <w:tcBorders>
              <w:bottom w:val="single" w:sz="4" w:space="0" w:color="000000"/>
            </w:tcBorders>
            <w:shd w:val="clear" w:color="auto" w:fill="D9D9D9"/>
            <w:vAlign w:val="center"/>
          </w:tcPr>
          <w:p w:rsidR="00423271" w:rsidRPr="00346A27" w:rsidRDefault="00423271" w:rsidP="00A965F1">
            <w:pPr>
              <w:pStyle w:val="TableRow1"/>
            </w:pPr>
            <w:r w:rsidRPr="00346A27">
              <w:t>2015-16 Budget</w:t>
            </w:r>
            <w:r w:rsidRPr="00346A27">
              <w:br/>
              <w:t>Target</w:t>
            </w:r>
          </w:p>
        </w:tc>
        <w:tc>
          <w:tcPr>
            <w:tcW w:w="1020" w:type="dxa"/>
            <w:tcBorders>
              <w:bottom w:val="single" w:sz="4" w:space="0" w:color="000000"/>
            </w:tcBorders>
            <w:vAlign w:val="center"/>
          </w:tcPr>
          <w:p w:rsidR="00423271" w:rsidRPr="00346A27" w:rsidRDefault="00423271" w:rsidP="00EB0950">
            <w:pPr>
              <w:pStyle w:val="TableRow1"/>
            </w:pPr>
            <w:r w:rsidRPr="00346A27">
              <w:t>2016-17 Forward</w:t>
            </w:r>
            <w:r w:rsidRPr="00346A27">
              <w:br/>
              <w:t>Year 1</w:t>
            </w:r>
          </w:p>
        </w:tc>
        <w:tc>
          <w:tcPr>
            <w:tcW w:w="1020" w:type="dxa"/>
            <w:tcBorders>
              <w:bottom w:val="single" w:sz="4" w:space="0" w:color="000000"/>
            </w:tcBorders>
            <w:vAlign w:val="center"/>
          </w:tcPr>
          <w:p w:rsidR="00423271" w:rsidRPr="00346A27" w:rsidRDefault="00423271" w:rsidP="00EB0950">
            <w:pPr>
              <w:pStyle w:val="TableRow1"/>
            </w:pPr>
            <w:r w:rsidRPr="00346A27">
              <w:t>2017-18 Forward</w:t>
            </w:r>
            <w:r w:rsidRPr="00346A27">
              <w:br/>
              <w:t>Year 2</w:t>
            </w:r>
          </w:p>
        </w:tc>
        <w:tc>
          <w:tcPr>
            <w:tcW w:w="1020" w:type="dxa"/>
            <w:tcBorders>
              <w:bottom w:val="single" w:sz="4" w:space="0" w:color="000000"/>
            </w:tcBorders>
            <w:vAlign w:val="center"/>
          </w:tcPr>
          <w:p w:rsidR="00423271" w:rsidRPr="00346A27" w:rsidRDefault="00423271" w:rsidP="00EB0950">
            <w:pPr>
              <w:pStyle w:val="TableRow1"/>
            </w:pPr>
            <w:r w:rsidRPr="00346A27">
              <w:t>2018-19 Forward</w:t>
            </w:r>
            <w:r w:rsidRPr="00346A27">
              <w:br/>
              <w:t>Year 3</w:t>
            </w:r>
          </w:p>
        </w:tc>
      </w:tr>
      <w:tr w:rsidR="00346A27" w:rsidRPr="00346A27" w:rsidTr="00CC0C4C">
        <w:trPr>
          <w:cantSplit/>
        </w:trPr>
        <w:tc>
          <w:tcPr>
            <w:tcW w:w="2551" w:type="dxa"/>
          </w:tcPr>
          <w:p w:rsidR="00423271" w:rsidRPr="00346A27" w:rsidRDefault="00423271" w:rsidP="00A965F1">
            <w:pPr>
              <w:pStyle w:val="TableText"/>
            </w:pPr>
            <w:r w:rsidRPr="00346A27">
              <w:t>The percentage of inspections at which non-compliance is not observed</w:t>
            </w:r>
            <w:r w:rsidR="00EB1A2E" w:rsidRPr="00346A27">
              <w:t>.</w:t>
            </w:r>
          </w:p>
        </w:tc>
        <w:tc>
          <w:tcPr>
            <w:tcW w:w="1020" w:type="dxa"/>
            <w:vAlign w:val="center"/>
          </w:tcPr>
          <w:p w:rsidR="00423271" w:rsidRPr="00346A27" w:rsidRDefault="00423271" w:rsidP="00A965F1">
            <w:pPr>
              <w:pStyle w:val="TableFigures"/>
            </w:pPr>
            <w:r w:rsidRPr="00346A27">
              <w:t>&gt;90%</w:t>
            </w:r>
          </w:p>
        </w:tc>
        <w:tc>
          <w:tcPr>
            <w:tcW w:w="1020" w:type="dxa"/>
            <w:shd w:val="clear" w:color="auto" w:fill="D9D9D9"/>
            <w:vAlign w:val="center"/>
          </w:tcPr>
          <w:p w:rsidR="00423271" w:rsidRPr="00346A27" w:rsidRDefault="00423271" w:rsidP="00A965F1">
            <w:pPr>
              <w:pStyle w:val="TableFigures"/>
            </w:pPr>
            <w:r w:rsidRPr="00346A27">
              <w:t>&gt;90%</w:t>
            </w:r>
          </w:p>
        </w:tc>
        <w:tc>
          <w:tcPr>
            <w:tcW w:w="1020" w:type="dxa"/>
            <w:vAlign w:val="center"/>
          </w:tcPr>
          <w:p w:rsidR="00423271" w:rsidRPr="00346A27" w:rsidRDefault="00423271" w:rsidP="00A965F1">
            <w:pPr>
              <w:pStyle w:val="TableFigures"/>
            </w:pPr>
            <w:r w:rsidRPr="00346A27">
              <w:t>&gt;90%</w:t>
            </w:r>
          </w:p>
        </w:tc>
        <w:tc>
          <w:tcPr>
            <w:tcW w:w="1020" w:type="dxa"/>
            <w:vAlign w:val="center"/>
          </w:tcPr>
          <w:p w:rsidR="00423271" w:rsidRPr="00346A27" w:rsidRDefault="00423271" w:rsidP="00A965F1">
            <w:pPr>
              <w:pStyle w:val="TableFigures"/>
              <w:rPr>
                <w:highlight w:val="yellow"/>
              </w:rPr>
            </w:pPr>
            <w:r w:rsidRPr="00346A27">
              <w:t>&gt;90%</w:t>
            </w:r>
          </w:p>
        </w:tc>
        <w:tc>
          <w:tcPr>
            <w:tcW w:w="1020" w:type="dxa"/>
            <w:vAlign w:val="center"/>
          </w:tcPr>
          <w:p w:rsidR="00423271" w:rsidRPr="00346A27" w:rsidRDefault="00423271" w:rsidP="00A965F1">
            <w:pPr>
              <w:pStyle w:val="TableFigures"/>
              <w:rPr>
                <w:highlight w:val="yellow"/>
              </w:rPr>
            </w:pPr>
            <w:r w:rsidRPr="00346A27">
              <w:t>&gt;90%</w:t>
            </w:r>
          </w:p>
        </w:tc>
      </w:tr>
      <w:tr w:rsidR="00346A27" w:rsidRPr="00346A27" w:rsidTr="00CC0C4C">
        <w:trPr>
          <w:cantSplit/>
        </w:trPr>
        <w:tc>
          <w:tcPr>
            <w:tcW w:w="2551" w:type="dxa"/>
          </w:tcPr>
          <w:p w:rsidR="00423271" w:rsidRPr="00346A27" w:rsidRDefault="00423271" w:rsidP="00A965F1">
            <w:pPr>
              <w:pStyle w:val="TableText"/>
            </w:pPr>
            <w:r w:rsidRPr="00346A27">
              <w:t>Number of holistic safety regulatory interventions embraced by licence holders</w:t>
            </w:r>
            <w:r w:rsidR="00EB1A2E" w:rsidRPr="00346A27">
              <w:t>.</w:t>
            </w:r>
          </w:p>
        </w:tc>
        <w:tc>
          <w:tcPr>
            <w:tcW w:w="1020" w:type="dxa"/>
            <w:vAlign w:val="center"/>
          </w:tcPr>
          <w:p w:rsidR="00423271" w:rsidRPr="00346A27" w:rsidRDefault="00423271" w:rsidP="00A965F1">
            <w:pPr>
              <w:pStyle w:val="TableFigures"/>
            </w:pPr>
            <w:r w:rsidRPr="00346A27">
              <w:t>10</w:t>
            </w:r>
          </w:p>
        </w:tc>
        <w:tc>
          <w:tcPr>
            <w:tcW w:w="1020" w:type="dxa"/>
            <w:shd w:val="clear" w:color="auto" w:fill="D9D9D9"/>
            <w:vAlign w:val="center"/>
          </w:tcPr>
          <w:p w:rsidR="00423271" w:rsidRPr="00346A27" w:rsidRDefault="00423271" w:rsidP="00A965F1">
            <w:pPr>
              <w:pStyle w:val="TableFigures"/>
            </w:pPr>
            <w:r w:rsidRPr="00346A27">
              <w:t>10</w:t>
            </w:r>
          </w:p>
        </w:tc>
        <w:tc>
          <w:tcPr>
            <w:tcW w:w="1020" w:type="dxa"/>
            <w:vAlign w:val="center"/>
          </w:tcPr>
          <w:p w:rsidR="00423271" w:rsidRPr="00346A27" w:rsidRDefault="00423271" w:rsidP="00A965F1">
            <w:pPr>
              <w:pStyle w:val="TableFigures"/>
            </w:pPr>
            <w:r w:rsidRPr="00346A27">
              <w:t>10</w:t>
            </w:r>
          </w:p>
        </w:tc>
        <w:tc>
          <w:tcPr>
            <w:tcW w:w="1020" w:type="dxa"/>
            <w:vAlign w:val="center"/>
          </w:tcPr>
          <w:p w:rsidR="00423271" w:rsidRPr="00346A27" w:rsidRDefault="00423271" w:rsidP="00A965F1">
            <w:pPr>
              <w:pStyle w:val="TableFigures"/>
            </w:pPr>
            <w:r w:rsidRPr="00346A27">
              <w:t>10</w:t>
            </w:r>
          </w:p>
        </w:tc>
        <w:tc>
          <w:tcPr>
            <w:tcW w:w="1020" w:type="dxa"/>
            <w:vAlign w:val="center"/>
          </w:tcPr>
          <w:p w:rsidR="00423271" w:rsidRPr="00346A27" w:rsidRDefault="00423271" w:rsidP="00A965F1">
            <w:pPr>
              <w:pStyle w:val="TableFigures"/>
            </w:pPr>
            <w:r w:rsidRPr="00346A27">
              <w:t>10</w:t>
            </w:r>
          </w:p>
        </w:tc>
      </w:tr>
      <w:tr w:rsidR="00346A27" w:rsidRPr="00346A27" w:rsidTr="00CC0C4C">
        <w:trPr>
          <w:cantSplit/>
        </w:trPr>
        <w:tc>
          <w:tcPr>
            <w:tcW w:w="2551" w:type="dxa"/>
          </w:tcPr>
          <w:p w:rsidR="00423271" w:rsidRPr="00346A27" w:rsidDel="003B0A56" w:rsidRDefault="00423271" w:rsidP="00A965F1">
            <w:pPr>
              <w:pStyle w:val="TableText"/>
              <w:rPr>
                <w:highlight w:val="yellow"/>
              </w:rPr>
            </w:pPr>
            <w:r w:rsidRPr="00346A27">
              <w:rPr>
                <w:szCs w:val="18"/>
              </w:rPr>
              <w:t>Percentage of licence applications assessed within the time agreed with licence holder</w:t>
            </w:r>
            <w:r w:rsidR="00EB1A2E" w:rsidRPr="00346A27">
              <w:rPr>
                <w:szCs w:val="18"/>
              </w:rPr>
              <w:t>.</w:t>
            </w:r>
          </w:p>
        </w:tc>
        <w:tc>
          <w:tcPr>
            <w:tcW w:w="1020" w:type="dxa"/>
            <w:vAlign w:val="center"/>
          </w:tcPr>
          <w:p w:rsidR="00423271" w:rsidRPr="00346A27" w:rsidDel="003B0A56" w:rsidRDefault="00423271" w:rsidP="00A965F1">
            <w:pPr>
              <w:pStyle w:val="TableFigures"/>
            </w:pPr>
            <w:r w:rsidRPr="00346A27">
              <w:t>N/A</w:t>
            </w:r>
            <w:r w:rsidR="00DC58A3" w:rsidRPr="00346A27">
              <w:rPr>
                <w:rStyle w:val="FootnoteReference"/>
              </w:rPr>
              <w:footnoteReference w:id="8"/>
            </w:r>
          </w:p>
        </w:tc>
        <w:tc>
          <w:tcPr>
            <w:tcW w:w="1020" w:type="dxa"/>
            <w:shd w:val="clear" w:color="auto" w:fill="D9D9D9"/>
            <w:vAlign w:val="center"/>
          </w:tcPr>
          <w:p w:rsidR="00423271" w:rsidRPr="00346A27" w:rsidDel="003B0A56" w:rsidRDefault="00423271" w:rsidP="00A965F1">
            <w:pPr>
              <w:pStyle w:val="TableFigures"/>
            </w:pPr>
            <w:r w:rsidRPr="00346A27">
              <w:t>&gt;90%</w:t>
            </w:r>
          </w:p>
        </w:tc>
        <w:tc>
          <w:tcPr>
            <w:tcW w:w="1020" w:type="dxa"/>
            <w:vAlign w:val="center"/>
          </w:tcPr>
          <w:p w:rsidR="00423271" w:rsidRPr="00346A27" w:rsidDel="003B0A56" w:rsidRDefault="00423271" w:rsidP="00A965F1">
            <w:pPr>
              <w:pStyle w:val="TableFigures"/>
            </w:pPr>
            <w:r w:rsidRPr="00346A27">
              <w:t>&gt;90%</w:t>
            </w:r>
          </w:p>
        </w:tc>
        <w:tc>
          <w:tcPr>
            <w:tcW w:w="1020" w:type="dxa"/>
            <w:vAlign w:val="center"/>
          </w:tcPr>
          <w:p w:rsidR="00423271" w:rsidRPr="00346A27" w:rsidDel="003B0A56" w:rsidRDefault="00423271" w:rsidP="00A965F1">
            <w:pPr>
              <w:pStyle w:val="TableFigures"/>
            </w:pPr>
            <w:r w:rsidRPr="00346A27">
              <w:t>&gt;90%</w:t>
            </w:r>
          </w:p>
        </w:tc>
        <w:tc>
          <w:tcPr>
            <w:tcW w:w="1020" w:type="dxa"/>
            <w:vAlign w:val="center"/>
          </w:tcPr>
          <w:p w:rsidR="00423271" w:rsidRPr="00346A27" w:rsidRDefault="00423271" w:rsidP="00A965F1">
            <w:pPr>
              <w:pStyle w:val="TableFigures"/>
            </w:pPr>
            <w:r w:rsidRPr="00346A27">
              <w:t>&gt;90%</w:t>
            </w:r>
          </w:p>
        </w:tc>
      </w:tr>
    </w:tbl>
    <w:p w:rsidR="005F25C1" w:rsidRPr="00346A27" w:rsidRDefault="005F25C1" w:rsidP="007E7063"/>
    <w:p w:rsidR="005F25C1" w:rsidRPr="00346A27" w:rsidRDefault="005F25C1" w:rsidP="007E7063">
      <w:pPr>
        <w:sectPr w:rsidR="005F25C1" w:rsidRPr="00346A27" w:rsidSect="00B14763">
          <w:headerReference w:type="even" r:id="rId21"/>
          <w:headerReference w:type="default" r:id="rId22"/>
          <w:pgSz w:w="11906" w:h="16838" w:code="9"/>
          <w:pgMar w:top="2665" w:right="2268" w:bottom="2126" w:left="2268" w:header="1899" w:footer="1899" w:gutter="0"/>
          <w:cols w:space="708"/>
          <w:docGrid w:linePitch="360"/>
        </w:sectPr>
      </w:pPr>
    </w:p>
    <w:p w:rsidR="007E7063" w:rsidRPr="00346A27" w:rsidRDefault="007E7063" w:rsidP="007E7063">
      <w:pPr>
        <w:pStyle w:val="SectionHeading"/>
      </w:pPr>
      <w:bookmarkStart w:id="1" w:name="_Toc190682315"/>
      <w:bookmarkStart w:id="2" w:name="_Toc190682532"/>
      <w:r w:rsidRPr="00346A27">
        <w:lastRenderedPageBreak/>
        <w:t>Section 3: Explanatory Tables and Budgeted Financial Statements</w:t>
      </w:r>
      <w:bookmarkEnd w:id="1"/>
      <w:bookmarkEnd w:id="2"/>
    </w:p>
    <w:p w:rsidR="007E7063" w:rsidRPr="00346A27" w:rsidRDefault="007E7063" w:rsidP="0096146C">
      <w:r w:rsidRPr="00346A27">
        <w:t xml:space="preserve">Section 3 presents explanatory tables and budgeted financial statements which provide a comprehensive snapshot of </w:t>
      </w:r>
      <w:r w:rsidR="000422F4" w:rsidRPr="00346A27">
        <w:rPr>
          <w:rFonts w:cs="Arial"/>
          <w:bCs/>
        </w:rPr>
        <w:t>entity</w:t>
      </w:r>
      <w:r w:rsidRPr="00346A27">
        <w:t xml:space="preserve"> finances for the 201</w:t>
      </w:r>
      <w:r w:rsidR="00334AEE" w:rsidRPr="00346A27">
        <w:t>5</w:t>
      </w:r>
      <w:r w:rsidRPr="00346A27">
        <w:t>-1</w:t>
      </w:r>
      <w:r w:rsidR="00334AEE" w:rsidRPr="00346A27">
        <w:t>6</w:t>
      </w:r>
      <w:r w:rsidRPr="00346A27">
        <w:t xml:space="preserve"> Budget </w:t>
      </w:r>
      <w:proofErr w:type="gramStart"/>
      <w:r w:rsidRPr="00346A27">
        <w:t>year</w:t>
      </w:r>
      <w:proofErr w:type="gramEnd"/>
      <w:r w:rsidRPr="00346A27">
        <w:t xml:space="preserve">. It explains how budget plans are incorporated into the financial statements and provides further details of the reconciliation between appropriations and programme expenses, movements in administered funds, special accounts and </w:t>
      </w:r>
      <w:r w:rsidR="00111BDA" w:rsidRPr="00346A27">
        <w:t xml:space="preserve">Australian </w:t>
      </w:r>
      <w:r w:rsidRPr="00346A27">
        <w:t>Government Indigenous expenditure.</w:t>
      </w:r>
    </w:p>
    <w:p w:rsidR="007E7063" w:rsidRPr="00346A27" w:rsidRDefault="007E7063" w:rsidP="007E7063">
      <w:pPr>
        <w:pStyle w:val="SectionSubheading"/>
      </w:pPr>
      <w:r w:rsidRPr="00346A27">
        <w:t>3.1</w:t>
      </w:r>
      <w:r w:rsidRPr="00346A27">
        <w:tab/>
        <w:t>Explanatory Tables</w:t>
      </w:r>
    </w:p>
    <w:p w:rsidR="007E7063" w:rsidRPr="00346A27" w:rsidRDefault="007E7063" w:rsidP="00620CA1">
      <w:pPr>
        <w:pStyle w:val="Sectionsubsubheading"/>
      </w:pPr>
      <w:r w:rsidRPr="00346A27">
        <w:t xml:space="preserve">3.1.1 Movement of Administered Funds </w:t>
      </w:r>
      <w:proofErr w:type="gramStart"/>
      <w:r w:rsidRPr="00346A27">
        <w:t>Between</w:t>
      </w:r>
      <w:proofErr w:type="gramEnd"/>
      <w:r w:rsidRPr="00346A27">
        <w:t xml:space="preserve"> Years</w:t>
      </w:r>
    </w:p>
    <w:p w:rsidR="008C2DCC" w:rsidRPr="00346A27" w:rsidRDefault="008C2DCC" w:rsidP="008C2DCC">
      <w:r w:rsidRPr="00346A27">
        <w:t>Section 3.1.1 is not applicable to ARPANSA.</w:t>
      </w:r>
    </w:p>
    <w:p w:rsidR="007E7063" w:rsidRPr="00346A27" w:rsidRDefault="007E7063" w:rsidP="00620CA1">
      <w:pPr>
        <w:pStyle w:val="Sectionsubsubheading"/>
      </w:pPr>
      <w:r w:rsidRPr="00346A27">
        <w:t>3.1.2 Special Accounts</w:t>
      </w:r>
    </w:p>
    <w:p w:rsidR="008C2DCC" w:rsidRPr="00346A27" w:rsidRDefault="008C2DCC" w:rsidP="008C2DCC">
      <w:r w:rsidRPr="00346A27">
        <w:t>Special accounts provide a means to set aside and record amounts used for specified purposes. Special accounts can be created by a Finance Minister’s determination under section 78 of the PGPA Act or under separate enabling legislation (section 80 of the PGPA Act refers). Table 3.1.2 shows the expected additions (receipts) and reductions (payments) for each account used by ARPANSA.</w:t>
      </w:r>
    </w:p>
    <w:p w:rsidR="007E7063" w:rsidRPr="00346A27" w:rsidRDefault="007E7063" w:rsidP="002B0C32">
      <w:pPr>
        <w:pStyle w:val="TableHeading"/>
      </w:pPr>
      <w:r w:rsidRPr="00346A27">
        <w:t>Table 3.1.</w:t>
      </w:r>
      <w:r w:rsidR="0008740C" w:rsidRPr="00346A27">
        <w:t>1</w:t>
      </w:r>
      <w:r w:rsidRPr="00346A27">
        <w:t>: Estimates of Special Account Flows and Balances</w:t>
      </w:r>
    </w:p>
    <w:tbl>
      <w:tblPr>
        <w:tblW w:w="5000" w:type="pct"/>
        <w:tblInd w:w="93" w:type="dxa"/>
        <w:tblLayout w:type="fixed"/>
        <w:tblLook w:val="04A0" w:firstRow="1" w:lastRow="0" w:firstColumn="1" w:lastColumn="0" w:noHBand="0" w:noVBand="1"/>
        <w:tblCaption w:val="Table 3.1.1 Estimates of Special Account Cash Flows and Balances"/>
        <w:tblDescription w:val="Table 3.1.1 shows the expected additions (receipts) and reductions (payments) for each account used by the Entity. Read the first column for the Special Account and then across the table for the associated outcome, opening balance, appropriations receipts, other receipts, payments and closing balance for 2014-15 and then 2013-14. Note that there is no data for some categories."/>
      </w:tblPr>
      <w:tblGrid>
        <w:gridCol w:w="2000"/>
        <w:gridCol w:w="913"/>
        <w:gridCol w:w="896"/>
        <w:gridCol w:w="1168"/>
        <w:gridCol w:w="848"/>
        <w:gridCol w:w="951"/>
        <w:gridCol w:w="810"/>
      </w:tblGrid>
      <w:tr w:rsidR="00346A27" w:rsidRPr="00346A27" w:rsidTr="00EB0950">
        <w:trPr>
          <w:trHeight w:val="830"/>
        </w:trPr>
        <w:tc>
          <w:tcPr>
            <w:tcW w:w="2000" w:type="dxa"/>
            <w:tcBorders>
              <w:top w:val="single" w:sz="4" w:space="0" w:color="auto"/>
              <w:left w:val="nil"/>
              <w:bottom w:val="nil"/>
              <w:right w:val="nil"/>
            </w:tcBorders>
            <w:shd w:val="clear" w:color="auto" w:fill="auto"/>
            <w:hideMark/>
          </w:tcPr>
          <w:p w:rsidR="00620CA1" w:rsidRPr="00346A27" w:rsidRDefault="00620CA1" w:rsidP="00620CA1">
            <w:pPr>
              <w:keepNext w:val="0"/>
              <w:spacing w:before="40" w:after="0"/>
              <w:jc w:val="right"/>
              <w:rPr>
                <w:rFonts w:ascii="Arial" w:hAnsi="Arial" w:cs="Arial"/>
                <w:sz w:val="16"/>
                <w:szCs w:val="16"/>
              </w:rPr>
            </w:pPr>
          </w:p>
        </w:tc>
        <w:tc>
          <w:tcPr>
            <w:tcW w:w="913" w:type="dxa"/>
            <w:tcBorders>
              <w:top w:val="single" w:sz="4" w:space="0" w:color="auto"/>
              <w:left w:val="nil"/>
              <w:bottom w:val="single" w:sz="4" w:space="0" w:color="auto"/>
              <w:right w:val="nil"/>
            </w:tcBorders>
            <w:shd w:val="clear" w:color="auto" w:fill="auto"/>
            <w:vAlign w:val="bottom"/>
            <w:hideMark/>
          </w:tcPr>
          <w:p w:rsidR="00620CA1" w:rsidRPr="00346A27" w:rsidRDefault="00620CA1" w:rsidP="00EB0950">
            <w:pPr>
              <w:keepNext w:val="0"/>
              <w:spacing w:before="40" w:after="0"/>
              <w:jc w:val="right"/>
              <w:rPr>
                <w:rFonts w:ascii="Arial" w:hAnsi="Arial" w:cs="Arial"/>
                <w:sz w:val="16"/>
                <w:szCs w:val="16"/>
              </w:rPr>
            </w:pPr>
            <w:r w:rsidRPr="00346A27">
              <w:rPr>
                <w:rFonts w:ascii="Arial" w:hAnsi="Arial" w:cs="Arial"/>
                <w:sz w:val="16"/>
                <w:szCs w:val="16"/>
              </w:rPr>
              <w:t>Outcome</w:t>
            </w:r>
          </w:p>
        </w:tc>
        <w:tc>
          <w:tcPr>
            <w:tcW w:w="896" w:type="dxa"/>
            <w:tcBorders>
              <w:top w:val="single" w:sz="4" w:space="0" w:color="auto"/>
              <w:left w:val="nil"/>
              <w:bottom w:val="single" w:sz="4" w:space="0" w:color="auto"/>
              <w:right w:val="nil"/>
            </w:tcBorders>
            <w:shd w:val="clear" w:color="auto" w:fill="auto"/>
            <w:hideMark/>
          </w:tcPr>
          <w:p w:rsidR="00620CA1" w:rsidRPr="00346A27" w:rsidRDefault="00620CA1" w:rsidP="00620CA1">
            <w:pPr>
              <w:keepNext w:val="0"/>
              <w:spacing w:before="40" w:after="0"/>
              <w:jc w:val="right"/>
              <w:rPr>
                <w:rFonts w:ascii="Arial" w:hAnsi="Arial" w:cs="Arial"/>
                <w:sz w:val="16"/>
                <w:szCs w:val="16"/>
              </w:rPr>
            </w:pPr>
            <w:r w:rsidRPr="00346A27">
              <w:rPr>
                <w:rFonts w:ascii="Arial" w:hAnsi="Arial" w:cs="Arial"/>
                <w:sz w:val="16"/>
                <w:szCs w:val="16"/>
              </w:rPr>
              <w:t xml:space="preserve">Opening balance </w:t>
            </w:r>
            <w:r w:rsidRPr="00346A27">
              <w:rPr>
                <w:rFonts w:ascii="Arial" w:hAnsi="Arial" w:cs="Arial"/>
                <w:b/>
                <w:bCs/>
                <w:sz w:val="16"/>
                <w:szCs w:val="16"/>
              </w:rPr>
              <w:t>2015-16</w:t>
            </w:r>
            <w:r w:rsidR="00EB0950">
              <w:rPr>
                <w:rFonts w:ascii="Arial" w:hAnsi="Arial" w:cs="Arial"/>
                <w:sz w:val="16"/>
                <w:szCs w:val="16"/>
              </w:rPr>
              <w:br/>
            </w:r>
            <w:r w:rsidRPr="00346A27">
              <w:rPr>
                <w:rFonts w:ascii="Arial" w:hAnsi="Arial" w:cs="Arial"/>
                <w:sz w:val="16"/>
                <w:szCs w:val="16"/>
              </w:rPr>
              <w:t>2014-15</w:t>
            </w:r>
            <w:r w:rsidRPr="00346A27">
              <w:rPr>
                <w:rFonts w:ascii="Arial" w:hAnsi="Arial" w:cs="Arial"/>
                <w:sz w:val="16"/>
                <w:szCs w:val="16"/>
              </w:rPr>
              <w:br/>
              <w:t>$'000</w:t>
            </w:r>
          </w:p>
        </w:tc>
        <w:tc>
          <w:tcPr>
            <w:tcW w:w="1168" w:type="dxa"/>
            <w:tcBorders>
              <w:top w:val="single" w:sz="4" w:space="0" w:color="auto"/>
              <w:left w:val="nil"/>
              <w:bottom w:val="single" w:sz="4" w:space="0" w:color="auto"/>
              <w:right w:val="nil"/>
            </w:tcBorders>
            <w:shd w:val="clear" w:color="000000" w:fill="D9D9D9"/>
            <w:hideMark/>
          </w:tcPr>
          <w:p w:rsidR="00620CA1" w:rsidRPr="00346A27" w:rsidRDefault="00620CA1" w:rsidP="00620CA1">
            <w:pPr>
              <w:keepNext w:val="0"/>
              <w:spacing w:before="40" w:after="0"/>
              <w:jc w:val="right"/>
              <w:rPr>
                <w:rFonts w:ascii="Arial" w:hAnsi="Arial" w:cs="Arial"/>
                <w:sz w:val="16"/>
                <w:szCs w:val="16"/>
              </w:rPr>
            </w:pPr>
            <w:r w:rsidRPr="00346A27">
              <w:rPr>
                <w:rFonts w:ascii="Arial" w:hAnsi="Arial" w:cs="Arial"/>
                <w:sz w:val="16"/>
                <w:szCs w:val="16"/>
              </w:rPr>
              <w:t xml:space="preserve">Appropriation </w:t>
            </w:r>
            <w:r w:rsidRPr="00346A27">
              <w:rPr>
                <w:rFonts w:ascii="Arial" w:hAnsi="Arial" w:cs="Arial"/>
                <w:sz w:val="16"/>
                <w:szCs w:val="16"/>
              </w:rPr>
              <w:br/>
              <w:t xml:space="preserve">receipts </w:t>
            </w:r>
            <w:r w:rsidRPr="00346A27">
              <w:rPr>
                <w:rFonts w:ascii="Arial" w:hAnsi="Arial" w:cs="Arial"/>
                <w:sz w:val="16"/>
                <w:szCs w:val="16"/>
              </w:rPr>
              <w:br/>
            </w:r>
            <w:r w:rsidRPr="00346A27">
              <w:rPr>
                <w:rFonts w:ascii="Arial" w:hAnsi="Arial" w:cs="Arial"/>
                <w:b/>
                <w:bCs/>
                <w:sz w:val="16"/>
                <w:szCs w:val="16"/>
              </w:rPr>
              <w:t xml:space="preserve">2015-16 </w:t>
            </w:r>
            <w:r w:rsidRPr="00346A27">
              <w:rPr>
                <w:rFonts w:ascii="Arial" w:hAnsi="Arial" w:cs="Arial"/>
                <w:sz w:val="16"/>
                <w:szCs w:val="16"/>
              </w:rPr>
              <w:br/>
              <w:t xml:space="preserve">2014-15 </w:t>
            </w:r>
            <w:r w:rsidRPr="00346A27">
              <w:rPr>
                <w:rFonts w:ascii="Arial" w:hAnsi="Arial" w:cs="Arial"/>
                <w:sz w:val="16"/>
                <w:szCs w:val="16"/>
              </w:rPr>
              <w:br/>
              <w:t>$'000</w:t>
            </w:r>
          </w:p>
        </w:tc>
        <w:tc>
          <w:tcPr>
            <w:tcW w:w="848" w:type="dxa"/>
            <w:tcBorders>
              <w:top w:val="single" w:sz="4" w:space="0" w:color="auto"/>
              <w:left w:val="nil"/>
              <w:bottom w:val="single" w:sz="4" w:space="0" w:color="auto"/>
              <w:right w:val="nil"/>
            </w:tcBorders>
            <w:shd w:val="clear" w:color="000000" w:fill="D9D9D9"/>
            <w:hideMark/>
          </w:tcPr>
          <w:p w:rsidR="00620CA1" w:rsidRPr="00346A27" w:rsidRDefault="00620CA1" w:rsidP="00EB0950">
            <w:pPr>
              <w:keepNext w:val="0"/>
              <w:spacing w:before="40" w:after="0"/>
              <w:jc w:val="right"/>
              <w:rPr>
                <w:rFonts w:ascii="Arial" w:hAnsi="Arial" w:cs="Arial"/>
                <w:sz w:val="16"/>
                <w:szCs w:val="16"/>
              </w:rPr>
            </w:pPr>
            <w:r w:rsidRPr="00346A27">
              <w:rPr>
                <w:rFonts w:ascii="Arial" w:hAnsi="Arial" w:cs="Arial"/>
                <w:sz w:val="16"/>
                <w:szCs w:val="16"/>
              </w:rPr>
              <w:t xml:space="preserve">Other </w:t>
            </w:r>
            <w:r w:rsidRPr="00346A27">
              <w:rPr>
                <w:rFonts w:ascii="Arial" w:hAnsi="Arial" w:cs="Arial"/>
                <w:sz w:val="16"/>
                <w:szCs w:val="16"/>
              </w:rPr>
              <w:br/>
              <w:t xml:space="preserve">receipts </w:t>
            </w:r>
            <w:r w:rsidRPr="00346A27">
              <w:rPr>
                <w:rFonts w:ascii="Arial" w:hAnsi="Arial" w:cs="Arial"/>
                <w:sz w:val="16"/>
                <w:szCs w:val="16"/>
              </w:rPr>
              <w:br/>
            </w:r>
            <w:r w:rsidRPr="00346A27">
              <w:rPr>
                <w:rFonts w:ascii="Arial" w:hAnsi="Arial" w:cs="Arial"/>
                <w:b/>
                <w:bCs/>
                <w:sz w:val="16"/>
                <w:szCs w:val="16"/>
              </w:rPr>
              <w:t>2015-16</w:t>
            </w:r>
            <w:r w:rsidRPr="00346A27">
              <w:rPr>
                <w:rFonts w:ascii="Arial" w:hAnsi="Arial" w:cs="Arial"/>
                <w:sz w:val="16"/>
                <w:szCs w:val="16"/>
              </w:rPr>
              <w:br/>
              <w:t>2014-15</w:t>
            </w:r>
            <w:r w:rsidRPr="00346A27">
              <w:rPr>
                <w:rFonts w:ascii="Arial" w:hAnsi="Arial" w:cs="Arial"/>
                <w:sz w:val="16"/>
                <w:szCs w:val="16"/>
              </w:rPr>
              <w:br/>
              <w:t>$'000</w:t>
            </w:r>
          </w:p>
        </w:tc>
        <w:tc>
          <w:tcPr>
            <w:tcW w:w="951" w:type="dxa"/>
            <w:tcBorders>
              <w:top w:val="single" w:sz="4" w:space="0" w:color="auto"/>
              <w:left w:val="nil"/>
              <w:bottom w:val="single" w:sz="4" w:space="0" w:color="auto"/>
              <w:right w:val="nil"/>
            </w:tcBorders>
            <w:shd w:val="clear" w:color="000000" w:fill="D9D9D9"/>
            <w:hideMark/>
          </w:tcPr>
          <w:p w:rsidR="00620CA1" w:rsidRPr="00346A27" w:rsidRDefault="00620CA1" w:rsidP="00620CA1">
            <w:pPr>
              <w:keepNext w:val="0"/>
              <w:spacing w:before="40" w:after="0"/>
              <w:jc w:val="right"/>
              <w:rPr>
                <w:rFonts w:ascii="Arial" w:hAnsi="Arial" w:cs="Arial"/>
                <w:sz w:val="16"/>
                <w:szCs w:val="16"/>
              </w:rPr>
            </w:pPr>
            <w:r w:rsidRPr="00346A27">
              <w:rPr>
                <w:rFonts w:ascii="Arial" w:hAnsi="Arial" w:cs="Arial"/>
                <w:sz w:val="16"/>
                <w:szCs w:val="16"/>
              </w:rPr>
              <w:t>Payments</w:t>
            </w:r>
            <w:r w:rsidRPr="00346A27">
              <w:rPr>
                <w:rFonts w:ascii="Arial" w:hAnsi="Arial" w:cs="Arial"/>
                <w:sz w:val="16"/>
                <w:szCs w:val="16"/>
              </w:rPr>
              <w:br/>
            </w:r>
            <w:r w:rsidRPr="00346A27">
              <w:rPr>
                <w:rFonts w:ascii="Arial" w:hAnsi="Arial" w:cs="Arial"/>
                <w:sz w:val="16"/>
                <w:szCs w:val="16"/>
              </w:rPr>
              <w:br/>
            </w:r>
            <w:r w:rsidRPr="00346A27">
              <w:rPr>
                <w:rFonts w:ascii="Arial" w:hAnsi="Arial" w:cs="Arial"/>
                <w:b/>
                <w:bCs/>
                <w:sz w:val="16"/>
                <w:szCs w:val="16"/>
              </w:rPr>
              <w:t>2015-16</w:t>
            </w:r>
            <w:r w:rsidRPr="00346A27">
              <w:rPr>
                <w:rFonts w:ascii="Arial" w:hAnsi="Arial" w:cs="Arial"/>
                <w:sz w:val="16"/>
                <w:szCs w:val="16"/>
              </w:rPr>
              <w:br/>
              <w:t>2014-15</w:t>
            </w:r>
            <w:r w:rsidRPr="00346A27">
              <w:rPr>
                <w:rFonts w:ascii="Arial" w:hAnsi="Arial" w:cs="Arial"/>
                <w:sz w:val="16"/>
                <w:szCs w:val="16"/>
              </w:rPr>
              <w:br/>
              <w:t>$'000</w:t>
            </w:r>
          </w:p>
        </w:tc>
        <w:tc>
          <w:tcPr>
            <w:tcW w:w="810" w:type="dxa"/>
            <w:tcBorders>
              <w:top w:val="single" w:sz="4" w:space="0" w:color="auto"/>
              <w:left w:val="nil"/>
              <w:bottom w:val="single" w:sz="4" w:space="0" w:color="auto"/>
              <w:right w:val="nil"/>
            </w:tcBorders>
            <w:shd w:val="clear" w:color="000000" w:fill="D9D9D9"/>
            <w:hideMark/>
          </w:tcPr>
          <w:p w:rsidR="00620CA1" w:rsidRPr="00346A27" w:rsidRDefault="00620CA1" w:rsidP="00620CA1">
            <w:pPr>
              <w:keepNext w:val="0"/>
              <w:spacing w:before="40" w:after="0"/>
              <w:jc w:val="right"/>
              <w:rPr>
                <w:rFonts w:ascii="Arial" w:hAnsi="Arial" w:cs="Arial"/>
                <w:sz w:val="16"/>
                <w:szCs w:val="16"/>
              </w:rPr>
            </w:pPr>
            <w:r w:rsidRPr="00346A27">
              <w:rPr>
                <w:rFonts w:ascii="Arial" w:hAnsi="Arial" w:cs="Arial"/>
                <w:sz w:val="16"/>
                <w:szCs w:val="16"/>
              </w:rPr>
              <w:t>Closing</w:t>
            </w:r>
            <w:r w:rsidRPr="00346A27">
              <w:rPr>
                <w:rFonts w:ascii="Arial" w:hAnsi="Arial" w:cs="Arial"/>
                <w:sz w:val="16"/>
                <w:szCs w:val="16"/>
              </w:rPr>
              <w:br/>
              <w:t>balance</w:t>
            </w:r>
            <w:r w:rsidRPr="00346A27">
              <w:rPr>
                <w:rFonts w:ascii="Arial" w:hAnsi="Arial" w:cs="Arial"/>
                <w:sz w:val="16"/>
                <w:szCs w:val="16"/>
              </w:rPr>
              <w:br/>
            </w:r>
            <w:r w:rsidRPr="00346A27">
              <w:rPr>
                <w:rFonts w:ascii="Arial" w:hAnsi="Arial" w:cs="Arial"/>
                <w:b/>
                <w:bCs/>
                <w:sz w:val="16"/>
                <w:szCs w:val="16"/>
              </w:rPr>
              <w:t>2015-16</w:t>
            </w:r>
            <w:r w:rsidRPr="00346A27">
              <w:rPr>
                <w:rFonts w:ascii="Arial" w:hAnsi="Arial" w:cs="Arial"/>
                <w:sz w:val="16"/>
                <w:szCs w:val="16"/>
              </w:rPr>
              <w:br/>
              <w:t>2014-15</w:t>
            </w:r>
            <w:r w:rsidRPr="00346A27">
              <w:rPr>
                <w:rFonts w:ascii="Arial" w:hAnsi="Arial" w:cs="Arial"/>
                <w:sz w:val="16"/>
                <w:szCs w:val="16"/>
              </w:rPr>
              <w:br/>
              <w:t>$'000</w:t>
            </w:r>
          </w:p>
        </w:tc>
      </w:tr>
      <w:tr w:rsidR="00346A27" w:rsidRPr="00346A27" w:rsidTr="00620CA1">
        <w:trPr>
          <w:trHeight w:val="300"/>
        </w:trPr>
        <w:tc>
          <w:tcPr>
            <w:tcW w:w="2000" w:type="dxa"/>
            <w:tcBorders>
              <w:top w:val="nil"/>
              <w:left w:val="nil"/>
              <w:bottom w:val="nil"/>
              <w:right w:val="nil"/>
            </w:tcBorders>
            <w:shd w:val="clear" w:color="auto" w:fill="auto"/>
            <w:noWrap/>
            <w:vAlign w:val="bottom"/>
            <w:hideMark/>
          </w:tcPr>
          <w:p w:rsidR="00620CA1" w:rsidRPr="00346A27" w:rsidRDefault="00620CA1" w:rsidP="00620CA1">
            <w:pPr>
              <w:keepNext w:val="0"/>
              <w:spacing w:after="0"/>
              <w:rPr>
                <w:rFonts w:ascii="Arial" w:hAnsi="Arial" w:cs="Arial"/>
                <w:sz w:val="16"/>
                <w:szCs w:val="16"/>
              </w:rPr>
            </w:pPr>
            <w:r w:rsidRPr="00346A27">
              <w:rPr>
                <w:rFonts w:ascii="Arial" w:hAnsi="Arial" w:cs="Arial"/>
                <w:sz w:val="16"/>
                <w:szCs w:val="16"/>
              </w:rPr>
              <w:t>ARPANSA Account</w:t>
            </w:r>
            <w:r w:rsidRPr="00346A27">
              <w:rPr>
                <w:rFonts w:ascii="Arial" w:hAnsi="Arial" w:cs="Arial"/>
                <w:sz w:val="16"/>
                <w:szCs w:val="16"/>
                <w:vertAlign w:val="superscript"/>
              </w:rPr>
              <w:t>1</w:t>
            </w:r>
            <w:r w:rsidRPr="00346A27">
              <w:rPr>
                <w:rFonts w:ascii="Arial" w:hAnsi="Arial" w:cs="Arial"/>
                <w:sz w:val="16"/>
                <w:szCs w:val="16"/>
              </w:rPr>
              <w:t xml:space="preserve"> (D)</w:t>
            </w:r>
          </w:p>
        </w:tc>
        <w:tc>
          <w:tcPr>
            <w:tcW w:w="913" w:type="dxa"/>
            <w:tcBorders>
              <w:top w:val="nil"/>
              <w:left w:val="nil"/>
              <w:bottom w:val="nil"/>
              <w:right w:val="nil"/>
            </w:tcBorders>
            <w:shd w:val="clear" w:color="auto" w:fill="auto"/>
            <w:noWrap/>
            <w:vAlign w:val="bottom"/>
            <w:hideMark/>
          </w:tcPr>
          <w:p w:rsidR="00620CA1" w:rsidRPr="00346A27" w:rsidRDefault="00620CA1" w:rsidP="00620CA1">
            <w:pPr>
              <w:keepNext w:val="0"/>
              <w:spacing w:after="0"/>
              <w:jc w:val="center"/>
              <w:rPr>
                <w:rFonts w:ascii="Arial" w:hAnsi="Arial" w:cs="Arial"/>
                <w:sz w:val="16"/>
                <w:szCs w:val="16"/>
              </w:rPr>
            </w:pPr>
            <w:r w:rsidRPr="00346A27">
              <w:rPr>
                <w:rFonts w:ascii="Arial" w:hAnsi="Arial" w:cs="Arial"/>
                <w:sz w:val="16"/>
                <w:szCs w:val="16"/>
              </w:rPr>
              <w:t>1</w:t>
            </w:r>
          </w:p>
        </w:tc>
        <w:tc>
          <w:tcPr>
            <w:tcW w:w="896" w:type="dxa"/>
            <w:tcBorders>
              <w:top w:val="nil"/>
              <w:left w:val="nil"/>
              <w:bottom w:val="nil"/>
              <w:right w:val="nil"/>
            </w:tcBorders>
            <w:shd w:val="clear" w:color="auto" w:fill="auto"/>
            <w:noWrap/>
            <w:vAlign w:val="bottom"/>
            <w:hideMark/>
          </w:tcPr>
          <w:p w:rsidR="00620CA1" w:rsidRPr="00346A27" w:rsidRDefault="00620CA1" w:rsidP="00620CA1">
            <w:pPr>
              <w:keepNext w:val="0"/>
              <w:spacing w:after="0"/>
              <w:jc w:val="right"/>
              <w:rPr>
                <w:rFonts w:ascii="Arial" w:hAnsi="Arial" w:cs="Arial"/>
                <w:b/>
                <w:bCs/>
                <w:sz w:val="16"/>
                <w:szCs w:val="16"/>
              </w:rPr>
            </w:pPr>
            <w:r w:rsidRPr="00346A27">
              <w:rPr>
                <w:rFonts w:ascii="Arial" w:hAnsi="Arial" w:cs="Arial"/>
                <w:b/>
                <w:bCs/>
                <w:sz w:val="16"/>
                <w:szCs w:val="16"/>
              </w:rPr>
              <w:t>880</w:t>
            </w:r>
          </w:p>
        </w:tc>
        <w:tc>
          <w:tcPr>
            <w:tcW w:w="1168" w:type="dxa"/>
            <w:tcBorders>
              <w:top w:val="nil"/>
              <w:left w:val="nil"/>
              <w:bottom w:val="nil"/>
              <w:right w:val="nil"/>
            </w:tcBorders>
            <w:shd w:val="clear" w:color="000000" w:fill="D9D9D9"/>
            <w:noWrap/>
            <w:vAlign w:val="bottom"/>
            <w:hideMark/>
          </w:tcPr>
          <w:p w:rsidR="00620CA1" w:rsidRPr="00346A27" w:rsidRDefault="00620CA1" w:rsidP="00620CA1">
            <w:pPr>
              <w:keepNext w:val="0"/>
              <w:spacing w:after="0"/>
              <w:jc w:val="right"/>
              <w:rPr>
                <w:rFonts w:ascii="Arial" w:hAnsi="Arial" w:cs="Arial"/>
                <w:b/>
                <w:bCs/>
                <w:sz w:val="16"/>
                <w:szCs w:val="16"/>
              </w:rPr>
            </w:pPr>
            <w:r w:rsidRPr="00346A27">
              <w:rPr>
                <w:rFonts w:ascii="Arial" w:hAnsi="Arial" w:cs="Arial"/>
                <w:b/>
                <w:bCs/>
                <w:sz w:val="16"/>
                <w:szCs w:val="16"/>
              </w:rPr>
              <w:t>15,907</w:t>
            </w:r>
          </w:p>
        </w:tc>
        <w:tc>
          <w:tcPr>
            <w:tcW w:w="848" w:type="dxa"/>
            <w:tcBorders>
              <w:top w:val="nil"/>
              <w:left w:val="nil"/>
              <w:bottom w:val="nil"/>
              <w:right w:val="nil"/>
            </w:tcBorders>
            <w:shd w:val="clear" w:color="000000" w:fill="D9D9D9"/>
            <w:noWrap/>
            <w:vAlign w:val="bottom"/>
            <w:hideMark/>
          </w:tcPr>
          <w:p w:rsidR="00620CA1" w:rsidRPr="00346A27" w:rsidRDefault="00620CA1" w:rsidP="00620CA1">
            <w:pPr>
              <w:keepNext w:val="0"/>
              <w:spacing w:after="0"/>
              <w:jc w:val="right"/>
              <w:rPr>
                <w:rFonts w:ascii="Arial" w:hAnsi="Arial" w:cs="Arial"/>
                <w:b/>
                <w:bCs/>
                <w:sz w:val="16"/>
                <w:szCs w:val="16"/>
              </w:rPr>
            </w:pPr>
            <w:r w:rsidRPr="00346A27">
              <w:rPr>
                <w:rFonts w:ascii="Arial" w:hAnsi="Arial" w:cs="Arial"/>
                <w:b/>
                <w:bCs/>
                <w:sz w:val="16"/>
                <w:szCs w:val="16"/>
              </w:rPr>
              <w:t>10,046</w:t>
            </w:r>
          </w:p>
        </w:tc>
        <w:tc>
          <w:tcPr>
            <w:tcW w:w="951" w:type="dxa"/>
            <w:tcBorders>
              <w:top w:val="nil"/>
              <w:left w:val="nil"/>
              <w:bottom w:val="nil"/>
              <w:right w:val="nil"/>
            </w:tcBorders>
            <w:shd w:val="clear" w:color="000000" w:fill="D9D9D9"/>
            <w:noWrap/>
            <w:vAlign w:val="bottom"/>
            <w:hideMark/>
          </w:tcPr>
          <w:p w:rsidR="00620CA1" w:rsidRPr="00346A27" w:rsidRDefault="00620CA1" w:rsidP="00620CA1">
            <w:pPr>
              <w:keepNext w:val="0"/>
              <w:spacing w:after="0"/>
              <w:jc w:val="right"/>
              <w:rPr>
                <w:rFonts w:ascii="Arial" w:hAnsi="Arial" w:cs="Arial"/>
                <w:b/>
                <w:bCs/>
                <w:sz w:val="16"/>
                <w:szCs w:val="16"/>
              </w:rPr>
            </w:pPr>
            <w:r w:rsidRPr="00346A27">
              <w:rPr>
                <w:rFonts w:ascii="Arial" w:hAnsi="Arial" w:cs="Arial"/>
                <w:b/>
                <w:bCs/>
                <w:sz w:val="16"/>
                <w:szCs w:val="16"/>
              </w:rPr>
              <w:t>25,707</w:t>
            </w:r>
          </w:p>
        </w:tc>
        <w:tc>
          <w:tcPr>
            <w:tcW w:w="810" w:type="dxa"/>
            <w:tcBorders>
              <w:top w:val="nil"/>
              <w:left w:val="nil"/>
              <w:bottom w:val="nil"/>
              <w:right w:val="nil"/>
            </w:tcBorders>
            <w:shd w:val="clear" w:color="000000" w:fill="D9D9D9"/>
            <w:noWrap/>
            <w:vAlign w:val="bottom"/>
            <w:hideMark/>
          </w:tcPr>
          <w:p w:rsidR="00620CA1" w:rsidRPr="00346A27" w:rsidRDefault="00620CA1" w:rsidP="00620CA1">
            <w:pPr>
              <w:keepNext w:val="0"/>
              <w:spacing w:after="0"/>
              <w:jc w:val="right"/>
              <w:rPr>
                <w:rFonts w:ascii="Arial" w:hAnsi="Arial" w:cs="Arial"/>
                <w:b/>
                <w:bCs/>
                <w:sz w:val="16"/>
                <w:szCs w:val="16"/>
              </w:rPr>
            </w:pPr>
            <w:r w:rsidRPr="00346A27">
              <w:rPr>
                <w:rFonts w:ascii="Arial" w:hAnsi="Arial" w:cs="Arial"/>
                <w:b/>
                <w:bCs/>
                <w:sz w:val="16"/>
                <w:szCs w:val="16"/>
              </w:rPr>
              <w:t>1,126</w:t>
            </w:r>
          </w:p>
        </w:tc>
      </w:tr>
      <w:tr w:rsidR="00346A27" w:rsidRPr="00346A27" w:rsidTr="00620CA1">
        <w:trPr>
          <w:trHeight w:val="225"/>
        </w:trPr>
        <w:tc>
          <w:tcPr>
            <w:tcW w:w="2000" w:type="dxa"/>
            <w:tcBorders>
              <w:top w:val="nil"/>
              <w:left w:val="nil"/>
              <w:bottom w:val="nil"/>
              <w:right w:val="nil"/>
            </w:tcBorders>
            <w:shd w:val="clear" w:color="auto" w:fill="auto"/>
            <w:noWrap/>
            <w:vAlign w:val="bottom"/>
            <w:hideMark/>
          </w:tcPr>
          <w:p w:rsidR="00620CA1" w:rsidRPr="00346A27" w:rsidRDefault="00620CA1" w:rsidP="00620CA1">
            <w:pPr>
              <w:keepNext w:val="0"/>
              <w:spacing w:after="0"/>
              <w:ind w:firstLineChars="200" w:firstLine="320"/>
              <w:rPr>
                <w:rFonts w:ascii="Arial" w:hAnsi="Arial" w:cs="Arial"/>
                <w:i/>
                <w:iCs/>
                <w:sz w:val="16"/>
                <w:szCs w:val="16"/>
              </w:rPr>
            </w:pPr>
          </w:p>
        </w:tc>
        <w:tc>
          <w:tcPr>
            <w:tcW w:w="913" w:type="dxa"/>
            <w:tcBorders>
              <w:top w:val="nil"/>
              <w:left w:val="nil"/>
              <w:bottom w:val="nil"/>
              <w:right w:val="nil"/>
            </w:tcBorders>
            <w:shd w:val="clear" w:color="auto" w:fill="auto"/>
            <w:noWrap/>
            <w:vAlign w:val="bottom"/>
            <w:hideMark/>
          </w:tcPr>
          <w:p w:rsidR="00620CA1" w:rsidRPr="00346A27" w:rsidRDefault="00620CA1" w:rsidP="00620CA1">
            <w:pPr>
              <w:keepNext w:val="0"/>
              <w:spacing w:after="0"/>
              <w:jc w:val="center"/>
              <w:rPr>
                <w:rFonts w:ascii="Arial" w:hAnsi="Arial" w:cs="Arial"/>
                <w:sz w:val="16"/>
                <w:szCs w:val="16"/>
              </w:rPr>
            </w:pPr>
          </w:p>
        </w:tc>
        <w:tc>
          <w:tcPr>
            <w:tcW w:w="896" w:type="dxa"/>
            <w:tcBorders>
              <w:top w:val="nil"/>
              <w:left w:val="nil"/>
              <w:bottom w:val="single" w:sz="4" w:space="0" w:color="auto"/>
              <w:right w:val="nil"/>
            </w:tcBorders>
            <w:shd w:val="clear" w:color="auto" w:fill="auto"/>
            <w:noWrap/>
            <w:vAlign w:val="bottom"/>
            <w:hideMark/>
          </w:tcPr>
          <w:p w:rsidR="00620CA1" w:rsidRPr="00346A27" w:rsidRDefault="00620CA1" w:rsidP="00620CA1">
            <w:pPr>
              <w:keepNext w:val="0"/>
              <w:spacing w:after="0"/>
              <w:jc w:val="right"/>
              <w:rPr>
                <w:rFonts w:ascii="Arial" w:hAnsi="Arial" w:cs="Arial"/>
                <w:i/>
                <w:iCs/>
                <w:sz w:val="16"/>
                <w:szCs w:val="16"/>
              </w:rPr>
            </w:pPr>
            <w:r w:rsidRPr="00346A27">
              <w:rPr>
                <w:rFonts w:ascii="Arial" w:hAnsi="Arial" w:cs="Arial"/>
                <w:i/>
                <w:iCs/>
                <w:sz w:val="16"/>
                <w:szCs w:val="16"/>
              </w:rPr>
              <w:t>1,395</w:t>
            </w:r>
          </w:p>
        </w:tc>
        <w:tc>
          <w:tcPr>
            <w:tcW w:w="1168" w:type="dxa"/>
            <w:tcBorders>
              <w:top w:val="nil"/>
              <w:left w:val="nil"/>
              <w:bottom w:val="single" w:sz="4" w:space="0" w:color="auto"/>
              <w:right w:val="nil"/>
            </w:tcBorders>
            <w:shd w:val="clear" w:color="000000" w:fill="D9D9D9"/>
            <w:noWrap/>
            <w:vAlign w:val="bottom"/>
            <w:hideMark/>
          </w:tcPr>
          <w:p w:rsidR="00620CA1" w:rsidRPr="00346A27" w:rsidRDefault="00620CA1" w:rsidP="00620CA1">
            <w:pPr>
              <w:keepNext w:val="0"/>
              <w:spacing w:after="0"/>
              <w:jc w:val="right"/>
              <w:rPr>
                <w:rFonts w:ascii="Arial" w:hAnsi="Arial" w:cs="Arial"/>
                <w:i/>
                <w:iCs/>
                <w:sz w:val="16"/>
                <w:szCs w:val="16"/>
              </w:rPr>
            </w:pPr>
            <w:r w:rsidRPr="00346A27">
              <w:rPr>
                <w:rFonts w:ascii="Arial" w:hAnsi="Arial" w:cs="Arial"/>
                <w:i/>
                <w:iCs/>
                <w:sz w:val="16"/>
                <w:szCs w:val="16"/>
              </w:rPr>
              <w:t>15,256</w:t>
            </w:r>
          </w:p>
        </w:tc>
        <w:tc>
          <w:tcPr>
            <w:tcW w:w="848" w:type="dxa"/>
            <w:tcBorders>
              <w:top w:val="nil"/>
              <w:left w:val="nil"/>
              <w:bottom w:val="single" w:sz="4" w:space="0" w:color="auto"/>
              <w:right w:val="nil"/>
            </w:tcBorders>
            <w:shd w:val="clear" w:color="000000" w:fill="D9D9D9"/>
            <w:noWrap/>
            <w:vAlign w:val="bottom"/>
            <w:hideMark/>
          </w:tcPr>
          <w:p w:rsidR="00620CA1" w:rsidRPr="00346A27" w:rsidRDefault="00620CA1" w:rsidP="00620CA1">
            <w:pPr>
              <w:keepNext w:val="0"/>
              <w:spacing w:after="0"/>
              <w:jc w:val="right"/>
              <w:rPr>
                <w:rFonts w:ascii="Arial" w:hAnsi="Arial" w:cs="Arial"/>
                <w:i/>
                <w:iCs/>
                <w:sz w:val="16"/>
                <w:szCs w:val="16"/>
              </w:rPr>
            </w:pPr>
            <w:r w:rsidRPr="00346A27">
              <w:rPr>
                <w:rFonts w:ascii="Arial" w:hAnsi="Arial" w:cs="Arial"/>
                <w:i/>
                <w:iCs/>
                <w:sz w:val="16"/>
                <w:szCs w:val="16"/>
              </w:rPr>
              <w:t>10,046</w:t>
            </w:r>
          </w:p>
        </w:tc>
        <w:tc>
          <w:tcPr>
            <w:tcW w:w="951" w:type="dxa"/>
            <w:tcBorders>
              <w:top w:val="nil"/>
              <w:left w:val="nil"/>
              <w:bottom w:val="single" w:sz="4" w:space="0" w:color="auto"/>
              <w:right w:val="nil"/>
            </w:tcBorders>
            <w:shd w:val="clear" w:color="000000" w:fill="D9D9D9"/>
            <w:noWrap/>
            <w:vAlign w:val="bottom"/>
            <w:hideMark/>
          </w:tcPr>
          <w:p w:rsidR="00620CA1" w:rsidRPr="00346A27" w:rsidRDefault="00620CA1" w:rsidP="00620CA1">
            <w:pPr>
              <w:keepNext w:val="0"/>
              <w:spacing w:after="0"/>
              <w:jc w:val="right"/>
              <w:rPr>
                <w:rFonts w:ascii="Arial" w:hAnsi="Arial" w:cs="Arial"/>
                <w:i/>
                <w:iCs/>
                <w:sz w:val="16"/>
                <w:szCs w:val="16"/>
              </w:rPr>
            </w:pPr>
            <w:r w:rsidRPr="00346A27">
              <w:rPr>
                <w:rFonts w:ascii="Arial" w:hAnsi="Arial" w:cs="Arial"/>
                <w:i/>
                <w:iCs/>
                <w:sz w:val="16"/>
                <w:szCs w:val="16"/>
              </w:rPr>
              <w:t>25,817</w:t>
            </w:r>
          </w:p>
        </w:tc>
        <w:tc>
          <w:tcPr>
            <w:tcW w:w="810" w:type="dxa"/>
            <w:tcBorders>
              <w:top w:val="nil"/>
              <w:left w:val="nil"/>
              <w:bottom w:val="single" w:sz="4" w:space="0" w:color="auto"/>
              <w:right w:val="nil"/>
            </w:tcBorders>
            <w:shd w:val="clear" w:color="000000" w:fill="D9D9D9"/>
            <w:noWrap/>
            <w:vAlign w:val="bottom"/>
            <w:hideMark/>
          </w:tcPr>
          <w:p w:rsidR="00620CA1" w:rsidRPr="00346A27" w:rsidRDefault="00620CA1" w:rsidP="00620CA1">
            <w:pPr>
              <w:keepNext w:val="0"/>
              <w:spacing w:after="0"/>
              <w:jc w:val="right"/>
              <w:rPr>
                <w:rFonts w:ascii="Arial" w:hAnsi="Arial" w:cs="Arial"/>
                <w:i/>
                <w:iCs/>
                <w:sz w:val="16"/>
                <w:szCs w:val="16"/>
              </w:rPr>
            </w:pPr>
            <w:r w:rsidRPr="00346A27">
              <w:rPr>
                <w:rFonts w:ascii="Arial" w:hAnsi="Arial" w:cs="Arial"/>
                <w:i/>
                <w:iCs/>
                <w:sz w:val="16"/>
                <w:szCs w:val="16"/>
              </w:rPr>
              <w:t>880</w:t>
            </w:r>
          </w:p>
        </w:tc>
      </w:tr>
      <w:tr w:rsidR="00346A27" w:rsidRPr="00346A27" w:rsidTr="00EB0950">
        <w:trPr>
          <w:trHeight w:val="300"/>
        </w:trPr>
        <w:tc>
          <w:tcPr>
            <w:tcW w:w="2913" w:type="dxa"/>
            <w:gridSpan w:val="2"/>
            <w:tcBorders>
              <w:top w:val="nil"/>
              <w:left w:val="nil"/>
              <w:bottom w:val="nil"/>
              <w:right w:val="nil"/>
            </w:tcBorders>
            <w:shd w:val="clear" w:color="auto" w:fill="auto"/>
            <w:noWrap/>
            <w:vAlign w:val="bottom"/>
            <w:hideMark/>
          </w:tcPr>
          <w:p w:rsidR="00620CA1" w:rsidRPr="00346A27" w:rsidRDefault="00620CA1" w:rsidP="00620CA1">
            <w:pPr>
              <w:keepNext w:val="0"/>
              <w:spacing w:after="0"/>
              <w:rPr>
                <w:rFonts w:ascii="Arial" w:hAnsi="Arial" w:cs="Arial"/>
                <w:sz w:val="16"/>
                <w:szCs w:val="16"/>
              </w:rPr>
            </w:pPr>
            <w:r w:rsidRPr="00346A27">
              <w:rPr>
                <w:rFonts w:ascii="Arial" w:hAnsi="Arial" w:cs="Arial"/>
                <w:b/>
                <w:bCs/>
                <w:sz w:val="16"/>
                <w:szCs w:val="16"/>
              </w:rPr>
              <w:t>Total Special Accounts</w:t>
            </w:r>
          </w:p>
        </w:tc>
        <w:tc>
          <w:tcPr>
            <w:tcW w:w="896" w:type="dxa"/>
            <w:tcBorders>
              <w:top w:val="nil"/>
              <w:left w:val="nil"/>
              <w:bottom w:val="nil"/>
              <w:right w:val="nil"/>
            </w:tcBorders>
            <w:shd w:val="clear" w:color="auto" w:fill="auto"/>
            <w:noWrap/>
            <w:vAlign w:val="bottom"/>
            <w:hideMark/>
          </w:tcPr>
          <w:p w:rsidR="00620CA1" w:rsidRPr="00346A27" w:rsidRDefault="00620CA1" w:rsidP="00620CA1">
            <w:pPr>
              <w:keepNext w:val="0"/>
              <w:spacing w:after="0"/>
              <w:jc w:val="right"/>
              <w:rPr>
                <w:rFonts w:ascii="Arial" w:hAnsi="Arial" w:cs="Arial"/>
                <w:b/>
                <w:bCs/>
                <w:sz w:val="16"/>
                <w:szCs w:val="16"/>
              </w:rPr>
            </w:pPr>
          </w:p>
        </w:tc>
        <w:tc>
          <w:tcPr>
            <w:tcW w:w="1168" w:type="dxa"/>
            <w:tcBorders>
              <w:top w:val="nil"/>
              <w:left w:val="nil"/>
              <w:bottom w:val="nil"/>
              <w:right w:val="nil"/>
            </w:tcBorders>
            <w:shd w:val="clear" w:color="000000" w:fill="D9D9D9"/>
            <w:noWrap/>
            <w:vAlign w:val="bottom"/>
          </w:tcPr>
          <w:p w:rsidR="00620CA1" w:rsidRPr="00346A27" w:rsidRDefault="00620CA1" w:rsidP="00620CA1">
            <w:pPr>
              <w:keepNext w:val="0"/>
              <w:spacing w:after="0"/>
              <w:jc w:val="right"/>
              <w:rPr>
                <w:rFonts w:ascii="Arial" w:hAnsi="Arial" w:cs="Arial"/>
                <w:b/>
                <w:bCs/>
                <w:sz w:val="16"/>
                <w:szCs w:val="16"/>
              </w:rPr>
            </w:pPr>
          </w:p>
        </w:tc>
        <w:tc>
          <w:tcPr>
            <w:tcW w:w="848" w:type="dxa"/>
            <w:tcBorders>
              <w:top w:val="nil"/>
              <w:left w:val="nil"/>
              <w:bottom w:val="nil"/>
              <w:right w:val="nil"/>
            </w:tcBorders>
            <w:shd w:val="clear" w:color="000000" w:fill="D9D9D9"/>
            <w:noWrap/>
            <w:vAlign w:val="bottom"/>
          </w:tcPr>
          <w:p w:rsidR="00620CA1" w:rsidRPr="00346A27" w:rsidRDefault="00620CA1" w:rsidP="00620CA1">
            <w:pPr>
              <w:keepNext w:val="0"/>
              <w:spacing w:after="0"/>
              <w:jc w:val="right"/>
              <w:rPr>
                <w:rFonts w:ascii="Arial" w:hAnsi="Arial" w:cs="Arial"/>
                <w:b/>
                <w:bCs/>
                <w:sz w:val="16"/>
                <w:szCs w:val="16"/>
              </w:rPr>
            </w:pPr>
          </w:p>
        </w:tc>
        <w:tc>
          <w:tcPr>
            <w:tcW w:w="951" w:type="dxa"/>
            <w:tcBorders>
              <w:top w:val="nil"/>
              <w:left w:val="nil"/>
              <w:bottom w:val="nil"/>
              <w:right w:val="nil"/>
            </w:tcBorders>
            <w:shd w:val="clear" w:color="000000" w:fill="D9D9D9"/>
            <w:noWrap/>
            <w:vAlign w:val="bottom"/>
          </w:tcPr>
          <w:p w:rsidR="00620CA1" w:rsidRPr="00346A27" w:rsidRDefault="00620CA1" w:rsidP="00620CA1">
            <w:pPr>
              <w:keepNext w:val="0"/>
              <w:spacing w:after="0"/>
              <w:jc w:val="right"/>
              <w:rPr>
                <w:rFonts w:ascii="Arial" w:hAnsi="Arial" w:cs="Arial"/>
                <w:b/>
                <w:bCs/>
                <w:sz w:val="16"/>
                <w:szCs w:val="16"/>
              </w:rPr>
            </w:pPr>
          </w:p>
        </w:tc>
        <w:tc>
          <w:tcPr>
            <w:tcW w:w="810" w:type="dxa"/>
            <w:tcBorders>
              <w:top w:val="nil"/>
              <w:left w:val="nil"/>
              <w:bottom w:val="nil"/>
              <w:right w:val="nil"/>
            </w:tcBorders>
            <w:shd w:val="clear" w:color="000000" w:fill="D9D9D9"/>
            <w:noWrap/>
            <w:vAlign w:val="bottom"/>
          </w:tcPr>
          <w:p w:rsidR="00620CA1" w:rsidRPr="00346A27" w:rsidRDefault="00620CA1" w:rsidP="00620CA1">
            <w:pPr>
              <w:keepNext w:val="0"/>
              <w:spacing w:after="0"/>
              <w:jc w:val="right"/>
              <w:rPr>
                <w:rFonts w:ascii="Arial" w:hAnsi="Arial" w:cs="Arial"/>
                <w:b/>
                <w:bCs/>
                <w:sz w:val="16"/>
                <w:szCs w:val="16"/>
              </w:rPr>
            </w:pPr>
          </w:p>
        </w:tc>
      </w:tr>
      <w:tr w:rsidR="00346A27" w:rsidRPr="00346A27" w:rsidTr="00620CA1">
        <w:trPr>
          <w:trHeight w:val="225"/>
        </w:trPr>
        <w:tc>
          <w:tcPr>
            <w:tcW w:w="2000" w:type="dxa"/>
            <w:tcBorders>
              <w:top w:val="nil"/>
              <w:left w:val="nil"/>
              <w:bottom w:val="nil"/>
              <w:right w:val="nil"/>
            </w:tcBorders>
            <w:shd w:val="clear" w:color="auto" w:fill="auto"/>
            <w:noWrap/>
            <w:vAlign w:val="bottom"/>
            <w:hideMark/>
          </w:tcPr>
          <w:p w:rsidR="00620CA1" w:rsidRPr="00346A27" w:rsidRDefault="00620CA1" w:rsidP="00620CA1">
            <w:pPr>
              <w:keepNext w:val="0"/>
              <w:spacing w:after="0"/>
              <w:ind w:firstLineChars="100" w:firstLine="161"/>
              <w:rPr>
                <w:rFonts w:ascii="Arial" w:hAnsi="Arial" w:cs="Arial"/>
                <w:b/>
                <w:bCs/>
                <w:sz w:val="16"/>
                <w:szCs w:val="16"/>
              </w:rPr>
            </w:pPr>
            <w:r w:rsidRPr="00346A27">
              <w:rPr>
                <w:rFonts w:ascii="Arial" w:hAnsi="Arial" w:cs="Arial"/>
                <w:b/>
                <w:bCs/>
                <w:sz w:val="16"/>
                <w:szCs w:val="16"/>
              </w:rPr>
              <w:t>2015-16 Estimate</w:t>
            </w:r>
          </w:p>
        </w:tc>
        <w:tc>
          <w:tcPr>
            <w:tcW w:w="913" w:type="dxa"/>
            <w:tcBorders>
              <w:top w:val="nil"/>
              <w:left w:val="nil"/>
              <w:bottom w:val="nil"/>
              <w:right w:val="nil"/>
            </w:tcBorders>
            <w:shd w:val="clear" w:color="auto" w:fill="auto"/>
            <w:noWrap/>
            <w:vAlign w:val="bottom"/>
            <w:hideMark/>
          </w:tcPr>
          <w:p w:rsidR="00620CA1" w:rsidRPr="00346A27" w:rsidRDefault="00620CA1" w:rsidP="00620CA1">
            <w:pPr>
              <w:keepNext w:val="0"/>
              <w:spacing w:after="0"/>
              <w:jc w:val="center"/>
              <w:rPr>
                <w:rFonts w:ascii="Arial" w:hAnsi="Arial" w:cs="Arial"/>
                <w:sz w:val="16"/>
                <w:szCs w:val="16"/>
              </w:rPr>
            </w:pPr>
          </w:p>
        </w:tc>
        <w:tc>
          <w:tcPr>
            <w:tcW w:w="896" w:type="dxa"/>
            <w:tcBorders>
              <w:top w:val="nil"/>
              <w:left w:val="nil"/>
              <w:bottom w:val="single" w:sz="4" w:space="0" w:color="auto"/>
              <w:right w:val="nil"/>
            </w:tcBorders>
            <w:shd w:val="clear" w:color="auto" w:fill="auto"/>
            <w:noWrap/>
            <w:vAlign w:val="bottom"/>
            <w:hideMark/>
          </w:tcPr>
          <w:p w:rsidR="00620CA1" w:rsidRPr="00346A27" w:rsidRDefault="00620CA1" w:rsidP="00620CA1">
            <w:pPr>
              <w:keepNext w:val="0"/>
              <w:spacing w:after="0"/>
              <w:jc w:val="right"/>
              <w:rPr>
                <w:rFonts w:ascii="Arial" w:hAnsi="Arial" w:cs="Arial"/>
                <w:b/>
                <w:bCs/>
                <w:sz w:val="16"/>
                <w:szCs w:val="16"/>
              </w:rPr>
            </w:pPr>
            <w:r w:rsidRPr="00346A27">
              <w:rPr>
                <w:rFonts w:ascii="Arial" w:hAnsi="Arial" w:cs="Arial"/>
                <w:b/>
                <w:bCs/>
                <w:sz w:val="16"/>
                <w:szCs w:val="16"/>
              </w:rPr>
              <w:t>880</w:t>
            </w:r>
          </w:p>
        </w:tc>
        <w:tc>
          <w:tcPr>
            <w:tcW w:w="1168" w:type="dxa"/>
            <w:tcBorders>
              <w:top w:val="nil"/>
              <w:left w:val="nil"/>
              <w:bottom w:val="single" w:sz="4" w:space="0" w:color="auto"/>
              <w:right w:val="nil"/>
            </w:tcBorders>
            <w:shd w:val="clear" w:color="000000" w:fill="D9D9D9"/>
            <w:noWrap/>
            <w:vAlign w:val="bottom"/>
            <w:hideMark/>
          </w:tcPr>
          <w:p w:rsidR="00620CA1" w:rsidRPr="00346A27" w:rsidRDefault="00620CA1" w:rsidP="00620CA1">
            <w:pPr>
              <w:keepNext w:val="0"/>
              <w:spacing w:after="0"/>
              <w:jc w:val="right"/>
              <w:rPr>
                <w:rFonts w:ascii="Arial" w:hAnsi="Arial" w:cs="Arial"/>
                <w:b/>
                <w:bCs/>
                <w:sz w:val="16"/>
                <w:szCs w:val="16"/>
              </w:rPr>
            </w:pPr>
            <w:r w:rsidRPr="00346A27">
              <w:rPr>
                <w:rFonts w:ascii="Arial" w:hAnsi="Arial" w:cs="Arial"/>
                <w:b/>
                <w:bCs/>
                <w:sz w:val="16"/>
                <w:szCs w:val="16"/>
              </w:rPr>
              <w:t>15,907</w:t>
            </w:r>
          </w:p>
        </w:tc>
        <w:tc>
          <w:tcPr>
            <w:tcW w:w="848" w:type="dxa"/>
            <w:tcBorders>
              <w:top w:val="nil"/>
              <w:left w:val="nil"/>
              <w:bottom w:val="single" w:sz="4" w:space="0" w:color="auto"/>
              <w:right w:val="nil"/>
            </w:tcBorders>
            <w:shd w:val="clear" w:color="000000" w:fill="D9D9D9"/>
            <w:noWrap/>
            <w:vAlign w:val="bottom"/>
            <w:hideMark/>
          </w:tcPr>
          <w:p w:rsidR="00620CA1" w:rsidRPr="00346A27" w:rsidRDefault="00620CA1" w:rsidP="00620CA1">
            <w:pPr>
              <w:keepNext w:val="0"/>
              <w:spacing w:after="0"/>
              <w:jc w:val="right"/>
              <w:rPr>
                <w:rFonts w:ascii="Arial" w:hAnsi="Arial" w:cs="Arial"/>
                <w:b/>
                <w:bCs/>
                <w:sz w:val="16"/>
                <w:szCs w:val="16"/>
              </w:rPr>
            </w:pPr>
            <w:r w:rsidRPr="00346A27">
              <w:rPr>
                <w:rFonts w:ascii="Arial" w:hAnsi="Arial" w:cs="Arial"/>
                <w:b/>
                <w:bCs/>
                <w:sz w:val="16"/>
                <w:szCs w:val="16"/>
              </w:rPr>
              <w:t>10,046</w:t>
            </w:r>
          </w:p>
        </w:tc>
        <w:tc>
          <w:tcPr>
            <w:tcW w:w="951" w:type="dxa"/>
            <w:tcBorders>
              <w:top w:val="nil"/>
              <w:left w:val="nil"/>
              <w:bottom w:val="single" w:sz="4" w:space="0" w:color="auto"/>
              <w:right w:val="nil"/>
            </w:tcBorders>
            <w:shd w:val="clear" w:color="000000" w:fill="D9D9D9"/>
            <w:noWrap/>
            <w:vAlign w:val="bottom"/>
            <w:hideMark/>
          </w:tcPr>
          <w:p w:rsidR="00620CA1" w:rsidRPr="00346A27" w:rsidRDefault="00620CA1" w:rsidP="00620CA1">
            <w:pPr>
              <w:keepNext w:val="0"/>
              <w:spacing w:after="0"/>
              <w:jc w:val="right"/>
              <w:rPr>
                <w:rFonts w:ascii="Arial" w:hAnsi="Arial" w:cs="Arial"/>
                <w:b/>
                <w:bCs/>
                <w:sz w:val="16"/>
                <w:szCs w:val="16"/>
              </w:rPr>
            </w:pPr>
            <w:r w:rsidRPr="00346A27">
              <w:rPr>
                <w:rFonts w:ascii="Arial" w:hAnsi="Arial" w:cs="Arial"/>
                <w:b/>
                <w:bCs/>
                <w:sz w:val="16"/>
                <w:szCs w:val="16"/>
              </w:rPr>
              <w:t>25,707</w:t>
            </w:r>
          </w:p>
        </w:tc>
        <w:tc>
          <w:tcPr>
            <w:tcW w:w="810" w:type="dxa"/>
            <w:tcBorders>
              <w:top w:val="nil"/>
              <w:left w:val="nil"/>
              <w:bottom w:val="single" w:sz="4" w:space="0" w:color="auto"/>
              <w:right w:val="nil"/>
            </w:tcBorders>
            <w:shd w:val="clear" w:color="000000" w:fill="D9D9D9"/>
            <w:noWrap/>
            <w:vAlign w:val="bottom"/>
            <w:hideMark/>
          </w:tcPr>
          <w:p w:rsidR="00620CA1" w:rsidRPr="00346A27" w:rsidRDefault="00620CA1" w:rsidP="00620CA1">
            <w:pPr>
              <w:keepNext w:val="0"/>
              <w:spacing w:after="0"/>
              <w:jc w:val="right"/>
              <w:rPr>
                <w:rFonts w:ascii="Arial" w:hAnsi="Arial" w:cs="Arial"/>
                <w:b/>
                <w:bCs/>
                <w:sz w:val="16"/>
                <w:szCs w:val="16"/>
              </w:rPr>
            </w:pPr>
            <w:r w:rsidRPr="00346A27">
              <w:rPr>
                <w:rFonts w:ascii="Arial" w:hAnsi="Arial" w:cs="Arial"/>
                <w:b/>
                <w:bCs/>
                <w:sz w:val="16"/>
                <w:szCs w:val="16"/>
              </w:rPr>
              <w:t>1,126</w:t>
            </w:r>
          </w:p>
        </w:tc>
      </w:tr>
      <w:tr w:rsidR="00346A27" w:rsidRPr="00346A27" w:rsidTr="00EB0950">
        <w:trPr>
          <w:trHeight w:val="300"/>
        </w:trPr>
        <w:tc>
          <w:tcPr>
            <w:tcW w:w="2000" w:type="dxa"/>
            <w:tcBorders>
              <w:top w:val="nil"/>
              <w:left w:val="nil"/>
              <w:bottom w:val="nil"/>
              <w:right w:val="nil"/>
            </w:tcBorders>
            <w:shd w:val="clear" w:color="auto" w:fill="auto"/>
            <w:noWrap/>
            <w:vAlign w:val="bottom"/>
            <w:hideMark/>
          </w:tcPr>
          <w:p w:rsidR="00620CA1" w:rsidRPr="00346A27" w:rsidRDefault="00620CA1" w:rsidP="00620CA1">
            <w:pPr>
              <w:keepNext w:val="0"/>
              <w:spacing w:after="0"/>
              <w:rPr>
                <w:rFonts w:ascii="Arial" w:hAnsi="Arial" w:cs="Arial"/>
                <w:i/>
                <w:iCs/>
                <w:sz w:val="16"/>
                <w:szCs w:val="16"/>
              </w:rPr>
            </w:pPr>
            <w:r w:rsidRPr="00346A27">
              <w:rPr>
                <w:rFonts w:ascii="Arial" w:hAnsi="Arial" w:cs="Arial"/>
                <w:i/>
                <w:iCs/>
                <w:sz w:val="16"/>
                <w:szCs w:val="16"/>
              </w:rPr>
              <w:t>Total Special Accounts</w:t>
            </w:r>
          </w:p>
        </w:tc>
        <w:tc>
          <w:tcPr>
            <w:tcW w:w="913" w:type="dxa"/>
            <w:tcBorders>
              <w:top w:val="nil"/>
              <w:left w:val="nil"/>
              <w:bottom w:val="nil"/>
              <w:right w:val="nil"/>
            </w:tcBorders>
            <w:shd w:val="clear" w:color="auto" w:fill="auto"/>
            <w:noWrap/>
            <w:vAlign w:val="bottom"/>
            <w:hideMark/>
          </w:tcPr>
          <w:p w:rsidR="00620CA1" w:rsidRPr="00346A27" w:rsidRDefault="00620CA1" w:rsidP="00620CA1">
            <w:pPr>
              <w:keepNext w:val="0"/>
              <w:spacing w:after="0"/>
              <w:jc w:val="center"/>
              <w:rPr>
                <w:rFonts w:ascii="Arial" w:hAnsi="Arial" w:cs="Arial"/>
                <w:sz w:val="16"/>
                <w:szCs w:val="16"/>
              </w:rPr>
            </w:pPr>
          </w:p>
        </w:tc>
        <w:tc>
          <w:tcPr>
            <w:tcW w:w="896" w:type="dxa"/>
            <w:tcBorders>
              <w:top w:val="nil"/>
              <w:left w:val="nil"/>
              <w:bottom w:val="nil"/>
              <w:right w:val="nil"/>
            </w:tcBorders>
            <w:shd w:val="clear" w:color="auto" w:fill="auto"/>
            <w:noWrap/>
            <w:vAlign w:val="bottom"/>
            <w:hideMark/>
          </w:tcPr>
          <w:p w:rsidR="00620CA1" w:rsidRPr="00346A27" w:rsidRDefault="00620CA1" w:rsidP="00620CA1">
            <w:pPr>
              <w:keepNext w:val="0"/>
              <w:spacing w:after="0"/>
              <w:jc w:val="right"/>
              <w:rPr>
                <w:rFonts w:ascii="Arial" w:hAnsi="Arial" w:cs="Arial"/>
                <w:i/>
                <w:iCs/>
                <w:sz w:val="16"/>
                <w:szCs w:val="16"/>
              </w:rPr>
            </w:pPr>
          </w:p>
        </w:tc>
        <w:tc>
          <w:tcPr>
            <w:tcW w:w="1168" w:type="dxa"/>
            <w:tcBorders>
              <w:top w:val="nil"/>
              <w:left w:val="nil"/>
              <w:bottom w:val="nil"/>
              <w:right w:val="nil"/>
            </w:tcBorders>
            <w:shd w:val="clear" w:color="000000" w:fill="D9D9D9"/>
            <w:noWrap/>
            <w:vAlign w:val="bottom"/>
          </w:tcPr>
          <w:p w:rsidR="00620CA1" w:rsidRPr="00346A27" w:rsidRDefault="00620CA1" w:rsidP="00620CA1">
            <w:pPr>
              <w:keepNext w:val="0"/>
              <w:spacing w:after="0"/>
              <w:jc w:val="right"/>
              <w:rPr>
                <w:rFonts w:ascii="Arial" w:hAnsi="Arial" w:cs="Arial"/>
                <w:i/>
                <w:iCs/>
                <w:sz w:val="16"/>
                <w:szCs w:val="16"/>
              </w:rPr>
            </w:pPr>
          </w:p>
        </w:tc>
        <w:tc>
          <w:tcPr>
            <w:tcW w:w="848" w:type="dxa"/>
            <w:tcBorders>
              <w:top w:val="nil"/>
              <w:left w:val="nil"/>
              <w:bottom w:val="nil"/>
              <w:right w:val="nil"/>
            </w:tcBorders>
            <w:shd w:val="clear" w:color="000000" w:fill="D9D9D9"/>
            <w:noWrap/>
            <w:vAlign w:val="bottom"/>
          </w:tcPr>
          <w:p w:rsidR="00620CA1" w:rsidRPr="00346A27" w:rsidRDefault="00620CA1" w:rsidP="00620CA1">
            <w:pPr>
              <w:keepNext w:val="0"/>
              <w:spacing w:after="0"/>
              <w:jc w:val="right"/>
              <w:rPr>
                <w:rFonts w:ascii="Arial" w:hAnsi="Arial" w:cs="Arial"/>
                <w:i/>
                <w:iCs/>
                <w:sz w:val="16"/>
                <w:szCs w:val="16"/>
              </w:rPr>
            </w:pPr>
          </w:p>
        </w:tc>
        <w:tc>
          <w:tcPr>
            <w:tcW w:w="951" w:type="dxa"/>
            <w:tcBorders>
              <w:top w:val="nil"/>
              <w:left w:val="nil"/>
              <w:bottom w:val="nil"/>
              <w:right w:val="nil"/>
            </w:tcBorders>
            <w:shd w:val="clear" w:color="000000" w:fill="D9D9D9"/>
            <w:noWrap/>
            <w:vAlign w:val="bottom"/>
          </w:tcPr>
          <w:p w:rsidR="00620CA1" w:rsidRPr="00346A27" w:rsidRDefault="00620CA1" w:rsidP="00620CA1">
            <w:pPr>
              <w:keepNext w:val="0"/>
              <w:spacing w:after="0"/>
              <w:jc w:val="right"/>
              <w:rPr>
                <w:rFonts w:ascii="Arial" w:hAnsi="Arial" w:cs="Arial"/>
                <w:i/>
                <w:iCs/>
                <w:sz w:val="16"/>
                <w:szCs w:val="16"/>
              </w:rPr>
            </w:pPr>
          </w:p>
        </w:tc>
        <w:tc>
          <w:tcPr>
            <w:tcW w:w="810" w:type="dxa"/>
            <w:tcBorders>
              <w:top w:val="nil"/>
              <w:left w:val="nil"/>
              <w:bottom w:val="nil"/>
              <w:right w:val="nil"/>
            </w:tcBorders>
            <w:shd w:val="clear" w:color="000000" w:fill="D9D9D9"/>
            <w:noWrap/>
            <w:vAlign w:val="bottom"/>
          </w:tcPr>
          <w:p w:rsidR="00620CA1" w:rsidRPr="00346A27" w:rsidRDefault="00620CA1" w:rsidP="00620CA1">
            <w:pPr>
              <w:keepNext w:val="0"/>
              <w:spacing w:after="0"/>
              <w:jc w:val="right"/>
              <w:rPr>
                <w:rFonts w:ascii="Arial" w:hAnsi="Arial" w:cs="Arial"/>
                <w:i/>
                <w:iCs/>
                <w:sz w:val="16"/>
                <w:szCs w:val="16"/>
              </w:rPr>
            </w:pPr>
          </w:p>
        </w:tc>
      </w:tr>
      <w:tr w:rsidR="00346A27" w:rsidRPr="00346A27" w:rsidTr="00620CA1">
        <w:trPr>
          <w:trHeight w:val="225"/>
        </w:trPr>
        <w:tc>
          <w:tcPr>
            <w:tcW w:w="2913" w:type="dxa"/>
            <w:gridSpan w:val="2"/>
            <w:tcBorders>
              <w:top w:val="nil"/>
              <w:left w:val="nil"/>
              <w:bottom w:val="single" w:sz="4" w:space="0" w:color="auto"/>
              <w:right w:val="nil"/>
            </w:tcBorders>
            <w:shd w:val="clear" w:color="auto" w:fill="auto"/>
            <w:noWrap/>
            <w:vAlign w:val="bottom"/>
            <w:hideMark/>
          </w:tcPr>
          <w:p w:rsidR="00620CA1" w:rsidRPr="00346A27" w:rsidRDefault="00620CA1" w:rsidP="00620CA1">
            <w:pPr>
              <w:keepNext w:val="0"/>
              <w:spacing w:after="0"/>
              <w:ind w:firstLineChars="100" w:firstLine="160"/>
              <w:rPr>
                <w:rFonts w:ascii="Arial" w:hAnsi="Arial" w:cs="Arial"/>
                <w:i/>
                <w:iCs/>
                <w:sz w:val="16"/>
                <w:szCs w:val="16"/>
              </w:rPr>
            </w:pPr>
            <w:r w:rsidRPr="00346A27">
              <w:rPr>
                <w:rFonts w:ascii="Arial" w:hAnsi="Arial" w:cs="Arial"/>
                <w:i/>
                <w:iCs/>
                <w:sz w:val="16"/>
                <w:szCs w:val="16"/>
              </w:rPr>
              <w:t>2014-15 estimate actual</w:t>
            </w:r>
          </w:p>
        </w:tc>
        <w:tc>
          <w:tcPr>
            <w:tcW w:w="896" w:type="dxa"/>
            <w:tcBorders>
              <w:top w:val="nil"/>
              <w:left w:val="nil"/>
              <w:bottom w:val="single" w:sz="4" w:space="0" w:color="auto"/>
              <w:right w:val="nil"/>
            </w:tcBorders>
            <w:shd w:val="clear" w:color="auto" w:fill="auto"/>
            <w:noWrap/>
            <w:vAlign w:val="bottom"/>
            <w:hideMark/>
          </w:tcPr>
          <w:p w:rsidR="00620CA1" w:rsidRPr="00346A27" w:rsidRDefault="00620CA1" w:rsidP="00620CA1">
            <w:pPr>
              <w:keepNext w:val="0"/>
              <w:spacing w:after="0"/>
              <w:jc w:val="right"/>
              <w:rPr>
                <w:rFonts w:ascii="Arial" w:hAnsi="Arial" w:cs="Arial"/>
                <w:i/>
                <w:iCs/>
                <w:sz w:val="16"/>
                <w:szCs w:val="16"/>
              </w:rPr>
            </w:pPr>
            <w:r w:rsidRPr="00346A27">
              <w:rPr>
                <w:rFonts w:ascii="Arial" w:hAnsi="Arial" w:cs="Arial"/>
                <w:i/>
                <w:iCs/>
                <w:sz w:val="16"/>
                <w:szCs w:val="16"/>
              </w:rPr>
              <w:t>1,395</w:t>
            </w:r>
          </w:p>
        </w:tc>
        <w:tc>
          <w:tcPr>
            <w:tcW w:w="1168" w:type="dxa"/>
            <w:tcBorders>
              <w:top w:val="nil"/>
              <w:left w:val="nil"/>
              <w:bottom w:val="single" w:sz="4" w:space="0" w:color="auto"/>
              <w:right w:val="nil"/>
            </w:tcBorders>
            <w:shd w:val="clear" w:color="000000" w:fill="D9D9D9"/>
            <w:noWrap/>
            <w:vAlign w:val="bottom"/>
            <w:hideMark/>
          </w:tcPr>
          <w:p w:rsidR="00620CA1" w:rsidRPr="00346A27" w:rsidRDefault="00620CA1" w:rsidP="00620CA1">
            <w:pPr>
              <w:keepNext w:val="0"/>
              <w:spacing w:after="0"/>
              <w:jc w:val="right"/>
              <w:rPr>
                <w:rFonts w:ascii="Arial" w:hAnsi="Arial" w:cs="Arial"/>
                <w:i/>
                <w:iCs/>
                <w:sz w:val="16"/>
                <w:szCs w:val="16"/>
              </w:rPr>
            </w:pPr>
            <w:r w:rsidRPr="00346A27">
              <w:rPr>
                <w:rFonts w:ascii="Arial" w:hAnsi="Arial" w:cs="Arial"/>
                <w:i/>
                <w:iCs/>
                <w:sz w:val="16"/>
                <w:szCs w:val="16"/>
              </w:rPr>
              <w:t>15,256</w:t>
            </w:r>
          </w:p>
        </w:tc>
        <w:tc>
          <w:tcPr>
            <w:tcW w:w="848" w:type="dxa"/>
            <w:tcBorders>
              <w:top w:val="nil"/>
              <w:left w:val="nil"/>
              <w:bottom w:val="single" w:sz="4" w:space="0" w:color="auto"/>
              <w:right w:val="nil"/>
            </w:tcBorders>
            <w:shd w:val="clear" w:color="000000" w:fill="D9D9D9"/>
            <w:noWrap/>
            <w:vAlign w:val="bottom"/>
            <w:hideMark/>
          </w:tcPr>
          <w:p w:rsidR="00620CA1" w:rsidRPr="00346A27" w:rsidRDefault="00620CA1" w:rsidP="00620CA1">
            <w:pPr>
              <w:keepNext w:val="0"/>
              <w:spacing w:after="0"/>
              <w:jc w:val="right"/>
              <w:rPr>
                <w:rFonts w:ascii="Arial" w:hAnsi="Arial" w:cs="Arial"/>
                <w:i/>
                <w:iCs/>
                <w:sz w:val="16"/>
                <w:szCs w:val="16"/>
              </w:rPr>
            </w:pPr>
            <w:r w:rsidRPr="00346A27">
              <w:rPr>
                <w:rFonts w:ascii="Arial" w:hAnsi="Arial" w:cs="Arial"/>
                <w:i/>
                <w:iCs/>
                <w:sz w:val="16"/>
                <w:szCs w:val="16"/>
              </w:rPr>
              <w:t>10,046</w:t>
            </w:r>
          </w:p>
        </w:tc>
        <w:tc>
          <w:tcPr>
            <w:tcW w:w="951" w:type="dxa"/>
            <w:tcBorders>
              <w:top w:val="nil"/>
              <w:left w:val="nil"/>
              <w:bottom w:val="single" w:sz="4" w:space="0" w:color="auto"/>
              <w:right w:val="nil"/>
            </w:tcBorders>
            <w:shd w:val="clear" w:color="000000" w:fill="D9D9D9"/>
            <w:noWrap/>
            <w:vAlign w:val="bottom"/>
            <w:hideMark/>
          </w:tcPr>
          <w:p w:rsidR="00620CA1" w:rsidRPr="00346A27" w:rsidRDefault="00620CA1" w:rsidP="00620CA1">
            <w:pPr>
              <w:keepNext w:val="0"/>
              <w:spacing w:after="0"/>
              <w:jc w:val="right"/>
              <w:rPr>
                <w:rFonts w:ascii="Arial" w:hAnsi="Arial" w:cs="Arial"/>
                <w:i/>
                <w:iCs/>
                <w:sz w:val="16"/>
                <w:szCs w:val="16"/>
              </w:rPr>
            </w:pPr>
            <w:r w:rsidRPr="00346A27">
              <w:rPr>
                <w:rFonts w:ascii="Arial" w:hAnsi="Arial" w:cs="Arial"/>
                <w:i/>
                <w:iCs/>
                <w:sz w:val="16"/>
                <w:szCs w:val="16"/>
              </w:rPr>
              <w:t>25,817</w:t>
            </w:r>
          </w:p>
        </w:tc>
        <w:tc>
          <w:tcPr>
            <w:tcW w:w="810" w:type="dxa"/>
            <w:tcBorders>
              <w:top w:val="nil"/>
              <w:left w:val="nil"/>
              <w:bottom w:val="single" w:sz="4" w:space="0" w:color="auto"/>
              <w:right w:val="nil"/>
            </w:tcBorders>
            <w:shd w:val="clear" w:color="000000" w:fill="D9D9D9"/>
            <w:noWrap/>
            <w:vAlign w:val="bottom"/>
            <w:hideMark/>
          </w:tcPr>
          <w:p w:rsidR="00620CA1" w:rsidRPr="00346A27" w:rsidRDefault="00620CA1" w:rsidP="00620CA1">
            <w:pPr>
              <w:keepNext w:val="0"/>
              <w:spacing w:after="0"/>
              <w:jc w:val="right"/>
              <w:rPr>
                <w:rFonts w:ascii="Arial" w:hAnsi="Arial" w:cs="Arial"/>
                <w:i/>
                <w:iCs/>
                <w:sz w:val="16"/>
                <w:szCs w:val="16"/>
              </w:rPr>
            </w:pPr>
            <w:r w:rsidRPr="00346A27">
              <w:rPr>
                <w:rFonts w:ascii="Arial" w:hAnsi="Arial" w:cs="Arial"/>
                <w:i/>
                <w:iCs/>
                <w:sz w:val="16"/>
                <w:szCs w:val="16"/>
              </w:rPr>
              <w:t>880</w:t>
            </w:r>
          </w:p>
        </w:tc>
      </w:tr>
    </w:tbl>
    <w:p w:rsidR="00B81E48" w:rsidRPr="00346A27" w:rsidRDefault="00B81E48" w:rsidP="00CB774A">
      <w:pPr>
        <w:pStyle w:val="FootnoteText"/>
        <w:spacing w:before="120"/>
      </w:pPr>
      <w:r w:rsidRPr="00346A27">
        <w:t>D = Departmental.</w:t>
      </w:r>
    </w:p>
    <w:p w:rsidR="0096146C" w:rsidRPr="00346A27" w:rsidRDefault="00B81E48" w:rsidP="00B81E48">
      <w:pPr>
        <w:pStyle w:val="FootnoteText"/>
      </w:pPr>
      <w:r w:rsidRPr="00346A27">
        <w:t>1</w:t>
      </w:r>
      <w:r w:rsidRPr="00346A27">
        <w:tab/>
      </w:r>
      <w:r w:rsidRPr="00346A27">
        <w:rPr>
          <w:i/>
        </w:rPr>
        <w:t>Australian Radiation Protection and Nuclear Safety Act 1998</w:t>
      </w:r>
      <w:r w:rsidRPr="00346A27">
        <w:t xml:space="preserve"> - s80 PGPA Act.</w:t>
      </w:r>
    </w:p>
    <w:p w:rsidR="007E7063" w:rsidRPr="00346A27" w:rsidRDefault="007E7063" w:rsidP="00620CA1">
      <w:pPr>
        <w:pStyle w:val="Sectionsubsubheading"/>
      </w:pPr>
      <w:r w:rsidRPr="00346A27">
        <w:t>3.1.3 Australian Government Indigenous Expenditure (AGIE)</w:t>
      </w:r>
    </w:p>
    <w:p w:rsidR="008C2DCC" w:rsidRPr="00346A27" w:rsidRDefault="008C2DCC" w:rsidP="008C2DCC">
      <w:r w:rsidRPr="00346A27">
        <w:t>Section 3.1.3 is not applicable to ARPANSA.</w:t>
      </w:r>
    </w:p>
    <w:p w:rsidR="001F37AF" w:rsidRPr="00346A27" w:rsidRDefault="001F37AF" w:rsidP="0062303E">
      <w:r w:rsidRPr="00346A27">
        <w:br w:type="page"/>
      </w:r>
    </w:p>
    <w:p w:rsidR="007E7063" w:rsidRPr="00346A27" w:rsidRDefault="007E7063" w:rsidP="007E7063">
      <w:pPr>
        <w:pStyle w:val="SectionSubheading"/>
      </w:pPr>
      <w:r w:rsidRPr="00346A27">
        <w:lastRenderedPageBreak/>
        <w:t>3.2</w:t>
      </w:r>
      <w:r w:rsidRPr="00346A27">
        <w:tab/>
        <w:t>Budgeted Financial Statements</w:t>
      </w:r>
    </w:p>
    <w:p w:rsidR="007E7063" w:rsidRPr="00346A27" w:rsidRDefault="007E7063" w:rsidP="00620CA1">
      <w:pPr>
        <w:pStyle w:val="Sectionsubsubheading"/>
      </w:pPr>
      <w:r w:rsidRPr="00346A27">
        <w:t xml:space="preserve">3.2.1 Differences in </w:t>
      </w:r>
      <w:r w:rsidR="00994770" w:rsidRPr="00346A27">
        <w:t xml:space="preserve">Entity </w:t>
      </w:r>
      <w:r w:rsidRPr="00346A27">
        <w:t>Resourcing and Financial Statements</w:t>
      </w:r>
    </w:p>
    <w:p w:rsidR="007E7063" w:rsidRPr="00346A27" w:rsidRDefault="00A965F1" w:rsidP="0066402C">
      <w:pPr>
        <w:rPr>
          <w:lang w:eastAsia="en-US"/>
        </w:rPr>
      </w:pPr>
      <w:r w:rsidRPr="00346A27">
        <w:t>Section 3.2.1 is not applicable to ARPANSA.</w:t>
      </w:r>
    </w:p>
    <w:p w:rsidR="007E7063" w:rsidRPr="00346A27" w:rsidRDefault="007E7063" w:rsidP="00620CA1">
      <w:pPr>
        <w:pStyle w:val="Sectionsubsubheading"/>
      </w:pPr>
      <w:r w:rsidRPr="00346A27">
        <w:t>3.2.2 Analysis of Budgeted Financial Statements</w:t>
      </w:r>
    </w:p>
    <w:p w:rsidR="007E7063" w:rsidRPr="00346A27" w:rsidRDefault="00A965F1" w:rsidP="007E7063">
      <w:pPr>
        <w:rPr>
          <w:lang w:eastAsia="en-US"/>
        </w:rPr>
      </w:pPr>
      <w:r w:rsidRPr="00346A27">
        <w:rPr>
          <w:lang w:eastAsia="en-US"/>
        </w:rPr>
        <w:t>An analysis of ARPANSA’s budgeted financial statements for 2015-16 is provided below</w:t>
      </w:r>
      <w:r w:rsidR="007E7063" w:rsidRPr="00346A27">
        <w:rPr>
          <w:lang w:eastAsia="en-US"/>
        </w:rPr>
        <w:t>.</w:t>
      </w:r>
    </w:p>
    <w:p w:rsidR="007E7063" w:rsidRPr="00346A27" w:rsidRDefault="007E7063" w:rsidP="00FB464C">
      <w:pPr>
        <w:pStyle w:val="DepartmentalResources"/>
        <w:rPr>
          <w:sz w:val="20"/>
          <w:szCs w:val="20"/>
        </w:rPr>
      </w:pPr>
      <w:r w:rsidRPr="00346A27">
        <w:rPr>
          <w:sz w:val="20"/>
          <w:szCs w:val="20"/>
        </w:rPr>
        <w:t>Departmental Resources</w:t>
      </w:r>
    </w:p>
    <w:p w:rsidR="007E7063" w:rsidRPr="00346A27" w:rsidRDefault="007E7063" w:rsidP="00FB464C">
      <w:pPr>
        <w:pStyle w:val="DepartmentalResources"/>
      </w:pPr>
      <w:r w:rsidRPr="00346A27">
        <w:t>Comprehensive Income Statement</w:t>
      </w:r>
    </w:p>
    <w:p w:rsidR="00A965F1" w:rsidRPr="00346A27" w:rsidRDefault="00A965F1" w:rsidP="00A965F1">
      <w:r w:rsidRPr="00346A27">
        <w:t>The estimated operating losses of $0.536 million in 2014-15 and $0.643 million in 2015-16 after unfunded depreciation have been approved by the Minister for Finance. These deficits relate to the write-off of obsolete inventory due to the introduction of a new occupational dosimetry system within the Personal Radiation Monitoring Service.</w:t>
      </w:r>
    </w:p>
    <w:p w:rsidR="007E7063" w:rsidRPr="00346A27" w:rsidRDefault="00A965F1" w:rsidP="00A965F1">
      <w:pPr>
        <w:rPr>
          <w:lang w:eastAsia="en-US"/>
        </w:rPr>
      </w:pPr>
      <w:r w:rsidRPr="00346A27">
        <w:t>ARPANSA’s own sourced income is derived from the sale of scientific services such as the Personal Radiation Monitoring Service, the Comprehensive Nuclear-Test-Ban Treaty (CTBT) Organisation contracts to operate and maintain monitoring stations, and licence application fees and annual charges associated with ARPANSA’s regulatory activities.</w:t>
      </w:r>
    </w:p>
    <w:p w:rsidR="007E7063" w:rsidRPr="00346A27" w:rsidRDefault="007E7063" w:rsidP="00FB464C">
      <w:pPr>
        <w:pStyle w:val="DepartmentalResources"/>
      </w:pPr>
      <w:r w:rsidRPr="00346A27">
        <w:t xml:space="preserve">Balance Sheet </w:t>
      </w:r>
    </w:p>
    <w:p w:rsidR="007E7063" w:rsidRPr="00346A27" w:rsidRDefault="00A965F1" w:rsidP="005C454E">
      <w:r w:rsidRPr="00346A27">
        <w:t>ARPANSA’s total asset and liabilities are expected to remain stable over the forward years.</w:t>
      </w:r>
    </w:p>
    <w:p w:rsidR="007E7063" w:rsidRPr="00346A27" w:rsidRDefault="007E7063" w:rsidP="00FB464C">
      <w:pPr>
        <w:pStyle w:val="DepartmentalResources"/>
      </w:pPr>
      <w:r w:rsidRPr="00346A27">
        <w:t>Cash Flow</w:t>
      </w:r>
    </w:p>
    <w:p w:rsidR="001F37AF" w:rsidRPr="00346A27" w:rsidRDefault="00A965F1" w:rsidP="00A965F1">
      <w:r w:rsidRPr="00346A27">
        <w:t>Cash flows are consistent with projected income and expense, capital injections from Government and investments in property, plant and equipment.</w:t>
      </w:r>
    </w:p>
    <w:p w:rsidR="002D15FD" w:rsidRPr="00346A27" w:rsidRDefault="002D15FD" w:rsidP="002D15FD">
      <w:r w:rsidRPr="00346A27">
        <w:br w:type="page"/>
      </w:r>
    </w:p>
    <w:p w:rsidR="007E7063" w:rsidRPr="00346A27" w:rsidRDefault="007E7063" w:rsidP="00620CA1">
      <w:pPr>
        <w:pStyle w:val="Sectionsubsubheading"/>
      </w:pPr>
      <w:r w:rsidRPr="00346A27">
        <w:lastRenderedPageBreak/>
        <w:t>3.2.3 Budgeted Financial Statements Tables</w:t>
      </w:r>
    </w:p>
    <w:p w:rsidR="007E7063" w:rsidRPr="00346A27" w:rsidRDefault="007E7063" w:rsidP="002B0C32">
      <w:pPr>
        <w:pStyle w:val="TableHeading"/>
        <w:rPr>
          <w:snapToGrid w:val="0"/>
        </w:rPr>
      </w:pPr>
      <w:r w:rsidRPr="00346A27">
        <w:t>Table 3.2.1: Comprehensive Income Statement (showing net cost of services</w:t>
      </w:r>
      <w:proofErr w:type="gramStart"/>
      <w:r w:rsidRPr="00346A27">
        <w:t>)</w:t>
      </w:r>
      <w:proofErr w:type="gramEnd"/>
      <w:r w:rsidR="009B0105" w:rsidRPr="00346A27">
        <w:rPr>
          <w:snapToGrid w:val="0"/>
        </w:rPr>
        <w:br/>
        <w:t xml:space="preserve">for the period ended 30 </w:t>
      </w:r>
      <w:r w:rsidRPr="00346A27">
        <w:rPr>
          <w:snapToGrid w:val="0"/>
        </w:rPr>
        <w:t>June</w:t>
      </w:r>
    </w:p>
    <w:tbl>
      <w:tblPr>
        <w:tblW w:w="7360" w:type="dxa"/>
        <w:tblInd w:w="93" w:type="dxa"/>
        <w:tblLook w:val="06A0" w:firstRow="1" w:lastRow="0" w:firstColumn="1" w:lastColumn="0" w:noHBand="1" w:noVBand="1"/>
        <w:tblCaption w:val="Table 3.2.1 Comprehensive Income Statement"/>
        <w:tblDescription w:val="Table 3.2.1 shows the Entity’s estimated income and expenses in relation to its departmental operations over the financial year. Read the first column for the income and expense categories and then across the table for 2014-15 estimated actual, 2015-16 Budget estimate and the forward estimates. Note that there is no data for some categories."/>
      </w:tblPr>
      <w:tblGrid>
        <w:gridCol w:w="2860"/>
        <w:gridCol w:w="933"/>
        <w:gridCol w:w="900"/>
        <w:gridCol w:w="900"/>
        <w:gridCol w:w="900"/>
        <w:gridCol w:w="900"/>
      </w:tblGrid>
      <w:tr w:rsidR="00346A27" w:rsidRPr="00346A27" w:rsidTr="00EB0950">
        <w:trPr>
          <w:trHeight w:val="646"/>
        </w:trPr>
        <w:tc>
          <w:tcPr>
            <w:tcW w:w="2860" w:type="dxa"/>
            <w:tcBorders>
              <w:top w:val="single" w:sz="4" w:space="0" w:color="auto"/>
              <w:left w:val="nil"/>
              <w:bottom w:val="nil"/>
              <w:right w:val="nil"/>
            </w:tcBorders>
            <w:shd w:val="clear" w:color="auto" w:fill="auto"/>
            <w:vAlign w:val="bottom"/>
            <w:hideMark/>
          </w:tcPr>
          <w:p w:rsidR="007707AD" w:rsidRPr="00346A27" w:rsidRDefault="007707AD" w:rsidP="007707AD">
            <w:pPr>
              <w:keepNext w:val="0"/>
              <w:spacing w:before="40" w:after="0"/>
              <w:jc w:val="right"/>
              <w:rPr>
                <w:rFonts w:ascii="Arial" w:hAnsi="Arial" w:cs="Arial"/>
                <w:sz w:val="15"/>
                <w:szCs w:val="15"/>
              </w:rPr>
            </w:pPr>
          </w:p>
        </w:tc>
        <w:tc>
          <w:tcPr>
            <w:tcW w:w="900" w:type="dxa"/>
            <w:tcBorders>
              <w:top w:val="single" w:sz="4" w:space="0" w:color="auto"/>
              <w:left w:val="nil"/>
              <w:bottom w:val="single" w:sz="4" w:space="0" w:color="auto"/>
              <w:right w:val="nil"/>
            </w:tcBorders>
            <w:shd w:val="clear" w:color="auto" w:fill="auto"/>
            <w:vAlign w:val="bottom"/>
            <w:hideMark/>
          </w:tcPr>
          <w:p w:rsidR="007707AD" w:rsidRPr="00346A27" w:rsidRDefault="007707AD" w:rsidP="007707AD">
            <w:pPr>
              <w:keepNext w:val="0"/>
              <w:spacing w:before="40" w:after="0"/>
              <w:jc w:val="right"/>
              <w:rPr>
                <w:rFonts w:ascii="Arial" w:hAnsi="Arial" w:cs="Arial"/>
                <w:b/>
                <w:bCs/>
                <w:sz w:val="15"/>
                <w:szCs w:val="15"/>
              </w:rPr>
            </w:pPr>
            <w:r w:rsidRPr="00346A27">
              <w:rPr>
                <w:rFonts w:ascii="Arial" w:hAnsi="Arial" w:cs="Arial"/>
                <w:b/>
                <w:bCs/>
                <w:sz w:val="15"/>
                <w:szCs w:val="15"/>
              </w:rPr>
              <w:t>Estimated actual 2014-15</w:t>
            </w:r>
            <w:r w:rsidRPr="00346A27">
              <w:rPr>
                <w:rFonts w:ascii="Arial" w:hAnsi="Arial" w:cs="Arial"/>
                <w:sz w:val="15"/>
                <w:szCs w:val="15"/>
              </w:rPr>
              <w:t xml:space="preserve"> $'000</w:t>
            </w:r>
          </w:p>
        </w:tc>
        <w:tc>
          <w:tcPr>
            <w:tcW w:w="900" w:type="dxa"/>
            <w:tcBorders>
              <w:top w:val="single" w:sz="4" w:space="0" w:color="auto"/>
              <w:left w:val="nil"/>
              <w:bottom w:val="single" w:sz="4" w:space="0" w:color="auto"/>
              <w:right w:val="nil"/>
            </w:tcBorders>
            <w:shd w:val="clear" w:color="000000" w:fill="D9D9D9"/>
            <w:vAlign w:val="bottom"/>
            <w:hideMark/>
          </w:tcPr>
          <w:p w:rsidR="007707AD" w:rsidRPr="00346A27" w:rsidRDefault="007707AD" w:rsidP="007707AD">
            <w:pPr>
              <w:keepNext w:val="0"/>
              <w:spacing w:before="40" w:after="0"/>
              <w:jc w:val="right"/>
              <w:rPr>
                <w:rFonts w:ascii="Arial" w:hAnsi="Arial" w:cs="Arial"/>
                <w:b/>
                <w:bCs/>
                <w:sz w:val="15"/>
                <w:szCs w:val="15"/>
              </w:rPr>
            </w:pPr>
            <w:r w:rsidRPr="00346A27">
              <w:rPr>
                <w:rFonts w:ascii="Arial" w:hAnsi="Arial" w:cs="Arial"/>
                <w:b/>
                <w:bCs/>
                <w:sz w:val="15"/>
                <w:szCs w:val="15"/>
              </w:rPr>
              <w:t>Budget estimate 2015-16</w:t>
            </w:r>
            <w:r w:rsidRPr="00346A27">
              <w:rPr>
                <w:rFonts w:ascii="Arial" w:hAnsi="Arial" w:cs="Arial"/>
                <w:sz w:val="15"/>
                <w:szCs w:val="15"/>
              </w:rPr>
              <w:t xml:space="preserve"> $'000</w:t>
            </w:r>
          </w:p>
        </w:tc>
        <w:tc>
          <w:tcPr>
            <w:tcW w:w="900" w:type="dxa"/>
            <w:tcBorders>
              <w:top w:val="single" w:sz="4" w:space="0" w:color="auto"/>
              <w:left w:val="nil"/>
              <w:bottom w:val="single" w:sz="4" w:space="0" w:color="auto"/>
              <w:right w:val="nil"/>
            </w:tcBorders>
            <w:shd w:val="clear" w:color="auto" w:fill="auto"/>
            <w:vAlign w:val="bottom"/>
            <w:hideMark/>
          </w:tcPr>
          <w:p w:rsidR="007707AD" w:rsidRPr="00346A27" w:rsidRDefault="007707AD" w:rsidP="007707AD">
            <w:pPr>
              <w:keepNext w:val="0"/>
              <w:spacing w:before="40" w:after="0"/>
              <w:jc w:val="right"/>
              <w:rPr>
                <w:rFonts w:ascii="Arial" w:hAnsi="Arial" w:cs="Arial"/>
                <w:b/>
                <w:bCs/>
                <w:sz w:val="15"/>
                <w:szCs w:val="15"/>
              </w:rPr>
            </w:pPr>
            <w:r w:rsidRPr="00346A27">
              <w:rPr>
                <w:rFonts w:ascii="Arial" w:hAnsi="Arial" w:cs="Arial"/>
                <w:b/>
                <w:bCs/>
                <w:sz w:val="15"/>
                <w:szCs w:val="15"/>
              </w:rPr>
              <w:t xml:space="preserve">Forward estimate 2016-17 </w:t>
            </w:r>
            <w:r w:rsidRPr="00346A27">
              <w:rPr>
                <w:rFonts w:ascii="Arial" w:hAnsi="Arial" w:cs="Arial"/>
                <w:sz w:val="15"/>
                <w:szCs w:val="15"/>
              </w:rPr>
              <w:t>$'000</w:t>
            </w:r>
          </w:p>
        </w:tc>
        <w:tc>
          <w:tcPr>
            <w:tcW w:w="900" w:type="dxa"/>
            <w:tcBorders>
              <w:top w:val="single" w:sz="4" w:space="0" w:color="auto"/>
              <w:left w:val="nil"/>
              <w:bottom w:val="single" w:sz="4" w:space="0" w:color="auto"/>
              <w:right w:val="nil"/>
            </w:tcBorders>
            <w:shd w:val="clear" w:color="auto" w:fill="auto"/>
            <w:vAlign w:val="bottom"/>
            <w:hideMark/>
          </w:tcPr>
          <w:p w:rsidR="007707AD" w:rsidRPr="00346A27" w:rsidRDefault="007707AD" w:rsidP="007707AD">
            <w:pPr>
              <w:keepNext w:val="0"/>
              <w:spacing w:before="40" w:after="0"/>
              <w:jc w:val="right"/>
              <w:rPr>
                <w:rFonts w:ascii="Arial" w:hAnsi="Arial" w:cs="Arial"/>
                <w:b/>
                <w:bCs/>
                <w:sz w:val="15"/>
                <w:szCs w:val="15"/>
              </w:rPr>
            </w:pPr>
            <w:r w:rsidRPr="00346A27">
              <w:rPr>
                <w:rFonts w:ascii="Arial" w:hAnsi="Arial" w:cs="Arial"/>
                <w:b/>
                <w:bCs/>
                <w:sz w:val="15"/>
                <w:szCs w:val="15"/>
              </w:rPr>
              <w:t xml:space="preserve">Forward estimate 2017-18 </w:t>
            </w:r>
            <w:r w:rsidRPr="00346A27">
              <w:rPr>
                <w:rFonts w:ascii="Arial" w:hAnsi="Arial" w:cs="Arial"/>
                <w:sz w:val="15"/>
                <w:szCs w:val="15"/>
              </w:rPr>
              <w:t>$'000</w:t>
            </w:r>
          </w:p>
        </w:tc>
        <w:tc>
          <w:tcPr>
            <w:tcW w:w="900" w:type="dxa"/>
            <w:tcBorders>
              <w:top w:val="single" w:sz="4" w:space="0" w:color="auto"/>
              <w:left w:val="nil"/>
              <w:bottom w:val="single" w:sz="4" w:space="0" w:color="auto"/>
              <w:right w:val="nil"/>
            </w:tcBorders>
            <w:shd w:val="clear" w:color="auto" w:fill="auto"/>
            <w:vAlign w:val="bottom"/>
            <w:hideMark/>
          </w:tcPr>
          <w:p w:rsidR="007707AD" w:rsidRPr="00346A27" w:rsidRDefault="007707AD" w:rsidP="007707AD">
            <w:pPr>
              <w:keepNext w:val="0"/>
              <w:spacing w:before="40" w:after="0"/>
              <w:jc w:val="right"/>
              <w:rPr>
                <w:rFonts w:ascii="Arial" w:hAnsi="Arial" w:cs="Arial"/>
                <w:b/>
                <w:bCs/>
                <w:sz w:val="15"/>
                <w:szCs w:val="15"/>
              </w:rPr>
            </w:pPr>
            <w:r w:rsidRPr="00346A27">
              <w:rPr>
                <w:rFonts w:ascii="Arial" w:hAnsi="Arial" w:cs="Arial"/>
                <w:b/>
                <w:bCs/>
                <w:sz w:val="15"/>
                <w:szCs w:val="15"/>
              </w:rPr>
              <w:t xml:space="preserve">Forward estimate 2018-19 </w:t>
            </w:r>
            <w:r w:rsidRPr="00346A27">
              <w:rPr>
                <w:rFonts w:ascii="Arial" w:hAnsi="Arial" w:cs="Arial"/>
                <w:sz w:val="15"/>
                <w:szCs w:val="15"/>
              </w:rPr>
              <w:t>$'000</w:t>
            </w:r>
          </w:p>
        </w:tc>
      </w:tr>
      <w:tr w:rsidR="00346A27" w:rsidRPr="00346A27" w:rsidTr="00EB0950">
        <w:trPr>
          <w:trHeight w:val="225"/>
        </w:trPr>
        <w:tc>
          <w:tcPr>
            <w:tcW w:w="286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rPr>
                <w:rFonts w:ascii="Arial" w:hAnsi="Arial" w:cs="Arial"/>
                <w:b/>
                <w:bCs/>
                <w:sz w:val="15"/>
                <w:szCs w:val="15"/>
              </w:rPr>
            </w:pPr>
            <w:r w:rsidRPr="00346A27">
              <w:rPr>
                <w:rFonts w:ascii="Arial" w:hAnsi="Arial" w:cs="Arial"/>
                <w:b/>
                <w:bCs/>
                <w:sz w:val="15"/>
                <w:szCs w:val="15"/>
              </w:rPr>
              <w:t>EXPENSES</w:t>
            </w: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b/>
                <w:bCs/>
                <w:sz w:val="15"/>
                <w:szCs w:val="15"/>
              </w:rPr>
            </w:pPr>
          </w:p>
        </w:tc>
        <w:tc>
          <w:tcPr>
            <w:tcW w:w="900" w:type="dxa"/>
            <w:tcBorders>
              <w:top w:val="nil"/>
              <w:left w:val="nil"/>
              <w:bottom w:val="nil"/>
              <w:right w:val="nil"/>
            </w:tcBorders>
            <w:shd w:val="clear" w:color="000000" w:fill="D9D9D9"/>
            <w:noWrap/>
            <w:vAlign w:val="bottom"/>
            <w:hideMark/>
          </w:tcPr>
          <w:p w:rsidR="007707AD" w:rsidRPr="00346A27" w:rsidRDefault="007707AD" w:rsidP="005A0821">
            <w:pPr>
              <w:keepNext w:val="0"/>
              <w:spacing w:after="0"/>
              <w:jc w:val="right"/>
              <w:rPr>
                <w:rFonts w:ascii="Arial" w:hAnsi="Arial" w:cs="Arial"/>
                <w:sz w:val="15"/>
                <w:szCs w:val="15"/>
              </w:rPr>
            </w:pP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p>
        </w:tc>
      </w:tr>
      <w:tr w:rsidR="00346A27" w:rsidRPr="00346A27" w:rsidTr="00EB0950">
        <w:trPr>
          <w:trHeight w:val="225"/>
        </w:trPr>
        <w:tc>
          <w:tcPr>
            <w:tcW w:w="286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ind w:firstLineChars="100" w:firstLine="150"/>
              <w:rPr>
                <w:rFonts w:ascii="Arial" w:hAnsi="Arial" w:cs="Arial"/>
                <w:sz w:val="15"/>
                <w:szCs w:val="15"/>
              </w:rPr>
            </w:pPr>
            <w:r w:rsidRPr="00346A27">
              <w:rPr>
                <w:rFonts w:ascii="Arial" w:hAnsi="Arial" w:cs="Arial"/>
                <w:sz w:val="15"/>
                <w:szCs w:val="15"/>
              </w:rPr>
              <w:t>Employee benefits</w:t>
            </w: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r w:rsidRPr="00346A27">
              <w:rPr>
                <w:rFonts w:ascii="Arial" w:hAnsi="Arial" w:cs="Arial"/>
                <w:sz w:val="15"/>
                <w:szCs w:val="15"/>
              </w:rPr>
              <w:t>16,348</w:t>
            </w:r>
          </w:p>
        </w:tc>
        <w:tc>
          <w:tcPr>
            <w:tcW w:w="900" w:type="dxa"/>
            <w:tcBorders>
              <w:top w:val="nil"/>
              <w:left w:val="nil"/>
              <w:bottom w:val="nil"/>
              <w:right w:val="nil"/>
            </w:tcBorders>
            <w:shd w:val="clear" w:color="000000" w:fill="D9D9D9"/>
            <w:noWrap/>
            <w:vAlign w:val="bottom"/>
            <w:hideMark/>
          </w:tcPr>
          <w:p w:rsidR="007707AD" w:rsidRPr="00346A27" w:rsidRDefault="007707AD" w:rsidP="005A0821">
            <w:pPr>
              <w:keepNext w:val="0"/>
              <w:spacing w:after="0"/>
              <w:jc w:val="right"/>
              <w:rPr>
                <w:rFonts w:ascii="Arial" w:hAnsi="Arial" w:cs="Arial"/>
                <w:sz w:val="15"/>
                <w:szCs w:val="15"/>
              </w:rPr>
            </w:pPr>
            <w:r w:rsidRPr="00346A27">
              <w:rPr>
                <w:rFonts w:ascii="Arial" w:hAnsi="Arial" w:cs="Arial"/>
                <w:sz w:val="15"/>
                <w:szCs w:val="15"/>
              </w:rPr>
              <w:t>16,348</w:t>
            </w: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r w:rsidRPr="00346A27">
              <w:rPr>
                <w:rFonts w:ascii="Arial" w:hAnsi="Arial" w:cs="Arial"/>
                <w:sz w:val="15"/>
                <w:szCs w:val="15"/>
              </w:rPr>
              <w:t>16,348</w:t>
            </w: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r w:rsidRPr="00346A27">
              <w:rPr>
                <w:rFonts w:ascii="Arial" w:hAnsi="Arial" w:cs="Arial"/>
                <w:sz w:val="15"/>
                <w:szCs w:val="15"/>
              </w:rPr>
              <w:t>16,348</w:t>
            </w: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r w:rsidRPr="00346A27">
              <w:rPr>
                <w:rFonts w:ascii="Arial" w:hAnsi="Arial" w:cs="Arial"/>
                <w:sz w:val="15"/>
                <w:szCs w:val="15"/>
              </w:rPr>
              <w:t>16,348</w:t>
            </w:r>
          </w:p>
        </w:tc>
      </w:tr>
      <w:tr w:rsidR="00346A27" w:rsidRPr="00346A27" w:rsidTr="00EB0950">
        <w:trPr>
          <w:trHeight w:val="225"/>
        </w:trPr>
        <w:tc>
          <w:tcPr>
            <w:tcW w:w="286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ind w:firstLineChars="100" w:firstLine="150"/>
              <w:rPr>
                <w:rFonts w:ascii="Arial" w:hAnsi="Arial" w:cs="Arial"/>
                <w:sz w:val="15"/>
                <w:szCs w:val="15"/>
              </w:rPr>
            </w:pPr>
            <w:r w:rsidRPr="00346A27">
              <w:rPr>
                <w:rFonts w:ascii="Arial" w:hAnsi="Arial" w:cs="Arial"/>
                <w:sz w:val="15"/>
                <w:szCs w:val="15"/>
              </w:rPr>
              <w:t>Supplier expenses</w:t>
            </w: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r w:rsidRPr="00346A27">
              <w:rPr>
                <w:rFonts w:ascii="Arial" w:hAnsi="Arial" w:cs="Arial"/>
                <w:sz w:val="15"/>
                <w:szCs w:val="15"/>
              </w:rPr>
              <w:t>6,951</w:t>
            </w:r>
          </w:p>
        </w:tc>
        <w:tc>
          <w:tcPr>
            <w:tcW w:w="900" w:type="dxa"/>
            <w:tcBorders>
              <w:top w:val="nil"/>
              <w:left w:val="nil"/>
              <w:bottom w:val="nil"/>
              <w:right w:val="nil"/>
            </w:tcBorders>
            <w:shd w:val="clear" w:color="000000" w:fill="D9D9D9"/>
            <w:noWrap/>
            <w:vAlign w:val="bottom"/>
            <w:hideMark/>
          </w:tcPr>
          <w:p w:rsidR="007707AD" w:rsidRPr="00346A27" w:rsidRDefault="007707AD" w:rsidP="005A0821">
            <w:pPr>
              <w:keepNext w:val="0"/>
              <w:spacing w:after="0"/>
              <w:jc w:val="right"/>
              <w:rPr>
                <w:rFonts w:ascii="Arial" w:hAnsi="Arial" w:cs="Arial"/>
                <w:sz w:val="15"/>
                <w:szCs w:val="15"/>
              </w:rPr>
            </w:pPr>
            <w:r w:rsidRPr="00346A27">
              <w:rPr>
                <w:rFonts w:ascii="Arial" w:hAnsi="Arial" w:cs="Arial"/>
                <w:sz w:val="15"/>
                <w:szCs w:val="15"/>
              </w:rPr>
              <w:t>6,762</w:t>
            </w: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r w:rsidRPr="00346A27">
              <w:rPr>
                <w:rFonts w:ascii="Arial" w:hAnsi="Arial" w:cs="Arial"/>
                <w:sz w:val="15"/>
                <w:szCs w:val="15"/>
              </w:rPr>
              <w:t>6,635</w:t>
            </w: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r w:rsidRPr="00346A27">
              <w:rPr>
                <w:rFonts w:ascii="Arial" w:hAnsi="Arial" w:cs="Arial"/>
                <w:sz w:val="15"/>
                <w:szCs w:val="15"/>
              </w:rPr>
              <w:t>6,717</w:t>
            </w: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r w:rsidRPr="00346A27">
              <w:rPr>
                <w:rFonts w:ascii="Arial" w:hAnsi="Arial" w:cs="Arial"/>
                <w:sz w:val="15"/>
                <w:szCs w:val="15"/>
              </w:rPr>
              <w:t>6,801</w:t>
            </w:r>
          </w:p>
        </w:tc>
      </w:tr>
      <w:tr w:rsidR="00346A27" w:rsidRPr="00346A27" w:rsidTr="00EB0950">
        <w:trPr>
          <w:trHeight w:val="225"/>
        </w:trPr>
        <w:tc>
          <w:tcPr>
            <w:tcW w:w="286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ind w:firstLineChars="100" w:firstLine="150"/>
              <w:rPr>
                <w:rFonts w:ascii="Arial" w:hAnsi="Arial" w:cs="Arial"/>
                <w:sz w:val="15"/>
                <w:szCs w:val="15"/>
              </w:rPr>
            </w:pPr>
            <w:r w:rsidRPr="00346A27">
              <w:rPr>
                <w:rFonts w:ascii="Arial" w:hAnsi="Arial" w:cs="Arial"/>
                <w:sz w:val="15"/>
                <w:szCs w:val="15"/>
              </w:rPr>
              <w:t>Depreciation and amortisation</w:t>
            </w: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r w:rsidRPr="00346A27">
              <w:rPr>
                <w:rFonts w:ascii="Arial" w:hAnsi="Arial" w:cs="Arial"/>
                <w:sz w:val="15"/>
                <w:szCs w:val="15"/>
              </w:rPr>
              <w:t>2,171</w:t>
            </w:r>
          </w:p>
        </w:tc>
        <w:tc>
          <w:tcPr>
            <w:tcW w:w="900" w:type="dxa"/>
            <w:tcBorders>
              <w:top w:val="nil"/>
              <w:left w:val="nil"/>
              <w:bottom w:val="nil"/>
              <w:right w:val="nil"/>
            </w:tcBorders>
            <w:shd w:val="clear" w:color="000000" w:fill="D9D9D9"/>
            <w:noWrap/>
            <w:vAlign w:val="bottom"/>
            <w:hideMark/>
          </w:tcPr>
          <w:p w:rsidR="007707AD" w:rsidRPr="00346A27" w:rsidRDefault="007707AD" w:rsidP="005A0821">
            <w:pPr>
              <w:keepNext w:val="0"/>
              <w:spacing w:after="0"/>
              <w:jc w:val="right"/>
              <w:rPr>
                <w:rFonts w:ascii="Arial" w:hAnsi="Arial" w:cs="Arial"/>
                <w:sz w:val="15"/>
                <w:szCs w:val="15"/>
              </w:rPr>
            </w:pPr>
            <w:r w:rsidRPr="00346A27">
              <w:rPr>
                <w:rFonts w:ascii="Arial" w:hAnsi="Arial" w:cs="Arial"/>
                <w:sz w:val="15"/>
                <w:szCs w:val="15"/>
              </w:rPr>
              <w:t>2,171</w:t>
            </w: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r w:rsidRPr="00346A27">
              <w:rPr>
                <w:rFonts w:ascii="Arial" w:hAnsi="Arial" w:cs="Arial"/>
                <w:sz w:val="15"/>
                <w:szCs w:val="15"/>
              </w:rPr>
              <w:t>2,171</w:t>
            </w: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r w:rsidRPr="00346A27">
              <w:rPr>
                <w:rFonts w:ascii="Arial" w:hAnsi="Arial" w:cs="Arial"/>
                <w:sz w:val="15"/>
                <w:szCs w:val="15"/>
              </w:rPr>
              <w:t>2,171</w:t>
            </w: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r w:rsidRPr="00346A27">
              <w:rPr>
                <w:rFonts w:ascii="Arial" w:hAnsi="Arial" w:cs="Arial"/>
                <w:sz w:val="15"/>
                <w:szCs w:val="15"/>
              </w:rPr>
              <w:t>2,171</w:t>
            </w:r>
          </w:p>
        </w:tc>
      </w:tr>
      <w:tr w:rsidR="00346A27" w:rsidRPr="00346A27" w:rsidTr="00EB0950">
        <w:trPr>
          <w:trHeight w:val="225"/>
        </w:trPr>
        <w:tc>
          <w:tcPr>
            <w:tcW w:w="286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ind w:firstLineChars="100" w:firstLine="150"/>
              <w:rPr>
                <w:rFonts w:ascii="Arial" w:hAnsi="Arial" w:cs="Arial"/>
                <w:sz w:val="15"/>
                <w:szCs w:val="15"/>
              </w:rPr>
            </w:pPr>
            <w:r w:rsidRPr="00346A27">
              <w:rPr>
                <w:rFonts w:ascii="Arial" w:hAnsi="Arial" w:cs="Arial"/>
                <w:sz w:val="15"/>
                <w:szCs w:val="15"/>
              </w:rPr>
              <w:t>Write-down and impairment of</w:t>
            </w: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p>
        </w:tc>
        <w:tc>
          <w:tcPr>
            <w:tcW w:w="900" w:type="dxa"/>
            <w:tcBorders>
              <w:top w:val="nil"/>
              <w:left w:val="nil"/>
              <w:bottom w:val="nil"/>
              <w:right w:val="nil"/>
            </w:tcBorders>
            <w:shd w:val="clear" w:color="000000" w:fill="D9D9D9"/>
            <w:noWrap/>
            <w:vAlign w:val="bottom"/>
            <w:hideMark/>
          </w:tcPr>
          <w:p w:rsidR="007707AD" w:rsidRPr="00346A27" w:rsidRDefault="007707AD" w:rsidP="005A0821">
            <w:pPr>
              <w:keepNext w:val="0"/>
              <w:spacing w:after="0"/>
              <w:jc w:val="right"/>
              <w:rPr>
                <w:rFonts w:ascii="Arial" w:hAnsi="Arial" w:cs="Arial"/>
                <w:sz w:val="15"/>
                <w:szCs w:val="15"/>
              </w:rPr>
            </w:pP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p>
        </w:tc>
      </w:tr>
      <w:tr w:rsidR="00346A27" w:rsidRPr="00346A27" w:rsidTr="00EB0950">
        <w:trPr>
          <w:trHeight w:val="225"/>
        </w:trPr>
        <w:tc>
          <w:tcPr>
            <w:tcW w:w="286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ind w:firstLineChars="200" w:firstLine="300"/>
              <w:rPr>
                <w:rFonts w:ascii="Arial" w:hAnsi="Arial" w:cs="Arial"/>
                <w:sz w:val="15"/>
                <w:szCs w:val="15"/>
              </w:rPr>
            </w:pPr>
            <w:r w:rsidRPr="00346A27">
              <w:rPr>
                <w:rFonts w:ascii="Arial" w:hAnsi="Arial" w:cs="Arial"/>
                <w:sz w:val="15"/>
                <w:szCs w:val="15"/>
              </w:rPr>
              <w:t>assets</w:t>
            </w: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r w:rsidRPr="00346A27">
              <w:rPr>
                <w:rFonts w:ascii="Arial" w:hAnsi="Arial" w:cs="Arial"/>
                <w:sz w:val="15"/>
                <w:szCs w:val="15"/>
              </w:rPr>
              <w:t>536</w:t>
            </w:r>
          </w:p>
        </w:tc>
        <w:tc>
          <w:tcPr>
            <w:tcW w:w="900" w:type="dxa"/>
            <w:tcBorders>
              <w:top w:val="nil"/>
              <w:left w:val="nil"/>
              <w:bottom w:val="nil"/>
              <w:right w:val="nil"/>
            </w:tcBorders>
            <w:shd w:val="clear" w:color="000000" w:fill="D9D9D9"/>
            <w:noWrap/>
            <w:vAlign w:val="bottom"/>
            <w:hideMark/>
          </w:tcPr>
          <w:p w:rsidR="007707AD" w:rsidRPr="00346A27" w:rsidRDefault="007707AD" w:rsidP="005A0821">
            <w:pPr>
              <w:keepNext w:val="0"/>
              <w:spacing w:after="0"/>
              <w:jc w:val="right"/>
              <w:rPr>
                <w:rFonts w:ascii="Arial" w:hAnsi="Arial" w:cs="Arial"/>
                <w:sz w:val="15"/>
                <w:szCs w:val="15"/>
              </w:rPr>
            </w:pPr>
            <w:r w:rsidRPr="00346A27">
              <w:rPr>
                <w:rFonts w:ascii="Arial" w:hAnsi="Arial" w:cs="Arial"/>
                <w:sz w:val="15"/>
                <w:szCs w:val="15"/>
              </w:rPr>
              <w:t>643</w:t>
            </w: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r w:rsidRPr="00346A27">
              <w:rPr>
                <w:rFonts w:ascii="Arial" w:hAnsi="Arial" w:cs="Arial"/>
                <w:sz w:val="15"/>
                <w:szCs w:val="15"/>
              </w:rPr>
              <w:t>-</w:t>
            </w: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r w:rsidRPr="00346A27">
              <w:rPr>
                <w:rFonts w:ascii="Arial" w:hAnsi="Arial" w:cs="Arial"/>
                <w:sz w:val="15"/>
                <w:szCs w:val="15"/>
              </w:rPr>
              <w:t>-</w:t>
            </w: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r w:rsidRPr="00346A27">
              <w:rPr>
                <w:rFonts w:ascii="Arial" w:hAnsi="Arial" w:cs="Arial"/>
                <w:sz w:val="15"/>
                <w:szCs w:val="15"/>
              </w:rPr>
              <w:t>-</w:t>
            </w:r>
          </w:p>
        </w:tc>
      </w:tr>
      <w:tr w:rsidR="00346A27" w:rsidRPr="00346A27" w:rsidTr="00EB0950">
        <w:trPr>
          <w:trHeight w:val="225"/>
        </w:trPr>
        <w:tc>
          <w:tcPr>
            <w:tcW w:w="286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ind w:firstLineChars="100" w:firstLine="151"/>
              <w:rPr>
                <w:rFonts w:ascii="Arial" w:hAnsi="Arial" w:cs="Arial"/>
                <w:b/>
                <w:bCs/>
                <w:sz w:val="15"/>
                <w:szCs w:val="15"/>
              </w:rPr>
            </w:pPr>
            <w:r w:rsidRPr="00346A27">
              <w:rPr>
                <w:rFonts w:ascii="Arial" w:hAnsi="Arial" w:cs="Arial"/>
                <w:b/>
                <w:bCs/>
                <w:sz w:val="15"/>
                <w:szCs w:val="15"/>
              </w:rPr>
              <w:t>Total expenses</w:t>
            </w:r>
          </w:p>
        </w:tc>
        <w:tc>
          <w:tcPr>
            <w:tcW w:w="900" w:type="dxa"/>
            <w:tcBorders>
              <w:top w:val="nil"/>
              <w:left w:val="nil"/>
              <w:bottom w:val="single" w:sz="4" w:space="0" w:color="auto"/>
              <w:right w:val="nil"/>
            </w:tcBorders>
            <w:shd w:val="clear" w:color="auto" w:fill="auto"/>
            <w:noWrap/>
            <w:vAlign w:val="bottom"/>
            <w:hideMark/>
          </w:tcPr>
          <w:p w:rsidR="007707AD" w:rsidRPr="00346A27" w:rsidRDefault="007707AD" w:rsidP="005A0821">
            <w:pPr>
              <w:keepNext w:val="0"/>
              <w:spacing w:after="0"/>
              <w:jc w:val="right"/>
              <w:rPr>
                <w:rFonts w:ascii="Arial" w:hAnsi="Arial" w:cs="Arial"/>
                <w:b/>
                <w:bCs/>
                <w:sz w:val="15"/>
                <w:szCs w:val="15"/>
              </w:rPr>
            </w:pPr>
            <w:r w:rsidRPr="00346A27">
              <w:rPr>
                <w:rFonts w:ascii="Arial" w:hAnsi="Arial" w:cs="Arial"/>
                <w:b/>
                <w:bCs/>
                <w:sz w:val="15"/>
                <w:szCs w:val="15"/>
              </w:rPr>
              <w:t>26,006</w:t>
            </w:r>
          </w:p>
        </w:tc>
        <w:tc>
          <w:tcPr>
            <w:tcW w:w="900" w:type="dxa"/>
            <w:tcBorders>
              <w:top w:val="nil"/>
              <w:left w:val="nil"/>
              <w:bottom w:val="single" w:sz="4" w:space="0" w:color="auto"/>
              <w:right w:val="nil"/>
            </w:tcBorders>
            <w:shd w:val="clear" w:color="000000" w:fill="D9D9D9"/>
            <w:noWrap/>
            <w:vAlign w:val="bottom"/>
            <w:hideMark/>
          </w:tcPr>
          <w:p w:rsidR="007707AD" w:rsidRPr="00346A27" w:rsidRDefault="007707AD" w:rsidP="005A0821">
            <w:pPr>
              <w:keepNext w:val="0"/>
              <w:spacing w:after="0"/>
              <w:jc w:val="right"/>
              <w:rPr>
                <w:rFonts w:ascii="Arial" w:hAnsi="Arial" w:cs="Arial"/>
                <w:b/>
                <w:bCs/>
                <w:sz w:val="15"/>
                <w:szCs w:val="15"/>
              </w:rPr>
            </w:pPr>
            <w:r w:rsidRPr="00346A27">
              <w:rPr>
                <w:rFonts w:ascii="Arial" w:hAnsi="Arial" w:cs="Arial"/>
                <w:b/>
                <w:bCs/>
                <w:sz w:val="15"/>
                <w:szCs w:val="15"/>
              </w:rPr>
              <w:t>25,924</w:t>
            </w:r>
          </w:p>
        </w:tc>
        <w:tc>
          <w:tcPr>
            <w:tcW w:w="900" w:type="dxa"/>
            <w:tcBorders>
              <w:top w:val="nil"/>
              <w:left w:val="nil"/>
              <w:bottom w:val="single" w:sz="4" w:space="0" w:color="auto"/>
              <w:right w:val="nil"/>
            </w:tcBorders>
            <w:shd w:val="clear" w:color="auto" w:fill="auto"/>
            <w:noWrap/>
            <w:vAlign w:val="bottom"/>
            <w:hideMark/>
          </w:tcPr>
          <w:p w:rsidR="007707AD" w:rsidRPr="00346A27" w:rsidRDefault="007707AD" w:rsidP="005A0821">
            <w:pPr>
              <w:keepNext w:val="0"/>
              <w:spacing w:after="0"/>
              <w:jc w:val="right"/>
              <w:rPr>
                <w:rFonts w:ascii="Arial" w:hAnsi="Arial" w:cs="Arial"/>
                <w:b/>
                <w:bCs/>
                <w:sz w:val="15"/>
                <w:szCs w:val="15"/>
              </w:rPr>
            </w:pPr>
            <w:r w:rsidRPr="00346A27">
              <w:rPr>
                <w:rFonts w:ascii="Arial" w:hAnsi="Arial" w:cs="Arial"/>
                <w:b/>
                <w:bCs/>
                <w:sz w:val="15"/>
                <w:szCs w:val="15"/>
              </w:rPr>
              <w:t>25,154</w:t>
            </w:r>
          </w:p>
        </w:tc>
        <w:tc>
          <w:tcPr>
            <w:tcW w:w="900" w:type="dxa"/>
            <w:tcBorders>
              <w:top w:val="nil"/>
              <w:left w:val="nil"/>
              <w:bottom w:val="single" w:sz="4" w:space="0" w:color="auto"/>
              <w:right w:val="nil"/>
            </w:tcBorders>
            <w:shd w:val="clear" w:color="auto" w:fill="auto"/>
            <w:noWrap/>
            <w:vAlign w:val="bottom"/>
            <w:hideMark/>
          </w:tcPr>
          <w:p w:rsidR="007707AD" w:rsidRPr="00346A27" w:rsidRDefault="007707AD" w:rsidP="005A0821">
            <w:pPr>
              <w:keepNext w:val="0"/>
              <w:spacing w:after="0"/>
              <w:jc w:val="right"/>
              <w:rPr>
                <w:rFonts w:ascii="Arial" w:hAnsi="Arial" w:cs="Arial"/>
                <w:b/>
                <w:bCs/>
                <w:sz w:val="15"/>
                <w:szCs w:val="15"/>
              </w:rPr>
            </w:pPr>
            <w:r w:rsidRPr="00346A27">
              <w:rPr>
                <w:rFonts w:ascii="Arial" w:hAnsi="Arial" w:cs="Arial"/>
                <w:b/>
                <w:bCs/>
                <w:sz w:val="15"/>
                <w:szCs w:val="15"/>
              </w:rPr>
              <w:t>25,236</w:t>
            </w:r>
          </w:p>
        </w:tc>
        <w:tc>
          <w:tcPr>
            <w:tcW w:w="900" w:type="dxa"/>
            <w:tcBorders>
              <w:top w:val="nil"/>
              <w:left w:val="nil"/>
              <w:bottom w:val="single" w:sz="4" w:space="0" w:color="auto"/>
              <w:right w:val="nil"/>
            </w:tcBorders>
            <w:shd w:val="clear" w:color="auto" w:fill="auto"/>
            <w:noWrap/>
            <w:vAlign w:val="bottom"/>
            <w:hideMark/>
          </w:tcPr>
          <w:p w:rsidR="007707AD" w:rsidRPr="00346A27" w:rsidRDefault="007707AD" w:rsidP="005A0821">
            <w:pPr>
              <w:keepNext w:val="0"/>
              <w:spacing w:after="0"/>
              <w:jc w:val="right"/>
              <w:rPr>
                <w:rFonts w:ascii="Arial" w:hAnsi="Arial" w:cs="Arial"/>
                <w:b/>
                <w:bCs/>
                <w:sz w:val="15"/>
                <w:szCs w:val="15"/>
              </w:rPr>
            </w:pPr>
            <w:r w:rsidRPr="00346A27">
              <w:rPr>
                <w:rFonts w:ascii="Arial" w:hAnsi="Arial" w:cs="Arial"/>
                <w:b/>
                <w:bCs/>
                <w:sz w:val="15"/>
                <w:szCs w:val="15"/>
              </w:rPr>
              <w:t>25,320</w:t>
            </w:r>
          </w:p>
        </w:tc>
      </w:tr>
      <w:tr w:rsidR="00346A27" w:rsidRPr="00346A27" w:rsidTr="00EB0950">
        <w:trPr>
          <w:trHeight w:val="255"/>
        </w:trPr>
        <w:tc>
          <w:tcPr>
            <w:tcW w:w="286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rPr>
                <w:rFonts w:ascii="Arial" w:hAnsi="Arial" w:cs="Arial"/>
                <w:b/>
                <w:bCs/>
                <w:sz w:val="15"/>
                <w:szCs w:val="15"/>
              </w:rPr>
            </w:pPr>
            <w:r w:rsidRPr="00346A27">
              <w:rPr>
                <w:rFonts w:ascii="Arial" w:hAnsi="Arial" w:cs="Arial"/>
                <w:b/>
                <w:bCs/>
                <w:sz w:val="15"/>
                <w:szCs w:val="15"/>
              </w:rPr>
              <w:t>LESS:</w:t>
            </w: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p>
        </w:tc>
        <w:tc>
          <w:tcPr>
            <w:tcW w:w="900" w:type="dxa"/>
            <w:tcBorders>
              <w:top w:val="nil"/>
              <w:left w:val="nil"/>
              <w:bottom w:val="nil"/>
              <w:right w:val="nil"/>
            </w:tcBorders>
            <w:shd w:val="clear" w:color="000000" w:fill="D9D9D9"/>
            <w:noWrap/>
            <w:vAlign w:val="bottom"/>
          </w:tcPr>
          <w:p w:rsidR="007707AD" w:rsidRPr="00346A27" w:rsidRDefault="007707AD" w:rsidP="005A0821">
            <w:pPr>
              <w:keepNext w:val="0"/>
              <w:spacing w:after="0"/>
              <w:jc w:val="right"/>
              <w:rPr>
                <w:rFonts w:ascii="Arial" w:hAnsi="Arial" w:cs="Arial"/>
                <w:b/>
                <w:bCs/>
                <w:sz w:val="15"/>
                <w:szCs w:val="15"/>
              </w:rPr>
            </w:pP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p>
        </w:tc>
      </w:tr>
      <w:tr w:rsidR="00346A27" w:rsidRPr="00346A27" w:rsidTr="00EB0950">
        <w:trPr>
          <w:trHeight w:val="225"/>
        </w:trPr>
        <w:tc>
          <w:tcPr>
            <w:tcW w:w="286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rPr>
                <w:rFonts w:ascii="Arial" w:hAnsi="Arial" w:cs="Arial"/>
                <w:b/>
                <w:bCs/>
                <w:sz w:val="15"/>
                <w:szCs w:val="15"/>
              </w:rPr>
            </w:pPr>
            <w:r w:rsidRPr="00346A27">
              <w:rPr>
                <w:rFonts w:ascii="Arial" w:hAnsi="Arial" w:cs="Arial"/>
                <w:b/>
                <w:bCs/>
                <w:sz w:val="15"/>
                <w:szCs w:val="15"/>
              </w:rPr>
              <w:t>OWN-SOURCE INCOME</w:t>
            </w: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p>
        </w:tc>
        <w:tc>
          <w:tcPr>
            <w:tcW w:w="900" w:type="dxa"/>
            <w:tcBorders>
              <w:top w:val="nil"/>
              <w:left w:val="nil"/>
              <w:bottom w:val="nil"/>
              <w:right w:val="nil"/>
            </w:tcBorders>
            <w:shd w:val="clear" w:color="000000" w:fill="D9D9D9"/>
            <w:noWrap/>
            <w:vAlign w:val="bottom"/>
          </w:tcPr>
          <w:p w:rsidR="007707AD" w:rsidRPr="00346A27" w:rsidRDefault="007707AD" w:rsidP="005A0821">
            <w:pPr>
              <w:keepNext w:val="0"/>
              <w:spacing w:after="0"/>
              <w:jc w:val="right"/>
              <w:rPr>
                <w:rFonts w:ascii="Arial" w:hAnsi="Arial" w:cs="Arial"/>
                <w:b/>
                <w:bCs/>
                <w:sz w:val="15"/>
                <w:szCs w:val="15"/>
              </w:rPr>
            </w:pP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p>
        </w:tc>
      </w:tr>
      <w:tr w:rsidR="00346A27" w:rsidRPr="00346A27" w:rsidTr="00EB0950">
        <w:trPr>
          <w:trHeight w:val="225"/>
        </w:trPr>
        <w:tc>
          <w:tcPr>
            <w:tcW w:w="286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ind w:firstLineChars="100" w:firstLine="151"/>
              <w:rPr>
                <w:rFonts w:ascii="Arial" w:hAnsi="Arial" w:cs="Arial"/>
                <w:b/>
                <w:bCs/>
                <w:sz w:val="15"/>
                <w:szCs w:val="15"/>
              </w:rPr>
            </w:pPr>
            <w:r w:rsidRPr="00346A27">
              <w:rPr>
                <w:rFonts w:ascii="Arial" w:hAnsi="Arial" w:cs="Arial"/>
                <w:b/>
                <w:bCs/>
                <w:sz w:val="15"/>
                <w:szCs w:val="15"/>
              </w:rPr>
              <w:t>Revenue</w:t>
            </w: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p>
        </w:tc>
        <w:tc>
          <w:tcPr>
            <w:tcW w:w="900" w:type="dxa"/>
            <w:tcBorders>
              <w:top w:val="nil"/>
              <w:left w:val="nil"/>
              <w:bottom w:val="nil"/>
              <w:right w:val="nil"/>
            </w:tcBorders>
            <w:shd w:val="clear" w:color="000000" w:fill="D9D9D9"/>
            <w:noWrap/>
            <w:vAlign w:val="bottom"/>
          </w:tcPr>
          <w:p w:rsidR="007707AD" w:rsidRPr="00346A27" w:rsidRDefault="007707AD" w:rsidP="005A0821">
            <w:pPr>
              <w:keepNext w:val="0"/>
              <w:spacing w:after="0"/>
              <w:jc w:val="right"/>
              <w:rPr>
                <w:rFonts w:ascii="Arial" w:hAnsi="Arial" w:cs="Arial"/>
                <w:b/>
                <w:bCs/>
                <w:sz w:val="15"/>
                <w:szCs w:val="15"/>
              </w:rPr>
            </w:pP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p>
        </w:tc>
      </w:tr>
      <w:tr w:rsidR="00346A27" w:rsidRPr="00346A27" w:rsidTr="00EB0950">
        <w:trPr>
          <w:trHeight w:val="225"/>
        </w:trPr>
        <w:tc>
          <w:tcPr>
            <w:tcW w:w="286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ind w:firstLineChars="200" w:firstLine="300"/>
              <w:rPr>
                <w:rFonts w:ascii="Arial" w:hAnsi="Arial" w:cs="Arial"/>
                <w:sz w:val="15"/>
                <w:szCs w:val="15"/>
              </w:rPr>
            </w:pPr>
            <w:r w:rsidRPr="00346A27">
              <w:rPr>
                <w:rFonts w:ascii="Arial" w:hAnsi="Arial" w:cs="Arial"/>
                <w:sz w:val="15"/>
                <w:szCs w:val="15"/>
              </w:rPr>
              <w:t>Sale of goods and rendering of</w:t>
            </w: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p>
        </w:tc>
        <w:tc>
          <w:tcPr>
            <w:tcW w:w="900" w:type="dxa"/>
            <w:tcBorders>
              <w:top w:val="nil"/>
              <w:left w:val="nil"/>
              <w:bottom w:val="nil"/>
              <w:right w:val="nil"/>
            </w:tcBorders>
            <w:shd w:val="clear" w:color="000000" w:fill="D9D9D9"/>
            <w:noWrap/>
            <w:vAlign w:val="bottom"/>
          </w:tcPr>
          <w:p w:rsidR="007707AD" w:rsidRPr="00346A27" w:rsidRDefault="007707AD" w:rsidP="005A0821">
            <w:pPr>
              <w:keepNext w:val="0"/>
              <w:spacing w:after="0"/>
              <w:jc w:val="right"/>
              <w:rPr>
                <w:rFonts w:ascii="Arial" w:hAnsi="Arial" w:cs="Arial"/>
                <w:sz w:val="15"/>
                <w:szCs w:val="15"/>
              </w:rPr>
            </w:pP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p>
        </w:tc>
      </w:tr>
      <w:tr w:rsidR="00346A27" w:rsidRPr="00346A27" w:rsidTr="00EB0950">
        <w:trPr>
          <w:trHeight w:val="225"/>
        </w:trPr>
        <w:tc>
          <w:tcPr>
            <w:tcW w:w="286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ind w:firstLineChars="300" w:firstLine="450"/>
              <w:rPr>
                <w:rFonts w:ascii="Arial" w:hAnsi="Arial" w:cs="Arial"/>
                <w:sz w:val="15"/>
                <w:szCs w:val="15"/>
              </w:rPr>
            </w:pPr>
            <w:r w:rsidRPr="00346A27">
              <w:rPr>
                <w:rFonts w:ascii="Arial" w:hAnsi="Arial" w:cs="Arial"/>
                <w:sz w:val="15"/>
                <w:szCs w:val="15"/>
              </w:rPr>
              <w:t>services</w:t>
            </w: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r w:rsidRPr="00346A27">
              <w:rPr>
                <w:rFonts w:ascii="Arial" w:hAnsi="Arial" w:cs="Arial"/>
                <w:sz w:val="15"/>
                <w:szCs w:val="15"/>
              </w:rPr>
              <w:t>4,771</w:t>
            </w:r>
          </w:p>
        </w:tc>
        <w:tc>
          <w:tcPr>
            <w:tcW w:w="900" w:type="dxa"/>
            <w:tcBorders>
              <w:top w:val="nil"/>
              <w:left w:val="nil"/>
              <w:bottom w:val="nil"/>
              <w:right w:val="nil"/>
            </w:tcBorders>
            <w:shd w:val="clear" w:color="000000" w:fill="D9D9D9"/>
            <w:noWrap/>
            <w:vAlign w:val="bottom"/>
            <w:hideMark/>
          </w:tcPr>
          <w:p w:rsidR="007707AD" w:rsidRPr="00346A27" w:rsidRDefault="007707AD" w:rsidP="005A0821">
            <w:pPr>
              <w:keepNext w:val="0"/>
              <w:spacing w:after="0"/>
              <w:jc w:val="right"/>
              <w:rPr>
                <w:rFonts w:ascii="Arial" w:hAnsi="Arial" w:cs="Arial"/>
                <w:sz w:val="15"/>
                <w:szCs w:val="15"/>
              </w:rPr>
            </w:pPr>
            <w:r w:rsidRPr="00346A27">
              <w:rPr>
                <w:rFonts w:ascii="Arial" w:hAnsi="Arial" w:cs="Arial"/>
                <w:sz w:val="15"/>
                <w:szCs w:val="15"/>
              </w:rPr>
              <w:t>4,771</w:t>
            </w: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r w:rsidRPr="00346A27">
              <w:rPr>
                <w:rFonts w:ascii="Arial" w:hAnsi="Arial" w:cs="Arial"/>
                <w:sz w:val="15"/>
                <w:szCs w:val="15"/>
              </w:rPr>
              <w:t>4,771</w:t>
            </w: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r w:rsidRPr="00346A27">
              <w:rPr>
                <w:rFonts w:ascii="Arial" w:hAnsi="Arial" w:cs="Arial"/>
                <w:sz w:val="15"/>
                <w:szCs w:val="15"/>
              </w:rPr>
              <w:t>4,771</w:t>
            </w: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r w:rsidRPr="00346A27">
              <w:rPr>
                <w:rFonts w:ascii="Arial" w:hAnsi="Arial" w:cs="Arial"/>
                <w:sz w:val="15"/>
                <w:szCs w:val="15"/>
              </w:rPr>
              <w:t>4,771</w:t>
            </w:r>
          </w:p>
        </w:tc>
      </w:tr>
      <w:tr w:rsidR="00346A27" w:rsidRPr="00346A27" w:rsidTr="00EB0950">
        <w:trPr>
          <w:trHeight w:val="225"/>
        </w:trPr>
        <w:tc>
          <w:tcPr>
            <w:tcW w:w="286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ind w:firstLineChars="200" w:firstLine="300"/>
              <w:rPr>
                <w:rFonts w:ascii="Arial" w:hAnsi="Arial" w:cs="Arial"/>
                <w:sz w:val="15"/>
                <w:szCs w:val="15"/>
              </w:rPr>
            </w:pPr>
            <w:r w:rsidRPr="00346A27">
              <w:rPr>
                <w:rFonts w:ascii="Arial" w:hAnsi="Arial" w:cs="Arial"/>
                <w:sz w:val="15"/>
                <w:szCs w:val="15"/>
              </w:rPr>
              <w:t>Other revenue</w:t>
            </w: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r w:rsidRPr="00346A27">
              <w:rPr>
                <w:rFonts w:ascii="Arial" w:hAnsi="Arial" w:cs="Arial"/>
                <w:sz w:val="15"/>
                <w:szCs w:val="15"/>
              </w:rPr>
              <w:t>5,275</w:t>
            </w:r>
          </w:p>
        </w:tc>
        <w:tc>
          <w:tcPr>
            <w:tcW w:w="900" w:type="dxa"/>
            <w:tcBorders>
              <w:top w:val="nil"/>
              <w:left w:val="nil"/>
              <w:bottom w:val="nil"/>
              <w:right w:val="nil"/>
            </w:tcBorders>
            <w:shd w:val="clear" w:color="000000" w:fill="D9D9D9"/>
            <w:noWrap/>
            <w:vAlign w:val="bottom"/>
            <w:hideMark/>
          </w:tcPr>
          <w:p w:rsidR="007707AD" w:rsidRPr="00346A27" w:rsidRDefault="007707AD" w:rsidP="005A0821">
            <w:pPr>
              <w:keepNext w:val="0"/>
              <w:spacing w:after="0"/>
              <w:jc w:val="right"/>
              <w:rPr>
                <w:rFonts w:ascii="Arial" w:hAnsi="Arial" w:cs="Arial"/>
                <w:sz w:val="15"/>
                <w:szCs w:val="15"/>
              </w:rPr>
            </w:pPr>
            <w:r w:rsidRPr="00346A27">
              <w:rPr>
                <w:rFonts w:ascii="Arial" w:hAnsi="Arial" w:cs="Arial"/>
                <w:sz w:val="15"/>
                <w:szCs w:val="15"/>
              </w:rPr>
              <w:t>5,275</w:t>
            </w: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r w:rsidRPr="00346A27">
              <w:rPr>
                <w:rFonts w:ascii="Arial" w:hAnsi="Arial" w:cs="Arial"/>
                <w:sz w:val="15"/>
                <w:szCs w:val="15"/>
              </w:rPr>
              <w:t>5,275</w:t>
            </w: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r w:rsidRPr="00346A27">
              <w:rPr>
                <w:rFonts w:ascii="Arial" w:hAnsi="Arial" w:cs="Arial"/>
                <w:sz w:val="15"/>
                <w:szCs w:val="15"/>
              </w:rPr>
              <w:t>5,275</w:t>
            </w: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r w:rsidRPr="00346A27">
              <w:rPr>
                <w:rFonts w:ascii="Arial" w:hAnsi="Arial" w:cs="Arial"/>
                <w:sz w:val="15"/>
                <w:szCs w:val="15"/>
              </w:rPr>
              <w:t>5,275</w:t>
            </w:r>
          </w:p>
        </w:tc>
      </w:tr>
      <w:tr w:rsidR="00346A27" w:rsidRPr="00346A27" w:rsidTr="00EB0950">
        <w:trPr>
          <w:trHeight w:val="225"/>
        </w:trPr>
        <w:tc>
          <w:tcPr>
            <w:tcW w:w="286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ind w:firstLineChars="200" w:firstLine="301"/>
              <w:rPr>
                <w:rFonts w:ascii="Arial" w:hAnsi="Arial" w:cs="Arial"/>
                <w:b/>
                <w:bCs/>
                <w:sz w:val="15"/>
                <w:szCs w:val="15"/>
              </w:rPr>
            </w:pPr>
            <w:r w:rsidRPr="00346A27">
              <w:rPr>
                <w:rFonts w:ascii="Arial" w:hAnsi="Arial" w:cs="Arial"/>
                <w:b/>
                <w:bCs/>
                <w:sz w:val="15"/>
                <w:szCs w:val="15"/>
              </w:rPr>
              <w:t>Total revenue</w:t>
            </w:r>
          </w:p>
        </w:tc>
        <w:tc>
          <w:tcPr>
            <w:tcW w:w="900" w:type="dxa"/>
            <w:tcBorders>
              <w:top w:val="nil"/>
              <w:left w:val="nil"/>
              <w:bottom w:val="single" w:sz="4" w:space="0" w:color="auto"/>
              <w:right w:val="nil"/>
            </w:tcBorders>
            <w:shd w:val="clear" w:color="auto" w:fill="auto"/>
            <w:noWrap/>
            <w:vAlign w:val="bottom"/>
            <w:hideMark/>
          </w:tcPr>
          <w:p w:rsidR="007707AD" w:rsidRPr="00346A27" w:rsidRDefault="007707AD" w:rsidP="005A0821">
            <w:pPr>
              <w:keepNext w:val="0"/>
              <w:spacing w:after="0"/>
              <w:jc w:val="right"/>
              <w:rPr>
                <w:rFonts w:ascii="Arial" w:hAnsi="Arial" w:cs="Arial"/>
                <w:b/>
                <w:bCs/>
                <w:sz w:val="15"/>
                <w:szCs w:val="15"/>
              </w:rPr>
            </w:pPr>
            <w:r w:rsidRPr="00346A27">
              <w:rPr>
                <w:rFonts w:ascii="Arial" w:hAnsi="Arial" w:cs="Arial"/>
                <w:b/>
                <w:bCs/>
                <w:sz w:val="15"/>
                <w:szCs w:val="15"/>
              </w:rPr>
              <w:t>10,046</w:t>
            </w:r>
          </w:p>
        </w:tc>
        <w:tc>
          <w:tcPr>
            <w:tcW w:w="900" w:type="dxa"/>
            <w:tcBorders>
              <w:top w:val="nil"/>
              <w:left w:val="nil"/>
              <w:bottom w:val="single" w:sz="4" w:space="0" w:color="auto"/>
              <w:right w:val="nil"/>
            </w:tcBorders>
            <w:shd w:val="clear" w:color="000000" w:fill="D9D9D9"/>
            <w:noWrap/>
            <w:vAlign w:val="bottom"/>
            <w:hideMark/>
          </w:tcPr>
          <w:p w:rsidR="007707AD" w:rsidRPr="00346A27" w:rsidRDefault="007707AD" w:rsidP="005A0821">
            <w:pPr>
              <w:keepNext w:val="0"/>
              <w:spacing w:after="0"/>
              <w:jc w:val="right"/>
              <w:rPr>
                <w:rFonts w:ascii="Arial" w:hAnsi="Arial" w:cs="Arial"/>
                <w:b/>
                <w:bCs/>
                <w:sz w:val="15"/>
                <w:szCs w:val="15"/>
              </w:rPr>
            </w:pPr>
            <w:r w:rsidRPr="00346A27">
              <w:rPr>
                <w:rFonts w:ascii="Arial" w:hAnsi="Arial" w:cs="Arial"/>
                <w:b/>
                <w:bCs/>
                <w:sz w:val="15"/>
                <w:szCs w:val="15"/>
              </w:rPr>
              <w:t>10,046</w:t>
            </w:r>
          </w:p>
        </w:tc>
        <w:tc>
          <w:tcPr>
            <w:tcW w:w="900" w:type="dxa"/>
            <w:tcBorders>
              <w:top w:val="nil"/>
              <w:left w:val="nil"/>
              <w:bottom w:val="single" w:sz="4" w:space="0" w:color="auto"/>
              <w:right w:val="nil"/>
            </w:tcBorders>
            <w:shd w:val="clear" w:color="auto" w:fill="auto"/>
            <w:noWrap/>
            <w:vAlign w:val="bottom"/>
            <w:hideMark/>
          </w:tcPr>
          <w:p w:rsidR="007707AD" w:rsidRPr="00346A27" w:rsidRDefault="007707AD" w:rsidP="005A0821">
            <w:pPr>
              <w:keepNext w:val="0"/>
              <w:spacing w:after="0"/>
              <w:jc w:val="right"/>
              <w:rPr>
                <w:rFonts w:ascii="Arial" w:hAnsi="Arial" w:cs="Arial"/>
                <w:b/>
                <w:bCs/>
                <w:sz w:val="15"/>
                <w:szCs w:val="15"/>
              </w:rPr>
            </w:pPr>
            <w:r w:rsidRPr="00346A27">
              <w:rPr>
                <w:rFonts w:ascii="Arial" w:hAnsi="Arial" w:cs="Arial"/>
                <w:b/>
                <w:bCs/>
                <w:sz w:val="15"/>
                <w:szCs w:val="15"/>
              </w:rPr>
              <w:t>10,046</w:t>
            </w:r>
          </w:p>
        </w:tc>
        <w:tc>
          <w:tcPr>
            <w:tcW w:w="900" w:type="dxa"/>
            <w:tcBorders>
              <w:top w:val="nil"/>
              <w:left w:val="nil"/>
              <w:bottom w:val="single" w:sz="4" w:space="0" w:color="auto"/>
              <w:right w:val="nil"/>
            </w:tcBorders>
            <w:shd w:val="clear" w:color="auto" w:fill="auto"/>
            <w:noWrap/>
            <w:vAlign w:val="bottom"/>
            <w:hideMark/>
          </w:tcPr>
          <w:p w:rsidR="007707AD" w:rsidRPr="00346A27" w:rsidRDefault="007707AD" w:rsidP="005A0821">
            <w:pPr>
              <w:keepNext w:val="0"/>
              <w:spacing w:after="0"/>
              <w:jc w:val="right"/>
              <w:rPr>
                <w:rFonts w:ascii="Arial" w:hAnsi="Arial" w:cs="Arial"/>
                <w:b/>
                <w:bCs/>
                <w:sz w:val="15"/>
                <w:szCs w:val="15"/>
              </w:rPr>
            </w:pPr>
            <w:r w:rsidRPr="00346A27">
              <w:rPr>
                <w:rFonts w:ascii="Arial" w:hAnsi="Arial" w:cs="Arial"/>
                <w:b/>
                <w:bCs/>
                <w:sz w:val="15"/>
                <w:szCs w:val="15"/>
              </w:rPr>
              <w:t>10,046</w:t>
            </w:r>
          </w:p>
        </w:tc>
        <w:tc>
          <w:tcPr>
            <w:tcW w:w="900" w:type="dxa"/>
            <w:tcBorders>
              <w:top w:val="nil"/>
              <w:left w:val="nil"/>
              <w:bottom w:val="single" w:sz="4" w:space="0" w:color="auto"/>
              <w:right w:val="nil"/>
            </w:tcBorders>
            <w:shd w:val="clear" w:color="auto" w:fill="auto"/>
            <w:noWrap/>
            <w:vAlign w:val="bottom"/>
            <w:hideMark/>
          </w:tcPr>
          <w:p w:rsidR="007707AD" w:rsidRPr="00346A27" w:rsidRDefault="007707AD" w:rsidP="005A0821">
            <w:pPr>
              <w:keepNext w:val="0"/>
              <w:spacing w:after="0"/>
              <w:jc w:val="right"/>
              <w:rPr>
                <w:rFonts w:ascii="Arial" w:hAnsi="Arial" w:cs="Arial"/>
                <w:b/>
                <w:bCs/>
                <w:sz w:val="15"/>
                <w:szCs w:val="15"/>
              </w:rPr>
            </w:pPr>
            <w:r w:rsidRPr="00346A27">
              <w:rPr>
                <w:rFonts w:ascii="Arial" w:hAnsi="Arial" w:cs="Arial"/>
                <w:b/>
                <w:bCs/>
                <w:sz w:val="15"/>
                <w:szCs w:val="15"/>
              </w:rPr>
              <w:t>10,046</w:t>
            </w:r>
          </w:p>
        </w:tc>
      </w:tr>
      <w:tr w:rsidR="00346A27" w:rsidRPr="00346A27" w:rsidTr="00EB0950">
        <w:trPr>
          <w:trHeight w:val="255"/>
        </w:trPr>
        <w:tc>
          <w:tcPr>
            <w:tcW w:w="286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ind w:firstLineChars="100" w:firstLine="151"/>
              <w:rPr>
                <w:rFonts w:ascii="Arial" w:hAnsi="Arial" w:cs="Arial"/>
                <w:b/>
                <w:bCs/>
                <w:sz w:val="15"/>
                <w:szCs w:val="15"/>
              </w:rPr>
            </w:pPr>
            <w:r w:rsidRPr="00346A27">
              <w:rPr>
                <w:rFonts w:ascii="Arial" w:hAnsi="Arial" w:cs="Arial"/>
                <w:b/>
                <w:bCs/>
                <w:sz w:val="15"/>
                <w:szCs w:val="15"/>
              </w:rPr>
              <w:t>Gains</w:t>
            </w: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p>
        </w:tc>
        <w:tc>
          <w:tcPr>
            <w:tcW w:w="900" w:type="dxa"/>
            <w:tcBorders>
              <w:top w:val="nil"/>
              <w:left w:val="nil"/>
              <w:bottom w:val="nil"/>
              <w:right w:val="nil"/>
            </w:tcBorders>
            <w:shd w:val="clear" w:color="000000" w:fill="D9D9D9"/>
            <w:noWrap/>
            <w:vAlign w:val="bottom"/>
            <w:hideMark/>
          </w:tcPr>
          <w:p w:rsidR="007707AD" w:rsidRPr="00346A27" w:rsidRDefault="007707AD" w:rsidP="005A0821">
            <w:pPr>
              <w:keepNext w:val="0"/>
              <w:spacing w:after="0"/>
              <w:jc w:val="right"/>
              <w:rPr>
                <w:rFonts w:ascii="Arial" w:hAnsi="Arial" w:cs="Arial"/>
                <w:b/>
                <w:bCs/>
                <w:sz w:val="15"/>
                <w:szCs w:val="15"/>
              </w:rPr>
            </w:pP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p>
        </w:tc>
      </w:tr>
      <w:tr w:rsidR="00346A27" w:rsidRPr="00346A27" w:rsidTr="00EB0950">
        <w:trPr>
          <w:trHeight w:val="225"/>
        </w:trPr>
        <w:tc>
          <w:tcPr>
            <w:tcW w:w="286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ind w:firstLineChars="200" w:firstLine="300"/>
              <w:rPr>
                <w:rFonts w:ascii="Arial" w:hAnsi="Arial" w:cs="Arial"/>
                <w:sz w:val="15"/>
                <w:szCs w:val="15"/>
              </w:rPr>
            </w:pPr>
            <w:r w:rsidRPr="00346A27">
              <w:rPr>
                <w:rFonts w:ascii="Arial" w:hAnsi="Arial" w:cs="Arial"/>
                <w:sz w:val="15"/>
                <w:szCs w:val="15"/>
              </w:rPr>
              <w:t>Other</w:t>
            </w: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r w:rsidRPr="00346A27">
              <w:rPr>
                <w:rFonts w:ascii="Arial" w:hAnsi="Arial" w:cs="Arial"/>
                <w:sz w:val="15"/>
                <w:szCs w:val="15"/>
              </w:rPr>
              <w:t>-</w:t>
            </w:r>
          </w:p>
        </w:tc>
        <w:tc>
          <w:tcPr>
            <w:tcW w:w="900" w:type="dxa"/>
            <w:tcBorders>
              <w:top w:val="nil"/>
              <w:left w:val="nil"/>
              <w:bottom w:val="nil"/>
              <w:right w:val="nil"/>
            </w:tcBorders>
            <w:shd w:val="clear" w:color="000000" w:fill="D9D9D9"/>
            <w:noWrap/>
            <w:vAlign w:val="bottom"/>
            <w:hideMark/>
          </w:tcPr>
          <w:p w:rsidR="007707AD" w:rsidRPr="00346A27" w:rsidRDefault="007707AD" w:rsidP="005A0821">
            <w:pPr>
              <w:keepNext w:val="0"/>
              <w:spacing w:after="0"/>
              <w:jc w:val="right"/>
              <w:rPr>
                <w:rFonts w:ascii="Arial" w:hAnsi="Arial" w:cs="Arial"/>
                <w:sz w:val="15"/>
                <w:szCs w:val="15"/>
              </w:rPr>
            </w:pPr>
            <w:r w:rsidRPr="00346A27">
              <w:rPr>
                <w:rFonts w:ascii="Arial" w:hAnsi="Arial" w:cs="Arial"/>
                <w:sz w:val="15"/>
                <w:szCs w:val="15"/>
              </w:rPr>
              <w:t>-</w:t>
            </w: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r w:rsidRPr="00346A27">
              <w:rPr>
                <w:rFonts w:ascii="Arial" w:hAnsi="Arial" w:cs="Arial"/>
                <w:sz w:val="15"/>
                <w:szCs w:val="15"/>
              </w:rPr>
              <w:t>-</w:t>
            </w: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r w:rsidRPr="00346A27">
              <w:rPr>
                <w:rFonts w:ascii="Arial" w:hAnsi="Arial" w:cs="Arial"/>
                <w:sz w:val="15"/>
                <w:szCs w:val="15"/>
              </w:rPr>
              <w:t>-</w:t>
            </w: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r w:rsidRPr="00346A27">
              <w:rPr>
                <w:rFonts w:ascii="Arial" w:hAnsi="Arial" w:cs="Arial"/>
                <w:sz w:val="15"/>
                <w:szCs w:val="15"/>
              </w:rPr>
              <w:t>-</w:t>
            </w:r>
          </w:p>
        </w:tc>
      </w:tr>
      <w:tr w:rsidR="00346A27" w:rsidRPr="00346A27" w:rsidTr="00EB0950">
        <w:trPr>
          <w:trHeight w:val="225"/>
        </w:trPr>
        <w:tc>
          <w:tcPr>
            <w:tcW w:w="286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ind w:firstLineChars="200" w:firstLine="301"/>
              <w:rPr>
                <w:rFonts w:ascii="Arial" w:hAnsi="Arial" w:cs="Arial"/>
                <w:b/>
                <w:bCs/>
                <w:sz w:val="15"/>
                <w:szCs w:val="15"/>
              </w:rPr>
            </w:pPr>
            <w:r w:rsidRPr="00346A27">
              <w:rPr>
                <w:rFonts w:ascii="Arial" w:hAnsi="Arial" w:cs="Arial"/>
                <w:b/>
                <w:bCs/>
                <w:sz w:val="15"/>
                <w:szCs w:val="15"/>
              </w:rPr>
              <w:t>Total gains</w:t>
            </w:r>
          </w:p>
        </w:tc>
        <w:tc>
          <w:tcPr>
            <w:tcW w:w="900" w:type="dxa"/>
            <w:tcBorders>
              <w:top w:val="nil"/>
              <w:left w:val="nil"/>
              <w:bottom w:val="single" w:sz="4" w:space="0" w:color="auto"/>
              <w:right w:val="nil"/>
            </w:tcBorders>
            <w:shd w:val="clear" w:color="auto" w:fill="auto"/>
            <w:noWrap/>
            <w:vAlign w:val="bottom"/>
            <w:hideMark/>
          </w:tcPr>
          <w:p w:rsidR="007707AD" w:rsidRPr="00346A27" w:rsidRDefault="007707AD" w:rsidP="005A0821">
            <w:pPr>
              <w:keepNext w:val="0"/>
              <w:spacing w:after="0"/>
              <w:jc w:val="right"/>
              <w:rPr>
                <w:rFonts w:ascii="Arial" w:hAnsi="Arial" w:cs="Arial"/>
                <w:b/>
                <w:bCs/>
                <w:sz w:val="15"/>
                <w:szCs w:val="15"/>
              </w:rPr>
            </w:pPr>
            <w:r w:rsidRPr="00346A27">
              <w:rPr>
                <w:rFonts w:ascii="Arial" w:hAnsi="Arial" w:cs="Arial"/>
                <w:b/>
                <w:bCs/>
                <w:sz w:val="15"/>
                <w:szCs w:val="15"/>
              </w:rPr>
              <w:t>-</w:t>
            </w:r>
          </w:p>
        </w:tc>
        <w:tc>
          <w:tcPr>
            <w:tcW w:w="900" w:type="dxa"/>
            <w:tcBorders>
              <w:top w:val="nil"/>
              <w:left w:val="nil"/>
              <w:bottom w:val="single" w:sz="4" w:space="0" w:color="auto"/>
              <w:right w:val="nil"/>
            </w:tcBorders>
            <w:shd w:val="clear" w:color="000000" w:fill="D9D9D9"/>
            <w:noWrap/>
            <w:vAlign w:val="bottom"/>
            <w:hideMark/>
          </w:tcPr>
          <w:p w:rsidR="007707AD" w:rsidRPr="00346A27" w:rsidRDefault="007707AD" w:rsidP="005A0821">
            <w:pPr>
              <w:keepNext w:val="0"/>
              <w:spacing w:after="0"/>
              <w:jc w:val="right"/>
              <w:rPr>
                <w:rFonts w:ascii="Arial" w:hAnsi="Arial" w:cs="Arial"/>
                <w:b/>
                <w:bCs/>
                <w:sz w:val="15"/>
                <w:szCs w:val="15"/>
              </w:rPr>
            </w:pPr>
            <w:r w:rsidRPr="00346A27">
              <w:rPr>
                <w:rFonts w:ascii="Arial" w:hAnsi="Arial" w:cs="Arial"/>
                <w:b/>
                <w:bCs/>
                <w:sz w:val="15"/>
                <w:szCs w:val="15"/>
              </w:rPr>
              <w:t>-</w:t>
            </w:r>
          </w:p>
        </w:tc>
        <w:tc>
          <w:tcPr>
            <w:tcW w:w="900" w:type="dxa"/>
            <w:tcBorders>
              <w:top w:val="nil"/>
              <w:left w:val="nil"/>
              <w:bottom w:val="single" w:sz="4" w:space="0" w:color="auto"/>
              <w:right w:val="nil"/>
            </w:tcBorders>
            <w:shd w:val="clear" w:color="auto" w:fill="auto"/>
            <w:noWrap/>
            <w:vAlign w:val="bottom"/>
            <w:hideMark/>
          </w:tcPr>
          <w:p w:rsidR="007707AD" w:rsidRPr="00346A27" w:rsidRDefault="007707AD" w:rsidP="005A0821">
            <w:pPr>
              <w:keepNext w:val="0"/>
              <w:spacing w:after="0"/>
              <w:jc w:val="right"/>
              <w:rPr>
                <w:rFonts w:ascii="Arial" w:hAnsi="Arial" w:cs="Arial"/>
                <w:b/>
                <w:bCs/>
                <w:sz w:val="15"/>
                <w:szCs w:val="15"/>
              </w:rPr>
            </w:pPr>
            <w:r w:rsidRPr="00346A27">
              <w:rPr>
                <w:rFonts w:ascii="Arial" w:hAnsi="Arial" w:cs="Arial"/>
                <w:b/>
                <w:bCs/>
                <w:sz w:val="15"/>
                <w:szCs w:val="15"/>
              </w:rPr>
              <w:t>-</w:t>
            </w:r>
          </w:p>
        </w:tc>
        <w:tc>
          <w:tcPr>
            <w:tcW w:w="900" w:type="dxa"/>
            <w:tcBorders>
              <w:top w:val="nil"/>
              <w:left w:val="nil"/>
              <w:bottom w:val="single" w:sz="4" w:space="0" w:color="auto"/>
              <w:right w:val="nil"/>
            </w:tcBorders>
            <w:shd w:val="clear" w:color="auto" w:fill="auto"/>
            <w:noWrap/>
            <w:vAlign w:val="bottom"/>
            <w:hideMark/>
          </w:tcPr>
          <w:p w:rsidR="007707AD" w:rsidRPr="00346A27" w:rsidRDefault="007707AD" w:rsidP="005A0821">
            <w:pPr>
              <w:keepNext w:val="0"/>
              <w:spacing w:after="0"/>
              <w:jc w:val="right"/>
              <w:rPr>
                <w:rFonts w:ascii="Arial" w:hAnsi="Arial" w:cs="Arial"/>
                <w:b/>
                <w:bCs/>
                <w:sz w:val="15"/>
                <w:szCs w:val="15"/>
              </w:rPr>
            </w:pPr>
            <w:r w:rsidRPr="00346A27">
              <w:rPr>
                <w:rFonts w:ascii="Arial" w:hAnsi="Arial" w:cs="Arial"/>
                <w:b/>
                <w:bCs/>
                <w:sz w:val="15"/>
                <w:szCs w:val="15"/>
              </w:rPr>
              <w:t>-</w:t>
            </w:r>
          </w:p>
        </w:tc>
        <w:tc>
          <w:tcPr>
            <w:tcW w:w="900" w:type="dxa"/>
            <w:tcBorders>
              <w:top w:val="nil"/>
              <w:left w:val="nil"/>
              <w:bottom w:val="single" w:sz="4" w:space="0" w:color="auto"/>
              <w:right w:val="nil"/>
            </w:tcBorders>
            <w:shd w:val="clear" w:color="auto" w:fill="auto"/>
            <w:noWrap/>
            <w:vAlign w:val="bottom"/>
            <w:hideMark/>
          </w:tcPr>
          <w:p w:rsidR="007707AD" w:rsidRPr="00346A27" w:rsidRDefault="007707AD" w:rsidP="005A0821">
            <w:pPr>
              <w:keepNext w:val="0"/>
              <w:spacing w:after="0"/>
              <w:jc w:val="right"/>
              <w:rPr>
                <w:rFonts w:ascii="Arial" w:hAnsi="Arial" w:cs="Arial"/>
                <w:b/>
                <w:bCs/>
                <w:sz w:val="15"/>
                <w:szCs w:val="15"/>
              </w:rPr>
            </w:pPr>
            <w:r w:rsidRPr="00346A27">
              <w:rPr>
                <w:rFonts w:ascii="Arial" w:hAnsi="Arial" w:cs="Arial"/>
                <w:b/>
                <w:bCs/>
                <w:sz w:val="15"/>
                <w:szCs w:val="15"/>
              </w:rPr>
              <w:t>-</w:t>
            </w:r>
          </w:p>
        </w:tc>
      </w:tr>
      <w:tr w:rsidR="00346A27" w:rsidRPr="00346A27" w:rsidTr="00EB0950">
        <w:trPr>
          <w:trHeight w:val="225"/>
        </w:trPr>
        <w:tc>
          <w:tcPr>
            <w:tcW w:w="286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ind w:firstLineChars="100" w:firstLine="151"/>
              <w:rPr>
                <w:rFonts w:ascii="Arial" w:hAnsi="Arial" w:cs="Arial"/>
                <w:b/>
                <w:bCs/>
                <w:sz w:val="15"/>
                <w:szCs w:val="15"/>
              </w:rPr>
            </w:pPr>
            <w:r w:rsidRPr="00346A27">
              <w:rPr>
                <w:rFonts w:ascii="Arial" w:hAnsi="Arial" w:cs="Arial"/>
                <w:b/>
                <w:bCs/>
                <w:sz w:val="15"/>
                <w:szCs w:val="15"/>
              </w:rPr>
              <w:t>Total own-source income</w:t>
            </w:r>
          </w:p>
        </w:tc>
        <w:tc>
          <w:tcPr>
            <w:tcW w:w="900" w:type="dxa"/>
            <w:tcBorders>
              <w:top w:val="nil"/>
              <w:left w:val="nil"/>
              <w:bottom w:val="single" w:sz="4" w:space="0" w:color="auto"/>
              <w:right w:val="nil"/>
            </w:tcBorders>
            <w:shd w:val="clear" w:color="auto" w:fill="auto"/>
            <w:noWrap/>
            <w:vAlign w:val="bottom"/>
            <w:hideMark/>
          </w:tcPr>
          <w:p w:rsidR="007707AD" w:rsidRPr="00346A27" w:rsidRDefault="007707AD" w:rsidP="005A0821">
            <w:pPr>
              <w:keepNext w:val="0"/>
              <w:spacing w:after="0"/>
              <w:jc w:val="right"/>
              <w:rPr>
                <w:rFonts w:ascii="Arial" w:hAnsi="Arial" w:cs="Arial"/>
                <w:b/>
                <w:bCs/>
                <w:sz w:val="15"/>
                <w:szCs w:val="15"/>
              </w:rPr>
            </w:pPr>
            <w:r w:rsidRPr="00346A27">
              <w:rPr>
                <w:rFonts w:ascii="Arial" w:hAnsi="Arial" w:cs="Arial"/>
                <w:b/>
                <w:bCs/>
                <w:sz w:val="15"/>
                <w:szCs w:val="15"/>
              </w:rPr>
              <w:t>10,046</w:t>
            </w:r>
          </w:p>
        </w:tc>
        <w:tc>
          <w:tcPr>
            <w:tcW w:w="900" w:type="dxa"/>
            <w:tcBorders>
              <w:top w:val="nil"/>
              <w:left w:val="nil"/>
              <w:bottom w:val="single" w:sz="4" w:space="0" w:color="auto"/>
              <w:right w:val="nil"/>
            </w:tcBorders>
            <w:shd w:val="clear" w:color="000000" w:fill="D9D9D9"/>
            <w:noWrap/>
            <w:vAlign w:val="bottom"/>
            <w:hideMark/>
          </w:tcPr>
          <w:p w:rsidR="007707AD" w:rsidRPr="00346A27" w:rsidRDefault="007707AD" w:rsidP="005A0821">
            <w:pPr>
              <w:keepNext w:val="0"/>
              <w:spacing w:after="0"/>
              <w:jc w:val="right"/>
              <w:rPr>
                <w:rFonts w:ascii="Arial" w:hAnsi="Arial" w:cs="Arial"/>
                <w:b/>
                <w:bCs/>
                <w:sz w:val="15"/>
                <w:szCs w:val="15"/>
              </w:rPr>
            </w:pPr>
            <w:r w:rsidRPr="00346A27">
              <w:rPr>
                <w:rFonts w:ascii="Arial" w:hAnsi="Arial" w:cs="Arial"/>
                <w:b/>
                <w:bCs/>
                <w:sz w:val="15"/>
                <w:szCs w:val="15"/>
              </w:rPr>
              <w:t>10,046</w:t>
            </w:r>
          </w:p>
        </w:tc>
        <w:tc>
          <w:tcPr>
            <w:tcW w:w="900" w:type="dxa"/>
            <w:tcBorders>
              <w:top w:val="nil"/>
              <w:left w:val="nil"/>
              <w:bottom w:val="single" w:sz="4" w:space="0" w:color="auto"/>
              <w:right w:val="nil"/>
            </w:tcBorders>
            <w:shd w:val="clear" w:color="auto" w:fill="auto"/>
            <w:noWrap/>
            <w:vAlign w:val="bottom"/>
            <w:hideMark/>
          </w:tcPr>
          <w:p w:rsidR="007707AD" w:rsidRPr="00346A27" w:rsidRDefault="007707AD" w:rsidP="005A0821">
            <w:pPr>
              <w:keepNext w:val="0"/>
              <w:spacing w:after="0"/>
              <w:jc w:val="right"/>
              <w:rPr>
                <w:rFonts w:ascii="Arial" w:hAnsi="Arial" w:cs="Arial"/>
                <w:b/>
                <w:bCs/>
                <w:sz w:val="15"/>
                <w:szCs w:val="15"/>
              </w:rPr>
            </w:pPr>
            <w:r w:rsidRPr="00346A27">
              <w:rPr>
                <w:rFonts w:ascii="Arial" w:hAnsi="Arial" w:cs="Arial"/>
                <w:b/>
                <w:bCs/>
                <w:sz w:val="15"/>
                <w:szCs w:val="15"/>
              </w:rPr>
              <w:t>10,046</w:t>
            </w:r>
          </w:p>
        </w:tc>
        <w:tc>
          <w:tcPr>
            <w:tcW w:w="900" w:type="dxa"/>
            <w:tcBorders>
              <w:top w:val="nil"/>
              <w:left w:val="nil"/>
              <w:bottom w:val="single" w:sz="4" w:space="0" w:color="auto"/>
              <w:right w:val="nil"/>
            </w:tcBorders>
            <w:shd w:val="clear" w:color="auto" w:fill="auto"/>
            <w:noWrap/>
            <w:vAlign w:val="bottom"/>
            <w:hideMark/>
          </w:tcPr>
          <w:p w:rsidR="007707AD" w:rsidRPr="00346A27" w:rsidRDefault="007707AD" w:rsidP="005A0821">
            <w:pPr>
              <w:keepNext w:val="0"/>
              <w:spacing w:after="0"/>
              <w:jc w:val="right"/>
              <w:rPr>
                <w:rFonts w:ascii="Arial" w:hAnsi="Arial" w:cs="Arial"/>
                <w:b/>
                <w:bCs/>
                <w:sz w:val="15"/>
                <w:szCs w:val="15"/>
              </w:rPr>
            </w:pPr>
            <w:r w:rsidRPr="00346A27">
              <w:rPr>
                <w:rFonts w:ascii="Arial" w:hAnsi="Arial" w:cs="Arial"/>
                <w:b/>
                <w:bCs/>
                <w:sz w:val="15"/>
                <w:szCs w:val="15"/>
              </w:rPr>
              <w:t>10,046</w:t>
            </w:r>
          </w:p>
        </w:tc>
        <w:tc>
          <w:tcPr>
            <w:tcW w:w="900" w:type="dxa"/>
            <w:tcBorders>
              <w:top w:val="nil"/>
              <w:left w:val="nil"/>
              <w:bottom w:val="single" w:sz="4" w:space="0" w:color="auto"/>
              <w:right w:val="nil"/>
            </w:tcBorders>
            <w:shd w:val="clear" w:color="auto" w:fill="auto"/>
            <w:noWrap/>
            <w:vAlign w:val="bottom"/>
            <w:hideMark/>
          </w:tcPr>
          <w:p w:rsidR="007707AD" w:rsidRPr="00346A27" w:rsidRDefault="007707AD" w:rsidP="005A0821">
            <w:pPr>
              <w:keepNext w:val="0"/>
              <w:spacing w:after="0"/>
              <w:jc w:val="right"/>
              <w:rPr>
                <w:rFonts w:ascii="Arial" w:hAnsi="Arial" w:cs="Arial"/>
                <w:b/>
                <w:bCs/>
                <w:sz w:val="15"/>
                <w:szCs w:val="15"/>
              </w:rPr>
            </w:pPr>
            <w:r w:rsidRPr="00346A27">
              <w:rPr>
                <w:rFonts w:ascii="Arial" w:hAnsi="Arial" w:cs="Arial"/>
                <w:b/>
                <w:bCs/>
                <w:sz w:val="15"/>
                <w:szCs w:val="15"/>
              </w:rPr>
              <w:t>10,046</w:t>
            </w:r>
          </w:p>
        </w:tc>
      </w:tr>
      <w:tr w:rsidR="00346A27" w:rsidRPr="00346A27" w:rsidTr="00EB0950">
        <w:trPr>
          <w:trHeight w:val="255"/>
        </w:trPr>
        <w:tc>
          <w:tcPr>
            <w:tcW w:w="286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rPr>
                <w:rFonts w:ascii="Arial" w:hAnsi="Arial" w:cs="Arial"/>
                <w:b/>
                <w:bCs/>
                <w:sz w:val="15"/>
                <w:szCs w:val="15"/>
              </w:rPr>
            </w:pPr>
            <w:r w:rsidRPr="00346A27">
              <w:rPr>
                <w:rFonts w:ascii="Arial" w:hAnsi="Arial" w:cs="Arial"/>
                <w:b/>
                <w:bCs/>
                <w:sz w:val="15"/>
                <w:szCs w:val="15"/>
              </w:rPr>
              <w:t>Net cost of (contribution by)</w:t>
            </w: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b/>
                <w:bCs/>
                <w:sz w:val="15"/>
                <w:szCs w:val="15"/>
              </w:rPr>
            </w:pPr>
          </w:p>
        </w:tc>
        <w:tc>
          <w:tcPr>
            <w:tcW w:w="900" w:type="dxa"/>
            <w:tcBorders>
              <w:top w:val="nil"/>
              <w:left w:val="nil"/>
              <w:bottom w:val="nil"/>
              <w:right w:val="nil"/>
            </w:tcBorders>
            <w:shd w:val="clear" w:color="000000" w:fill="D9D9D9"/>
            <w:noWrap/>
            <w:vAlign w:val="bottom"/>
            <w:hideMark/>
          </w:tcPr>
          <w:p w:rsidR="007707AD" w:rsidRPr="00346A27" w:rsidRDefault="007707AD" w:rsidP="005A0821">
            <w:pPr>
              <w:keepNext w:val="0"/>
              <w:spacing w:after="0"/>
              <w:jc w:val="right"/>
              <w:rPr>
                <w:rFonts w:ascii="Arial" w:hAnsi="Arial" w:cs="Arial"/>
                <w:b/>
                <w:bCs/>
                <w:sz w:val="15"/>
                <w:szCs w:val="15"/>
              </w:rPr>
            </w:pP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b/>
                <w:bCs/>
                <w:sz w:val="15"/>
                <w:szCs w:val="15"/>
              </w:rPr>
            </w:pP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b/>
                <w:bCs/>
                <w:sz w:val="15"/>
                <w:szCs w:val="15"/>
              </w:rPr>
            </w:pP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b/>
                <w:bCs/>
                <w:sz w:val="15"/>
                <w:szCs w:val="15"/>
              </w:rPr>
            </w:pPr>
          </w:p>
        </w:tc>
      </w:tr>
      <w:tr w:rsidR="00346A27" w:rsidRPr="00346A27" w:rsidTr="00EB0950">
        <w:trPr>
          <w:trHeight w:val="225"/>
        </w:trPr>
        <w:tc>
          <w:tcPr>
            <w:tcW w:w="286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ind w:firstLineChars="100" w:firstLine="151"/>
              <w:rPr>
                <w:rFonts w:ascii="Arial" w:hAnsi="Arial" w:cs="Arial"/>
                <w:b/>
                <w:bCs/>
                <w:sz w:val="15"/>
                <w:szCs w:val="15"/>
              </w:rPr>
            </w:pPr>
            <w:r w:rsidRPr="00346A27">
              <w:rPr>
                <w:rFonts w:ascii="Arial" w:hAnsi="Arial" w:cs="Arial"/>
                <w:b/>
                <w:bCs/>
                <w:sz w:val="15"/>
                <w:szCs w:val="15"/>
              </w:rPr>
              <w:t>services</w:t>
            </w:r>
          </w:p>
        </w:tc>
        <w:tc>
          <w:tcPr>
            <w:tcW w:w="900" w:type="dxa"/>
            <w:tcBorders>
              <w:top w:val="nil"/>
              <w:left w:val="nil"/>
              <w:bottom w:val="single" w:sz="4" w:space="0" w:color="auto"/>
              <w:right w:val="nil"/>
            </w:tcBorders>
            <w:shd w:val="clear" w:color="auto" w:fill="auto"/>
            <w:noWrap/>
            <w:vAlign w:val="bottom"/>
            <w:hideMark/>
          </w:tcPr>
          <w:p w:rsidR="007707AD" w:rsidRPr="00346A27" w:rsidRDefault="007707AD" w:rsidP="005A0821">
            <w:pPr>
              <w:keepNext w:val="0"/>
              <w:spacing w:after="0"/>
              <w:jc w:val="right"/>
              <w:rPr>
                <w:rFonts w:ascii="Arial" w:hAnsi="Arial" w:cs="Arial"/>
                <w:b/>
                <w:bCs/>
                <w:sz w:val="15"/>
                <w:szCs w:val="15"/>
              </w:rPr>
            </w:pPr>
            <w:r w:rsidRPr="00346A27">
              <w:rPr>
                <w:rFonts w:ascii="Arial" w:hAnsi="Arial" w:cs="Arial"/>
                <w:b/>
                <w:bCs/>
                <w:sz w:val="15"/>
                <w:szCs w:val="15"/>
              </w:rPr>
              <w:t>15,960</w:t>
            </w:r>
          </w:p>
        </w:tc>
        <w:tc>
          <w:tcPr>
            <w:tcW w:w="900" w:type="dxa"/>
            <w:tcBorders>
              <w:top w:val="nil"/>
              <w:left w:val="nil"/>
              <w:bottom w:val="single" w:sz="4" w:space="0" w:color="auto"/>
              <w:right w:val="nil"/>
            </w:tcBorders>
            <w:shd w:val="clear" w:color="000000" w:fill="D9D9D9"/>
            <w:noWrap/>
            <w:vAlign w:val="bottom"/>
            <w:hideMark/>
          </w:tcPr>
          <w:p w:rsidR="007707AD" w:rsidRPr="00346A27" w:rsidRDefault="007707AD" w:rsidP="005A0821">
            <w:pPr>
              <w:keepNext w:val="0"/>
              <w:spacing w:after="0"/>
              <w:jc w:val="right"/>
              <w:rPr>
                <w:rFonts w:ascii="Arial" w:hAnsi="Arial" w:cs="Arial"/>
                <w:b/>
                <w:bCs/>
                <w:sz w:val="15"/>
                <w:szCs w:val="15"/>
              </w:rPr>
            </w:pPr>
            <w:r w:rsidRPr="00346A27">
              <w:rPr>
                <w:rFonts w:ascii="Arial" w:hAnsi="Arial" w:cs="Arial"/>
                <w:b/>
                <w:bCs/>
                <w:sz w:val="15"/>
                <w:szCs w:val="15"/>
              </w:rPr>
              <w:t>15,878</w:t>
            </w:r>
          </w:p>
        </w:tc>
        <w:tc>
          <w:tcPr>
            <w:tcW w:w="900" w:type="dxa"/>
            <w:tcBorders>
              <w:top w:val="nil"/>
              <w:left w:val="nil"/>
              <w:bottom w:val="single" w:sz="4" w:space="0" w:color="auto"/>
              <w:right w:val="nil"/>
            </w:tcBorders>
            <w:shd w:val="clear" w:color="auto" w:fill="auto"/>
            <w:noWrap/>
            <w:vAlign w:val="bottom"/>
            <w:hideMark/>
          </w:tcPr>
          <w:p w:rsidR="007707AD" w:rsidRPr="00346A27" w:rsidRDefault="007707AD" w:rsidP="005A0821">
            <w:pPr>
              <w:keepNext w:val="0"/>
              <w:spacing w:after="0"/>
              <w:jc w:val="right"/>
              <w:rPr>
                <w:rFonts w:ascii="Arial" w:hAnsi="Arial" w:cs="Arial"/>
                <w:b/>
                <w:bCs/>
                <w:sz w:val="15"/>
                <w:szCs w:val="15"/>
              </w:rPr>
            </w:pPr>
            <w:r w:rsidRPr="00346A27">
              <w:rPr>
                <w:rFonts w:ascii="Arial" w:hAnsi="Arial" w:cs="Arial"/>
                <w:b/>
                <w:bCs/>
                <w:sz w:val="15"/>
                <w:szCs w:val="15"/>
              </w:rPr>
              <w:t>15,108</w:t>
            </w:r>
          </w:p>
        </w:tc>
        <w:tc>
          <w:tcPr>
            <w:tcW w:w="900" w:type="dxa"/>
            <w:tcBorders>
              <w:top w:val="nil"/>
              <w:left w:val="nil"/>
              <w:bottom w:val="single" w:sz="4" w:space="0" w:color="auto"/>
              <w:right w:val="nil"/>
            </w:tcBorders>
            <w:shd w:val="clear" w:color="auto" w:fill="auto"/>
            <w:noWrap/>
            <w:vAlign w:val="bottom"/>
            <w:hideMark/>
          </w:tcPr>
          <w:p w:rsidR="007707AD" w:rsidRPr="00346A27" w:rsidRDefault="007707AD" w:rsidP="005A0821">
            <w:pPr>
              <w:keepNext w:val="0"/>
              <w:spacing w:after="0"/>
              <w:jc w:val="right"/>
              <w:rPr>
                <w:rFonts w:ascii="Arial" w:hAnsi="Arial" w:cs="Arial"/>
                <w:b/>
                <w:bCs/>
                <w:sz w:val="15"/>
                <w:szCs w:val="15"/>
              </w:rPr>
            </w:pPr>
            <w:r w:rsidRPr="00346A27">
              <w:rPr>
                <w:rFonts w:ascii="Arial" w:hAnsi="Arial" w:cs="Arial"/>
                <w:b/>
                <w:bCs/>
                <w:sz w:val="15"/>
                <w:szCs w:val="15"/>
              </w:rPr>
              <w:t>15,190</w:t>
            </w:r>
          </w:p>
        </w:tc>
        <w:tc>
          <w:tcPr>
            <w:tcW w:w="900" w:type="dxa"/>
            <w:tcBorders>
              <w:top w:val="nil"/>
              <w:left w:val="nil"/>
              <w:bottom w:val="single" w:sz="4" w:space="0" w:color="auto"/>
              <w:right w:val="nil"/>
            </w:tcBorders>
            <w:shd w:val="clear" w:color="auto" w:fill="auto"/>
            <w:noWrap/>
            <w:vAlign w:val="bottom"/>
            <w:hideMark/>
          </w:tcPr>
          <w:p w:rsidR="007707AD" w:rsidRPr="00346A27" w:rsidRDefault="007707AD" w:rsidP="005A0821">
            <w:pPr>
              <w:keepNext w:val="0"/>
              <w:spacing w:after="0"/>
              <w:jc w:val="right"/>
              <w:rPr>
                <w:rFonts w:ascii="Arial" w:hAnsi="Arial" w:cs="Arial"/>
                <w:b/>
                <w:bCs/>
                <w:sz w:val="15"/>
                <w:szCs w:val="15"/>
              </w:rPr>
            </w:pPr>
            <w:r w:rsidRPr="00346A27">
              <w:rPr>
                <w:rFonts w:ascii="Arial" w:hAnsi="Arial" w:cs="Arial"/>
                <w:b/>
                <w:bCs/>
                <w:sz w:val="15"/>
                <w:szCs w:val="15"/>
              </w:rPr>
              <w:t>15,274</w:t>
            </w:r>
          </w:p>
        </w:tc>
      </w:tr>
      <w:tr w:rsidR="00346A27" w:rsidRPr="00346A27" w:rsidTr="00EB0950">
        <w:trPr>
          <w:trHeight w:val="255"/>
        </w:trPr>
        <w:tc>
          <w:tcPr>
            <w:tcW w:w="286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ind w:firstLineChars="100" w:firstLine="150"/>
              <w:rPr>
                <w:rFonts w:ascii="Arial" w:hAnsi="Arial" w:cs="Arial"/>
                <w:sz w:val="15"/>
                <w:szCs w:val="15"/>
              </w:rPr>
            </w:pPr>
            <w:r w:rsidRPr="00346A27">
              <w:rPr>
                <w:rFonts w:ascii="Arial" w:hAnsi="Arial" w:cs="Arial"/>
                <w:sz w:val="15"/>
                <w:szCs w:val="15"/>
              </w:rPr>
              <w:t>Revenue from Government</w:t>
            </w: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r w:rsidRPr="00346A27">
              <w:rPr>
                <w:rFonts w:ascii="Arial" w:hAnsi="Arial" w:cs="Arial"/>
                <w:sz w:val="15"/>
                <w:szCs w:val="15"/>
              </w:rPr>
              <w:t>13,253</w:t>
            </w:r>
          </w:p>
        </w:tc>
        <w:tc>
          <w:tcPr>
            <w:tcW w:w="900" w:type="dxa"/>
            <w:tcBorders>
              <w:top w:val="nil"/>
              <w:left w:val="nil"/>
              <w:bottom w:val="nil"/>
              <w:right w:val="nil"/>
            </w:tcBorders>
            <w:shd w:val="clear" w:color="000000" w:fill="D9D9D9"/>
            <w:noWrap/>
            <w:vAlign w:val="bottom"/>
            <w:hideMark/>
          </w:tcPr>
          <w:p w:rsidR="007707AD" w:rsidRPr="00346A27" w:rsidRDefault="007707AD" w:rsidP="005A0821">
            <w:pPr>
              <w:keepNext w:val="0"/>
              <w:spacing w:after="0"/>
              <w:jc w:val="right"/>
              <w:rPr>
                <w:rFonts w:ascii="Arial" w:hAnsi="Arial" w:cs="Arial"/>
                <w:sz w:val="15"/>
                <w:szCs w:val="15"/>
              </w:rPr>
            </w:pPr>
            <w:r w:rsidRPr="00346A27">
              <w:rPr>
                <w:rFonts w:ascii="Arial" w:hAnsi="Arial" w:cs="Arial"/>
                <w:sz w:val="15"/>
                <w:szCs w:val="15"/>
              </w:rPr>
              <w:t>13,064</w:t>
            </w: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r w:rsidRPr="00346A27">
              <w:rPr>
                <w:rFonts w:ascii="Arial" w:hAnsi="Arial" w:cs="Arial"/>
                <w:sz w:val="15"/>
                <w:szCs w:val="15"/>
              </w:rPr>
              <w:t>12,937</w:t>
            </w: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r w:rsidRPr="00346A27">
              <w:rPr>
                <w:rFonts w:ascii="Arial" w:hAnsi="Arial" w:cs="Arial"/>
                <w:sz w:val="15"/>
                <w:szCs w:val="15"/>
              </w:rPr>
              <w:t>13,019</w:t>
            </w: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r w:rsidRPr="00346A27">
              <w:rPr>
                <w:rFonts w:ascii="Arial" w:hAnsi="Arial" w:cs="Arial"/>
                <w:sz w:val="15"/>
                <w:szCs w:val="15"/>
              </w:rPr>
              <w:t>13,103</w:t>
            </w:r>
          </w:p>
        </w:tc>
      </w:tr>
      <w:tr w:rsidR="00346A27" w:rsidRPr="00346A27" w:rsidTr="00EB0950">
        <w:trPr>
          <w:trHeight w:val="255"/>
        </w:trPr>
        <w:tc>
          <w:tcPr>
            <w:tcW w:w="286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rPr>
                <w:rFonts w:ascii="Arial" w:hAnsi="Arial" w:cs="Arial"/>
                <w:b/>
                <w:bCs/>
                <w:sz w:val="15"/>
                <w:szCs w:val="15"/>
              </w:rPr>
            </w:pPr>
            <w:r w:rsidRPr="00346A27">
              <w:rPr>
                <w:rFonts w:ascii="Arial" w:hAnsi="Arial" w:cs="Arial"/>
                <w:b/>
                <w:bCs/>
                <w:sz w:val="15"/>
                <w:szCs w:val="15"/>
              </w:rPr>
              <w:t>Surplus (Deficit)</w:t>
            </w:r>
          </w:p>
        </w:tc>
        <w:tc>
          <w:tcPr>
            <w:tcW w:w="900" w:type="dxa"/>
            <w:tcBorders>
              <w:top w:val="nil"/>
              <w:left w:val="nil"/>
              <w:bottom w:val="single" w:sz="4" w:space="0" w:color="auto"/>
              <w:right w:val="nil"/>
            </w:tcBorders>
            <w:shd w:val="clear" w:color="auto" w:fill="auto"/>
            <w:noWrap/>
            <w:vAlign w:val="bottom"/>
            <w:hideMark/>
          </w:tcPr>
          <w:p w:rsidR="007707AD" w:rsidRPr="00346A27" w:rsidRDefault="007707AD" w:rsidP="005A0821">
            <w:pPr>
              <w:keepNext w:val="0"/>
              <w:spacing w:after="0"/>
              <w:jc w:val="right"/>
              <w:rPr>
                <w:rFonts w:ascii="Arial" w:hAnsi="Arial" w:cs="Arial"/>
                <w:b/>
                <w:bCs/>
                <w:sz w:val="15"/>
                <w:szCs w:val="15"/>
              </w:rPr>
            </w:pPr>
            <w:r w:rsidRPr="00346A27">
              <w:rPr>
                <w:rFonts w:ascii="Arial" w:hAnsi="Arial" w:cs="Arial"/>
                <w:b/>
                <w:bCs/>
                <w:sz w:val="15"/>
                <w:szCs w:val="15"/>
              </w:rPr>
              <w:t>(2,707)</w:t>
            </w:r>
          </w:p>
        </w:tc>
        <w:tc>
          <w:tcPr>
            <w:tcW w:w="900" w:type="dxa"/>
            <w:tcBorders>
              <w:top w:val="nil"/>
              <w:left w:val="nil"/>
              <w:bottom w:val="single" w:sz="4" w:space="0" w:color="auto"/>
              <w:right w:val="nil"/>
            </w:tcBorders>
            <w:shd w:val="clear" w:color="000000" w:fill="D9D9D9"/>
            <w:noWrap/>
            <w:vAlign w:val="bottom"/>
            <w:hideMark/>
          </w:tcPr>
          <w:p w:rsidR="007707AD" w:rsidRPr="00346A27" w:rsidRDefault="007707AD" w:rsidP="005A0821">
            <w:pPr>
              <w:keepNext w:val="0"/>
              <w:spacing w:after="0"/>
              <w:jc w:val="right"/>
              <w:rPr>
                <w:rFonts w:ascii="Arial" w:hAnsi="Arial" w:cs="Arial"/>
                <w:b/>
                <w:bCs/>
                <w:sz w:val="15"/>
                <w:szCs w:val="15"/>
              </w:rPr>
            </w:pPr>
            <w:r w:rsidRPr="00346A27">
              <w:rPr>
                <w:rFonts w:ascii="Arial" w:hAnsi="Arial" w:cs="Arial"/>
                <w:b/>
                <w:bCs/>
                <w:sz w:val="15"/>
                <w:szCs w:val="15"/>
              </w:rPr>
              <w:t>(2,814)</w:t>
            </w:r>
          </w:p>
        </w:tc>
        <w:tc>
          <w:tcPr>
            <w:tcW w:w="900" w:type="dxa"/>
            <w:tcBorders>
              <w:top w:val="nil"/>
              <w:left w:val="nil"/>
              <w:bottom w:val="single" w:sz="4" w:space="0" w:color="auto"/>
              <w:right w:val="nil"/>
            </w:tcBorders>
            <w:shd w:val="clear" w:color="auto" w:fill="auto"/>
            <w:noWrap/>
            <w:vAlign w:val="bottom"/>
            <w:hideMark/>
          </w:tcPr>
          <w:p w:rsidR="007707AD" w:rsidRPr="00346A27" w:rsidRDefault="007707AD" w:rsidP="005A0821">
            <w:pPr>
              <w:keepNext w:val="0"/>
              <w:spacing w:after="0"/>
              <w:jc w:val="right"/>
              <w:rPr>
                <w:rFonts w:ascii="Arial" w:hAnsi="Arial" w:cs="Arial"/>
                <w:b/>
                <w:bCs/>
                <w:sz w:val="15"/>
                <w:szCs w:val="15"/>
              </w:rPr>
            </w:pPr>
            <w:r w:rsidRPr="00346A27">
              <w:rPr>
                <w:rFonts w:ascii="Arial" w:hAnsi="Arial" w:cs="Arial"/>
                <w:b/>
                <w:bCs/>
                <w:sz w:val="15"/>
                <w:szCs w:val="15"/>
              </w:rPr>
              <w:t>(2,171)</w:t>
            </w:r>
          </w:p>
        </w:tc>
        <w:tc>
          <w:tcPr>
            <w:tcW w:w="900" w:type="dxa"/>
            <w:tcBorders>
              <w:top w:val="nil"/>
              <w:left w:val="nil"/>
              <w:bottom w:val="single" w:sz="4" w:space="0" w:color="auto"/>
              <w:right w:val="nil"/>
            </w:tcBorders>
            <w:shd w:val="clear" w:color="auto" w:fill="auto"/>
            <w:noWrap/>
            <w:vAlign w:val="bottom"/>
            <w:hideMark/>
          </w:tcPr>
          <w:p w:rsidR="007707AD" w:rsidRPr="00346A27" w:rsidRDefault="007707AD" w:rsidP="005A0821">
            <w:pPr>
              <w:keepNext w:val="0"/>
              <w:spacing w:after="0"/>
              <w:jc w:val="right"/>
              <w:rPr>
                <w:rFonts w:ascii="Arial" w:hAnsi="Arial" w:cs="Arial"/>
                <w:b/>
                <w:bCs/>
                <w:sz w:val="15"/>
                <w:szCs w:val="15"/>
              </w:rPr>
            </w:pPr>
            <w:r w:rsidRPr="00346A27">
              <w:rPr>
                <w:rFonts w:ascii="Arial" w:hAnsi="Arial" w:cs="Arial"/>
                <w:b/>
                <w:bCs/>
                <w:sz w:val="15"/>
                <w:szCs w:val="15"/>
              </w:rPr>
              <w:t>(2,171)</w:t>
            </w:r>
          </w:p>
        </w:tc>
        <w:tc>
          <w:tcPr>
            <w:tcW w:w="900" w:type="dxa"/>
            <w:tcBorders>
              <w:top w:val="nil"/>
              <w:left w:val="nil"/>
              <w:bottom w:val="single" w:sz="4" w:space="0" w:color="auto"/>
              <w:right w:val="nil"/>
            </w:tcBorders>
            <w:shd w:val="clear" w:color="auto" w:fill="auto"/>
            <w:noWrap/>
            <w:vAlign w:val="bottom"/>
            <w:hideMark/>
          </w:tcPr>
          <w:p w:rsidR="007707AD" w:rsidRPr="00346A27" w:rsidRDefault="007707AD" w:rsidP="005A0821">
            <w:pPr>
              <w:keepNext w:val="0"/>
              <w:spacing w:after="0"/>
              <w:jc w:val="right"/>
              <w:rPr>
                <w:rFonts w:ascii="Arial" w:hAnsi="Arial" w:cs="Arial"/>
                <w:b/>
                <w:bCs/>
                <w:sz w:val="15"/>
                <w:szCs w:val="15"/>
              </w:rPr>
            </w:pPr>
            <w:r w:rsidRPr="00346A27">
              <w:rPr>
                <w:rFonts w:ascii="Arial" w:hAnsi="Arial" w:cs="Arial"/>
                <w:b/>
                <w:bCs/>
                <w:sz w:val="15"/>
                <w:szCs w:val="15"/>
              </w:rPr>
              <w:t>(2,171)</w:t>
            </w:r>
          </w:p>
        </w:tc>
      </w:tr>
      <w:tr w:rsidR="00346A27" w:rsidRPr="00346A27" w:rsidTr="00EB0950">
        <w:trPr>
          <w:trHeight w:val="255"/>
        </w:trPr>
        <w:tc>
          <w:tcPr>
            <w:tcW w:w="286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rPr>
                <w:rFonts w:ascii="Arial" w:hAnsi="Arial" w:cs="Arial"/>
                <w:b/>
                <w:bCs/>
                <w:sz w:val="15"/>
                <w:szCs w:val="15"/>
              </w:rPr>
            </w:pPr>
            <w:r w:rsidRPr="00346A27">
              <w:rPr>
                <w:rFonts w:ascii="Arial" w:hAnsi="Arial" w:cs="Arial"/>
                <w:b/>
                <w:bCs/>
                <w:sz w:val="15"/>
                <w:szCs w:val="15"/>
              </w:rPr>
              <w:t>Surplus (Deficit) attributable to</w:t>
            </w: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p>
        </w:tc>
        <w:tc>
          <w:tcPr>
            <w:tcW w:w="900" w:type="dxa"/>
            <w:tcBorders>
              <w:top w:val="nil"/>
              <w:left w:val="nil"/>
              <w:bottom w:val="nil"/>
              <w:right w:val="nil"/>
            </w:tcBorders>
            <w:shd w:val="clear" w:color="000000" w:fill="D9D9D9"/>
            <w:noWrap/>
            <w:vAlign w:val="bottom"/>
            <w:hideMark/>
          </w:tcPr>
          <w:p w:rsidR="007707AD" w:rsidRPr="00346A27" w:rsidRDefault="007707AD" w:rsidP="005A0821">
            <w:pPr>
              <w:keepNext w:val="0"/>
              <w:spacing w:after="0"/>
              <w:jc w:val="right"/>
              <w:rPr>
                <w:rFonts w:ascii="Arial" w:hAnsi="Arial" w:cs="Arial"/>
                <w:b/>
                <w:bCs/>
                <w:sz w:val="15"/>
                <w:szCs w:val="15"/>
              </w:rPr>
            </w:pP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p>
        </w:tc>
      </w:tr>
      <w:tr w:rsidR="00346A27" w:rsidRPr="00346A27" w:rsidTr="00EB0950">
        <w:trPr>
          <w:trHeight w:val="225"/>
        </w:trPr>
        <w:tc>
          <w:tcPr>
            <w:tcW w:w="286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ind w:firstLineChars="100" w:firstLine="151"/>
              <w:rPr>
                <w:rFonts w:ascii="Arial" w:hAnsi="Arial" w:cs="Arial"/>
                <w:b/>
                <w:bCs/>
                <w:sz w:val="15"/>
                <w:szCs w:val="15"/>
              </w:rPr>
            </w:pPr>
            <w:r w:rsidRPr="00346A27">
              <w:rPr>
                <w:rFonts w:ascii="Arial" w:hAnsi="Arial" w:cs="Arial"/>
                <w:b/>
                <w:bCs/>
                <w:sz w:val="15"/>
                <w:szCs w:val="15"/>
              </w:rPr>
              <w:t>the Australian Government</w:t>
            </w:r>
          </w:p>
        </w:tc>
        <w:tc>
          <w:tcPr>
            <w:tcW w:w="900" w:type="dxa"/>
            <w:tcBorders>
              <w:top w:val="nil"/>
              <w:left w:val="nil"/>
              <w:bottom w:val="single" w:sz="4" w:space="0" w:color="auto"/>
              <w:right w:val="nil"/>
            </w:tcBorders>
            <w:shd w:val="clear" w:color="auto" w:fill="auto"/>
            <w:noWrap/>
            <w:vAlign w:val="bottom"/>
            <w:hideMark/>
          </w:tcPr>
          <w:p w:rsidR="007707AD" w:rsidRPr="00346A27" w:rsidRDefault="007707AD" w:rsidP="005A0821">
            <w:pPr>
              <w:keepNext w:val="0"/>
              <w:spacing w:after="0"/>
              <w:jc w:val="right"/>
              <w:rPr>
                <w:rFonts w:ascii="Arial" w:hAnsi="Arial" w:cs="Arial"/>
                <w:b/>
                <w:bCs/>
                <w:sz w:val="15"/>
                <w:szCs w:val="15"/>
              </w:rPr>
            </w:pPr>
            <w:r w:rsidRPr="00346A27">
              <w:rPr>
                <w:rFonts w:ascii="Arial" w:hAnsi="Arial" w:cs="Arial"/>
                <w:b/>
                <w:bCs/>
                <w:sz w:val="15"/>
                <w:szCs w:val="15"/>
              </w:rPr>
              <w:t>(2,707)</w:t>
            </w:r>
          </w:p>
        </w:tc>
        <w:tc>
          <w:tcPr>
            <w:tcW w:w="900" w:type="dxa"/>
            <w:tcBorders>
              <w:top w:val="nil"/>
              <w:left w:val="nil"/>
              <w:bottom w:val="single" w:sz="4" w:space="0" w:color="auto"/>
              <w:right w:val="nil"/>
            </w:tcBorders>
            <w:shd w:val="clear" w:color="000000" w:fill="D9D9D9"/>
            <w:noWrap/>
            <w:vAlign w:val="bottom"/>
            <w:hideMark/>
          </w:tcPr>
          <w:p w:rsidR="007707AD" w:rsidRPr="00346A27" w:rsidRDefault="007707AD" w:rsidP="005A0821">
            <w:pPr>
              <w:keepNext w:val="0"/>
              <w:spacing w:after="0"/>
              <w:jc w:val="right"/>
              <w:rPr>
                <w:rFonts w:ascii="Arial" w:hAnsi="Arial" w:cs="Arial"/>
                <w:b/>
                <w:bCs/>
                <w:sz w:val="15"/>
                <w:szCs w:val="15"/>
              </w:rPr>
            </w:pPr>
            <w:r w:rsidRPr="00346A27">
              <w:rPr>
                <w:rFonts w:ascii="Arial" w:hAnsi="Arial" w:cs="Arial"/>
                <w:b/>
                <w:bCs/>
                <w:sz w:val="15"/>
                <w:szCs w:val="15"/>
              </w:rPr>
              <w:t>(2,814)</w:t>
            </w:r>
          </w:p>
        </w:tc>
        <w:tc>
          <w:tcPr>
            <w:tcW w:w="900" w:type="dxa"/>
            <w:tcBorders>
              <w:top w:val="nil"/>
              <w:left w:val="nil"/>
              <w:bottom w:val="single" w:sz="4" w:space="0" w:color="auto"/>
              <w:right w:val="nil"/>
            </w:tcBorders>
            <w:shd w:val="clear" w:color="auto" w:fill="auto"/>
            <w:noWrap/>
            <w:vAlign w:val="bottom"/>
            <w:hideMark/>
          </w:tcPr>
          <w:p w:rsidR="007707AD" w:rsidRPr="00346A27" w:rsidRDefault="007707AD" w:rsidP="005A0821">
            <w:pPr>
              <w:keepNext w:val="0"/>
              <w:spacing w:after="0"/>
              <w:jc w:val="right"/>
              <w:rPr>
                <w:rFonts w:ascii="Arial" w:hAnsi="Arial" w:cs="Arial"/>
                <w:b/>
                <w:bCs/>
                <w:sz w:val="15"/>
                <w:szCs w:val="15"/>
              </w:rPr>
            </w:pPr>
            <w:r w:rsidRPr="00346A27">
              <w:rPr>
                <w:rFonts w:ascii="Arial" w:hAnsi="Arial" w:cs="Arial"/>
                <w:b/>
                <w:bCs/>
                <w:sz w:val="15"/>
                <w:szCs w:val="15"/>
              </w:rPr>
              <w:t>(2,171)</w:t>
            </w:r>
          </w:p>
        </w:tc>
        <w:tc>
          <w:tcPr>
            <w:tcW w:w="900" w:type="dxa"/>
            <w:tcBorders>
              <w:top w:val="nil"/>
              <w:left w:val="nil"/>
              <w:bottom w:val="single" w:sz="4" w:space="0" w:color="auto"/>
              <w:right w:val="nil"/>
            </w:tcBorders>
            <w:shd w:val="clear" w:color="auto" w:fill="auto"/>
            <w:noWrap/>
            <w:vAlign w:val="bottom"/>
            <w:hideMark/>
          </w:tcPr>
          <w:p w:rsidR="007707AD" w:rsidRPr="00346A27" w:rsidRDefault="007707AD" w:rsidP="005A0821">
            <w:pPr>
              <w:keepNext w:val="0"/>
              <w:spacing w:after="0"/>
              <w:jc w:val="right"/>
              <w:rPr>
                <w:rFonts w:ascii="Arial" w:hAnsi="Arial" w:cs="Arial"/>
                <w:b/>
                <w:bCs/>
                <w:sz w:val="15"/>
                <w:szCs w:val="15"/>
              </w:rPr>
            </w:pPr>
            <w:r w:rsidRPr="00346A27">
              <w:rPr>
                <w:rFonts w:ascii="Arial" w:hAnsi="Arial" w:cs="Arial"/>
                <w:b/>
                <w:bCs/>
                <w:sz w:val="15"/>
                <w:szCs w:val="15"/>
              </w:rPr>
              <w:t>(2,171)</w:t>
            </w:r>
          </w:p>
        </w:tc>
        <w:tc>
          <w:tcPr>
            <w:tcW w:w="900" w:type="dxa"/>
            <w:tcBorders>
              <w:top w:val="nil"/>
              <w:left w:val="nil"/>
              <w:bottom w:val="single" w:sz="4" w:space="0" w:color="auto"/>
              <w:right w:val="nil"/>
            </w:tcBorders>
            <w:shd w:val="clear" w:color="auto" w:fill="auto"/>
            <w:noWrap/>
            <w:vAlign w:val="bottom"/>
            <w:hideMark/>
          </w:tcPr>
          <w:p w:rsidR="007707AD" w:rsidRPr="00346A27" w:rsidRDefault="007707AD" w:rsidP="005A0821">
            <w:pPr>
              <w:keepNext w:val="0"/>
              <w:spacing w:after="0"/>
              <w:jc w:val="right"/>
              <w:rPr>
                <w:rFonts w:ascii="Arial" w:hAnsi="Arial" w:cs="Arial"/>
                <w:b/>
                <w:bCs/>
                <w:sz w:val="15"/>
                <w:szCs w:val="15"/>
              </w:rPr>
            </w:pPr>
            <w:r w:rsidRPr="00346A27">
              <w:rPr>
                <w:rFonts w:ascii="Arial" w:hAnsi="Arial" w:cs="Arial"/>
                <w:b/>
                <w:bCs/>
                <w:sz w:val="15"/>
                <w:szCs w:val="15"/>
              </w:rPr>
              <w:t>(2,171)</w:t>
            </w:r>
          </w:p>
        </w:tc>
      </w:tr>
      <w:tr w:rsidR="00346A27" w:rsidRPr="00346A27" w:rsidTr="00EB0950">
        <w:trPr>
          <w:trHeight w:val="255"/>
        </w:trPr>
        <w:tc>
          <w:tcPr>
            <w:tcW w:w="286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rPr>
                <w:rFonts w:ascii="Arial" w:hAnsi="Arial" w:cs="Arial"/>
                <w:b/>
                <w:bCs/>
                <w:sz w:val="15"/>
                <w:szCs w:val="15"/>
              </w:rPr>
            </w:pPr>
            <w:r w:rsidRPr="00346A27">
              <w:rPr>
                <w:rFonts w:ascii="Arial" w:hAnsi="Arial" w:cs="Arial"/>
                <w:b/>
                <w:bCs/>
                <w:sz w:val="15"/>
                <w:szCs w:val="15"/>
              </w:rPr>
              <w:t>OTHER COMPREHENSIVE INCOME</w:t>
            </w: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p>
        </w:tc>
        <w:tc>
          <w:tcPr>
            <w:tcW w:w="900" w:type="dxa"/>
            <w:tcBorders>
              <w:top w:val="nil"/>
              <w:left w:val="nil"/>
              <w:bottom w:val="nil"/>
              <w:right w:val="nil"/>
            </w:tcBorders>
            <w:shd w:val="clear" w:color="000000" w:fill="D9D9D9"/>
            <w:noWrap/>
            <w:vAlign w:val="bottom"/>
          </w:tcPr>
          <w:p w:rsidR="007707AD" w:rsidRPr="00346A27" w:rsidRDefault="007707AD" w:rsidP="005A0821">
            <w:pPr>
              <w:keepNext w:val="0"/>
              <w:spacing w:after="0"/>
              <w:jc w:val="right"/>
              <w:rPr>
                <w:rFonts w:ascii="Arial" w:hAnsi="Arial" w:cs="Arial"/>
                <w:b/>
                <w:bCs/>
                <w:sz w:val="15"/>
                <w:szCs w:val="15"/>
              </w:rPr>
            </w:pP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p>
        </w:tc>
      </w:tr>
      <w:tr w:rsidR="00346A27" w:rsidRPr="00346A27" w:rsidTr="00EB0950">
        <w:trPr>
          <w:trHeight w:val="225"/>
        </w:trPr>
        <w:tc>
          <w:tcPr>
            <w:tcW w:w="286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ind w:firstLineChars="100" w:firstLine="150"/>
              <w:rPr>
                <w:rFonts w:ascii="Arial" w:hAnsi="Arial" w:cs="Arial"/>
                <w:sz w:val="15"/>
                <w:szCs w:val="15"/>
              </w:rPr>
            </w:pPr>
            <w:r w:rsidRPr="00346A27">
              <w:rPr>
                <w:rFonts w:ascii="Arial" w:hAnsi="Arial" w:cs="Arial"/>
                <w:sz w:val="15"/>
                <w:szCs w:val="15"/>
              </w:rPr>
              <w:t>Changes in asset revaluation</w:t>
            </w: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p>
        </w:tc>
        <w:tc>
          <w:tcPr>
            <w:tcW w:w="900" w:type="dxa"/>
            <w:tcBorders>
              <w:top w:val="nil"/>
              <w:left w:val="nil"/>
              <w:bottom w:val="nil"/>
              <w:right w:val="nil"/>
            </w:tcBorders>
            <w:shd w:val="clear" w:color="000000" w:fill="D9D9D9"/>
            <w:noWrap/>
            <w:vAlign w:val="bottom"/>
          </w:tcPr>
          <w:p w:rsidR="007707AD" w:rsidRPr="00346A27" w:rsidRDefault="007707AD" w:rsidP="005A0821">
            <w:pPr>
              <w:keepNext w:val="0"/>
              <w:spacing w:after="0"/>
              <w:jc w:val="right"/>
              <w:rPr>
                <w:rFonts w:ascii="Arial" w:hAnsi="Arial" w:cs="Arial"/>
                <w:b/>
                <w:bCs/>
                <w:sz w:val="15"/>
                <w:szCs w:val="15"/>
              </w:rPr>
            </w:pP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p>
        </w:tc>
      </w:tr>
      <w:tr w:rsidR="00346A27" w:rsidRPr="00346A27" w:rsidTr="00EB0950">
        <w:trPr>
          <w:trHeight w:val="225"/>
        </w:trPr>
        <w:tc>
          <w:tcPr>
            <w:tcW w:w="286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ind w:firstLineChars="200" w:firstLine="300"/>
              <w:rPr>
                <w:rFonts w:ascii="Arial" w:hAnsi="Arial" w:cs="Arial"/>
                <w:sz w:val="15"/>
                <w:szCs w:val="15"/>
              </w:rPr>
            </w:pPr>
            <w:r w:rsidRPr="00346A27">
              <w:rPr>
                <w:rFonts w:ascii="Arial" w:hAnsi="Arial" w:cs="Arial"/>
                <w:sz w:val="15"/>
                <w:szCs w:val="15"/>
              </w:rPr>
              <w:t>reserves</w:t>
            </w: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r w:rsidRPr="00346A27">
              <w:rPr>
                <w:rFonts w:ascii="Arial" w:hAnsi="Arial" w:cs="Arial"/>
                <w:sz w:val="15"/>
                <w:szCs w:val="15"/>
              </w:rPr>
              <w:t>-</w:t>
            </w:r>
          </w:p>
        </w:tc>
        <w:tc>
          <w:tcPr>
            <w:tcW w:w="900" w:type="dxa"/>
            <w:tcBorders>
              <w:top w:val="nil"/>
              <w:left w:val="nil"/>
              <w:bottom w:val="nil"/>
              <w:right w:val="nil"/>
            </w:tcBorders>
            <w:shd w:val="clear" w:color="000000" w:fill="D9D9D9"/>
            <w:noWrap/>
            <w:vAlign w:val="bottom"/>
            <w:hideMark/>
          </w:tcPr>
          <w:p w:rsidR="007707AD" w:rsidRPr="00346A27" w:rsidRDefault="007707AD" w:rsidP="005A0821">
            <w:pPr>
              <w:keepNext w:val="0"/>
              <w:spacing w:after="0"/>
              <w:jc w:val="right"/>
              <w:rPr>
                <w:rFonts w:ascii="Arial" w:hAnsi="Arial" w:cs="Arial"/>
                <w:sz w:val="15"/>
                <w:szCs w:val="15"/>
              </w:rPr>
            </w:pPr>
            <w:r w:rsidRPr="00346A27">
              <w:rPr>
                <w:rFonts w:ascii="Arial" w:hAnsi="Arial" w:cs="Arial"/>
                <w:sz w:val="15"/>
                <w:szCs w:val="15"/>
              </w:rPr>
              <w:t>-</w:t>
            </w: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r w:rsidRPr="00346A27">
              <w:rPr>
                <w:rFonts w:ascii="Arial" w:hAnsi="Arial" w:cs="Arial"/>
                <w:sz w:val="15"/>
                <w:szCs w:val="15"/>
              </w:rPr>
              <w:t>-</w:t>
            </w: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r w:rsidRPr="00346A27">
              <w:rPr>
                <w:rFonts w:ascii="Arial" w:hAnsi="Arial" w:cs="Arial"/>
                <w:sz w:val="15"/>
                <w:szCs w:val="15"/>
              </w:rPr>
              <w:t>-</w:t>
            </w: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r w:rsidRPr="00346A27">
              <w:rPr>
                <w:rFonts w:ascii="Arial" w:hAnsi="Arial" w:cs="Arial"/>
                <w:sz w:val="15"/>
                <w:szCs w:val="15"/>
              </w:rPr>
              <w:t>-</w:t>
            </w:r>
          </w:p>
        </w:tc>
      </w:tr>
      <w:tr w:rsidR="00346A27" w:rsidRPr="00346A27" w:rsidTr="00EB0950">
        <w:trPr>
          <w:trHeight w:val="255"/>
        </w:trPr>
        <w:tc>
          <w:tcPr>
            <w:tcW w:w="286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ind w:firstLineChars="100" w:firstLine="151"/>
              <w:rPr>
                <w:rFonts w:ascii="Arial" w:hAnsi="Arial" w:cs="Arial"/>
                <w:b/>
                <w:bCs/>
                <w:sz w:val="15"/>
                <w:szCs w:val="15"/>
              </w:rPr>
            </w:pPr>
            <w:r w:rsidRPr="00346A27">
              <w:rPr>
                <w:rFonts w:ascii="Arial" w:hAnsi="Arial" w:cs="Arial"/>
                <w:b/>
                <w:bCs/>
                <w:sz w:val="15"/>
                <w:szCs w:val="15"/>
              </w:rPr>
              <w:t>Total other comprehensive</w:t>
            </w: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p>
        </w:tc>
        <w:tc>
          <w:tcPr>
            <w:tcW w:w="900" w:type="dxa"/>
            <w:tcBorders>
              <w:top w:val="nil"/>
              <w:left w:val="nil"/>
              <w:bottom w:val="nil"/>
              <w:right w:val="nil"/>
            </w:tcBorders>
            <w:shd w:val="clear" w:color="000000" w:fill="D9D9D9"/>
            <w:noWrap/>
            <w:vAlign w:val="bottom"/>
            <w:hideMark/>
          </w:tcPr>
          <w:p w:rsidR="007707AD" w:rsidRPr="00346A27" w:rsidRDefault="007707AD" w:rsidP="005A0821">
            <w:pPr>
              <w:keepNext w:val="0"/>
              <w:spacing w:after="0"/>
              <w:jc w:val="right"/>
              <w:rPr>
                <w:rFonts w:ascii="Arial" w:hAnsi="Arial" w:cs="Arial"/>
                <w:sz w:val="15"/>
                <w:szCs w:val="15"/>
              </w:rPr>
            </w:pP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p>
        </w:tc>
      </w:tr>
      <w:tr w:rsidR="00346A27" w:rsidRPr="00346A27" w:rsidTr="00EB0950">
        <w:trPr>
          <w:trHeight w:val="225"/>
        </w:trPr>
        <w:tc>
          <w:tcPr>
            <w:tcW w:w="286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ind w:firstLineChars="200" w:firstLine="301"/>
              <w:rPr>
                <w:rFonts w:ascii="Arial" w:hAnsi="Arial" w:cs="Arial"/>
                <w:b/>
                <w:bCs/>
                <w:sz w:val="15"/>
                <w:szCs w:val="15"/>
              </w:rPr>
            </w:pPr>
            <w:r w:rsidRPr="00346A27">
              <w:rPr>
                <w:rFonts w:ascii="Arial" w:hAnsi="Arial" w:cs="Arial"/>
                <w:b/>
                <w:bCs/>
                <w:sz w:val="15"/>
                <w:szCs w:val="15"/>
              </w:rPr>
              <w:t>income</w:t>
            </w:r>
          </w:p>
        </w:tc>
        <w:tc>
          <w:tcPr>
            <w:tcW w:w="900" w:type="dxa"/>
            <w:tcBorders>
              <w:top w:val="nil"/>
              <w:left w:val="nil"/>
              <w:bottom w:val="single" w:sz="4" w:space="0" w:color="auto"/>
              <w:right w:val="nil"/>
            </w:tcBorders>
            <w:shd w:val="clear" w:color="auto" w:fill="auto"/>
            <w:noWrap/>
            <w:vAlign w:val="bottom"/>
            <w:hideMark/>
          </w:tcPr>
          <w:p w:rsidR="007707AD" w:rsidRPr="00346A27" w:rsidRDefault="007707AD" w:rsidP="005A0821">
            <w:pPr>
              <w:keepNext w:val="0"/>
              <w:spacing w:after="0"/>
              <w:jc w:val="right"/>
              <w:rPr>
                <w:rFonts w:ascii="Arial" w:hAnsi="Arial" w:cs="Arial"/>
                <w:b/>
                <w:bCs/>
                <w:sz w:val="15"/>
                <w:szCs w:val="15"/>
              </w:rPr>
            </w:pPr>
            <w:r w:rsidRPr="00346A27">
              <w:rPr>
                <w:rFonts w:ascii="Arial" w:hAnsi="Arial" w:cs="Arial"/>
                <w:b/>
                <w:bCs/>
                <w:sz w:val="15"/>
                <w:szCs w:val="15"/>
              </w:rPr>
              <w:t>-</w:t>
            </w:r>
          </w:p>
        </w:tc>
        <w:tc>
          <w:tcPr>
            <w:tcW w:w="900" w:type="dxa"/>
            <w:tcBorders>
              <w:top w:val="nil"/>
              <w:left w:val="nil"/>
              <w:bottom w:val="single" w:sz="4" w:space="0" w:color="auto"/>
              <w:right w:val="nil"/>
            </w:tcBorders>
            <w:shd w:val="clear" w:color="000000" w:fill="D9D9D9"/>
            <w:noWrap/>
            <w:vAlign w:val="bottom"/>
            <w:hideMark/>
          </w:tcPr>
          <w:p w:rsidR="007707AD" w:rsidRPr="00346A27" w:rsidRDefault="007707AD" w:rsidP="005A0821">
            <w:pPr>
              <w:keepNext w:val="0"/>
              <w:spacing w:after="0"/>
              <w:jc w:val="right"/>
              <w:rPr>
                <w:rFonts w:ascii="Arial" w:hAnsi="Arial" w:cs="Arial"/>
                <w:b/>
                <w:bCs/>
                <w:sz w:val="15"/>
                <w:szCs w:val="15"/>
              </w:rPr>
            </w:pPr>
            <w:r w:rsidRPr="00346A27">
              <w:rPr>
                <w:rFonts w:ascii="Arial" w:hAnsi="Arial" w:cs="Arial"/>
                <w:b/>
                <w:bCs/>
                <w:sz w:val="15"/>
                <w:szCs w:val="15"/>
              </w:rPr>
              <w:t>-</w:t>
            </w:r>
          </w:p>
        </w:tc>
        <w:tc>
          <w:tcPr>
            <w:tcW w:w="900" w:type="dxa"/>
            <w:tcBorders>
              <w:top w:val="nil"/>
              <w:left w:val="nil"/>
              <w:bottom w:val="single" w:sz="4" w:space="0" w:color="auto"/>
              <w:right w:val="nil"/>
            </w:tcBorders>
            <w:shd w:val="clear" w:color="auto" w:fill="auto"/>
            <w:noWrap/>
            <w:vAlign w:val="bottom"/>
            <w:hideMark/>
          </w:tcPr>
          <w:p w:rsidR="007707AD" w:rsidRPr="00346A27" w:rsidRDefault="007707AD" w:rsidP="005A0821">
            <w:pPr>
              <w:keepNext w:val="0"/>
              <w:spacing w:after="0"/>
              <w:jc w:val="right"/>
              <w:rPr>
                <w:rFonts w:ascii="Arial" w:hAnsi="Arial" w:cs="Arial"/>
                <w:b/>
                <w:bCs/>
                <w:sz w:val="15"/>
                <w:szCs w:val="15"/>
              </w:rPr>
            </w:pPr>
            <w:r w:rsidRPr="00346A27">
              <w:rPr>
                <w:rFonts w:ascii="Arial" w:hAnsi="Arial" w:cs="Arial"/>
                <w:b/>
                <w:bCs/>
                <w:sz w:val="15"/>
                <w:szCs w:val="15"/>
              </w:rPr>
              <w:t>-</w:t>
            </w:r>
          </w:p>
        </w:tc>
        <w:tc>
          <w:tcPr>
            <w:tcW w:w="900" w:type="dxa"/>
            <w:tcBorders>
              <w:top w:val="nil"/>
              <w:left w:val="nil"/>
              <w:bottom w:val="single" w:sz="4" w:space="0" w:color="auto"/>
              <w:right w:val="nil"/>
            </w:tcBorders>
            <w:shd w:val="clear" w:color="auto" w:fill="auto"/>
            <w:noWrap/>
            <w:vAlign w:val="bottom"/>
            <w:hideMark/>
          </w:tcPr>
          <w:p w:rsidR="007707AD" w:rsidRPr="00346A27" w:rsidRDefault="007707AD" w:rsidP="005A0821">
            <w:pPr>
              <w:keepNext w:val="0"/>
              <w:spacing w:after="0"/>
              <w:jc w:val="right"/>
              <w:rPr>
                <w:rFonts w:ascii="Arial" w:hAnsi="Arial" w:cs="Arial"/>
                <w:b/>
                <w:bCs/>
                <w:sz w:val="15"/>
                <w:szCs w:val="15"/>
              </w:rPr>
            </w:pPr>
            <w:r w:rsidRPr="00346A27">
              <w:rPr>
                <w:rFonts w:ascii="Arial" w:hAnsi="Arial" w:cs="Arial"/>
                <w:b/>
                <w:bCs/>
                <w:sz w:val="15"/>
                <w:szCs w:val="15"/>
              </w:rPr>
              <w:t>-</w:t>
            </w:r>
          </w:p>
        </w:tc>
        <w:tc>
          <w:tcPr>
            <w:tcW w:w="900" w:type="dxa"/>
            <w:tcBorders>
              <w:top w:val="nil"/>
              <w:left w:val="nil"/>
              <w:bottom w:val="single" w:sz="4" w:space="0" w:color="auto"/>
              <w:right w:val="nil"/>
            </w:tcBorders>
            <w:shd w:val="clear" w:color="auto" w:fill="auto"/>
            <w:noWrap/>
            <w:vAlign w:val="bottom"/>
            <w:hideMark/>
          </w:tcPr>
          <w:p w:rsidR="007707AD" w:rsidRPr="00346A27" w:rsidRDefault="007707AD" w:rsidP="005A0821">
            <w:pPr>
              <w:keepNext w:val="0"/>
              <w:spacing w:after="0"/>
              <w:jc w:val="right"/>
              <w:rPr>
                <w:rFonts w:ascii="Arial" w:hAnsi="Arial" w:cs="Arial"/>
                <w:b/>
                <w:bCs/>
                <w:sz w:val="15"/>
                <w:szCs w:val="15"/>
              </w:rPr>
            </w:pPr>
            <w:r w:rsidRPr="00346A27">
              <w:rPr>
                <w:rFonts w:ascii="Arial" w:hAnsi="Arial" w:cs="Arial"/>
                <w:b/>
                <w:bCs/>
                <w:sz w:val="15"/>
                <w:szCs w:val="15"/>
              </w:rPr>
              <w:t>-</w:t>
            </w:r>
          </w:p>
        </w:tc>
      </w:tr>
      <w:tr w:rsidR="00346A27" w:rsidRPr="00346A27" w:rsidTr="00EB0950">
        <w:trPr>
          <w:trHeight w:val="255"/>
        </w:trPr>
        <w:tc>
          <w:tcPr>
            <w:tcW w:w="286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rPr>
                <w:rFonts w:ascii="Arial" w:hAnsi="Arial" w:cs="Arial"/>
                <w:b/>
                <w:bCs/>
                <w:sz w:val="15"/>
                <w:szCs w:val="15"/>
              </w:rPr>
            </w:pPr>
            <w:r w:rsidRPr="00346A27">
              <w:rPr>
                <w:rFonts w:ascii="Arial" w:hAnsi="Arial" w:cs="Arial"/>
                <w:b/>
                <w:bCs/>
                <w:sz w:val="15"/>
                <w:szCs w:val="15"/>
              </w:rPr>
              <w:t>Total comprehensive income</w:t>
            </w: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b/>
                <w:bCs/>
                <w:sz w:val="15"/>
                <w:szCs w:val="15"/>
              </w:rPr>
            </w:pPr>
          </w:p>
        </w:tc>
        <w:tc>
          <w:tcPr>
            <w:tcW w:w="900" w:type="dxa"/>
            <w:tcBorders>
              <w:top w:val="nil"/>
              <w:left w:val="nil"/>
              <w:bottom w:val="nil"/>
              <w:right w:val="nil"/>
            </w:tcBorders>
            <w:shd w:val="clear" w:color="000000" w:fill="D9D9D9"/>
            <w:noWrap/>
            <w:vAlign w:val="bottom"/>
          </w:tcPr>
          <w:p w:rsidR="007707AD" w:rsidRPr="00346A27" w:rsidRDefault="007707AD" w:rsidP="005A0821">
            <w:pPr>
              <w:keepNext w:val="0"/>
              <w:spacing w:after="0"/>
              <w:jc w:val="right"/>
              <w:rPr>
                <w:rFonts w:ascii="Arial" w:hAnsi="Arial" w:cs="Arial"/>
                <w:b/>
                <w:bCs/>
                <w:sz w:val="15"/>
                <w:szCs w:val="15"/>
              </w:rPr>
            </w:pP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b/>
                <w:bCs/>
                <w:sz w:val="15"/>
                <w:szCs w:val="15"/>
              </w:rPr>
            </w:pP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b/>
                <w:bCs/>
                <w:sz w:val="15"/>
                <w:szCs w:val="15"/>
              </w:rPr>
            </w:pP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b/>
                <w:bCs/>
                <w:sz w:val="15"/>
                <w:szCs w:val="15"/>
              </w:rPr>
            </w:pPr>
          </w:p>
        </w:tc>
      </w:tr>
      <w:tr w:rsidR="00346A27" w:rsidRPr="00346A27" w:rsidTr="00EB0950">
        <w:trPr>
          <w:trHeight w:val="225"/>
        </w:trPr>
        <w:tc>
          <w:tcPr>
            <w:tcW w:w="286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ind w:firstLineChars="100" w:firstLine="151"/>
              <w:rPr>
                <w:rFonts w:ascii="Arial" w:hAnsi="Arial" w:cs="Arial"/>
                <w:b/>
                <w:bCs/>
                <w:sz w:val="15"/>
                <w:szCs w:val="15"/>
              </w:rPr>
            </w:pPr>
            <w:r w:rsidRPr="00346A27">
              <w:rPr>
                <w:rFonts w:ascii="Arial" w:hAnsi="Arial" w:cs="Arial"/>
                <w:b/>
                <w:bCs/>
                <w:sz w:val="15"/>
                <w:szCs w:val="15"/>
              </w:rPr>
              <w:t>attributable to the</w:t>
            </w: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b/>
                <w:bCs/>
                <w:sz w:val="15"/>
                <w:szCs w:val="15"/>
              </w:rPr>
            </w:pPr>
          </w:p>
        </w:tc>
        <w:tc>
          <w:tcPr>
            <w:tcW w:w="900" w:type="dxa"/>
            <w:tcBorders>
              <w:top w:val="nil"/>
              <w:left w:val="nil"/>
              <w:bottom w:val="nil"/>
              <w:right w:val="nil"/>
            </w:tcBorders>
            <w:shd w:val="clear" w:color="000000" w:fill="D9D9D9"/>
            <w:noWrap/>
            <w:vAlign w:val="bottom"/>
          </w:tcPr>
          <w:p w:rsidR="007707AD" w:rsidRPr="00346A27" w:rsidRDefault="007707AD" w:rsidP="005A0821">
            <w:pPr>
              <w:keepNext w:val="0"/>
              <w:spacing w:after="0"/>
              <w:jc w:val="right"/>
              <w:rPr>
                <w:rFonts w:ascii="Arial" w:hAnsi="Arial" w:cs="Arial"/>
                <w:b/>
                <w:bCs/>
                <w:sz w:val="15"/>
                <w:szCs w:val="15"/>
              </w:rPr>
            </w:pP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b/>
                <w:bCs/>
                <w:sz w:val="15"/>
                <w:szCs w:val="15"/>
              </w:rPr>
            </w:pP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b/>
                <w:bCs/>
                <w:sz w:val="15"/>
                <w:szCs w:val="15"/>
              </w:rPr>
            </w:pP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b/>
                <w:bCs/>
                <w:sz w:val="15"/>
                <w:szCs w:val="15"/>
              </w:rPr>
            </w:pPr>
          </w:p>
        </w:tc>
      </w:tr>
      <w:tr w:rsidR="00346A27" w:rsidRPr="00346A27" w:rsidTr="00EB0950">
        <w:trPr>
          <w:trHeight w:val="225"/>
        </w:trPr>
        <w:tc>
          <w:tcPr>
            <w:tcW w:w="2860" w:type="dxa"/>
            <w:tcBorders>
              <w:top w:val="nil"/>
              <w:left w:val="nil"/>
              <w:bottom w:val="single" w:sz="4" w:space="0" w:color="auto"/>
              <w:right w:val="nil"/>
            </w:tcBorders>
            <w:shd w:val="clear" w:color="auto" w:fill="auto"/>
            <w:noWrap/>
            <w:vAlign w:val="bottom"/>
            <w:hideMark/>
          </w:tcPr>
          <w:p w:rsidR="007707AD" w:rsidRPr="00346A27" w:rsidRDefault="007707AD" w:rsidP="005A0821">
            <w:pPr>
              <w:keepNext w:val="0"/>
              <w:spacing w:after="0"/>
              <w:ind w:firstLineChars="100" w:firstLine="151"/>
              <w:rPr>
                <w:rFonts w:ascii="Arial" w:hAnsi="Arial" w:cs="Arial"/>
                <w:b/>
                <w:bCs/>
                <w:sz w:val="15"/>
                <w:szCs w:val="15"/>
              </w:rPr>
            </w:pPr>
            <w:r w:rsidRPr="00346A27">
              <w:rPr>
                <w:rFonts w:ascii="Arial" w:hAnsi="Arial" w:cs="Arial"/>
                <w:b/>
                <w:bCs/>
                <w:sz w:val="15"/>
                <w:szCs w:val="15"/>
              </w:rPr>
              <w:t>Australian Government</w:t>
            </w:r>
          </w:p>
        </w:tc>
        <w:tc>
          <w:tcPr>
            <w:tcW w:w="900" w:type="dxa"/>
            <w:tcBorders>
              <w:top w:val="nil"/>
              <w:left w:val="nil"/>
              <w:bottom w:val="single" w:sz="4" w:space="0" w:color="auto"/>
              <w:right w:val="nil"/>
            </w:tcBorders>
            <w:shd w:val="clear" w:color="auto" w:fill="auto"/>
            <w:noWrap/>
            <w:vAlign w:val="bottom"/>
            <w:hideMark/>
          </w:tcPr>
          <w:p w:rsidR="007707AD" w:rsidRPr="00346A27" w:rsidRDefault="007707AD" w:rsidP="005A0821">
            <w:pPr>
              <w:keepNext w:val="0"/>
              <w:spacing w:after="0"/>
              <w:jc w:val="right"/>
              <w:rPr>
                <w:rFonts w:ascii="Arial" w:hAnsi="Arial" w:cs="Arial"/>
                <w:b/>
                <w:bCs/>
                <w:sz w:val="15"/>
                <w:szCs w:val="15"/>
              </w:rPr>
            </w:pPr>
            <w:r w:rsidRPr="00346A27">
              <w:rPr>
                <w:rFonts w:ascii="Arial" w:hAnsi="Arial" w:cs="Arial"/>
                <w:b/>
                <w:bCs/>
                <w:sz w:val="15"/>
                <w:szCs w:val="15"/>
              </w:rPr>
              <w:t>(2,707)</w:t>
            </w:r>
          </w:p>
        </w:tc>
        <w:tc>
          <w:tcPr>
            <w:tcW w:w="900" w:type="dxa"/>
            <w:tcBorders>
              <w:top w:val="nil"/>
              <w:left w:val="nil"/>
              <w:bottom w:val="single" w:sz="4" w:space="0" w:color="auto"/>
              <w:right w:val="nil"/>
            </w:tcBorders>
            <w:shd w:val="clear" w:color="000000" w:fill="D9D9D9"/>
            <w:noWrap/>
            <w:vAlign w:val="bottom"/>
            <w:hideMark/>
          </w:tcPr>
          <w:p w:rsidR="007707AD" w:rsidRPr="00346A27" w:rsidRDefault="007707AD" w:rsidP="005A0821">
            <w:pPr>
              <w:keepNext w:val="0"/>
              <w:spacing w:after="0"/>
              <w:jc w:val="right"/>
              <w:rPr>
                <w:rFonts w:ascii="Arial" w:hAnsi="Arial" w:cs="Arial"/>
                <w:b/>
                <w:bCs/>
                <w:sz w:val="15"/>
                <w:szCs w:val="15"/>
              </w:rPr>
            </w:pPr>
            <w:r w:rsidRPr="00346A27">
              <w:rPr>
                <w:rFonts w:ascii="Arial" w:hAnsi="Arial" w:cs="Arial"/>
                <w:b/>
                <w:bCs/>
                <w:sz w:val="15"/>
                <w:szCs w:val="15"/>
              </w:rPr>
              <w:t>(2,814)</w:t>
            </w:r>
          </w:p>
        </w:tc>
        <w:tc>
          <w:tcPr>
            <w:tcW w:w="900" w:type="dxa"/>
            <w:tcBorders>
              <w:top w:val="nil"/>
              <w:left w:val="nil"/>
              <w:bottom w:val="single" w:sz="4" w:space="0" w:color="auto"/>
              <w:right w:val="nil"/>
            </w:tcBorders>
            <w:shd w:val="clear" w:color="auto" w:fill="auto"/>
            <w:noWrap/>
            <w:vAlign w:val="bottom"/>
            <w:hideMark/>
          </w:tcPr>
          <w:p w:rsidR="007707AD" w:rsidRPr="00346A27" w:rsidRDefault="007707AD" w:rsidP="005A0821">
            <w:pPr>
              <w:keepNext w:val="0"/>
              <w:spacing w:after="0"/>
              <w:jc w:val="right"/>
              <w:rPr>
                <w:rFonts w:ascii="Arial" w:hAnsi="Arial" w:cs="Arial"/>
                <w:b/>
                <w:bCs/>
                <w:sz w:val="15"/>
                <w:szCs w:val="15"/>
              </w:rPr>
            </w:pPr>
            <w:r w:rsidRPr="00346A27">
              <w:rPr>
                <w:rFonts w:ascii="Arial" w:hAnsi="Arial" w:cs="Arial"/>
                <w:b/>
                <w:bCs/>
                <w:sz w:val="15"/>
                <w:szCs w:val="15"/>
              </w:rPr>
              <w:t>(2,171)</w:t>
            </w:r>
          </w:p>
        </w:tc>
        <w:tc>
          <w:tcPr>
            <w:tcW w:w="900" w:type="dxa"/>
            <w:tcBorders>
              <w:top w:val="nil"/>
              <w:left w:val="nil"/>
              <w:bottom w:val="single" w:sz="4" w:space="0" w:color="auto"/>
              <w:right w:val="nil"/>
            </w:tcBorders>
            <w:shd w:val="clear" w:color="auto" w:fill="auto"/>
            <w:noWrap/>
            <w:vAlign w:val="bottom"/>
            <w:hideMark/>
          </w:tcPr>
          <w:p w:rsidR="007707AD" w:rsidRPr="00346A27" w:rsidRDefault="007707AD" w:rsidP="005A0821">
            <w:pPr>
              <w:keepNext w:val="0"/>
              <w:spacing w:after="0"/>
              <w:jc w:val="right"/>
              <w:rPr>
                <w:rFonts w:ascii="Arial" w:hAnsi="Arial" w:cs="Arial"/>
                <w:b/>
                <w:bCs/>
                <w:sz w:val="15"/>
                <w:szCs w:val="15"/>
              </w:rPr>
            </w:pPr>
            <w:r w:rsidRPr="00346A27">
              <w:rPr>
                <w:rFonts w:ascii="Arial" w:hAnsi="Arial" w:cs="Arial"/>
                <w:b/>
                <w:bCs/>
                <w:sz w:val="15"/>
                <w:szCs w:val="15"/>
              </w:rPr>
              <w:t>(2,171)</w:t>
            </w:r>
          </w:p>
        </w:tc>
        <w:tc>
          <w:tcPr>
            <w:tcW w:w="900" w:type="dxa"/>
            <w:tcBorders>
              <w:top w:val="nil"/>
              <w:left w:val="nil"/>
              <w:bottom w:val="single" w:sz="4" w:space="0" w:color="auto"/>
              <w:right w:val="nil"/>
            </w:tcBorders>
            <w:shd w:val="clear" w:color="auto" w:fill="auto"/>
            <w:noWrap/>
            <w:vAlign w:val="bottom"/>
            <w:hideMark/>
          </w:tcPr>
          <w:p w:rsidR="007707AD" w:rsidRPr="00346A27" w:rsidRDefault="007707AD" w:rsidP="005A0821">
            <w:pPr>
              <w:keepNext w:val="0"/>
              <w:spacing w:after="0"/>
              <w:jc w:val="right"/>
              <w:rPr>
                <w:rFonts w:ascii="Arial" w:hAnsi="Arial" w:cs="Arial"/>
                <w:b/>
                <w:bCs/>
                <w:sz w:val="15"/>
                <w:szCs w:val="15"/>
              </w:rPr>
            </w:pPr>
            <w:r w:rsidRPr="00346A27">
              <w:rPr>
                <w:rFonts w:ascii="Arial" w:hAnsi="Arial" w:cs="Arial"/>
                <w:b/>
                <w:bCs/>
                <w:sz w:val="15"/>
                <w:szCs w:val="15"/>
              </w:rPr>
              <w:t>(2,171)</w:t>
            </w:r>
          </w:p>
        </w:tc>
      </w:tr>
      <w:tr w:rsidR="00346A27" w:rsidRPr="00346A27" w:rsidTr="00EB0950">
        <w:trPr>
          <w:trHeight w:val="162"/>
        </w:trPr>
        <w:tc>
          <w:tcPr>
            <w:tcW w:w="2860" w:type="dxa"/>
            <w:tcBorders>
              <w:top w:val="nil"/>
              <w:left w:val="nil"/>
              <w:bottom w:val="nil"/>
              <w:right w:val="nil"/>
            </w:tcBorders>
            <w:shd w:val="clear" w:color="auto" w:fill="auto"/>
            <w:vAlign w:val="bottom"/>
            <w:hideMark/>
          </w:tcPr>
          <w:p w:rsidR="007707AD" w:rsidRPr="00346A27" w:rsidRDefault="007707AD" w:rsidP="005A0821">
            <w:pPr>
              <w:keepNext w:val="0"/>
              <w:spacing w:after="0"/>
              <w:rPr>
                <w:rFonts w:ascii="Arial" w:hAnsi="Arial" w:cs="Arial"/>
                <w:b/>
                <w:bCs/>
                <w:sz w:val="15"/>
                <w:szCs w:val="15"/>
              </w:rPr>
            </w:pPr>
          </w:p>
        </w:tc>
        <w:tc>
          <w:tcPr>
            <w:tcW w:w="900" w:type="dxa"/>
            <w:tcBorders>
              <w:top w:val="nil"/>
              <w:left w:val="nil"/>
              <w:bottom w:val="nil"/>
              <w:right w:val="nil"/>
            </w:tcBorders>
            <w:shd w:val="clear" w:color="auto" w:fill="auto"/>
            <w:noWrap/>
            <w:vAlign w:val="bottom"/>
            <w:hideMark/>
          </w:tcPr>
          <w:p w:rsidR="007707AD" w:rsidRPr="00346A27" w:rsidRDefault="007707AD" w:rsidP="007707AD">
            <w:pPr>
              <w:keepNext w:val="0"/>
              <w:spacing w:after="0"/>
              <w:jc w:val="right"/>
              <w:rPr>
                <w:rFonts w:ascii="Arial" w:hAnsi="Arial" w:cs="Arial"/>
                <w:b/>
                <w:bCs/>
                <w:sz w:val="15"/>
                <w:szCs w:val="15"/>
              </w:rPr>
            </w:pPr>
          </w:p>
        </w:tc>
        <w:tc>
          <w:tcPr>
            <w:tcW w:w="900" w:type="dxa"/>
            <w:tcBorders>
              <w:top w:val="nil"/>
              <w:left w:val="nil"/>
              <w:bottom w:val="nil"/>
              <w:right w:val="nil"/>
            </w:tcBorders>
            <w:shd w:val="clear" w:color="auto" w:fill="auto"/>
            <w:noWrap/>
            <w:vAlign w:val="bottom"/>
            <w:hideMark/>
          </w:tcPr>
          <w:p w:rsidR="007707AD" w:rsidRPr="00346A27" w:rsidRDefault="007707AD" w:rsidP="007707AD">
            <w:pPr>
              <w:keepNext w:val="0"/>
              <w:spacing w:after="0"/>
              <w:jc w:val="right"/>
              <w:rPr>
                <w:rFonts w:ascii="Arial" w:hAnsi="Arial" w:cs="Arial"/>
                <w:b/>
                <w:bCs/>
                <w:sz w:val="15"/>
                <w:szCs w:val="15"/>
              </w:rPr>
            </w:pPr>
          </w:p>
        </w:tc>
        <w:tc>
          <w:tcPr>
            <w:tcW w:w="900" w:type="dxa"/>
            <w:tcBorders>
              <w:top w:val="nil"/>
              <w:left w:val="nil"/>
              <w:bottom w:val="nil"/>
              <w:right w:val="nil"/>
            </w:tcBorders>
            <w:shd w:val="clear" w:color="auto" w:fill="auto"/>
            <w:noWrap/>
            <w:vAlign w:val="bottom"/>
            <w:hideMark/>
          </w:tcPr>
          <w:p w:rsidR="007707AD" w:rsidRPr="00346A27" w:rsidRDefault="007707AD" w:rsidP="007707AD">
            <w:pPr>
              <w:keepNext w:val="0"/>
              <w:spacing w:after="0"/>
              <w:jc w:val="right"/>
              <w:rPr>
                <w:rFonts w:ascii="Arial" w:hAnsi="Arial" w:cs="Arial"/>
                <w:b/>
                <w:bCs/>
                <w:sz w:val="15"/>
                <w:szCs w:val="15"/>
              </w:rPr>
            </w:pPr>
          </w:p>
        </w:tc>
        <w:tc>
          <w:tcPr>
            <w:tcW w:w="900" w:type="dxa"/>
            <w:tcBorders>
              <w:top w:val="nil"/>
              <w:left w:val="nil"/>
              <w:bottom w:val="nil"/>
              <w:right w:val="nil"/>
            </w:tcBorders>
            <w:shd w:val="clear" w:color="auto" w:fill="auto"/>
            <w:noWrap/>
            <w:vAlign w:val="bottom"/>
            <w:hideMark/>
          </w:tcPr>
          <w:p w:rsidR="007707AD" w:rsidRPr="00346A27" w:rsidRDefault="007707AD" w:rsidP="007707AD">
            <w:pPr>
              <w:keepNext w:val="0"/>
              <w:spacing w:after="0"/>
              <w:jc w:val="right"/>
              <w:rPr>
                <w:rFonts w:ascii="Arial" w:hAnsi="Arial" w:cs="Arial"/>
                <w:b/>
                <w:bCs/>
                <w:sz w:val="15"/>
                <w:szCs w:val="15"/>
              </w:rPr>
            </w:pPr>
          </w:p>
        </w:tc>
        <w:tc>
          <w:tcPr>
            <w:tcW w:w="900" w:type="dxa"/>
            <w:tcBorders>
              <w:top w:val="nil"/>
              <w:left w:val="nil"/>
              <w:bottom w:val="nil"/>
              <w:right w:val="nil"/>
            </w:tcBorders>
            <w:shd w:val="clear" w:color="auto" w:fill="auto"/>
            <w:noWrap/>
            <w:vAlign w:val="bottom"/>
            <w:hideMark/>
          </w:tcPr>
          <w:p w:rsidR="007707AD" w:rsidRPr="00346A27" w:rsidRDefault="007707AD" w:rsidP="007707AD">
            <w:pPr>
              <w:keepNext w:val="0"/>
              <w:spacing w:after="0"/>
              <w:jc w:val="right"/>
              <w:rPr>
                <w:rFonts w:ascii="Arial" w:hAnsi="Arial" w:cs="Arial"/>
                <w:b/>
                <w:bCs/>
                <w:sz w:val="15"/>
                <w:szCs w:val="15"/>
              </w:rPr>
            </w:pPr>
          </w:p>
        </w:tc>
      </w:tr>
      <w:tr w:rsidR="00346A27" w:rsidRPr="00346A27" w:rsidTr="00EB0950">
        <w:trPr>
          <w:trHeight w:val="225"/>
        </w:trPr>
        <w:tc>
          <w:tcPr>
            <w:tcW w:w="6460" w:type="dxa"/>
            <w:gridSpan w:val="5"/>
            <w:tcBorders>
              <w:top w:val="single" w:sz="4" w:space="0" w:color="auto"/>
              <w:left w:val="nil"/>
              <w:bottom w:val="nil"/>
              <w:right w:val="nil"/>
            </w:tcBorders>
            <w:shd w:val="clear" w:color="auto" w:fill="auto"/>
            <w:noWrap/>
            <w:vAlign w:val="center"/>
            <w:hideMark/>
          </w:tcPr>
          <w:p w:rsidR="007707AD" w:rsidRPr="00346A27" w:rsidRDefault="007707AD" w:rsidP="005A0821">
            <w:pPr>
              <w:keepNext w:val="0"/>
              <w:spacing w:after="0"/>
              <w:rPr>
                <w:rFonts w:ascii="Arial" w:hAnsi="Arial" w:cs="Arial"/>
                <w:b/>
                <w:bCs/>
                <w:sz w:val="15"/>
                <w:szCs w:val="15"/>
              </w:rPr>
            </w:pPr>
            <w:r w:rsidRPr="00346A27">
              <w:rPr>
                <w:rFonts w:ascii="Arial" w:hAnsi="Arial" w:cs="Arial"/>
                <w:b/>
                <w:bCs/>
                <w:sz w:val="15"/>
                <w:szCs w:val="15"/>
              </w:rPr>
              <w:t>Note: Reconciliation of comprehensive income attributable to the agency</w:t>
            </w:r>
          </w:p>
        </w:tc>
        <w:tc>
          <w:tcPr>
            <w:tcW w:w="900" w:type="dxa"/>
            <w:tcBorders>
              <w:top w:val="single" w:sz="4" w:space="0" w:color="auto"/>
              <w:left w:val="nil"/>
              <w:bottom w:val="nil"/>
              <w:right w:val="nil"/>
            </w:tcBorders>
            <w:shd w:val="clear" w:color="auto" w:fill="auto"/>
            <w:noWrap/>
            <w:vAlign w:val="bottom"/>
            <w:hideMark/>
          </w:tcPr>
          <w:p w:rsidR="007707AD" w:rsidRPr="00346A27" w:rsidRDefault="007707AD" w:rsidP="007707AD">
            <w:pPr>
              <w:keepNext w:val="0"/>
              <w:spacing w:after="0"/>
              <w:jc w:val="right"/>
              <w:rPr>
                <w:rFonts w:ascii="Arial" w:hAnsi="Arial" w:cs="Arial"/>
                <w:sz w:val="15"/>
                <w:szCs w:val="15"/>
              </w:rPr>
            </w:pPr>
          </w:p>
        </w:tc>
      </w:tr>
      <w:tr w:rsidR="00346A27" w:rsidRPr="00346A27" w:rsidTr="00EB0950">
        <w:trPr>
          <w:trHeight w:val="256"/>
        </w:trPr>
        <w:tc>
          <w:tcPr>
            <w:tcW w:w="2860" w:type="dxa"/>
            <w:tcBorders>
              <w:top w:val="nil"/>
              <w:left w:val="nil"/>
              <w:bottom w:val="nil"/>
              <w:right w:val="nil"/>
            </w:tcBorders>
            <w:shd w:val="clear" w:color="auto" w:fill="auto"/>
            <w:vAlign w:val="bottom"/>
            <w:hideMark/>
          </w:tcPr>
          <w:p w:rsidR="007707AD" w:rsidRPr="00346A27" w:rsidRDefault="007707AD" w:rsidP="005A0821">
            <w:pPr>
              <w:keepNext w:val="0"/>
              <w:spacing w:before="40" w:after="0"/>
              <w:rPr>
                <w:rFonts w:ascii="Arial" w:hAnsi="Arial" w:cs="Arial"/>
                <w:sz w:val="15"/>
                <w:szCs w:val="15"/>
              </w:rPr>
            </w:pPr>
          </w:p>
        </w:tc>
        <w:tc>
          <w:tcPr>
            <w:tcW w:w="900" w:type="dxa"/>
            <w:tcBorders>
              <w:top w:val="nil"/>
              <w:left w:val="nil"/>
              <w:bottom w:val="single" w:sz="4" w:space="0" w:color="auto"/>
              <w:right w:val="nil"/>
            </w:tcBorders>
            <w:shd w:val="clear" w:color="auto" w:fill="auto"/>
            <w:hideMark/>
          </w:tcPr>
          <w:p w:rsidR="007707AD" w:rsidRPr="00346A27" w:rsidRDefault="007707AD" w:rsidP="007707AD">
            <w:pPr>
              <w:keepNext w:val="0"/>
              <w:spacing w:before="40" w:after="0"/>
              <w:jc w:val="right"/>
              <w:rPr>
                <w:rFonts w:ascii="Arial" w:hAnsi="Arial" w:cs="Arial"/>
                <w:b/>
                <w:bCs/>
                <w:sz w:val="15"/>
                <w:szCs w:val="15"/>
              </w:rPr>
            </w:pPr>
            <w:r w:rsidRPr="00346A27">
              <w:rPr>
                <w:rFonts w:ascii="Arial" w:hAnsi="Arial" w:cs="Arial"/>
                <w:b/>
                <w:bCs/>
                <w:sz w:val="15"/>
                <w:szCs w:val="15"/>
              </w:rPr>
              <w:t xml:space="preserve">2014-15 </w:t>
            </w:r>
            <w:r w:rsidRPr="00346A27">
              <w:rPr>
                <w:rFonts w:ascii="Arial" w:hAnsi="Arial" w:cs="Arial"/>
                <w:sz w:val="15"/>
                <w:szCs w:val="15"/>
              </w:rPr>
              <w:t>$'000</w:t>
            </w:r>
          </w:p>
        </w:tc>
        <w:tc>
          <w:tcPr>
            <w:tcW w:w="900" w:type="dxa"/>
            <w:tcBorders>
              <w:top w:val="nil"/>
              <w:left w:val="nil"/>
              <w:bottom w:val="single" w:sz="4" w:space="0" w:color="auto"/>
              <w:right w:val="nil"/>
            </w:tcBorders>
            <w:shd w:val="clear" w:color="000000" w:fill="D9D9D9"/>
            <w:hideMark/>
          </w:tcPr>
          <w:p w:rsidR="007707AD" w:rsidRPr="00346A27" w:rsidRDefault="007707AD" w:rsidP="007707AD">
            <w:pPr>
              <w:keepNext w:val="0"/>
              <w:spacing w:before="40" w:after="0"/>
              <w:jc w:val="right"/>
              <w:rPr>
                <w:rFonts w:ascii="Arial" w:hAnsi="Arial" w:cs="Arial"/>
                <w:b/>
                <w:bCs/>
                <w:sz w:val="15"/>
                <w:szCs w:val="15"/>
              </w:rPr>
            </w:pPr>
            <w:r w:rsidRPr="00346A27">
              <w:rPr>
                <w:rFonts w:ascii="Arial" w:hAnsi="Arial" w:cs="Arial"/>
                <w:b/>
                <w:bCs/>
                <w:sz w:val="15"/>
                <w:szCs w:val="15"/>
              </w:rPr>
              <w:t xml:space="preserve">2015-16 </w:t>
            </w:r>
            <w:r w:rsidRPr="00346A27">
              <w:rPr>
                <w:rFonts w:ascii="Arial" w:hAnsi="Arial" w:cs="Arial"/>
                <w:bCs/>
                <w:sz w:val="15"/>
                <w:szCs w:val="15"/>
              </w:rPr>
              <w:t>$'000</w:t>
            </w:r>
          </w:p>
        </w:tc>
        <w:tc>
          <w:tcPr>
            <w:tcW w:w="900" w:type="dxa"/>
            <w:tcBorders>
              <w:top w:val="nil"/>
              <w:left w:val="nil"/>
              <w:bottom w:val="single" w:sz="4" w:space="0" w:color="auto"/>
              <w:right w:val="nil"/>
            </w:tcBorders>
            <w:shd w:val="clear" w:color="auto" w:fill="auto"/>
            <w:hideMark/>
          </w:tcPr>
          <w:p w:rsidR="007707AD" w:rsidRPr="00346A27" w:rsidRDefault="007707AD" w:rsidP="007707AD">
            <w:pPr>
              <w:keepNext w:val="0"/>
              <w:spacing w:before="40" w:after="0"/>
              <w:jc w:val="right"/>
              <w:rPr>
                <w:rFonts w:ascii="Arial" w:hAnsi="Arial" w:cs="Arial"/>
                <w:b/>
                <w:bCs/>
                <w:sz w:val="15"/>
                <w:szCs w:val="15"/>
              </w:rPr>
            </w:pPr>
            <w:r w:rsidRPr="00346A27">
              <w:rPr>
                <w:rFonts w:ascii="Arial" w:hAnsi="Arial" w:cs="Arial"/>
                <w:b/>
                <w:bCs/>
                <w:sz w:val="15"/>
                <w:szCs w:val="15"/>
              </w:rPr>
              <w:t xml:space="preserve">2016-17 </w:t>
            </w:r>
            <w:r w:rsidRPr="00346A27">
              <w:rPr>
                <w:rFonts w:ascii="Arial" w:hAnsi="Arial" w:cs="Arial"/>
                <w:bCs/>
                <w:sz w:val="15"/>
                <w:szCs w:val="15"/>
              </w:rPr>
              <w:t>$'000</w:t>
            </w:r>
          </w:p>
        </w:tc>
        <w:tc>
          <w:tcPr>
            <w:tcW w:w="900" w:type="dxa"/>
            <w:tcBorders>
              <w:top w:val="nil"/>
              <w:left w:val="nil"/>
              <w:bottom w:val="single" w:sz="4" w:space="0" w:color="auto"/>
              <w:right w:val="nil"/>
            </w:tcBorders>
            <w:shd w:val="clear" w:color="auto" w:fill="auto"/>
            <w:hideMark/>
          </w:tcPr>
          <w:p w:rsidR="007707AD" w:rsidRPr="00346A27" w:rsidRDefault="007707AD" w:rsidP="007707AD">
            <w:pPr>
              <w:keepNext w:val="0"/>
              <w:spacing w:before="40" w:after="0"/>
              <w:jc w:val="right"/>
              <w:rPr>
                <w:rFonts w:ascii="Arial" w:hAnsi="Arial" w:cs="Arial"/>
                <w:b/>
                <w:bCs/>
                <w:sz w:val="15"/>
                <w:szCs w:val="15"/>
              </w:rPr>
            </w:pPr>
            <w:r w:rsidRPr="00346A27">
              <w:rPr>
                <w:rFonts w:ascii="Arial" w:hAnsi="Arial" w:cs="Arial"/>
                <w:b/>
                <w:bCs/>
                <w:sz w:val="15"/>
                <w:szCs w:val="15"/>
              </w:rPr>
              <w:t xml:space="preserve">2017-18 </w:t>
            </w:r>
            <w:r w:rsidRPr="00346A27">
              <w:rPr>
                <w:rFonts w:ascii="Arial" w:hAnsi="Arial" w:cs="Arial"/>
                <w:bCs/>
                <w:sz w:val="15"/>
                <w:szCs w:val="15"/>
              </w:rPr>
              <w:t>$'000</w:t>
            </w:r>
          </w:p>
        </w:tc>
        <w:tc>
          <w:tcPr>
            <w:tcW w:w="900" w:type="dxa"/>
            <w:tcBorders>
              <w:top w:val="nil"/>
              <w:left w:val="nil"/>
              <w:bottom w:val="single" w:sz="4" w:space="0" w:color="auto"/>
              <w:right w:val="nil"/>
            </w:tcBorders>
            <w:shd w:val="clear" w:color="auto" w:fill="auto"/>
            <w:hideMark/>
          </w:tcPr>
          <w:p w:rsidR="007707AD" w:rsidRPr="00346A27" w:rsidRDefault="007707AD" w:rsidP="007707AD">
            <w:pPr>
              <w:keepNext w:val="0"/>
              <w:spacing w:before="40" w:after="0"/>
              <w:jc w:val="right"/>
              <w:rPr>
                <w:rFonts w:ascii="Arial" w:hAnsi="Arial" w:cs="Arial"/>
                <w:b/>
                <w:bCs/>
                <w:sz w:val="15"/>
                <w:szCs w:val="15"/>
              </w:rPr>
            </w:pPr>
            <w:r w:rsidRPr="00346A27">
              <w:rPr>
                <w:rFonts w:ascii="Arial" w:hAnsi="Arial" w:cs="Arial"/>
                <w:b/>
                <w:bCs/>
                <w:sz w:val="15"/>
                <w:szCs w:val="15"/>
              </w:rPr>
              <w:t xml:space="preserve">2018-19 </w:t>
            </w:r>
            <w:r w:rsidRPr="00346A27">
              <w:rPr>
                <w:rFonts w:ascii="Arial" w:hAnsi="Arial" w:cs="Arial"/>
                <w:sz w:val="15"/>
                <w:szCs w:val="15"/>
              </w:rPr>
              <w:t>$'000</w:t>
            </w:r>
          </w:p>
        </w:tc>
      </w:tr>
      <w:tr w:rsidR="00346A27" w:rsidRPr="00346A27" w:rsidTr="00EB0950">
        <w:trPr>
          <w:trHeight w:val="225"/>
        </w:trPr>
        <w:tc>
          <w:tcPr>
            <w:tcW w:w="286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rPr>
                <w:rFonts w:ascii="Arial" w:hAnsi="Arial" w:cs="Arial"/>
                <w:b/>
                <w:bCs/>
                <w:sz w:val="15"/>
                <w:szCs w:val="15"/>
              </w:rPr>
            </w:pPr>
            <w:r w:rsidRPr="00346A27">
              <w:rPr>
                <w:rFonts w:ascii="Arial" w:hAnsi="Arial" w:cs="Arial"/>
                <w:b/>
                <w:bCs/>
                <w:sz w:val="15"/>
                <w:szCs w:val="15"/>
              </w:rPr>
              <w:t>Total comprehensive income</w:t>
            </w: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p>
        </w:tc>
        <w:tc>
          <w:tcPr>
            <w:tcW w:w="900" w:type="dxa"/>
            <w:tcBorders>
              <w:top w:val="nil"/>
              <w:left w:val="nil"/>
              <w:bottom w:val="nil"/>
              <w:right w:val="nil"/>
            </w:tcBorders>
            <w:shd w:val="clear" w:color="000000" w:fill="D9D9D9"/>
            <w:noWrap/>
            <w:vAlign w:val="bottom"/>
          </w:tcPr>
          <w:p w:rsidR="007707AD" w:rsidRPr="00346A27" w:rsidRDefault="007707AD" w:rsidP="005A0821">
            <w:pPr>
              <w:keepNext w:val="0"/>
              <w:spacing w:after="0"/>
              <w:jc w:val="right"/>
              <w:rPr>
                <w:rFonts w:ascii="Arial" w:hAnsi="Arial" w:cs="Arial"/>
                <w:sz w:val="15"/>
                <w:szCs w:val="15"/>
              </w:rPr>
            </w:pP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p>
        </w:tc>
      </w:tr>
      <w:tr w:rsidR="00346A27" w:rsidRPr="00346A27" w:rsidTr="00EB0950">
        <w:trPr>
          <w:trHeight w:val="225"/>
        </w:trPr>
        <w:tc>
          <w:tcPr>
            <w:tcW w:w="286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ind w:firstLineChars="100" w:firstLine="151"/>
              <w:rPr>
                <w:rFonts w:ascii="Arial" w:hAnsi="Arial" w:cs="Arial"/>
                <w:b/>
                <w:bCs/>
                <w:sz w:val="15"/>
                <w:szCs w:val="15"/>
              </w:rPr>
            </w:pPr>
            <w:r w:rsidRPr="00346A27">
              <w:rPr>
                <w:rFonts w:ascii="Arial" w:hAnsi="Arial" w:cs="Arial"/>
                <w:b/>
                <w:bCs/>
                <w:sz w:val="15"/>
                <w:szCs w:val="15"/>
              </w:rPr>
              <w:t>(loss) attributable to the</w:t>
            </w: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p>
        </w:tc>
        <w:tc>
          <w:tcPr>
            <w:tcW w:w="900" w:type="dxa"/>
            <w:tcBorders>
              <w:top w:val="nil"/>
              <w:left w:val="nil"/>
              <w:bottom w:val="nil"/>
              <w:right w:val="nil"/>
            </w:tcBorders>
            <w:shd w:val="clear" w:color="000000" w:fill="D9D9D9"/>
            <w:noWrap/>
            <w:vAlign w:val="bottom"/>
          </w:tcPr>
          <w:p w:rsidR="007707AD" w:rsidRPr="00346A27" w:rsidRDefault="007707AD" w:rsidP="005A0821">
            <w:pPr>
              <w:keepNext w:val="0"/>
              <w:spacing w:after="0"/>
              <w:jc w:val="right"/>
              <w:rPr>
                <w:rFonts w:ascii="Arial" w:hAnsi="Arial" w:cs="Arial"/>
                <w:sz w:val="15"/>
                <w:szCs w:val="15"/>
              </w:rPr>
            </w:pP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p>
        </w:tc>
      </w:tr>
      <w:tr w:rsidR="00346A27" w:rsidRPr="00346A27" w:rsidTr="00EB0950">
        <w:trPr>
          <w:trHeight w:val="225"/>
        </w:trPr>
        <w:tc>
          <w:tcPr>
            <w:tcW w:w="286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ind w:firstLineChars="100" w:firstLine="151"/>
              <w:rPr>
                <w:rFonts w:ascii="Arial" w:hAnsi="Arial" w:cs="Arial"/>
                <w:b/>
                <w:bCs/>
                <w:sz w:val="15"/>
                <w:szCs w:val="15"/>
              </w:rPr>
            </w:pPr>
            <w:r w:rsidRPr="00346A27">
              <w:rPr>
                <w:rFonts w:ascii="Arial" w:hAnsi="Arial" w:cs="Arial"/>
                <w:b/>
                <w:bCs/>
                <w:sz w:val="15"/>
                <w:szCs w:val="15"/>
              </w:rPr>
              <w:t>Australian Government</w:t>
            </w: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r w:rsidRPr="00346A27">
              <w:rPr>
                <w:rFonts w:ascii="Arial" w:hAnsi="Arial" w:cs="Arial"/>
                <w:sz w:val="15"/>
                <w:szCs w:val="15"/>
              </w:rPr>
              <w:t>(2,707)</w:t>
            </w:r>
          </w:p>
        </w:tc>
        <w:tc>
          <w:tcPr>
            <w:tcW w:w="900" w:type="dxa"/>
            <w:tcBorders>
              <w:top w:val="nil"/>
              <w:left w:val="nil"/>
              <w:bottom w:val="nil"/>
              <w:right w:val="nil"/>
            </w:tcBorders>
            <w:shd w:val="clear" w:color="000000" w:fill="D9D9D9"/>
            <w:noWrap/>
            <w:vAlign w:val="bottom"/>
            <w:hideMark/>
          </w:tcPr>
          <w:p w:rsidR="007707AD" w:rsidRPr="00346A27" w:rsidRDefault="007707AD" w:rsidP="005A0821">
            <w:pPr>
              <w:keepNext w:val="0"/>
              <w:spacing w:after="0"/>
              <w:jc w:val="right"/>
              <w:rPr>
                <w:rFonts w:ascii="Arial" w:hAnsi="Arial" w:cs="Arial"/>
                <w:sz w:val="15"/>
                <w:szCs w:val="15"/>
              </w:rPr>
            </w:pPr>
            <w:r w:rsidRPr="00346A27">
              <w:rPr>
                <w:rFonts w:ascii="Arial" w:hAnsi="Arial" w:cs="Arial"/>
                <w:sz w:val="15"/>
                <w:szCs w:val="15"/>
              </w:rPr>
              <w:t>(2,814)</w:t>
            </w: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r w:rsidRPr="00346A27">
              <w:rPr>
                <w:rFonts w:ascii="Arial" w:hAnsi="Arial" w:cs="Arial"/>
                <w:sz w:val="15"/>
                <w:szCs w:val="15"/>
              </w:rPr>
              <w:t>(2,171)</w:t>
            </w: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r w:rsidRPr="00346A27">
              <w:rPr>
                <w:rFonts w:ascii="Arial" w:hAnsi="Arial" w:cs="Arial"/>
                <w:sz w:val="15"/>
                <w:szCs w:val="15"/>
              </w:rPr>
              <w:t>(2,171)</w:t>
            </w: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r w:rsidRPr="00346A27">
              <w:rPr>
                <w:rFonts w:ascii="Arial" w:hAnsi="Arial" w:cs="Arial"/>
                <w:sz w:val="15"/>
                <w:szCs w:val="15"/>
              </w:rPr>
              <w:t>(2,171)</w:t>
            </w:r>
          </w:p>
        </w:tc>
      </w:tr>
      <w:tr w:rsidR="00346A27" w:rsidRPr="00346A27" w:rsidTr="00EB0950">
        <w:trPr>
          <w:trHeight w:val="255"/>
        </w:trPr>
        <w:tc>
          <w:tcPr>
            <w:tcW w:w="286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ind w:firstLineChars="100" w:firstLine="150"/>
              <w:rPr>
                <w:rFonts w:ascii="Arial" w:hAnsi="Arial" w:cs="Arial"/>
                <w:sz w:val="15"/>
                <w:szCs w:val="15"/>
              </w:rPr>
            </w:pPr>
            <w:r w:rsidRPr="00346A27">
              <w:rPr>
                <w:rFonts w:ascii="Arial" w:hAnsi="Arial" w:cs="Arial"/>
                <w:sz w:val="15"/>
                <w:szCs w:val="15"/>
              </w:rPr>
              <w:t>plus non-appropriated expenses</w:t>
            </w: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p>
        </w:tc>
        <w:tc>
          <w:tcPr>
            <w:tcW w:w="900" w:type="dxa"/>
            <w:tcBorders>
              <w:top w:val="nil"/>
              <w:left w:val="nil"/>
              <w:bottom w:val="nil"/>
              <w:right w:val="nil"/>
            </w:tcBorders>
            <w:shd w:val="clear" w:color="000000" w:fill="D9D9D9"/>
            <w:noWrap/>
            <w:vAlign w:val="bottom"/>
          </w:tcPr>
          <w:p w:rsidR="007707AD" w:rsidRPr="00346A27" w:rsidRDefault="007707AD" w:rsidP="005A0821">
            <w:pPr>
              <w:keepNext w:val="0"/>
              <w:spacing w:after="0"/>
              <w:jc w:val="right"/>
              <w:rPr>
                <w:rFonts w:ascii="Arial" w:hAnsi="Arial" w:cs="Arial"/>
                <w:b/>
                <w:bCs/>
                <w:sz w:val="15"/>
                <w:szCs w:val="15"/>
              </w:rPr>
            </w:pP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p>
        </w:tc>
      </w:tr>
      <w:tr w:rsidR="00346A27" w:rsidRPr="00346A27" w:rsidTr="00EB0950">
        <w:trPr>
          <w:trHeight w:val="225"/>
        </w:trPr>
        <w:tc>
          <w:tcPr>
            <w:tcW w:w="286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ind w:firstLineChars="200" w:firstLine="300"/>
              <w:rPr>
                <w:rFonts w:ascii="Arial" w:hAnsi="Arial" w:cs="Arial"/>
                <w:sz w:val="15"/>
                <w:szCs w:val="15"/>
              </w:rPr>
            </w:pPr>
            <w:r w:rsidRPr="00346A27">
              <w:rPr>
                <w:rFonts w:ascii="Arial" w:hAnsi="Arial" w:cs="Arial"/>
                <w:sz w:val="15"/>
                <w:szCs w:val="15"/>
              </w:rPr>
              <w:t>depreciation and amortisation</w:t>
            </w: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p>
        </w:tc>
        <w:tc>
          <w:tcPr>
            <w:tcW w:w="900" w:type="dxa"/>
            <w:tcBorders>
              <w:top w:val="nil"/>
              <w:left w:val="nil"/>
              <w:bottom w:val="nil"/>
              <w:right w:val="nil"/>
            </w:tcBorders>
            <w:shd w:val="clear" w:color="000000" w:fill="D9D9D9"/>
            <w:noWrap/>
            <w:vAlign w:val="bottom"/>
          </w:tcPr>
          <w:p w:rsidR="007707AD" w:rsidRPr="00346A27" w:rsidRDefault="007707AD" w:rsidP="005A0821">
            <w:pPr>
              <w:keepNext w:val="0"/>
              <w:spacing w:after="0"/>
              <w:jc w:val="right"/>
              <w:rPr>
                <w:rFonts w:ascii="Arial" w:hAnsi="Arial" w:cs="Arial"/>
                <w:b/>
                <w:bCs/>
                <w:sz w:val="15"/>
                <w:szCs w:val="15"/>
              </w:rPr>
            </w:pP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p>
        </w:tc>
      </w:tr>
      <w:tr w:rsidR="00346A27" w:rsidRPr="00346A27" w:rsidTr="00EB0950">
        <w:trPr>
          <w:trHeight w:val="225"/>
        </w:trPr>
        <w:tc>
          <w:tcPr>
            <w:tcW w:w="286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ind w:firstLineChars="200" w:firstLine="300"/>
              <w:rPr>
                <w:rFonts w:ascii="Arial" w:hAnsi="Arial" w:cs="Arial"/>
                <w:sz w:val="15"/>
                <w:szCs w:val="15"/>
              </w:rPr>
            </w:pPr>
            <w:r w:rsidRPr="00346A27">
              <w:rPr>
                <w:rFonts w:ascii="Arial" w:hAnsi="Arial" w:cs="Arial"/>
                <w:sz w:val="15"/>
                <w:szCs w:val="15"/>
              </w:rPr>
              <w:t>expenses</w:t>
            </w: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r w:rsidRPr="00346A27">
              <w:rPr>
                <w:rFonts w:ascii="Arial" w:hAnsi="Arial" w:cs="Arial"/>
                <w:sz w:val="15"/>
                <w:szCs w:val="15"/>
              </w:rPr>
              <w:t>2,171</w:t>
            </w:r>
          </w:p>
        </w:tc>
        <w:tc>
          <w:tcPr>
            <w:tcW w:w="900" w:type="dxa"/>
            <w:tcBorders>
              <w:top w:val="nil"/>
              <w:left w:val="nil"/>
              <w:bottom w:val="nil"/>
              <w:right w:val="nil"/>
            </w:tcBorders>
            <w:shd w:val="clear" w:color="000000" w:fill="D9D9D9"/>
            <w:noWrap/>
            <w:vAlign w:val="bottom"/>
            <w:hideMark/>
          </w:tcPr>
          <w:p w:rsidR="007707AD" w:rsidRPr="00346A27" w:rsidRDefault="007707AD" w:rsidP="005A0821">
            <w:pPr>
              <w:keepNext w:val="0"/>
              <w:spacing w:after="0"/>
              <w:jc w:val="right"/>
              <w:rPr>
                <w:rFonts w:ascii="Arial" w:hAnsi="Arial" w:cs="Arial"/>
                <w:sz w:val="15"/>
                <w:szCs w:val="15"/>
              </w:rPr>
            </w:pPr>
            <w:r w:rsidRPr="00346A27">
              <w:rPr>
                <w:rFonts w:ascii="Arial" w:hAnsi="Arial" w:cs="Arial"/>
                <w:sz w:val="15"/>
                <w:szCs w:val="15"/>
              </w:rPr>
              <w:t>2,171</w:t>
            </w: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r w:rsidRPr="00346A27">
              <w:rPr>
                <w:rFonts w:ascii="Arial" w:hAnsi="Arial" w:cs="Arial"/>
                <w:sz w:val="15"/>
                <w:szCs w:val="15"/>
              </w:rPr>
              <w:t>2,171</w:t>
            </w: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r w:rsidRPr="00346A27">
              <w:rPr>
                <w:rFonts w:ascii="Arial" w:hAnsi="Arial" w:cs="Arial"/>
                <w:sz w:val="15"/>
                <w:szCs w:val="15"/>
              </w:rPr>
              <w:t>2,171</w:t>
            </w:r>
          </w:p>
        </w:tc>
        <w:tc>
          <w:tcPr>
            <w:tcW w:w="900" w:type="dxa"/>
            <w:tcBorders>
              <w:top w:val="nil"/>
              <w:left w:val="nil"/>
              <w:bottom w:val="nil"/>
              <w:right w:val="nil"/>
            </w:tcBorders>
            <w:shd w:val="clear" w:color="auto" w:fill="auto"/>
            <w:noWrap/>
            <w:vAlign w:val="bottom"/>
            <w:hideMark/>
          </w:tcPr>
          <w:p w:rsidR="007707AD" w:rsidRPr="00346A27" w:rsidRDefault="007707AD" w:rsidP="005A0821">
            <w:pPr>
              <w:keepNext w:val="0"/>
              <w:spacing w:after="0"/>
              <w:jc w:val="right"/>
              <w:rPr>
                <w:rFonts w:ascii="Arial" w:hAnsi="Arial" w:cs="Arial"/>
                <w:sz w:val="15"/>
                <w:szCs w:val="15"/>
              </w:rPr>
            </w:pPr>
            <w:r w:rsidRPr="00346A27">
              <w:rPr>
                <w:rFonts w:ascii="Arial" w:hAnsi="Arial" w:cs="Arial"/>
                <w:sz w:val="15"/>
                <w:szCs w:val="15"/>
              </w:rPr>
              <w:t>2,171</w:t>
            </w:r>
          </w:p>
        </w:tc>
      </w:tr>
      <w:tr w:rsidR="00346A27" w:rsidRPr="00346A27" w:rsidTr="00EB0950">
        <w:trPr>
          <w:trHeight w:val="255"/>
        </w:trPr>
        <w:tc>
          <w:tcPr>
            <w:tcW w:w="3760" w:type="dxa"/>
            <w:gridSpan w:val="2"/>
            <w:tcBorders>
              <w:top w:val="nil"/>
              <w:left w:val="nil"/>
              <w:bottom w:val="nil"/>
              <w:right w:val="nil"/>
            </w:tcBorders>
            <w:shd w:val="clear" w:color="auto" w:fill="auto"/>
            <w:noWrap/>
            <w:vAlign w:val="bottom"/>
            <w:hideMark/>
          </w:tcPr>
          <w:p w:rsidR="007707AD" w:rsidRPr="00346A27" w:rsidRDefault="007707AD" w:rsidP="005A0821">
            <w:pPr>
              <w:keepNext w:val="0"/>
              <w:spacing w:after="0"/>
              <w:rPr>
                <w:rFonts w:ascii="Arial" w:hAnsi="Arial" w:cs="Arial"/>
                <w:b/>
                <w:bCs/>
                <w:sz w:val="15"/>
                <w:szCs w:val="15"/>
              </w:rPr>
            </w:pPr>
            <w:r w:rsidRPr="00346A27">
              <w:rPr>
                <w:rFonts w:ascii="Arial" w:hAnsi="Arial" w:cs="Arial"/>
                <w:b/>
                <w:bCs/>
                <w:sz w:val="15"/>
                <w:szCs w:val="15"/>
              </w:rPr>
              <w:t>Total comprehensive income (loss)</w:t>
            </w:r>
          </w:p>
        </w:tc>
        <w:tc>
          <w:tcPr>
            <w:tcW w:w="900" w:type="dxa"/>
            <w:tcBorders>
              <w:top w:val="nil"/>
              <w:left w:val="nil"/>
              <w:bottom w:val="nil"/>
              <w:right w:val="nil"/>
            </w:tcBorders>
            <w:shd w:val="clear" w:color="000000" w:fill="D9D9D9"/>
            <w:vAlign w:val="center"/>
            <w:hideMark/>
          </w:tcPr>
          <w:p w:rsidR="007707AD" w:rsidRPr="00346A27" w:rsidRDefault="007707AD" w:rsidP="007707AD">
            <w:pPr>
              <w:keepNext w:val="0"/>
              <w:spacing w:after="0"/>
              <w:jc w:val="right"/>
              <w:rPr>
                <w:rFonts w:ascii="Arial" w:hAnsi="Arial" w:cs="Arial"/>
                <w:sz w:val="15"/>
                <w:szCs w:val="15"/>
              </w:rPr>
            </w:pPr>
          </w:p>
        </w:tc>
        <w:tc>
          <w:tcPr>
            <w:tcW w:w="900" w:type="dxa"/>
            <w:tcBorders>
              <w:top w:val="nil"/>
              <w:left w:val="nil"/>
              <w:bottom w:val="nil"/>
              <w:right w:val="nil"/>
            </w:tcBorders>
            <w:shd w:val="clear" w:color="auto" w:fill="auto"/>
            <w:vAlign w:val="center"/>
            <w:hideMark/>
          </w:tcPr>
          <w:p w:rsidR="007707AD" w:rsidRPr="00346A27" w:rsidRDefault="007707AD" w:rsidP="007707AD">
            <w:pPr>
              <w:keepNext w:val="0"/>
              <w:spacing w:after="0"/>
              <w:jc w:val="right"/>
              <w:rPr>
                <w:rFonts w:ascii="Arial" w:hAnsi="Arial" w:cs="Arial"/>
                <w:sz w:val="15"/>
                <w:szCs w:val="15"/>
              </w:rPr>
            </w:pPr>
          </w:p>
        </w:tc>
        <w:tc>
          <w:tcPr>
            <w:tcW w:w="900" w:type="dxa"/>
            <w:tcBorders>
              <w:top w:val="nil"/>
              <w:left w:val="nil"/>
              <w:bottom w:val="nil"/>
              <w:right w:val="nil"/>
            </w:tcBorders>
            <w:shd w:val="clear" w:color="auto" w:fill="auto"/>
            <w:vAlign w:val="center"/>
            <w:hideMark/>
          </w:tcPr>
          <w:p w:rsidR="007707AD" w:rsidRPr="00346A27" w:rsidRDefault="007707AD" w:rsidP="007707AD">
            <w:pPr>
              <w:keepNext w:val="0"/>
              <w:spacing w:after="0"/>
              <w:jc w:val="right"/>
              <w:rPr>
                <w:rFonts w:ascii="Arial" w:hAnsi="Arial" w:cs="Arial"/>
                <w:sz w:val="15"/>
                <w:szCs w:val="15"/>
              </w:rPr>
            </w:pPr>
          </w:p>
        </w:tc>
        <w:tc>
          <w:tcPr>
            <w:tcW w:w="900" w:type="dxa"/>
            <w:tcBorders>
              <w:top w:val="nil"/>
              <w:left w:val="nil"/>
              <w:bottom w:val="nil"/>
              <w:right w:val="nil"/>
            </w:tcBorders>
            <w:shd w:val="clear" w:color="auto" w:fill="auto"/>
            <w:vAlign w:val="center"/>
            <w:hideMark/>
          </w:tcPr>
          <w:p w:rsidR="007707AD" w:rsidRPr="00346A27" w:rsidRDefault="007707AD" w:rsidP="007707AD">
            <w:pPr>
              <w:keepNext w:val="0"/>
              <w:spacing w:after="0"/>
              <w:jc w:val="right"/>
              <w:rPr>
                <w:rFonts w:ascii="Arial" w:hAnsi="Arial" w:cs="Arial"/>
                <w:sz w:val="15"/>
                <w:szCs w:val="15"/>
              </w:rPr>
            </w:pPr>
          </w:p>
        </w:tc>
      </w:tr>
      <w:tr w:rsidR="00346A27" w:rsidRPr="00346A27" w:rsidTr="00EB0950">
        <w:trPr>
          <w:trHeight w:val="225"/>
        </w:trPr>
        <w:tc>
          <w:tcPr>
            <w:tcW w:w="2860" w:type="dxa"/>
            <w:tcBorders>
              <w:top w:val="nil"/>
              <w:left w:val="nil"/>
              <w:bottom w:val="single" w:sz="4" w:space="0" w:color="auto"/>
              <w:right w:val="nil"/>
            </w:tcBorders>
            <w:shd w:val="clear" w:color="auto" w:fill="auto"/>
            <w:noWrap/>
            <w:vAlign w:val="bottom"/>
            <w:hideMark/>
          </w:tcPr>
          <w:p w:rsidR="007707AD" w:rsidRPr="00346A27" w:rsidRDefault="007707AD" w:rsidP="005A0821">
            <w:pPr>
              <w:keepNext w:val="0"/>
              <w:spacing w:after="0"/>
              <w:ind w:firstLineChars="100" w:firstLine="151"/>
              <w:rPr>
                <w:rFonts w:ascii="Arial" w:hAnsi="Arial" w:cs="Arial"/>
                <w:b/>
                <w:bCs/>
                <w:sz w:val="15"/>
                <w:szCs w:val="15"/>
              </w:rPr>
            </w:pPr>
            <w:r w:rsidRPr="00346A27">
              <w:rPr>
                <w:rFonts w:ascii="Arial" w:hAnsi="Arial" w:cs="Arial"/>
                <w:b/>
                <w:bCs/>
                <w:sz w:val="15"/>
                <w:szCs w:val="15"/>
              </w:rPr>
              <w:t>attributable to the agency</w:t>
            </w:r>
          </w:p>
        </w:tc>
        <w:tc>
          <w:tcPr>
            <w:tcW w:w="900" w:type="dxa"/>
            <w:tcBorders>
              <w:top w:val="nil"/>
              <w:left w:val="nil"/>
              <w:bottom w:val="single" w:sz="4" w:space="0" w:color="auto"/>
              <w:right w:val="nil"/>
            </w:tcBorders>
            <w:shd w:val="clear" w:color="auto" w:fill="auto"/>
            <w:noWrap/>
            <w:vAlign w:val="bottom"/>
            <w:hideMark/>
          </w:tcPr>
          <w:p w:rsidR="007707AD" w:rsidRPr="00346A27" w:rsidRDefault="007707AD" w:rsidP="005A0821">
            <w:pPr>
              <w:keepNext w:val="0"/>
              <w:spacing w:after="0"/>
              <w:jc w:val="right"/>
              <w:rPr>
                <w:rFonts w:ascii="Arial" w:hAnsi="Arial" w:cs="Arial"/>
                <w:b/>
                <w:bCs/>
                <w:sz w:val="15"/>
                <w:szCs w:val="15"/>
              </w:rPr>
            </w:pPr>
            <w:r w:rsidRPr="00346A27">
              <w:rPr>
                <w:rFonts w:ascii="Arial" w:hAnsi="Arial" w:cs="Arial"/>
                <w:b/>
                <w:bCs/>
                <w:sz w:val="15"/>
                <w:szCs w:val="15"/>
              </w:rPr>
              <w:t>(536)</w:t>
            </w:r>
          </w:p>
        </w:tc>
        <w:tc>
          <w:tcPr>
            <w:tcW w:w="900" w:type="dxa"/>
            <w:tcBorders>
              <w:top w:val="nil"/>
              <w:left w:val="nil"/>
              <w:bottom w:val="single" w:sz="4" w:space="0" w:color="auto"/>
              <w:right w:val="nil"/>
            </w:tcBorders>
            <w:shd w:val="clear" w:color="000000" w:fill="D9D9D9"/>
            <w:noWrap/>
            <w:vAlign w:val="bottom"/>
            <w:hideMark/>
          </w:tcPr>
          <w:p w:rsidR="007707AD" w:rsidRPr="00346A27" w:rsidRDefault="007707AD" w:rsidP="005A0821">
            <w:pPr>
              <w:keepNext w:val="0"/>
              <w:spacing w:after="0"/>
              <w:jc w:val="right"/>
              <w:rPr>
                <w:rFonts w:ascii="Arial" w:hAnsi="Arial" w:cs="Arial"/>
                <w:b/>
                <w:bCs/>
                <w:sz w:val="15"/>
                <w:szCs w:val="15"/>
              </w:rPr>
            </w:pPr>
            <w:r w:rsidRPr="00346A27">
              <w:rPr>
                <w:rFonts w:ascii="Arial" w:hAnsi="Arial" w:cs="Arial"/>
                <w:b/>
                <w:bCs/>
                <w:sz w:val="15"/>
                <w:szCs w:val="15"/>
              </w:rPr>
              <w:t>(643)</w:t>
            </w:r>
          </w:p>
        </w:tc>
        <w:tc>
          <w:tcPr>
            <w:tcW w:w="900" w:type="dxa"/>
            <w:tcBorders>
              <w:top w:val="nil"/>
              <w:left w:val="nil"/>
              <w:bottom w:val="single" w:sz="4" w:space="0" w:color="auto"/>
              <w:right w:val="nil"/>
            </w:tcBorders>
            <w:shd w:val="clear" w:color="auto" w:fill="auto"/>
            <w:noWrap/>
            <w:vAlign w:val="bottom"/>
            <w:hideMark/>
          </w:tcPr>
          <w:p w:rsidR="007707AD" w:rsidRPr="00346A27" w:rsidRDefault="007707AD" w:rsidP="005A0821">
            <w:pPr>
              <w:keepNext w:val="0"/>
              <w:spacing w:after="0"/>
              <w:jc w:val="right"/>
              <w:rPr>
                <w:rFonts w:ascii="Arial" w:hAnsi="Arial" w:cs="Arial"/>
                <w:b/>
                <w:bCs/>
                <w:sz w:val="15"/>
                <w:szCs w:val="15"/>
              </w:rPr>
            </w:pPr>
            <w:r w:rsidRPr="00346A27">
              <w:rPr>
                <w:rFonts w:ascii="Arial" w:hAnsi="Arial" w:cs="Arial"/>
                <w:b/>
                <w:bCs/>
                <w:sz w:val="15"/>
                <w:szCs w:val="15"/>
              </w:rPr>
              <w:t>-</w:t>
            </w:r>
          </w:p>
        </w:tc>
        <w:tc>
          <w:tcPr>
            <w:tcW w:w="900" w:type="dxa"/>
            <w:tcBorders>
              <w:top w:val="nil"/>
              <w:left w:val="nil"/>
              <w:bottom w:val="single" w:sz="4" w:space="0" w:color="auto"/>
              <w:right w:val="nil"/>
            </w:tcBorders>
            <w:shd w:val="clear" w:color="auto" w:fill="auto"/>
            <w:noWrap/>
            <w:vAlign w:val="bottom"/>
            <w:hideMark/>
          </w:tcPr>
          <w:p w:rsidR="007707AD" w:rsidRPr="00346A27" w:rsidRDefault="007707AD" w:rsidP="005A0821">
            <w:pPr>
              <w:keepNext w:val="0"/>
              <w:spacing w:after="0"/>
              <w:jc w:val="right"/>
              <w:rPr>
                <w:rFonts w:ascii="Arial" w:hAnsi="Arial" w:cs="Arial"/>
                <w:b/>
                <w:bCs/>
                <w:sz w:val="15"/>
                <w:szCs w:val="15"/>
              </w:rPr>
            </w:pPr>
            <w:r w:rsidRPr="00346A27">
              <w:rPr>
                <w:rFonts w:ascii="Arial" w:hAnsi="Arial" w:cs="Arial"/>
                <w:b/>
                <w:bCs/>
                <w:sz w:val="15"/>
                <w:szCs w:val="15"/>
              </w:rPr>
              <w:t>-</w:t>
            </w:r>
          </w:p>
        </w:tc>
        <w:tc>
          <w:tcPr>
            <w:tcW w:w="900" w:type="dxa"/>
            <w:tcBorders>
              <w:top w:val="nil"/>
              <w:left w:val="nil"/>
              <w:bottom w:val="single" w:sz="4" w:space="0" w:color="auto"/>
              <w:right w:val="nil"/>
            </w:tcBorders>
            <w:shd w:val="clear" w:color="auto" w:fill="auto"/>
            <w:noWrap/>
            <w:vAlign w:val="bottom"/>
            <w:hideMark/>
          </w:tcPr>
          <w:p w:rsidR="007707AD" w:rsidRPr="00346A27" w:rsidRDefault="007707AD" w:rsidP="005A0821">
            <w:pPr>
              <w:keepNext w:val="0"/>
              <w:spacing w:after="0"/>
              <w:jc w:val="right"/>
              <w:rPr>
                <w:rFonts w:ascii="Arial" w:hAnsi="Arial" w:cs="Arial"/>
                <w:b/>
                <w:bCs/>
                <w:sz w:val="15"/>
                <w:szCs w:val="15"/>
              </w:rPr>
            </w:pPr>
            <w:r w:rsidRPr="00346A27">
              <w:rPr>
                <w:rFonts w:ascii="Arial" w:hAnsi="Arial" w:cs="Arial"/>
                <w:b/>
                <w:bCs/>
                <w:sz w:val="15"/>
                <w:szCs w:val="15"/>
              </w:rPr>
              <w:t>-</w:t>
            </w:r>
          </w:p>
        </w:tc>
      </w:tr>
    </w:tbl>
    <w:p w:rsidR="007E7063" w:rsidRPr="00346A27" w:rsidRDefault="007E7063" w:rsidP="002B0C32">
      <w:pPr>
        <w:pStyle w:val="TableHeading"/>
      </w:pPr>
      <w:r w:rsidRPr="00346A27">
        <w:lastRenderedPageBreak/>
        <w:t>Table 3.2.2: Budgeted Departmental Balance Sheet (as at 30 June)</w:t>
      </w:r>
    </w:p>
    <w:tbl>
      <w:tblPr>
        <w:tblW w:w="7360" w:type="dxa"/>
        <w:tblInd w:w="93" w:type="dxa"/>
        <w:tblLook w:val="06A0" w:firstRow="1" w:lastRow="0" w:firstColumn="1" w:lastColumn="0" w:noHBand="1" w:noVBand="1"/>
        <w:tblCaption w:val="Table 3.2.2 Budgeted Departmental Balance sheet"/>
        <w:tblDescription w:val="Table 3.2.2 shows the Entity’s estimated assets and liabilities in relation to its departmental operations at the end of the financial year. Read the first column for the asset, liabilities and equity categories and then across the table for 2014-15 estimated actual, 2015-16 Budget estimate and the forward estimates. Note that there is no data for some categories."/>
      </w:tblPr>
      <w:tblGrid>
        <w:gridCol w:w="2860"/>
        <w:gridCol w:w="981"/>
        <w:gridCol w:w="900"/>
        <w:gridCol w:w="900"/>
        <w:gridCol w:w="900"/>
        <w:gridCol w:w="900"/>
      </w:tblGrid>
      <w:tr w:rsidR="00346A27" w:rsidRPr="00346A27" w:rsidTr="00EB0950">
        <w:trPr>
          <w:trHeight w:val="510"/>
        </w:trPr>
        <w:tc>
          <w:tcPr>
            <w:tcW w:w="2860" w:type="dxa"/>
            <w:tcBorders>
              <w:top w:val="single" w:sz="4" w:space="0" w:color="auto"/>
              <w:left w:val="nil"/>
              <w:bottom w:val="nil"/>
              <w:right w:val="nil"/>
            </w:tcBorders>
            <w:shd w:val="clear" w:color="auto" w:fill="auto"/>
            <w:hideMark/>
          </w:tcPr>
          <w:p w:rsidR="00D8674C" w:rsidRPr="00346A27" w:rsidRDefault="00D8674C" w:rsidP="00D8674C">
            <w:pPr>
              <w:keepNext w:val="0"/>
              <w:spacing w:before="40" w:after="0"/>
              <w:jc w:val="right"/>
              <w:rPr>
                <w:rFonts w:ascii="Arial" w:hAnsi="Arial" w:cs="Arial"/>
                <w:sz w:val="16"/>
                <w:szCs w:val="16"/>
              </w:rPr>
            </w:pPr>
          </w:p>
        </w:tc>
        <w:tc>
          <w:tcPr>
            <w:tcW w:w="900" w:type="dxa"/>
            <w:tcBorders>
              <w:top w:val="single" w:sz="4" w:space="0" w:color="auto"/>
              <w:left w:val="nil"/>
              <w:bottom w:val="single" w:sz="4" w:space="0" w:color="auto"/>
              <w:right w:val="nil"/>
            </w:tcBorders>
            <w:shd w:val="clear" w:color="auto" w:fill="auto"/>
            <w:hideMark/>
          </w:tcPr>
          <w:p w:rsidR="00D8674C" w:rsidRPr="00346A27" w:rsidRDefault="00D8674C" w:rsidP="00D8674C">
            <w:pPr>
              <w:keepNext w:val="0"/>
              <w:spacing w:before="40" w:after="0"/>
              <w:jc w:val="right"/>
              <w:rPr>
                <w:rFonts w:ascii="Arial" w:hAnsi="Arial" w:cs="Arial"/>
                <w:b/>
                <w:bCs/>
                <w:sz w:val="16"/>
                <w:szCs w:val="16"/>
              </w:rPr>
            </w:pPr>
            <w:r w:rsidRPr="00346A27">
              <w:rPr>
                <w:rFonts w:ascii="Arial" w:hAnsi="Arial" w:cs="Arial"/>
                <w:b/>
                <w:bCs/>
                <w:sz w:val="16"/>
                <w:szCs w:val="16"/>
              </w:rPr>
              <w:t>Estimated actual 2014-15</w:t>
            </w:r>
            <w:r w:rsidRPr="00346A27">
              <w:rPr>
                <w:rFonts w:ascii="Arial" w:hAnsi="Arial" w:cs="Arial"/>
                <w:sz w:val="16"/>
                <w:szCs w:val="16"/>
              </w:rPr>
              <w:t xml:space="preserve"> $'000</w:t>
            </w:r>
          </w:p>
        </w:tc>
        <w:tc>
          <w:tcPr>
            <w:tcW w:w="900" w:type="dxa"/>
            <w:tcBorders>
              <w:top w:val="single" w:sz="4" w:space="0" w:color="auto"/>
              <w:left w:val="nil"/>
              <w:bottom w:val="single" w:sz="4" w:space="0" w:color="auto"/>
              <w:right w:val="nil"/>
            </w:tcBorders>
            <w:shd w:val="clear" w:color="000000" w:fill="D9D9D9"/>
            <w:hideMark/>
          </w:tcPr>
          <w:p w:rsidR="00D8674C" w:rsidRPr="00346A27" w:rsidRDefault="00D8674C" w:rsidP="00D8674C">
            <w:pPr>
              <w:keepNext w:val="0"/>
              <w:spacing w:before="40" w:after="0"/>
              <w:jc w:val="right"/>
              <w:rPr>
                <w:rFonts w:ascii="Arial" w:hAnsi="Arial" w:cs="Arial"/>
                <w:b/>
                <w:bCs/>
                <w:sz w:val="16"/>
                <w:szCs w:val="16"/>
              </w:rPr>
            </w:pPr>
            <w:r w:rsidRPr="00346A27">
              <w:rPr>
                <w:rFonts w:ascii="Arial" w:hAnsi="Arial" w:cs="Arial"/>
                <w:b/>
                <w:bCs/>
                <w:sz w:val="16"/>
                <w:szCs w:val="16"/>
              </w:rPr>
              <w:t>Budget estimate 2015-16</w:t>
            </w:r>
            <w:r w:rsidRPr="00346A27">
              <w:rPr>
                <w:rFonts w:ascii="Arial" w:hAnsi="Arial" w:cs="Arial"/>
                <w:sz w:val="16"/>
                <w:szCs w:val="16"/>
              </w:rPr>
              <w:t xml:space="preserve"> $'000</w:t>
            </w:r>
          </w:p>
        </w:tc>
        <w:tc>
          <w:tcPr>
            <w:tcW w:w="900" w:type="dxa"/>
            <w:tcBorders>
              <w:top w:val="single" w:sz="4" w:space="0" w:color="auto"/>
              <w:left w:val="nil"/>
              <w:bottom w:val="single" w:sz="4" w:space="0" w:color="auto"/>
              <w:right w:val="nil"/>
            </w:tcBorders>
            <w:shd w:val="clear" w:color="auto" w:fill="auto"/>
            <w:hideMark/>
          </w:tcPr>
          <w:p w:rsidR="00D8674C" w:rsidRPr="00346A27" w:rsidRDefault="00D8674C" w:rsidP="00D8674C">
            <w:pPr>
              <w:keepNext w:val="0"/>
              <w:spacing w:before="40" w:after="0"/>
              <w:jc w:val="right"/>
              <w:rPr>
                <w:rFonts w:ascii="Arial" w:hAnsi="Arial" w:cs="Arial"/>
                <w:b/>
                <w:bCs/>
                <w:sz w:val="16"/>
                <w:szCs w:val="16"/>
              </w:rPr>
            </w:pPr>
            <w:r w:rsidRPr="00346A27">
              <w:rPr>
                <w:rFonts w:ascii="Arial" w:hAnsi="Arial" w:cs="Arial"/>
                <w:b/>
                <w:bCs/>
                <w:sz w:val="16"/>
                <w:szCs w:val="16"/>
              </w:rPr>
              <w:t xml:space="preserve">Forward estimate 2016-17 </w:t>
            </w:r>
            <w:r w:rsidRPr="00346A27">
              <w:rPr>
                <w:rFonts w:ascii="Arial" w:hAnsi="Arial" w:cs="Arial"/>
                <w:sz w:val="16"/>
                <w:szCs w:val="16"/>
              </w:rPr>
              <w:t>$'000</w:t>
            </w:r>
          </w:p>
        </w:tc>
        <w:tc>
          <w:tcPr>
            <w:tcW w:w="900" w:type="dxa"/>
            <w:tcBorders>
              <w:top w:val="single" w:sz="4" w:space="0" w:color="auto"/>
              <w:left w:val="nil"/>
              <w:bottom w:val="single" w:sz="4" w:space="0" w:color="auto"/>
              <w:right w:val="nil"/>
            </w:tcBorders>
            <w:shd w:val="clear" w:color="auto" w:fill="auto"/>
            <w:hideMark/>
          </w:tcPr>
          <w:p w:rsidR="00D8674C" w:rsidRPr="00346A27" w:rsidRDefault="00D8674C" w:rsidP="00D8674C">
            <w:pPr>
              <w:keepNext w:val="0"/>
              <w:spacing w:before="40" w:after="0"/>
              <w:jc w:val="right"/>
              <w:rPr>
                <w:rFonts w:ascii="Arial" w:hAnsi="Arial" w:cs="Arial"/>
                <w:b/>
                <w:bCs/>
                <w:sz w:val="16"/>
                <w:szCs w:val="16"/>
              </w:rPr>
            </w:pPr>
            <w:r w:rsidRPr="00346A27">
              <w:rPr>
                <w:rFonts w:ascii="Arial" w:hAnsi="Arial" w:cs="Arial"/>
                <w:b/>
                <w:bCs/>
                <w:sz w:val="16"/>
                <w:szCs w:val="16"/>
              </w:rPr>
              <w:t xml:space="preserve">Forward estimate 2017-18 </w:t>
            </w:r>
            <w:r w:rsidRPr="00346A27">
              <w:rPr>
                <w:rFonts w:ascii="Arial" w:hAnsi="Arial" w:cs="Arial"/>
                <w:sz w:val="16"/>
                <w:szCs w:val="16"/>
              </w:rPr>
              <w:t>$'000</w:t>
            </w:r>
          </w:p>
        </w:tc>
        <w:tc>
          <w:tcPr>
            <w:tcW w:w="900" w:type="dxa"/>
            <w:tcBorders>
              <w:top w:val="single" w:sz="4" w:space="0" w:color="auto"/>
              <w:left w:val="nil"/>
              <w:bottom w:val="single" w:sz="4" w:space="0" w:color="auto"/>
              <w:right w:val="nil"/>
            </w:tcBorders>
            <w:shd w:val="clear" w:color="auto" w:fill="auto"/>
            <w:hideMark/>
          </w:tcPr>
          <w:p w:rsidR="00D8674C" w:rsidRPr="00346A27" w:rsidRDefault="00D8674C" w:rsidP="00D8674C">
            <w:pPr>
              <w:keepNext w:val="0"/>
              <w:spacing w:before="40" w:after="0"/>
              <w:jc w:val="right"/>
              <w:rPr>
                <w:rFonts w:ascii="Arial" w:hAnsi="Arial" w:cs="Arial"/>
                <w:b/>
                <w:bCs/>
                <w:sz w:val="16"/>
                <w:szCs w:val="16"/>
              </w:rPr>
            </w:pPr>
            <w:r w:rsidRPr="00346A27">
              <w:rPr>
                <w:rFonts w:ascii="Arial" w:hAnsi="Arial" w:cs="Arial"/>
                <w:b/>
                <w:bCs/>
                <w:sz w:val="16"/>
                <w:szCs w:val="16"/>
              </w:rPr>
              <w:t xml:space="preserve">Forward estimate 2018-19 </w:t>
            </w:r>
            <w:r w:rsidRPr="00346A27">
              <w:rPr>
                <w:rFonts w:ascii="Arial" w:hAnsi="Arial" w:cs="Arial"/>
                <w:sz w:val="16"/>
                <w:szCs w:val="16"/>
              </w:rPr>
              <w:t>$'000</w:t>
            </w:r>
          </w:p>
        </w:tc>
      </w:tr>
      <w:tr w:rsidR="00346A27" w:rsidRPr="00346A27" w:rsidTr="00EB0950">
        <w:trPr>
          <w:trHeight w:val="225"/>
        </w:trPr>
        <w:tc>
          <w:tcPr>
            <w:tcW w:w="286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rPr>
                <w:rFonts w:ascii="Arial" w:hAnsi="Arial" w:cs="Arial"/>
                <w:b/>
                <w:bCs/>
                <w:sz w:val="16"/>
                <w:szCs w:val="16"/>
              </w:rPr>
            </w:pPr>
            <w:r w:rsidRPr="00346A27">
              <w:rPr>
                <w:rFonts w:ascii="Arial" w:hAnsi="Arial" w:cs="Arial"/>
                <w:b/>
                <w:bCs/>
                <w:sz w:val="16"/>
                <w:szCs w:val="16"/>
              </w:rPr>
              <w:t>ASSETS</w:t>
            </w:r>
          </w:p>
        </w:tc>
        <w:tc>
          <w:tcPr>
            <w:tcW w:w="900" w:type="dxa"/>
            <w:tcBorders>
              <w:top w:val="single" w:sz="4" w:space="0" w:color="auto"/>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 </w:t>
            </w:r>
          </w:p>
        </w:tc>
        <w:tc>
          <w:tcPr>
            <w:tcW w:w="900" w:type="dxa"/>
            <w:tcBorders>
              <w:top w:val="single" w:sz="4" w:space="0" w:color="auto"/>
              <w:left w:val="nil"/>
              <w:bottom w:val="nil"/>
              <w:right w:val="nil"/>
            </w:tcBorders>
            <w:shd w:val="clear" w:color="000000" w:fill="D9D9D9"/>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 </w:t>
            </w:r>
          </w:p>
        </w:tc>
        <w:tc>
          <w:tcPr>
            <w:tcW w:w="900" w:type="dxa"/>
            <w:tcBorders>
              <w:top w:val="single" w:sz="4" w:space="0" w:color="auto"/>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 </w:t>
            </w:r>
          </w:p>
        </w:tc>
        <w:tc>
          <w:tcPr>
            <w:tcW w:w="900" w:type="dxa"/>
            <w:tcBorders>
              <w:top w:val="single" w:sz="4" w:space="0" w:color="auto"/>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 </w:t>
            </w:r>
          </w:p>
        </w:tc>
        <w:tc>
          <w:tcPr>
            <w:tcW w:w="900" w:type="dxa"/>
            <w:tcBorders>
              <w:top w:val="single" w:sz="4" w:space="0" w:color="auto"/>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 </w:t>
            </w:r>
          </w:p>
        </w:tc>
      </w:tr>
      <w:tr w:rsidR="00346A27" w:rsidRPr="00346A27" w:rsidTr="00EB0950">
        <w:trPr>
          <w:trHeight w:val="225"/>
        </w:trPr>
        <w:tc>
          <w:tcPr>
            <w:tcW w:w="286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ind w:firstLineChars="100" w:firstLine="161"/>
              <w:rPr>
                <w:rFonts w:ascii="Arial" w:hAnsi="Arial" w:cs="Arial"/>
                <w:b/>
                <w:bCs/>
                <w:sz w:val="16"/>
                <w:szCs w:val="16"/>
              </w:rPr>
            </w:pPr>
            <w:r w:rsidRPr="00346A27">
              <w:rPr>
                <w:rFonts w:ascii="Arial" w:hAnsi="Arial" w:cs="Arial"/>
                <w:b/>
                <w:bCs/>
                <w:sz w:val="16"/>
                <w:szCs w:val="16"/>
              </w:rPr>
              <w:t>Financial assets</w:t>
            </w: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p>
        </w:tc>
        <w:tc>
          <w:tcPr>
            <w:tcW w:w="900" w:type="dxa"/>
            <w:tcBorders>
              <w:top w:val="nil"/>
              <w:left w:val="nil"/>
              <w:bottom w:val="nil"/>
              <w:right w:val="nil"/>
            </w:tcBorders>
            <w:shd w:val="clear" w:color="000000" w:fill="D9D9D9"/>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p>
        </w:tc>
      </w:tr>
      <w:tr w:rsidR="00346A27" w:rsidRPr="00346A27" w:rsidTr="00EB0950">
        <w:trPr>
          <w:trHeight w:val="225"/>
        </w:trPr>
        <w:tc>
          <w:tcPr>
            <w:tcW w:w="286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ind w:firstLineChars="200" w:firstLine="320"/>
              <w:rPr>
                <w:rFonts w:ascii="Arial" w:hAnsi="Arial" w:cs="Arial"/>
                <w:sz w:val="16"/>
                <w:szCs w:val="16"/>
              </w:rPr>
            </w:pPr>
            <w:r w:rsidRPr="00346A27">
              <w:rPr>
                <w:rFonts w:ascii="Arial" w:hAnsi="Arial" w:cs="Arial"/>
                <w:sz w:val="16"/>
                <w:szCs w:val="16"/>
              </w:rPr>
              <w:t>Cash and cash equivalents</w:t>
            </w: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880</w:t>
            </w:r>
          </w:p>
        </w:tc>
        <w:tc>
          <w:tcPr>
            <w:tcW w:w="900" w:type="dxa"/>
            <w:tcBorders>
              <w:top w:val="nil"/>
              <w:left w:val="nil"/>
              <w:bottom w:val="nil"/>
              <w:right w:val="nil"/>
            </w:tcBorders>
            <w:shd w:val="clear" w:color="000000" w:fill="D9D9D9"/>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1,126</w:t>
            </w: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1,126</w:t>
            </w: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1,126</w:t>
            </w: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1,126</w:t>
            </w:r>
          </w:p>
        </w:tc>
      </w:tr>
      <w:tr w:rsidR="00346A27" w:rsidRPr="00346A27" w:rsidTr="00EB0950">
        <w:trPr>
          <w:trHeight w:val="225"/>
        </w:trPr>
        <w:tc>
          <w:tcPr>
            <w:tcW w:w="286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ind w:firstLineChars="200" w:firstLine="320"/>
              <w:rPr>
                <w:rFonts w:ascii="Arial" w:hAnsi="Arial" w:cs="Arial"/>
                <w:sz w:val="16"/>
                <w:szCs w:val="16"/>
              </w:rPr>
            </w:pPr>
            <w:r w:rsidRPr="00346A27">
              <w:rPr>
                <w:rFonts w:ascii="Arial" w:hAnsi="Arial" w:cs="Arial"/>
                <w:sz w:val="16"/>
                <w:szCs w:val="16"/>
              </w:rPr>
              <w:t>Receivables</w:t>
            </w: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4,075</w:t>
            </w:r>
          </w:p>
        </w:tc>
        <w:tc>
          <w:tcPr>
            <w:tcW w:w="900" w:type="dxa"/>
            <w:tcBorders>
              <w:top w:val="nil"/>
              <w:left w:val="nil"/>
              <w:bottom w:val="nil"/>
              <w:right w:val="nil"/>
            </w:tcBorders>
            <w:shd w:val="clear" w:color="000000" w:fill="D9D9D9"/>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3,211</w:t>
            </w: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3,211</w:t>
            </w: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3,211</w:t>
            </w: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3,211</w:t>
            </w:r>
          </w:p>
        </w:tc>
      </w:tr>
      <w:tr w:rsidR="00346A27" w:rsidRPr="00346A27" w:rsidTr="00EB0950">
        <w:trPr>
          <w:trHeight w:val="225"/>
        </w:trPr>
        <w:tc>
          <w:tcPr>
            <w:tcW w:w="286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ind w:firstLineChars="200" w:firstLine="320"/>
              <w:rPr>
                <w:rFonts w:ascii="Arial" w:hAnsi="Arial" w:cs="Arial"/>
                <w:sz w:val="16"/>
                <w:szCs w:val="16"/>
              </w:rPr>
            </w:pPr>
            <w:r w:rsidRPr="00346A27">
              <w:rPr>
                <w:rFonts w:ascii="Arial" w:hAnsi="Arial" w:cs="Arial"/>
                <w:sz w:val="16"/>
                <w:szCs w:val="16"/>
              </w:rPr>
              <w:t>Accrued revenue</w:t>
            </w: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91</w:t>
            </w:r>
          </w:p>
        </w:tc>
        <w:tc>
          <w:tcPr>
            <w:tcW w:w="900" w:type="dxa"/>
            <w:tcBorders>
              <w:top w:val="nil"/>
              <w:left w:val="nil"/>
              <w:bottom w:val="nil"/>
              <w:right w:val="nil"/>
            </w:tcBorders>
            <w:shd w:val="clear" w:color="000000" w:fill="D9D9D9"/>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91</w:t>
            </w: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91</w:t>
            </w: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91</w:t>
            </w: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91</w:t>
            </w:r>
          </w:p>
        </w:tc>
      </w:tr>
      <w:tr w:rsidR="00346A27" w:rsidRPr="00346A27" w:rsidTr="00EB0950">
        <w:trPr>
          <w:trHeight w:val="225"/>
        </w:trPr>
        <w:tc>
          <w:tcPr>
            <w:tcW w:w="286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ind w:firstLineChars="200" w:firstLine="321"/>
              <w:rPr>
                <w:rFonts w:ascii="Arial" w:hAnsi="Arial" w:cs="Arial"/>
                <w:b/>
                <w:bCs/>
                <w:sz w:val="16"/>
                <w:szCs w:val="16"/>
              </w:rPr>
            </w:pPr>
            <w:r w:rsidRPr="00346A27">
              <w:rPr>
                <w:rFonts w:ascii="Arial" w:hAnsi="Arial" w:cs="Arial"/>
                <w:b/>
                <w:bCs/>
                <w:sz w:val="16"/>
                <w:szCs w:val="16"/>
              </w:rPr>
              <w:t>Total financial assets</w:t>
            </w:r>
          </w:p>
        </w:tc>
        <w:tc>
          <w:tcPr>
            <w:tcW w:w="900" w:type="dxa"/>
            <w:tcBorders>
              <w:top w:val="nil"/>
              <w:left w:val="nil"/>
              <w:bottom w:val="single" w:sz="4" w:space="0" w:color="auto"/>
              <w:right w:val="nil"/>
            </w:tcBorders>
            <w:shd w:val="clear" w:color="auto" w:fill="auto"/>
            <w:noWrap/>
            <w:vAlign w:val="bottom"/>
            <w:hideMark/>
          </w:tcPr>
          <w:p w:rsidR="00D8674C" w:rsidRPr="00346A27" w:rsidRDefault="00D8674C" w:rsidP="00D8674C">
            <w:pPr>
              <w:keepNext w:val="0"/>
              <w:spacing w:after="0"/>
              <w:jc w:val="right"/>
              <w:rPr>
                <w:rFonts w:ascii="Arial" w:hAnsi="Arial" w:cs="Arial"/>
                <w:b/>
                <w:bCs/>
                <w:sz w:val="16"/>
                <w:szCs w:val="16"/>
              </w:rPr>
            </w:pPr>
            <w:r w:rsidRPr="00346A27">
              <w:rPr>
                <w:rFonts w:ascii="Arial" w:hAnsi="Arial" w:cs="Arial"/>
                <w:b/>
                <w:bCs/>
                <w:sz w:val="16"/>
                <w:szCs w:val="16"/>
              </w:rPr>
              <w:t>5,046</w:t>
            </w:r>
          </w:p>
        </w:tc>
        <w:tc>
          <w:tcPr>
            <w:tcW w:w="900" w:type="dxa"/>
            <w:tcBorders>
              <w:top w:val="nil"/>
              <w:left w:val="nil"/>
              <w:bottom w:val="single" w:sz="4" w:space="0" w:color="auto"/>
              <w:right w:val="nil"/>
            </w:tcBorders>
            <w:shd w:val="clear" w:color="000000" w:fill="D9D9D9"/>
            <w:noWrap/>
            <w:vAlign w:val="bottom"/>
            <w:hideMark/>
          </w:tcPr>
          <w:p w:rsidR="00D8674C" w:rsidRPr="00346A27" w:rsidRDefault="00D8674C" w:rsidP="00D8674C">
            <w:pPr>
              <w:keepNext w:val="0"/>
              <w:spacing w:after="0"/>
              <w:jc w:val="right"/>
              <w:rPr>
                <w:rFonts w:ascii="Arial" w:hAnsi="Arial" w:cs="Arial"/>
                <w:b/>
                <w:bCs/>
                <w:sz w:val="16"/>
                <w:szCs w:val="16"/>
              </w:rPr>
            </w:pPr>
            <w:r w:rsidRPr="00346A27">
              <w:rPr>
                <w:rFonts w:ascii="Arial" w:hAnsi="Arial" w:cs="Arial"/>
                <w:b/>
                <w:bCs/>
                <w:sz w:val="16"/>
                <w:szCs w:val="16"/>
              </w:rPr>
              <w:t>4,428</w:t>
            </w:r>
          </w:p>
        </w:tc>
        <w:tc>
          <w:tcPr>
            <w:tcW w:w="900" w:type="dxa"/>
            <w:tcBorders>
              <w:top w:val="nil"/>
              <w:left w:val="nil"/>
              <w:bottom w:val="single" w:sz="4" w:space="0" w:color="auto"/>
              <w:right w:val="nil"/>
            </w:tcBorders>
            <w:shd w:val="clear" w:color="auto" w:fill="auto"/>
            <w:noWrap/>
            <w:vAlign w:val="bottom"/>
            <w:hideMark/>
          </w:tcPr>
          <w:p w:rsidR="00D8674C" w:rsidRPr="00346A27" w:rsidRDefault="00D8674C" w:rsidP="00D8674C">
            <w:pPr>
              <w:keepNext w:val="0"/>
              <w:spacing w:after="0"/>
              <w:jc w:val="right"/>
              <w:rPr>
                <w:rFonts w:ascii="Arial" w:hAnsi="Arial" w:cs="Arial"/>
                <w:b/>
                <w:bCs/>
                <w:sz w:val="16"/>
                <w:szCs w:val="16"/>
              </w:rPr>
            </w:pPr>
            <w:r w:rsidRPr="00346A27">
              <w:rPr>
                <w:rFonts w:ascii="Arial" w:hAnsi="Arial" w:cs="Arial"/>
                <w:b/>
                <w:bCs/>
                <w:sz w:val="16"/>
                <w:szCs w:val="16"/>
              </w:rPr>
              <w:t>4,428</w:t>
            </w:r>
          </w:p>
        </w:tc>
        <w:tc>
          <w:tcPr>
            <w:tcW w:w="900" w:type="dxa"/>
            <w:tcBorders>
              <w:top w:val="nil"/>
              <w:left w:val="nil"/>
              <w:bottom w:val="single" w:sz="4" w:space="0" w:color="auto"/>
              <w:right w:val="nil"/>
            </w:tcBorders>
            <w:shd w:val="clear" w:color="auto" w:fill="auto"/>
            <w:noWrap/>
            <w:vAlign w:val="bottom"/>
            <w:hideMark/>
          </w:tcPr>
          <w:p w:rsidR="00D8674C" w:rsidRPr="00346A27" w:rsidRDefault="00D8674C" w:rsidP="00D8674C">
            <w:pPr>
              <w:keepNext w:val="0"/>
              <w:spacing w:after="0"/>
              <w:jc w:val="right"/>
              <w:rPr>
                <w:rFonts w:ascii="Arial" w:hAnsi="Arial" w:cs="Arial"/>
                <w:b/>
                <w:bCs/>
                <w:sz w:val="16"/>
                <w:szCs w:val="16"/>
              </w:rPr>
            </w:pPr>
            <w:r w:rsidRPr="00346A27">
              <w:rPr>
                <w:rFonts w:ascii="Arial" w:hAnsi="Arial" w:cs="Arial"/>
                <w:b/>
                <w:bCs/>
                <w:sz w:val="16"/>
                <w:szCs w:val="16"/>
              </w:rPr>
              <w:t>4,428</w:t>
            </w:r>
          </w:p>
        </w:tc>
        <w:tc>
          <w:tcPr>
            <w:tcW w:w="900" w:type="dxa"/>
            <w:tcBorders>
              <w:top w:val="nil"/>
              <w:left w:val="nil"/>
              <w:bottom w:val="single" w:sz="4" w:space="0" w:color="auto"/>
              <w:right w:val="nil"/>
            </w:tcBorders>
            <w:shd w:val="clear" w:color="auto" w:fill="auto"/>
            <w:noWrap/>
            <w:vAlign w:val="bottom"/>
            <w:hideMark/>
          </w:tcPr>
          <w:p w:rsidR="00D8674C" w:rsidRPr="00346A27" w:rsidRDefault="00D8674C" w:rsidP="00D8674C">
            <w:pPr>
              <w:keepNext w:val="0"/>
              <w:spacing w:after="0"/>
              <w:jc w:val="right"/>
              <w:rPr>
                <w:rFonts w:ascii="Arial" w:hAnsi="Arial" w:cs="Arial"/>
                <w:b/>
                <w:bCs/>
                <w:sz w:val="16"/>
                <w:szCs w:val="16"/>
              </w:rPr>
            </w:pPr>
            <w:r w:rsidRPr="00346A27">
              <w:rPr>
                <w:rFonts w:ascii="Arial" w:hAnsi="Arial" w:cs="Arial"/>
                <w:b/>
                <w:bCs/>
                <w:sz w:val="16"/>
                <w:szCs w:val="16"/>
              </w:rPr>
              <w:t>4,428</w:t>
            </w:r>
          </w:p>
        </w:tc>
      </w:tr>
      <w:tr w:rsidR="00346A27" w:rsidRPr="00346A27" w:rsidTr="00EB0950">
        <w:trPr>
          <w:trHeight w:val="300"/>
        </w:trPr>
        <w:tc>
          <w:tcPr>
            <w:tcW w:w="286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ind w:firstLineChars="100" w:firstLine="161"/>
              <w:rPr>
                <w:rFonts w:ascii="Arial" w:hAnsi="Arial" w:cs="Arial"/>
                <w:b/>
                <w:bCs/>
                <w:sz w:val="16"/>
                <w:szCs w:val="16"/>
              </w:rPr>
            </w:pPr>
            <w:r w:rsidRPr="00346A27">
              <w:rPr>
                <w:rFonts w:ascii="Arial" w:hAnsi="Arial" w:cs="Arial"/>
                <w:b/>
                <w:bCs/>
                <w:sz w:val="16"/>
                <w:szCs w:val="16"/>
              </w:rPr>
              <w:t>Non-financial assets</w:t>
            </w: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p>
        </w:tc>
        <w:tc>
          <w:tcPr>
            <w:tcW w:w="900" w:type="dxa"/>
            <w:tcBorders>
              <w:top w:val="nil"/>
              <w:left w:val="nil"/>
              <w:bottom w:val="nil"/>
              <w:right w:val="nil"/>
            </w:tcBorders>
            <w:shd w:val="clear" w:color="000000" w:fill="D9D9D9"/>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p>
        </w:tc>
      </w:tr>
      <w:tr w:rsidR="00346A27" w:rsidRPr="00346A27" w:rsidTr="00EB0950">
        <w:trPr>
          <w:trHeight w:val="225"/>
        </w:trPr>
        <w:tc>
          <w:tcPr>
            <w:tcW w:w="286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ind w:firstLineChars="200" w:firstLine="320"/>
              <w:rPr>
                <w:rFonts w:ascii="Arial" w:hAnsi="Arial" w:cs="Arial"/>
                <w:sz w:val="16"/>
                <w:szCs w:val="16"/>
              </w:rPr>
            </w:pPr>
            <w:r w:rsidRPr="00346A27">
              <w:rPr>
                <w:rFonts w:ascii="Arial" w:hAnsi="Arial" w:cs="Arial"/>
                <w:sz w:val="16"/>
                <w:szCs w:val="16"/>
              </w:rPr>
              <w:t>Land and buildings</w:t>
            </w: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21,388</w:t>
            </w:r>
          </w:p>
        </w:tc>
        <w:tc>
          <w:tcPr>
            <w:tcW w:w="900" w:type="dxa"/>
            <w:tcBorders>
              <w:top w:val="nil"/>
              <w:left w:val="nil"/>
              <w:bottom w:val="nil"/>
              <w:right w:val="nil"/>
            </w:tcBorders>
            <w:shd w:val="clear" w:color="000000" w:fill="D9D9D9"/>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21,593</w:t>
            </w: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21,798</w:t>
            </w: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21,945</w:t>
            </w: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22,092</w:t>
            </w:r>
          </w:p>
        </w:tc>
      </w:tr>
      <w:tr w:rsidR="00346A27" w:rsidRPr="00346A27" w:rsidTr="00EB0950">
        <w:trPr>
          <w:trHeight w:val="225"/>
        </w:trPr>
        <w:tc>
          <w:tcPr>
            <w:tcW w:w="286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ind w:firstLineChars="200" w:firstLine="320"/>
              <w:rPr>
                <w:rFonts w:ascii="Arial" w:hAnsi="Arial" w:cs="Arial"/>
                <w:sz w:val="16"/>
                <w:szCs w:val="16"/>
              </w:rPr>
            </w:pPr>
            <w:r w:rsidRPr="00346A27">
              <w:rPr>
                <w:rFonts w:ascii="Arial" w:hAnsi="Arial" w:cs="Arial"/>
                <w:sz w:val="16"/>
                <w:szCs w:val="16"/>
              </w:rPr>
              <w:t>Property, plant and equipment</w:t>
            </w: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5,356</w:t>
            </w:r>
          </w:p>
        </w:tc>
        <w:tc>
          <w:tcPr>
            <w:tcW w:w="900" w:type="dxa"/>
            <w:tcBorders>
              <w:top w:val="nil"/>
              <w:left w:val="nil"/>
              <w:bottom w:val="nil"/>
              <w:right w:val="nil"/>
            </w:tcBorders>
            <w:shd w:val="clear" w:color="000000" w:fill="D9D9D9"/>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4,944</w:t>
            </w: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4,531</w:t>
            </w: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4,195</w:t>
            </w: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3,873</w:t>
            </w:r>
          </w:p>
        </w:tc>
      </w:tr>
      <w:tr w:rsidR="00346A27" w:rsidRPr="00346A27" w:rsidTr="00EB0950">
        <w:trPr>
          <w:trHeight w:val="225"/>
        </w:trPr>
        <w:tc>
          <w:tcPr>
            <w:tcW w:w="286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ind w:firstLineChars="200" w:firstLine="320"/>
              <w:rPr>
                <w:rFonts w:ascii="Arial" w:hAnsi="Arial" w:cs="Arial"/>
                <w:sz w:val="16"/>
                <w:szCs w:val="16"/>
              </w:rPr>
            </w:pPr>
            <w:r w:rsidRPr="00346A27">
              <w:rPr>
                <w:rFonts w:ascii="Arial" w:hAnsi="Arial" w:cs="Arial"/>
                <w:sz w:val="16"/>
                <w:szCs w:val="16"/>
              </w:rPr>
              <w:t>Inventories</w:t>
            </w: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1,453</w:t>
            </w:r>
          </w:p>
        </w:tc>
        <w:tc>
          <w:tcPr>
            <w:tcW w:w="900" w:type="dxa"/>
            <w:tcBorders>
              <w:top w:val="nil"/>
              <w:left w:val="nil"/>
              <w:bottom w:val="nil"/>
              <w:right w:val="nil"/>
            </w:tcBorders>
            <w:shd w:val="clear" w:color="000000" w:fill="D9D9D9"/>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1,428</w:t>
            </w: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1,428</w:t>
            </w: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1,428</w:t>
            </w: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1,428</w:t>
            </w:r>
          </w:p>
        </w:tc>
      </w:tr>
      <w:tr w:rsidR="00346A27" w:rsidRPr="00346A27" w:rsidTr="00EB0950">
        <w:trPr>
          <w:trHeight w:val="225"/>
        </w:trPr>
        <w:tc>
          <w:tcPr>
            <w:tcW w:w="286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ind w:firstLineChars="200" w:firstLine="320"/>
              <w:rPr>
                <w:rFonts w:ascii="Arial" w:hAnsi="Arial" w:cs="Arial"/>
                <w:sz w:val="16"/>
                <w:szCs w:val="16"/>
              </w:rPr>
            </w:pPr>
            <w:r w:rsidRPr="00346A27">
              <w:rPr>
                <w:rFonts w:ascii="Arial" w:hAnsi="Arial" w:cs="Arial"/>
                <w:sz w:val="16"/>
                <w:szCs w:val="16"/>
              </w:rPr>
              <w:t>Intangibles</w:t>
            </w: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606</w:t>
            </w:r>
          </w:p>
        </w:tc>
        <w:tc>
          <w:tcPr>
            <w:tcW w:w="900" w:type="dxa"/>
            <w:tcBorders>
              <w:top w:val="nil"/>
              <w:left w:val="nil"/>
              <w:bottom w:val="nil"/>
              <w:right w:val="nil"/>
            </w:tcBorders>
            <w:shd w:val="clear" w:color="000000" w:fill="D9D9D9"/>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621</w:t>
            </w: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636</w:t>
            </w: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651</w:t>
            </w: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666</w:t>
            </w:r>
          </w:p>
        </w:tc>
      </w:tr>
      <w:tr w:rsidR="00346A27" w:rsidRPr="00346A27" w:rsidTr="00EB0950">
        <w:trPr>
          <w:trHeight w:val="225"/>
        </w:trPr>
        <w:tc>
          <w:tcPr>
            <w:tcW w:w="286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ind w:firstLineChars="200" w:firstLine="320"/>
              <w:rPr>
                <w:rFonts w:ascii="Arial" w:hAnsi="Arial" w:cs="Arial"/>
                <w:sz w:val="16"/>
                <w:szCs w:val="16"/>
              </w:rPr>
            </w:pPr>
            <w:r w:rsidRPr="00346A27">
              <w:rPr>
                <w:rFonts w:ascii="Arial" w:hAnsi="Arial" w:cs="Arial"/>
                <w:sz w:val="16"/>
                <w:szCs w:val="16"/>
              </w:rPr>
              <w:t>Other</w:t>
            </w: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369</w:t>
            </w:r>
          </w:p>
        </w:tc>
        <w:tc>
          <w:tcPr>
            <w:tcW w:w="900" w:type="dxa"/>
            <w:tcBorders>
              <w:top w:val="nil"/>
              <w:left w:val="nil"/>
              <w:bottom w:val="nil"/>
              <w:right w:val="nil"/>
            </w:tcBorders>
            <w:shd w:val="clear" w:color="000000" w:fill="D9D9D9"/>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369</w:t>
            </w: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369</w:t>
            </w: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369</w:t>
            </w: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369</w:t>
            </w:r>
          </w:p>
        </w:tc>
      </w:tr>
      <w:tr w:rsidR="00346A27" w:rsidRPr="00346A27" w:rsidTr="00EB0950">
        <w:trPr>
          <w:trHeight w:val="225"/>
        </w:trPr>
        <w:tc>
          <w:tcPr>
            <w:tcW w:w="286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ind w:firstLineChars="200" w:firstLine="321"/>
              <w:rPr>
                <w:rFonts w:ascii="Arial" w:hAnsi="Arial" w:cs="Arial"/>
                <w:b/>
                <w:bCs/>
                <w:sz w:val="16"/>
                <w:szCs w:val="16"/>
              </w:rPr>
            </w:pPr>
            <w:r w:rsidRPr="00346A27">
              <w:rPr>
                <w:rFonts w:ascii="Arial" w:hAnsi="Arial" w:cs="Arial"/>
                <w:b/>
                <w:bCs/>
                <w:sz w:val="16"/>
                <w:szCs w:val="16"/>
              </w:rPr>
              <w:t>Total non-financial assets</w:t>
            </w:r>
          </w:p>
        </w:tc>
        <w:tc>
          <w:tcPr>
            <w:tcW w:w="900" w:type="dxa"/>
            <w:tcBorders>
              <w:top w:val="nil"/>
              <w:left w:val="nil"/>
              <w:bottom w:val="single" w:sz="4" w:space="0" w:color="auto"/>
              <w:right w:val="nil"/>
            </w:tcBorders>
            <w:shd w:val="clear" w:color="auto" w:fill="auto"/>
            <w:noWrap/>
            <w:vAlign w:val="bottom"/>
            <w:hideMark/>
          </w:tcPr>
          <w:p w:rsidR="00D8674C" w:rsidRPr="00346A27" w:rsidRDefault="00D8674C" w:rsidP="00D8674C">
            <w:pPr>
              <w:keepNext w:val="0"/>
              <w:spacing w:after="0"/>
              <w:jc w:val="right"/>
              <w:rPr>
                <w:rFonts w:ascii="Arial" w:hAnsi="Arial" w:cs="Arial"/>
                <w:b/>
                <w:bCs/>
                <w:sz w:val="16"/>
                <w:szCs w:val="16"/>
              </w:rPr>
            </w:pPr>
            <w:r w:rsidRPr="00346A27">
              <w:rPr>
                <w:rFonts w:ascii="Arial" w:hAnsi="Arial" w:cs="Arial"/>
                <w:b/>
                <w:bCs/>
                <w:sz w:val="16"/>
                <w:szCs w:val="16"/>
              </w:rPr>
              <w:t>29,172</w:t>
            </w:r>
          </w:p>
        </w:tc>
        <w:tc>
          <w:tcPr>
            <w:tcW w:w="900" w:type="dxa"/>
            <w:tcBorders>
              <w:top w:val="nil"/>
              <w:left w:val="nil"/>
              <w:bottom w:val="single" w:sz="4" w:space="0" w:color="auto"/>
              <w:right w:val="nil"/>
            </w:tcBorders>
            <w:shd w:val="clear" w:color="000000" w:fill="D9D9D9"/>
            <w:noWrap/>
            <w:vAlign w:val="bottom"/>
            <w:hideMark/>
          </w:tcPr>
          <w:p w:rsidR="00D8674C" w:rsidRPr="00346A27" w:rsidRDefault="00D8674C" w:rsidP="00D8674C">
            <w:pPr>
              <w:keepNext w:val="0"/>
              <w:spacing w:after="0"/>
              <w:jc w:val="right"/>
              <w:rPr>
                <w:rFonts w:ascii="Arial" w:hAnsi="Arial" w:cs="Arial"/>
                <w:b/>
                <w:bCs/>
                <w:sz w:val="16"/>
                <w:szCs w:val="16"/>
              </w:rPr>
            </w:pPr>
            <w:r w:rsidRPr="00346A27">
              <w:rPr>
                <w:rFonts w:ascii="Arial" w:hAnsi="Arial" w:cs="Arial"/>
                <w:b/>
                <w:bCs/>
                <w:sz w:val="16"/>
                <w:szCs w:val="16"/>
              </w:rPr>
              <w:t>28,955</w:t>
            </w:r>
          </w:p>
        </w:tc>
        <w:tc>
          <w:tcPr>
            <w:tcW w:w="900" w:type="dxa"/>
            <w:tcBorders>
              <w:top w:val="nil"/>
              <w:left w:val="nil"/>
              <w:bottom w:val="single" w:sz="4" w:space="0" w:color="auto"/>
              <w:right w:val="nil"/>
            </w:tcBorders>
            <w:shd w:val="clear" w:color="auto" w:fill="auto"/>
            <w:noWrap/>
            <w:vAlign w:val="bottom"/>
            <w:hideMark/>
          </w:tcPr>
          <w:p w:rsidR="00D8674C" w:rsidRPr="00346A27" w:rsidRDefault="00D8674C" w:rsidP="00D8674C">
            <w:pPr>
              <w:keepNext w:val="0"/>
              <w:spacing w:after="0"/>
              <w:jc w:val="right"/>
              <w:rPr>
                <w:rFonts w:ascii="Arial" w:hAnsi="Arial" w:cs="Arial"/>
                <w:b/>
                <w:bCs/>
                <w:sz w:val="16"/>
                <w:szCs w:val="16"/>
              </w:rPr>
            </w:pPr>
            <w:r w:rsidRPr="00346A27">
              <w:rPr>
                <w:rFonts w:ascii="Arial" w:hAnsi="Arial" w:cs="Arial"/>
                <w:b/>
                <w:bCs/>
                <w:sz w:val="16"/>
                <w:szCs w:val="16"/>
              </w:rPr>
              <w:t>28,762</w:t>
            </w:r>
          </w:p>
        </w:tc>
        <w:tc>
          <w:tcPr>
            <w:tcW w:w="900" w:type="dxa"/>
            <w:tcBorders>
              <w:top w:val="nil"/>
              <w:left w:val="nil"/>
              <w:bottom w:val="single" w:sz="4" w:space="0" w:color="auto"/>
              <w:right w:val="nil"/>
            </w:tcBorders>
            <w:shd w:val="clear" w:color="auto" w:fill="auto"/>
            <w:noWrap/>
            <w:vAlign w:val="bottom"/>
            <w:hideMark/>
          </w:tcPr>
          <w:p w:rsidR="00D8674C" w:rsidRPr="00346A27" w:rsidRDefault="00D8674C" w:rsidP="00D8674C">
            <w:pPr>
              <w:keepNext w:val="0"/>
              <w:spacing w:after="0"/>
              <w:jc w:val="right"/>
              <w:rPr>
                <w:rFonts w:ascii="Arial" w:hAnsi="Arial" w:cs="Arial"/>
                <w:b/>
                <w:bCs/>
                <w:sz w:val="16"/>
                <w:szCs w:val="16"/>
              </w:rPr>
            </w:pPr>
            <w:r w:rsidRPr="00346A27">
              <w:rPr>
                <w:rFonts w:ascii="Arial" w:hAnsi="Arial" w:cs="Arial"/>
                <w:b/>
                <w:bCs/>
                <w:sz w:val="16"/>
                <w:szCs w:val="16"/>
              </w:rPr>
              <w:t>28,588</w:t>
            </w:r>
          </w:p>
        </w:tc>
        <w:tc>
          <w:tcPr>
            <w:tcW w:w="900" w:type="dxa"/>
            <w:tcBorders>
              <w:top w:val="nil"/>
              <w:left w:val="nil"/>
              <w:bottom w:val="single" w:sz="4" w:space="0" w:color="auto"/>
              <w:right w:val="nil"/>
            </w:tcBorders>
            <w:shd w:val="clear" w:color="auto" w:fill="auto"/>
            <w:noWrap/>
            <w:vAlign w:val="bottom"/>
            <w:hideMark/>
          </w:tcPr>
          <w:p w:rsidR="00D8674C" w:rsidRPr="00346A27" w:rsidRDefault="00D8674C" w:rsidP="00D8674C">
            <w:pPr>
              <w:keepNext w:val="0"/>
              <w:spacing w:after="0"/>
              <w:jc w:val="right"/>
              <w:rPr>
                <w:rFonts w:ascii="Arial" w:hAnsi="Arial" w:cs="Arial"/>
                <w:b/>
                <w:bCs/>
                <w:sz w:val="16"/>
                <w:szCs w:val="16"/>
              </w:rPr>
            </w:pPr>
            <w:r w:rsidRPr="00346A27">
              <w:rPr>
                <w:rFonts w:ascii="Arial" w:hAnsi="Arial" w:cs="Arial"/>
                <w:b/>
                <w:bCs/>
                <w:sz w:val="16"/>
                <w:szCs w:val="16"/>
              </w:rPr>
              <w:t>28,428</w:t>
            </w:r>
          </w:p>
        </w:tc>
      </w:tr>
      <w:tr w:rsidR="00346A27" w:rsidRPr="00346A27" w:rsidTr="00EB0950">
        <w:trPr>
          <w:trHeight w:val="225"/>
        </w:trPr>
        <w:tc>
          <w:tcPr>
            <w:tcW w:w="286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ind w:firstLineChars="100" w:firstLine="161"/>
              <w:rPr>
                <w:rFonts w:ascii="Arial" w:hAnsi="Arial" w:cs="Arial"/>
                <w:b/>
                <w:bCs/>
                <w:sz w:val="16"/>
                <w:szCs w:val="16"/>
              </w:rPr>
            </w:pPr>
            <w:r w:rsidRPr="00346A27">
              <w:rPr>
                <w:rFonts w:ascii="Arial" w:hAnsi="Arial" w:cs="Arial"/>
                <w:b/>
                <w:bCs/>
                <w:sz w:val="16"/>
                <w:szCs w:val="16"/>
              </w:rPr>
              <w:t>Total assets</w:t>
            </w:r>
          </w:p>
        </w:tc>
        <w:tc>
          <w:tcPr>
            <w:tcW w:w="900" w:type="dxa"/>
            <w:tcBorders>
              <w:top w:val="nil"/>
              <w:left w:val="nil"/>
              <w:bottom w:val="single" w:sz="4" w:space="0" w:color="auto"/>
              <w:right w:val="nil"/>
            </w:tcBorders>
            <w:shd w:val="clear" w:color="auto" w:fill="auto"/>
            <w:noWrap/>
            <w:vAlign w:val="bottom"/>
            <w:hideMark/>
          </w:tcPr>
          <w:p w:rsidR="00D8674C" w:rsidRPr="00346A27" w:rsidRDefault="00D8674C" w:rsidP="00D8674C">
            <w:pPr>
              <w:keepNext w:val="0"/>
              <w:spacing w:after="0"/>
              <w:jc w:val="right"/>
              <w:rPr>
                <w:rFonts w:ascii="Arial" w:hAnsi="Arial" w:cs="Arial"/>
                <w:b/>
                <w:bCs/>
                <w:sz w:val="16"/>
                <w:szCs w:val="16"/>
              </w:rPr>
            </w:pPr>
            <w:r w:rsidRPr="00346A27">
              <w:rPr>
                <w:rFonts w:ascii="Arial" w:hAnsi="Arial" w:cs="Arial"/>
                <w:b/>
                <w:bCs/>
                <w:sz w:val="16"/>
                <w:szCs w:val="16"/>
              </w:rPr>
              <w:t>34,218</w:t>
            </w:r>
          </w:p>
        </w:tc>
        <w:tc>
          <w:tcPr>
            <w:tcW w:w="900" w:type="dxa"/>
            <w:tcBorders>
              <w:top w:val="nil"/>
              <w:left w:val="nil"/>
              <w:bottom w:val="single" w:sz="4" w:space="0" w:color="auto"/>
              <w:right w:val="nil"/>
            </w:tcBorders>
            <w:shd w:val="clear" w:color="000000" w:fill="D9D9D9"/>
            <w:noWrap/>
            <w:vAlign w:val="bottom"/>
            <w:hideMark/>
          </w:tcPr>
          <w:p w:rsidR="00D8674C" w:rsidRPr="00346A27" w:rsidRDefault="00D8674C" w:rsidP="00D8674C">
            <w:pPr>
              <w:keepNext w:val="0"/>
              <w:spacing w:after="0"/>
              <w:jc w:val="right"/>
              <w:rPr>
                <w:rFonts w:ascii="Arial" w:hAnsi="Arial" w:cs="Arial"/>
                <w:b/>
                <w:bCs/>
                <w:sz w:val="16"/>
                <w:szCs w:val="16"/>
              </w:rPr>
            </w:pPr>
            <w:r w:rsidRPr="00346A27">
              <w:rPr>
                <w:rFonts w:ascii="Arial" w:hAnsi="Arial" w:cs="Arial"/>
                <w:b/>
                <w:bCs/>
                <w:sz w:val="16"/>
                <w:szCs w:val="16"/>
              </w:rPr>
              <w:t>33,383</w:t>
            </w:r>
          </w:p>
        </w:tc>
        <w:tc>
          <w:tcPr>
            <w:tcW w:w="900" w:type="dxa"/>
            <w:tcBorders>
              <w:top w:val="nil"/>
              <w:left w:val="nil"/>
              <w:bottom w:val="single" w:sz="4" w:space="0" w:color="auto"/>
              <w:right w:val="nil"/>
            </w:tcBorders>
            <w:shd w:val="clear" w:color="auto" w:fill="auto"/>
            <w:noWrap/>
            <w:vAlign w:val="bottom"/>
            <w:hideMark/>
          </w:tcPr>
          <w:p w:rsidR="00D8674C" w:rsidRPr="00346A27" w:rsidRDefault="00D8674C" w:rsidP="00D8674C">
            <w:pPr>
              <w:keepNext w:val="0"/>
              <w:spacing w:after="0"/>
              <w:jc w:val="right"/>
              <w:rPr>
                <w:rFonts w:ascii="Arial" w:hAnsi="Arial" w:cs="Arial"/>
                <w:b/>
                <w:bCs/>
                <w:sz w:val="16"/>
                <w:szCs w:val="16"/>
              </w:rPr>
            </w:pPr>
            <w:r w:rsidRPr="00346A27">
              <w:rPr>
                <w:rFonts w:ascii="Arial" w:hAnsi="Arial" w:cs="Arial"/>
                <w:b/>
                <w:bCs/>
                <w:sz w:val="16"/>
                <w:szCs w:val="16"/>
              </w:rPr>
              <w:t>33,190</w:t>
            </w:r>
          </w:p>
        </w:tc>
        <w:tc>
          <w:tcPr>
            <w:tcW w:w="900" w:type="dxa"/>
            <w:tcBorders>
              <w:top w:val="nil"/>
              <w:left w:val="nil"/>
              <w:bottom w:val="single" w:sz="4" w:space="0" w:color="auto"/>
              <w:right w:val="nil"/>
            </w:tcBorders>
            <w:shd w:val="clear" w:color="auto" w:fill="auto"/>
            <w:noWrap/>
            <w:vAlign w:val="bottom"/>
            <w:hideMark/>
          </w:tcPr>
          <w:p w:rsidR="00D8674C" w:rsidRPr="00346A27" w:rsidRDefault="00D8674C" w:rsidP="00D8674C">
            <w:pPr>
              <w:keepNext w:val="0"/>
              <w:spacing w:after="0"/>
              <w:jc w:val="right"/>
              <w:rPr>
                <w:rFonts w:ascii="Arial" w:hAnsi="Arial" w:cs="Arial"/>
                <w:b/>
                <w:bCs/>
                <w:sz w:val="16"/>
                <w:szCs w:val="16"/>
              </w:rPr>
            </w:pPr>
            <w:r w:rsidRPr="00346A27">
              <w:rPr>
                <w:rFonts w:ascii="Arial" w:hAnsi="Arial" w:cs="Arial"/>
                <w:b/>
                <w:bCs/>
                <w:sz w:val="16"/>
                <w:szCs w:val="16"/>
              </w:rPr>
              <w:t>33,016</w:t>
            </w:r>
          </w:p>
        </w:tc>
        <w:tc>
          <w:tcPr>
            <w:tcW w:w="900" w:type="dxa"/>
            <w:tcBorders>
              <w:top w:val="nil"/>
              <w:left w:val="nil"/>
              <w:bottom w:val="single" w:sz="4" w:space="0" w:color="auto"/>
              <w:right w:val="nil"/>
            </w:tcBorders>
            <w:shd w:val="clear" w:color="auto" w:fill="auto"/>
            <w:noWrap/>
            <w:vAlign w:val="bottom"/>
            <w:hideMark/>
          </w:tcPr>
          <w:p w:rsidR="00D8674C" w:rsidRPr="00346A27" w:rsidRDefault="00D8674C" w:rsidP="00D8674C">
            <w:pPr>
              <w:keepNext w:val="0"/>
              <w:spacing w:after="0"/>
              <w:jc w:val="right"/>
              <w:rPr>
                <w:rFonts w:ascii="Arial" w:hAnsi="Arial" w:cs="Arial"/>
                <w:b/>
                <w:bCs/>
                <w:sz w:val="16"/>
                <w:szCs w:val="16"/>
              </w:rPr>
            </w:pPr>
            <w:r w:rsidRPr="00346A27">
              <w:rPr>
                <w:rFonts w:ascii="Arial" w:hAnsi="Arial" w:cs="Arial"/>
                <w:b/>
                <w:bCs/>
                <w:sz w:val="16"/>
                <w:szCs w:val="16"/>
              </w:rPr>
              <w:t>32,856</w:t>
            </w:r>
          </w:p>
        </w:tc>
      </w:tr>
      <w:tr w:rsidR="00346A27" w:rsidRPr="00346A27" w:rsidTr="00EB0950">
        <w:trPr>
          <w:trHeight w:val="300"/>
        </w:trPr>
        <w:tc>
          <w:tcPr>
            <w:tcW w:w="286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rPr>
                <w:rFonts w:ascii="Arial" w:hAnsi="Arial" w:cs="Arial"/>
                <w:b/>
                <w:bCs/>
                <w:sz w:val="16"/>
                <w:szCs w:val="16"/>
              </w:rPr>
            </w:pPr>
            <w:r w:rsidRPr="00346A27">
              <w:rPr>
                <w:rFonts w:ascii="Arial" w:hAnsi="Arial" w:cs="Arial"/>
                <w:b/>
                <w:bCs/>
                <w:sz w:val="16"/>
                <w:szCs w:val="16"/>
              </w:rPr>
              <w:t>LIABILITIES</w:t>
            </w: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p>
        </w:tc>
        <w:tc>
          <w:tcPr>
            <w:tcW w:w="900" w:type="dxa"/>
            <w:tcBorders>
              <w:top w:val="nil"/>
              <w:left w:val="nil"/>
              <w:bottom w:val="nil"/>
              <w:right w:val="nil"/>
            </w:tcBorders>
            <w:shd w:val="clear" w:color="000000" w:fill="D9D9D9"/>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p>
        </w:tc>
      </w:tr>
      <w:tr w:rsidR="00346A27" w:rsidRPr="00346A27" w:rsidTr="00EB0950">
        <w:trPr>
          <w:trHeight w:val="225"/>
        </w:trPr>
        <w:tc>
          <w:tcPr>
            <w:tcW w:w="286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ind w:firstLineChars="100" w:firstLine="161"/>
              <w:rPr>
                <w:rFonts w:ascii="Arial" w:hAnsi="Arial" w:cs="Arial"/>
                <w:b/>
                <w:bCs/>
                <w:sz w:val="16"/>
                <w:szCs w:val="16"/>
              </w:rPr>
            </w:pPr>
            <w:r w:rsidRPr="00346A27">
              <w:rPr>
                <w:rFonts w:ascii="Arial" w:hAnsi="Arial" w:cs="Arial"/>
                <w:b/>
                <w:bCs/>
                <w:sz w:val="16"/>
                <w:szCs w:val="16"/>
              </w:rPr>
              <w:t>Payables</w:t>
            </w: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p>
        </w:tc>
        <w:tc>
          <w:tcPr>
            <w:tcW w:w="900" w:type="dxa"/>
            <w:tcBorders>
              <w:top w:val="nil"/>
              <w:left w:val="nil"/>
              <w:bottom w:val="nil"/>
              <w:right w:val="nil"/>
            </w:tcBorders>
            <w:shd w:val="clear" w:color="000000" w:fill="D9D9D9"/>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p>
        </w:tc>
      </w:tr>
      <w:tr w:rsidR="00346A27" w:rsidRPr="00346A27" w:rsidTr="00EB0950">
        <w:trPr>
          <w:trHeight w:val="225"/>
        </w:trPr>
        <w:tc>
          <w:tcPr>
            <w:tcW w:w="286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ind w:firstLineChars="200" w:firstLine="320"/>
              <w:rPr>
                <w:rFonts w:ascii="Arial" w:hAnsi="Arial" w:cs="Arial"/>
                <w:sz w:val="16"/>
                <w:szCs w:val="16"/>
              </w:rPr>
            </w:pPr>
            <w:r w:rsidRPr="00346A27">
              <w:rPr>
                <w:rFonts w:ascii="Arial" w:hAnsi="Arial" w:cs="Arial"/>
                <w:sz w:val="16"/>
                <w:szCs w:val="16"/>
              </w:rPr>
              <w:t>Suppliers</w:t>
            </w: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w:t>
            </w:r>
          </w:p>
        </w:tc>
        <w:tc>
          <w:tcPr>
            <w:tcW w:w="900" w:type="dxa"/>
            <w:tcBorders>
              <w:top w:val="nil"/>
              <w:left w:val="nil"/>
              <w:bottom w:val="nil"/>
              <w:right w:val="nil"/>
            </w:tcBorders>
            <w:shd w:val="clear" w:color="000000" w:fill="D9D9D9"/>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w:t>
            </w:r>
          </w:p>
        </w:tc>
      </w:tr>
      <w:tr w:rsidR="00346A27" w:rsidRPr="00346A27" w:rsidTr="00EB0950">
        <w:trPr>
          <w:trHeight w:val="225"/>
        </w:trPr>
        <w:tc>
          <w:tcPr>
            <w:tcW w:w="286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ind w:firstLineChars="200" w:firstLine="320"/>
              <w:rPr>
                <w:rFonts w:ascii="Arial" w:hAnsi="Arial" w:cs="Arial"/>
                <w:sz w:val="16"/>
                <w:szCs w:val="16"/>
              </w:rPr>
            </w:pPr>
            <w:r w:rsidRPr="00346A27">
              <w:rPr>
                <w:rFonts w:ascii="Arial" w:hAnsi="Arial" w:cs="Arial"/>
                <w:sz w:val="16"/>
                <w:szCs w:val="16"/>
              </w:rPr>
              <w:t>Other payables</w:t>
            </w: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1,240</w:t>
            </w:r>
          </w:p>
        </w:tc>
        <w:tc>
          <w:tcPr>
            <w:tcW w:w="900" w:type="dxa"/>
            <w:tcBorders>
              <w:top w:val="nil"/>
              <w:left w:val="nil"/>
              <w:bottom w:val="nil"/>
              <w:right w:val="nil"/>
            </w:tcBorders>
            <w:shd w:val="clear" w:color="000000" w:fill="D9D9D9"/>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1,240</w:t>
            </w: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1,240</w:t>
            </w: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1,240</w:t>
            </w: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1,240</w:t>
            </w:r>
          </w:p>
        </w:tc>
      </w:tr>
      <w:tr w:rsidR="00346A27" w:rsidRPr="00346A27" w:rsidTr="00EB0950">
        <w:trPr>
          <w:trHeight w:val="225"/>
        </w:trPr>
        <w:tc>
          <w:tcPr>
            <w:tcW w:w="286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ind w:firstLineChars="200" w:firstLine="321"/>
              <w:rPr>
                <w:rFonts w:ascii="Arial" w:hAnsi="Arial" w:cs="Arial"/>
                <w:b/>
                <w:bCs/>
                <w:sz w:val="16"/>
                <w:szCs w:val="16"/>
              </w:rPr>
            </w:pPr>
            <w:r w:rsidRPr="00346A27">
              <w:rPr>
                <w:rFonts w:ascii="Arial" w:hAnsi="Arial" w:cs="Arial"/>
                <w:b/>
                <w:bCs/>
                <w:sz w:val="16"/>
                <w:szCs w:val="16"/>
              </w:rPr>
              <w:t>Total payables</w:t>
            </w:r>
          </w:p>
        </w:tc>
        <w:tc>
          <w:tcPr>
            <w:tcW w:w="900" w:type="dxa"/>
            <w:tcBorders>
              <w:top w:val="nil"/>
              <w:left w:val="nil"/>
              <w:bottom w:val="single" w:sz="4" w:space="0" w:color="auto"/>
              <w:right w:val="nil"/>
            </w:tcBorders>
            <w:shd w:val="clear" w:color="auto" w:fill="auto"/>
            <w:noWrap/>
            <w:vAlign w:val="bottom"/>
            <w:hideMark/>
          </w:tcPr>
          <w:p w:rsidR="00D8674C" w:rsidRPr="00346A27" w:rsidRDefault="00D8674C" w:rsidP="00D8674C">
            <w:pPr>
              <w:keepNext w:val="0"/>
              <w:spacing w:after="0"/>
              <w:jc w:val="right"/>
              <w:rPr>
                <w:rFonts w:ascii="Arial" w:hAnsi="Arial" w:cs="Arial"/>
                <w:b/>
                <w:bCs/>
                <w:sz w:val="16"/>
                <w:szCs w:val="16"/>
              </w:rPr>
            </w:pPr>
            <w:r w:rsidRPr="00346A27">
              <w:rPr>
                <w:rFonts w:ascii="Arial" w:hAnsi="Arial" w:cs="Arial"/>
                <w:b/>
                <w:bCs/>
                <w:sz w:val="16"/>
                <w:szCs w:val="16"/>
              </w:rPr>
              <w:t>1,240</w:t>
            </w:r>
          </w:p>
        </w:tc>
        <w:tc>
          <w:tcPr>
            <w:tcW w:w="900" w:type="dxa"/>
            <w:tcBorders>
              <w:top w:val="nil"/>
              <w:left w:val="nil"/>
              <w:bottom w:val="single" w:sz="4" w:space="0" w:color="auto"/>
              <w:right w:val="nil"/>
            </w:tcBorders>
            <w:shd w:val="clear" w:color="000000" w:fill="D9D9D9"/>
            <w:noWrap/>
            <w:vAlign w:val="bottom"/>
            <w:hideMark/>
          </w:tcPr>
          <w:p w:rsidR="00D8674C" w:rsidRPr="00346A27" w:rsidRDefault="00D8674C" w:rsidP="00D8674C">
            <w:pPr>
              <w:keepNext w:val="0"/>
              <w:spacing w:after="0"/>
              <w:jc w:val="right"/>
              <w:rPr>
                <w:rFonts w:ascii="Arial" w:hAnsi="Arial" w:cs="Arial"/>
                <w:b/>
                <w:bCs/>
                <w:sz w:val="16"/>
                <w:szCs w:val="16"/>
              </w:rPr>
            </w:pPr>
            <w:r w:rsidRPr="00346A27">
              <w:rPr>
                <w:rFonts w:ascii="Arial" w:hAnsi="Arial" w:cs="Arial"/>
                <w:b/>
                <w:bCs/>
                <w:sz w:val="16"/>
                <w:szCs w:val="16"/>
              </w:rPr>
              <w:t>1,240</w:t>
            </w:r>
          </w:p>
        </w:tc>
        <w:tc>
          <w:tcPr>
            <w:tcW w:w="900" w:type="dxa"/>
            <w:tcBorders>
              <w:top w:val="nil"/>
              <w:left w:val="nil"/>
              <w:bottom w:val="single" w:sz="4" w:space="0" w:color="auto"/>
              <w:right w:val="nil"/>
            </w:tcBorders>
            <w:shd w:val="clear" w:color="auto" w:fill="auto"/>
            <w:noWrap/>
            <w:vAlign w:val="bottom"/>
            <w:hideMark/>
          </w:tcPr>
          <w:p w:rsidR="00D8674C" w:rsidRPr="00346A27" w:rsidRDefault="00D8674C" w:rsidP="00D8674C">
            <w:pPr>
              <w:keepNext w:val="0"/>
              <w:spacing w:after="0"/>
              <w:jc w:val="right"/>
              <w:rPr>
                <w:rFonts w:ascii="Arial" w:hAnsi="Arial" w:cs="Arial"/>
                <w:b/>
                <w:bCs/>
                <w:sz w:val="16"/>
                <w:szCs w:val="16"/>
              </w:rPr>
            </w:pPr>
            <w:r w:rsidRPr="00346A27">
              <w:rPr>
                <w:rFonts w:ascii="Arial" w:hAnsi="Arial" w:cs="Arial"/>
                <w:b/>
                <w:bCs/>
                <w:sz w:val="16"/>
                <w:szCs w:val="16"/>
              </w:rPr>
              <w:t>1,240</w:t>
            </w:r>
          </w:p>
        </w:tc>
        <w:tc>
          <w:tcPr>
            <w:tcW w:w="900" w:type="dxa"/>
            <w:tcBorders>
              <w:top w:val="nil"/>
              <w:left w:val="nil"/>
              <w:bottom w:val="single" w:sz="4" w:space="0" w:color="auto"/>
              <w:right w:val="nil"/>
            </w:tcBorders>
            <w:shd w:val="clear" w:color="auto" w:fill="auto"/>
            <w:noWrap/>
            <w:vAlign w:val="bottom"/>
            <w:hideMark/>
          </w:tcPr>
          <w:p w:rsidR="00D8674C" w:rsidRPr="00346A27" w:rsidRDefault="00D8674C" w:rsidP="00D8674C">
            <w:pPr>
              <w:keepNext w:val="0"/>
              <w:spacing w:after="0"/>
              <w:jc w:val="right"/>
              <w:rPr>
                <w:rFonts w:ascii="Arial" w:hAnsi="Arial" w:cs="Arial"/>
                <w:b/>
                <w:bCs/>
                <w:sz w:val="16"/>
                <w:szCs w:val="16"/>
              </w:rPr>
            </w:pPr>
            <w:r w:rsidRPr="00346A27">
              <w:rPr>
                <w:rFonts w:ascii="Arial" w:hAnsi="Arial" w:cs="Arial"/>
                <w:b/>
                <w:bCs/>
                <w:sz w:val="16"/>
                <w:szCs w:val="16"/>
              </w:rPr>
              <w:t>1,240</w:t>
            </w:r>
          </w:p>
        </w:tc>
        <w:tc>
          <w:tcPr>
            <w:tcW w:w="900" w:type="dxa"/>
            <w:tcBorders>
              <w:top w:val="nil"/>
              <w:left w:val="nil"/>
              <w:bottom w:val="single" w:sz="4" w:space="0" w:color="auto"/>
              <w:right w:val="nil"/>
            </w:tcBorders>
            <w:shd w:val="clear" w:color="auto" w:fill="auto"/>
            <w:noWrap/>
            <w:vAlign w:val="bottom"/>
            <w:hideMark/>
          </w:tcPr>
          <w:p w:rsidR="00D8674C" w:rsidRPr="00346A27" w:rsidRDefault="00D8674C" w:rsidP="00D8674C">
            <w:pPr>
              <w:keepNext w:val="0"/>
              <w:spacing w:after="0"/>
              <w:jc w:val="right"/>
              <w:rPr>
                <w:rFonts w:ascii="Arial" w:hAnsi="Arial" w:cs="Arial"/>
                <w:b/>
                <w:bCs/>
                <w:sz w:val="16"/>
                <w:szCs w:val="16"/>
              </w:rPr>
            </w:pPr>
            <w:r w:rsidRPr="00346A27">
              <w:rPr>
                <w:rFonts w:ascii="Arial" w:hAnsi="Arial" w:cs="Arial"/>
                <w:b/>
                <w:bCs/>
                <w:sz w:val="16"/>
                <w:szCs w:val="16"/>
              </w:rPr>
              <w:t>1,240</w:t>
            </w:r>
          </w:p>
        </w:tc>
      </w:tr>
      <w:tr w:rsidR="00346A27" w:rsidRPr="00346A27" w:rsidTr="00EB0950">
        <w:trPr>
          <w:trHeight w:val="300"/>
        </w:trPr>
        <w:tc>
          <w:tcPr>
            <w:tcW w:w="286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ind w:firstLineChars="100" w:firstLine="161"/>
              <w:rPr>
                <w:rFonts w:ascii="Arial" w:hAnsi="Arial" w:cs="Arial"/>
                <w:b/>
                <w:bCs/>
                <w:sz w:val="16"/>
                <w:szCs w:val="16"/>
              </w:rPr>
            </w:pPr>
            <w:r w:rsidRPr="00346A27">
              <w:rPr>
                <w:rFonts w:ascii="Arial" w:hAnsi="Arial" w:cs="Arial"/>
                <w:b/>
                <w:bCs/>
                <w:sz w:val="16"/>
                <w:szCs w:val="16"/>
              </w:rPr>
              <w:t>Provisions</w:t>
            </w: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p>
        </w:tc>
        <w:tc>
          <w:tcPr>
            <w:tcW w:w="900" w:type="dxa"/>
            <w:tcBorders>
              <w:top w:val="nil"/>
              <w:left w:val="nil"/>
              <w:bottom w:val="nil"/>
              <w:right w:val="nil"/>
            </w:tcBorders>
            <w:shd w:val="clear" w:color="000000" w:fill="D9D9D9"/>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p>
        </w:tc>
      </w:tr>
      <w:tr w:rsidR="00346A27" w:rsidRPr="00346A27" w:rsidTr="00EB0950">
        <w:trPr>
          <w:trHeight w:val="225"/>
        </w:trPr>
        <w:tc>
          <w:tcPr>
            <w:tcW w:w="286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ind w:firstLineChars="200" w:firstLine="320"/>
              <w:rPr>
                <w:rFonts w:ascii="Arial" w:hAnsi="Arial" w:cs="Arial"/>
                <w:sz w:val="16"/>
                <w:szCs w:val="16"/>
              </w:rPr>
            </w:pPr>
            <w:r w:rsidRPr="00346A27">
              <w:rPr>
                <w:rFonts w:ascii="Arial" w:hAnsi="Arial" w:cs="Arial"/>
                <w:sz w:val="16"/>
                <w:szCs w:val="16"/>
              </w:rPr>
              <w:t>Employees</w:t>
            </w: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5,370</w:t>
            </w:r>
          </w:p>
        </w:tc>
        <w:tc>
          <w:tcPr>
            <w:tcW w:w="900" w:type="dxa"/>
            <w:tcBorders>
              <w:top w:val="nil"/>
              <w:left w:val="nil"/>
              <w:bottom w:val="nil"/>
              <w:right w:val="nil"/>
            </w:tcBorders>
            <w:shd w:val="clear" w:color="000000" w:fill="D9D9D9"/>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5,370</w:t>
            </w: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5,370</w:t>
            </w: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5,370</w:t>
            </w: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5,370</w:t>
            </w:r>
          </w:p>
        </w:tc>
      </w:tr>
      <w:tr w:rsidR="00346A27" w:rsidRPr="00346A27" w:rsidTr="00EB0950">
        <w:trPr>
          <w:trHeight w:val="225"/>
        </w:trPr>
        <w:tc>
          <w:tcPr>
            <w:tcW w:w="286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ind w:firstLineChars="200" w:firstLine="321"/>
              <w:rPr>
                <w:rFonts w:ascii="Arial" w:hAnsi="Arial" w:cs="Arial"/>
                <w:b/>
                <w:bCs/>
                <w:sz w:val="16"/>
                <w:szCs w:val="16"/>
              </w:rPr>
            </w:pPr>
            <w:r w:rsidRPr="00346A27">
              <w:rPr>
                <w:rFonts w:ascii="Arial" w:hAnsi="Arial" w:cs="Arial"/>
                <w:b/>
                <w:bCs/>
                <w:sz w:val="16"/>
                <w:szCs w:val="16"/>
              </w:rPr>
              <w:t>Total provisions</w:t>
            </w:r>
          </w:p>
        </w:tc>
        <w:tc>
          <w:tcPr>
            <w:tcW w:w="900" w:type="dxa"/>
            <w:tcBorders>
              <w:top w:val="nil"/>
              <w:left w:val="nil"/>
              <w:bottom w:val="single" w:sz="4" w:space="0" w:color="auto"/>
              <w:right w:val="nil"/>
            </w:tcBorders>
            <w:shd w:val="clear" w:color="auto" w:fill="auto"/>
            <w:noWrap/>
            <w:vAlign w:val="bottom"/>
            <w:hideMark/>
          </w:tcPr>
          <w:p w:rsidR="00D8674C" w:rsidRPr="00346A27" w:rsidRDefault="00D8674C" w:rsidP="00D8674C">
            <w:pPr>
              <w:keepNext w:val="0"/>
              <w:spacing w:after="0"/>
              <w:jc w:val="right"/>
              <w:rPr>
                <w:rFonts w:ascii="Arial" w:hAnsi="Arial" w:cs="Arial"/>
                <w:b/>
                <w:bCs/>
                <w:sz w:val="16"/>
                <w:szCs w:val="16"/>
              </w:rPr>
            </w:pPr>
            <w:r w:rsidRPr="00346A27">
              <w:rPr>
                <w:rFonts w:ascii="Arial" w:hAnsi="Arial" w:cs="Arial"/>
                <w:b/>
                <w:bCs/>
                <w:sz w:val="16"/>
                <w:szCs w:val="16"/>
              </w:rPr>
              <w:t>5,370</w:t>
            </w:r>
          </w:p>
        </w:tc>
        <w:tc>
          <w:tcPr>
            <w:tcW w:w="900" w:type="dxa"/>
            <w:tcBorders>
              <w:top w:val="nil"/>
              <w:left w:val="nil"/>
              <w:bottom w:val="single" w:sz="4" w:space="0" w:color="auto"/>
              <w:right w:val="nil"/>
            </w:tcBorders>
            <w:shd w:val="clear" w:color="000000" w:fill="D9D9D9"/>
            <w:noWrap/>
            <w:vAlign w:val="bottom"/>
            <w:hideMark/>
          </w:tcPr>
          <w:p w:rsidR="00D8674C" w:rsidRPr="00346A27" w:rsidRDefault="00D8674C" w:rsidP="00D8674C">
            <w:pPr>
              <w:keepNext w:val="0"/>
              <w:spacing w:after="0"/>
              <w:jc w:val="right"/>
              <w:rPr>
                <w:rFonts w:ascii="Arial" w:hAnsi="Arial" w:cs="Arial"/>
                <w:b/>
                <w:bCs/>
                <w:sz w:val="16"/>
                <w:szCs w:val="16"/>
              </w:rPr>
            </w:pPr>
            <w:r w:rsidRPr="00346A27">
              <w:rPr>
                <w:rFonts w:ascii="Arial" w:hAnsi="Arial" w:cs="Arial"/>
                <w:b/>
                <w:bCs/>
                <w:sz w:val="16"/>
                <w:szCs w:val="16"/>
              </w:rPr>
              <w:t>5,370</w:t>
            </w:r>
          </w:p>
        </w:tc>
        <w:tc>
          <w:tcPr>
            <w:tcW w:w="900" w:type="dxa"/>
            <w:tcBorders>
              <w:top w:val="nil"/>
              <w:left w:val="nil"/>
              <w:bottom w:val="single" w:sz="4" w:space="0" w:color="auto"/>
              <w:right w:val="nil"/>
            </w:tcBorders>
            <w:shd w:val="clear" w:color="auto" w:fill="auto"/>
            <w:noWrap/>
            <w:vAlign w:val="bottom"/>
            <w:hideMark/>
          </w:tcPr>
          <w:p w:rsidR="00D8674C" w:rsidRPr="00346A27" w:rsidRDefault="00D8674C" w:rsidP="00D8674C">
            <w:pPr>
              <w:keepNext w:val="0"/>
              <w:spacing w:after="0"/>
              <w:jc w:val="right"/>
              <w:rPr>
                <w:rFonts w:ascii="Arial" w:hAnsi="Arial" w:cs="Arial"/>
                <w:b/>
                <w:bCs/>
                <w:sz w:val="16"/>
                <w:szCs w:val="16"/>
              </w:rPr>
            </w:pPr>
            <w:r w:rsidRPr="00346A27">
              <w:rPr>
                <w:rFonts w:ascii="Arial" w:hAnsi="Arial" w:cs="Arial"/>
                <w:b/>
                <w:bCs/>
                <w:sz w:val="16"/>
                <w:szCs w:val="16"/>
              </w:rPr>
              <w:t>5,370</w:t>
            </w:r>
          </w:p>
        </w:tc>
        <w:tc>
          <w:tcPr>
            <w:tcW w:w="900" w:type="dxa"/>
            <w:tcBorders>
              <w:top w:val="nil"/>
              <w:left w:val="nil"/>
              <w:bottom w:val="single" w:sz="4" w:space="0" w:color="auto"/>
              <w:right w:val="nil"/>
            </w:tcBorders>
            <w:shd w:val="clear" w:color="auto" w:fill="auto"/>
            <w:noWrap/>
            <w:vAlign w:val="bottom"/>
            <w:hideMark/>
          </w:tcPr>
          <w:p w:rsidR="00D8674C" w:rsidRPr="00346A27" w:rsidRDefault="00D8674C" w:rsidP="00D8674C">
            <w:pPr>
              <w:keepNext w:val="0"/>
              <w:spacing w:after="0"/>
              <w:jc w:val="right"/>
              <w:rPr>
                <w:rFonts w:ascii="Arial" w:hAnsi="Arial" w:cs="Arial"/>
                <w:b/>
                <w:bCs/>
                <w:sz w:val="16"/>
                <w:szCs w:val="16"/>
              </w:rPr>
            </w:pPr>
            <w:r w:rsidRPr="00346A27">
              <w:rPr>
                <w:rFonts w:ascii="Arial" w:hAnsi="Arial" w:cs="Arial"/>
                <w:b/>
                <w:bCs/>
                <w:sz w:val="16"/>
                <w:szCs w:val="16"/>
              </w:rPr>
              <w:t>5,370</w:t>
            </w:r>
          </w:p>
        </w:tc>
        <w:tc>
          <w:tcPr>
            <w:tcW w:w="900" w:type="dxa"/>
            <w:tcBorders>
              <w:top w:val="nil"/>
              <w:left w:val="nil"/>
              <w:bottom w:val="single" w:sz="4" w:space="0" w:color="auto"/>
              <w:right w:val="nil"/>
            </w:tcBorders>
            <w:shd w:val="clear" w:color="auto" w:fill="auto"/>
            <w:noWrap/>
            <w:vAlign w:val="bottom"/>
            <w:hideMark/>
          </w:tcPr>
          <w:p w:rsidR="00D8674C" w:rsidRPr="00346A27" w:rsidRDefault="00D8674C" w:rsidP="00D8674C">
            <w:pPr>
              <w:keepNext w:val="0"/>
              <w:spacing w:after="0"/>
              <w:jc w:val="right"/>
              <w:rPr>
                <w:rFonts w:ascii="Arial" w:hAnsi="Arial" w:cs="Arial"/>
                <w:b/>
                <w:bCs/>
                <w:sz w:val="16"/>
                <w:szCs w:val="16"/>
              </w:rPr>
            </w:pPr>
            <w:r w:rsidRPr="00346A27">
              <w:rPr>
                <w:rFonts w:ascii="Arial" w:hAnsi="Arial" w:cs="Arial"/>
                <w:b/>
                <w:bCs/>
                <w:sz w:val="16"/>
                <w:szCs w:val="16"/>
              </w:rPr>
              <w:t>5,370</w:t>
            </w:r>
          </w:p>
        </w:tc>
      </w:tr>
      <w:tr w:rsidR="00346A27" w:rsidRPr="00346A27" w:rsidTr="00EB0950">
        <w:trPr>
          <w:trHeight w:val="225"/>
        </w:trPr>
        <w:tc>
          <w:tcPr>
            <w:tcW w:w="286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ind w:firstLineChars="100" w:firstLine="161"/>
              <w:rPr>
                <w:rFonts w:ascii="Arial" w:hAnsi="Arial" w:cs="Arial"/>
                <w:b/>
                <w:bCs/>
                <w:sz w:val="16"/>
                <w:szCs w:val="16"/>
              </w:rPr>
            </w:pPr>
            <w:r w:rsidRPr="00346A27">
              <w:rPr>
                <w:rFonts w:ascii="Arial" w:hAnsi="Arial" w:cs="Arial"/>
                <w:b/>
                <w:bCs/>
                <w:sz w:val="16"/>
                <w:szCs w:val="16"/>
              </w:rPr>
              <w:t>Total liabilities</w:t>
            </w:r>
          </w:p>
        </w:tc>
        <w:tc>
          <w:tcPr>
            <w:tcW w:w="900" w:type="dxa"/>
            <w:tcBorders>
              <w:top w:val="nil"/>
              <w:left w:val="nil"/>
              <w:bottom w:val="single" w:sz="4" w:space="0" w:color="auto"/>
              <w:right w:val="nil"/>
            </w:tcBorders>
            <w:shd w:val="clear" w:color="auto" w:fill="auto"/>
            <w:noWrap/>
            <w:vAlign w:val="bottom"/>
            <w:hideMark/>
          </w:tcPr>
          <w:p w:rsidR="00D8674C" w:rsidRPr="00346A27" w:rsidRDefault="00D8674C" w:rsidP="00D8674C">
            <w:pPr>
              <w:keepNext w:val="0"/>
              <w:spacing w:after="0"/>
              <w:jc w:val="right"/>
              <w:rPr>
                <w:rFonts w:ascii="Arial" w:hAnsi="Arial" w:cs="Arial"/>
                <w:b/>
                <w:bCs/>
                <w:sz w:val="16"/>
                <w:szCs w:val="16"/>
              </w:rPr>
            </w:pPr>
            <w:r w:rsidRPr="00346A27">
              <w:rPr>
                <w:rFonts w:ascii="Arial" w:hAnsi="Arial" w:cs="Arial"/>
                <w:b/>
                <w:bCs/>
                <w:sz w:val="16"/>
                <w:szCs w:val="16"/>
              </w:rPr>
              <w:t>6,610</w:t>
            </w:r>
          </w:p>
        </w:tc>
        <w:tc>
          <w:tcPr>
            <w:tcW w:w="900" w:type="dxa"/>
            <w:tcBorders>
              <w:top w:val="nil"/>
              <w:left w:val="nil"/>
              <w:bottom w:val="single" w:sz="4" w:space="0" w:color="auto"/>
              <w:right w:val="nil"/>
            </w:tcBorders>
            <w:shd w:val="clear" w:color="000000" w:fill="D9D9D9"/>
            <w:noWrap/>
            <w:vAlign w:val="bottom"/>
            <w:hideMark/>
          </w:tcPr>
          <w:p w:rsidR="00D8674C" w:rsidRPr="00346A27" w:rsidRDefault="00D8674C" w:rsidP="00D8674C">
            <w:pPr>
              <w:keepNext w:val="0"/>
              <w:spacing w:after="0"/>
              <w:jc w:val="right"/>
              <w:rPr>
                <w:rFonts w:ascii="Arial" w:hAnsi="Arial" w:cs="Arial"/>
                <w:b/>
                <w:bCs/>
                <w:sz w:val="16"/>
                <w:szCs w:val="16"/>
              </w:rPr>
            </w:pPr>
            <w:r w:rsidRPr="00346A27">
              <w:rPr>
                <w:rFonts w:ascii="Arial" w:hAnsi="Arial" w:cs="Arial"/>
                <w:b/>
                <w:bCs/>
                <w:sz w:val="16"/>
                <w:szCs w:val="16"/>
              </w:rPr>
              <w:t>6,610</w:t>
            </w:r>
          </w:p>
        </w:tc>
        <w:tc>
          <w:tcPr>
            <w:tcW w:w="900" w:type="dxa"/>
            <w:tcBorders>
              <w:top w:val="nil"/>
              <w:left w:val="nil"/>
              <w:bottom w:val="single" w:sz="4" w:space="0" w:color="auto"/>
              <w:right w:val="nil"/>
            </w:tcBorders>
            <w:shd w:val="clear" w:color="auto" w:fill="auto"/>
            <w:noWrap/>
            <w:vAlign w:val="bottom"/>
            <w:hideMark/>
          </w:tcPr>
          <w:p w:rsidR="00D8674C" w:rsidRPr="00346A27" w:rsidRDefault="00D8674C" w:rsidP="00D8674C">
            <w:pPr>
              <w:keepNext w:val="0"/>
              <w:spacing w:after="0"/>
              <w:jc w:val="right"/>
              <w:rPr>
                <w:rFonts w:ascii="Arial" w:hAnsi="Arial" w:cs="Arial"/>
                <w:b/>
                <w:bCs/>
                <w:sz w:val="16"/>
                <w:szCs w:val="16"/>
              </w:rPr>
            </w:pPr>
            <w:r w:rsidRPr="00346A27">
              <w:rPr>
                <w:rFonts w:ascii="Arial" w:hAnsi="Arial" w:cs="Arial"/>
                <w:b/>
                <w:bCs/>
                <w:sz w:val="16"/>
                <w:szCs w:val="16"/>
              </w:rPr>
              <w:t>6,610</w:t>
            </w:r>
          </w:p>
        </w:tc>
        <w:tc>
          <w:tcPr>
            <w:tcW w:w="900" w:type="dxa"/>
            <w:tcBorders>
              <w:top w:val="nil"/>
              <w:left w:val="nil"/>
              <w:bottom w:val="single" w:sz="4" w:space="0" w:color="auto"/>
              <w:right w:val="nil"/>
            </w:tcBorders>
            <w:shd w:val="clear" w:color="auto" w:fill="auto"/>
            <w:noWrap/>
            <w:vAlign w:val="bottom"/>
            <w:hideMark/>
          </w:tcPr>
          <w:p w:rsidR="00D8674C" w:rsidRPr="00346A27" w:rsidRDefault="00D8674C" w:rsidP="00D8674C">
            <w:pPr>
              <w:keepNext w:val="0"/>
              <w:spacing w:after="0"/>
              <w:jc w:val="right"/>
              <w:rPr>
                <w:rFonts w:ascii="Arial" w:hAnsi="Arial" w:cs="Arial"/>
                <w:b/>
                <w:bCs/>
                <w:sz w:val="16"/>
                <w:szCs w:val="16"/>
              </w:rPr>
            </w:pPr>
            <w:r w:rsidRPr="00346A27">
              <w:rPr>
                <w:rFonts w:ascii="Arial" w:hAnsi="Arial" w:cs="Arial"/>
                <w:b/>
                <w:bCs/>
                <w:sz w:val="16"/>
                <w:szCs w:val="16"/>
              </w:rPr>
              <w:t>6,610</w:t>
            </w:r>
          </w:p>
        </w:tc>
        <w:tc>
          <w:tcPr>
            <w:tcW w:w="900" w:type="dxa"/>
            <w:tcBorders>
              <w:top w:val="nil"/>
              <w:left w:val="nil"/>
              <w:bottom w:val="single" w:sz="4" w:space="0" w:color="auto"/>
              <w:right w:val="nil"/>
            </w:tcBorders>
            <w:shd w:val="clear" w:color="auto" w:fill="auto"/>
            <w:noWrap/>
            <w:vAlign w:val="bottom"/>
            <w:hideMark/>
          </w:tcPr>
          <w:p w:rsidR="00D8674C" w:rsidRPr="00346A27" w:rsidRDefault="00D8674C" w:rsidP="00D8674C">
            <w:pPr>
              <w:keepNext w:val="0"/>
              <w:spacing w:after="0"/>
              <w:jc w:val="right"/>
              <w:rPr>
                <w:rFonts w:ascii="Arial" w:hAnsi="Arial" w:cs="Arial"/>
                <w:b/>
                <w:bCs/>
                <w:sz w:val="16"/>
                <w:szCs w:val="16"/>
              </w:rPr>
            </w:pPr>
            <w:r w:rsidRPr="00346A27">
              <w:rPr>
                <w:rFonts w:ascii="Arial" w:hAnsi="Arial" w:cs="Arial"/>
                <w:b/>
                <w:bCs/>
                <w:sz w:val="16"/>
                <w:szCs w:val="16"/>
              </w:rPr>
              <w:t>6,610</w:t>
            </w:r>
          </w:p>
        </w:tc>
      </w:tr>
      <w:tr w:rsidR="00346A27" w:rsidRPr="00346A27" w:rsidTr="00EB0950">
        <w:trPr>
          <w:trHeight w:val="300"/>
        </w:trPr>
        <w:tc>
          <w:tcPr>
            <w:tcW w:w="286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rPr>
                <w:rFonts w:ascii="Arial" w:hAnsi="Arial" w:cs="Arial"/>
                <w:b/>
                <w:bCs/>
                <w:sz w:val="16"/>
                <w:szCs w:val="16"/>
              </w:rPr>
            </w:pPr>
            <w:r w:rsidRPr="00346A27">
              <w:rPr>
                <w:rFonts w:ascii="Arial" w:hAnsi="Arial" w:cs="Arial"/>
                <w:b/>
                <w:bCs/>
                <w:sz w:val="16"/>
                <w:szCs w:val="16"/>
              </w:rPr>
              <w:t>Net Assets</w:t>
            </w:r>
          </w:p>
        </w:tc>
        <w:tc>
          <w:tcPr>
            <w:tcW w:w="900" w:type="dxa"/>
            <w:tcBorders>
              <w:top w:val="nil"/>
              <w:left w:val="nil"/>
              <w:bottom w:val="single" w:sz="4" w:space="0" w:color="auto"/>
              <w:right w:val="nil"/>
            </w:tcBorders>
            <w:shd w:val="clear" w:color="auto" w:fill="auto"/>
            <w:noWrap/>
            <w:vAlign w:val="bottom"/>
            <w:hideMark/>
          </w:tcPr>
          <w:p w:rsidR="00D8674C" w:rsidRPr="00346A27" w:rsidRDefault="00D8674C" w:rsidP="00D8674C">
            <w:pPr>
              <w:keepNext w:val="0"/>
              <w:spacing w:after="0"/>
              <w:jc w:val="right"/>
              <w:rPr>
                <w:rFonts w:ascii="Arial" w:hAnsi="Arial" w:cs="Arial"/>
                <w:b/>
                <w:bCs/>
                <w:sz w:val="16"/>
                <w:szCs w:val="16"/>
              </w:rPr>
            </w:pPr>
            <w:r w:rsidRPr="00346A27">
              <w:rPr>
                <w:rFonts w:ascii="Arial" w:hAnsi="Arial" w:cs="Arial"/>
                <w:b/>
                <w:bCs/>
                <w:sz w:val="16"/>
                <w:szCs w:val="16"/>
              </w:rPr>
              <w:t>27,608</w:t>
            </w:r>
          </w:p>
        </w:tc>
        <w:tc>
          <w:tcPr>
            <w:tcW w:w="900" w:type="dxa"/>
            <w:tcBorders>
              <w:top w:val="nil"/>
              <w:left w:val="nil"/>
              <w:bottom w:val="single" w:sz="4" w:space="0" w:color="auto"/>
              <w:right w:val="nil"/>
            </w:tcBorders>
            <w:shd w:val="clear" w:color="000000" w:fill="D9D9D9"/>
            <w:noWrap/>
            <w:vAlign w:val="bottom"/>
            <w:hideMark/>
          </w:tcPr>
          <w:p w:rsidR="00D8674C" w:rsidRPr="00346A27" w:rsidRDefault="00D8674C" w:rsidP="00D8674C">
            <w:pPr>
              <w:keepNext w:val="0"/>
              <w:spacing w:after="0"/>
              <w:jc w:val="right"/>
              <w:rPr>
                <w:rFonts w:ascii="Arial" w:hAnsi="Arial" w:cs="Arial"/>
                <w:b/>
                <w:bCs/>
                <w:sz w:val="16"/>
                <w:szCs w:val="16"/>
              </w:rPr>
            </w:pPr>
            <w:r w:rsidRPr="00346A27">
              <w:rPr>
                <w:rFonts w:ascii="Arial" w:hAnsi="Arial" w:cs="Arial"/>
                <w:b/>
                <w:bCs/>
                <w:sz w:val="16"/>
                <w:szCs w:val="16"/>
              </w:rPr>
              <w:t>26,773</w:t>
            </w:r>
          </w:p>
        </w:tc>
        <w:tc>
          <w:tcPr>
            <w:tcW w:w="900" w:type="dxa"/>
            <w:tcBorders>
              <w:top w:val="nil"/>
              <w:left w:val="nil"/>
              <w:bottom w:val="single" w:sz="4" w:space="0" w:color="auto"/>
              <w:right w:val="nil"/>
            </w:tcBorders>
            <w:shd w:val="clear" w:color="auto" w:fill="auto"/>
            <w:noWrap/>
            <w:vAlign w:val="bottom"/>
            <w:hideMark/>
          </w:tcPr>
          <w:p w:rsidR="00D8674C" w:rsidRPr="00346A27" w:rsidRDefault="00D8674C" w:rsidP="00D8674C">
            <w:pPr>
              <w:keepNext w:val="0"/>
              <w:spacing w:after="0"/>
              <w:jc w:val="right"/>
              <w:rPr>
                <w:rFonts w:ascii="Arial" w:hAnsi="Arial" w:cs="Arial"/>
                <w:b/>
                <w:bCs/>
                <w:sz w:val="16"/>
                <w:szCs w:val="16"/>
              </w:rPr>
            </w:pPr>
            <w:r w:rsidRPr="00346A27">
              <w:rPr>
                <w:rFonts w:ascii="Arial" w:hAnsi="Arial" w:cs="Arial"/>
                <w:b/>
                <w:bCs/>
                <w:sz w:val="16"/>
                <w:szCs w:val="16"/>
              </w:rPr>
              <w:t>26,580</w:t>
            </w:r>
          </w:p>
        </w:tc>
        <w:tc>
          <w:tcPr>
            <w:tcW w:w="900" w:type="dxa"/>
            <w:tcBorders>
              <w:top w:val="nil"/>
              <w:left w:val="nil"/>
              <w:bottom w:val="single" w:sz="4" w:space="0" w:color="auto"/>
              <w:right w:val="nil"/>
            </w:tcBorders>
            <w:shd w:val="clear" w:color="auto" w:fill="auto"/>
            <w:noWrap/>
            <w:vAlign w:val="bottom"/>
            <w:hideMark/>
          </w:tcPr>
          <w:p w:rsidR="00D8674C" w:rsidRPr="00346A27" w:rsidRDefault="00D8674C" w:rsidP="00D8674C">
            <w:pPr>
              <w:keepNext w:val="0"/>
              <w:spacing w:after="0"/>
              <w:jc w:val="right"/>
              <w:rPr>
                <w:rFonts w:ascii="Arial" w:hAnsi="Arial" w:cs="Arial"/>
                <w:b/>
                <w:bCs/>
                <w:sz w:val="16"/>
                <w:szCs w:val="16"/>
              </w:rPr>
            </w:pPr>
            <w:r w:rsidRPr="00346A27">
              <w:rPr>
                <w:rFonts w:ascii="Arial" w:hAnsi="Arial" w:cs="Arial"/>
                <w:b/>
                <w:bCs/>
                <w:sz w:val="16"/>
                <w:szCs w:val="16"/>
              </w:rPr>
              <w:t>26,406</w:t>
            </w:r>
          </w:p>
        </w:tc>
        <w:tc>
          <w:tcPr>
            <w:tcW w:w="900" w:type="dxa"/>
            <w:tcBorders>
              <w:top w:val="nil"/>
              <w:left w:val="nil"/>
              <w:bottom w:val="single" w:sz="4" w:space="0" w:color="auto"/>
              <w:right w:val="nil"/>
            </w:tcBorders>
            <w:shd w:val="clear" w:color="auto" w:fill="auto"/>
            <w:noWrap/>
            <w:vAlign w:val="bottom"/>
            <w:hideMark/>
          </w:tcPr>
          <w:p w:rsidR="00D8674C" w:rsidRPr="00346A27" w:rsidRDefault="00D8674C" w:rsidP="00D8674C">
            <w:pPr>
              <w:keepNext w:val="0"/>
              <w:spacing w:after="0"/>
              <w:jc w:val="right"/>
              <w:rPr>
                <w:rFonts w:ascii="Arial" w:hAnsi="Arial" w:cs="Arial"/>
                <w:b/>
                <w:bCs/>
                <w:sz w:val="16"/>
                <w:szCs w:val="16"/>
              </w:rPr>
            </w:pPr>
            <w:r w:rsidRPr="00346A27">
              <w:rPr>
                <w:rFonts w:ascii="Arial" w:hAnsi="Arial" w:cs="Arial"/>
                <w:b/>
                <w:bCs/>
                <w:sz w:val="16"/>
                <w:szCs w:val="16"/>
              </w:rPr>
              <w:t>26,246</w:t>
            </w:r>
          </w:p>
        </w:tc>
      </w:tr>
      <w:tr w:rsidR="00346A27" w:rsidRPr="00346A27" w:rsidTr="00EB0950">
        <w:trPr>
          <w:trHeight w:val="300"/>
        </w:trPr>
        <w:tc>
          <w:tcPr>
            <w:tcW w:w="286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rPr>
                <w:rFonts w:ascii="Arial" w:hAnsi="Arial" w:cs="Arial"/>
                <w:b/>
                <w:bCs/>
                <w:sz w:val="16"/>
                <w:szCs w:val="16"/>
              </w:rPr>
            </w:pPr>
            <w:r w:rsidRPr="00346A27">
              <w:rPr>
                <w:rFonts w:ascii="Arial" w:hAnsi="Arial" w:cs="Arial"/>
                <w:b/>
                <w:bCs/>
                <w:sz w:val="16"/>
                <w:szCs w:val="16"/>
              </w:rPr>
              <w:t>EQUITY</w:t>
            </w: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p>
        </w:tc>
        <w:tc>
          <w:tcPr>
            <w:tcW w:w="900" w:type="dxa"/>
            <w:tcBorders>
              <w:top w:val="nil"/>
              <w:left w:val="nil"/>
              <w:bottom w:val="nil"/>
              <w:right w:val="nil"/>
            </w:tcBorders>
            <w:shd w:val="clear" w:color="000000" w:fill="D9D9D9"/>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p>
        </w:tc>
      </w:tr>
      <w:tr w:rsidR="00346A27" w:rsidRPr="00346A27" w:rsidTr="00EB0950">
        <w:trPr>
          <w:trHeight w:val="225"/>
        </w:trPr>
        <w:tc>
          <w:tcPr>
            <w:tcW w:w="286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ind w:firstLineChars="100" w:firstLine="160"/>
              <w:rPr>
                <w:rFonts w:ascii="Arial" w:hAnsi="Arial" w:cs="Arial"/>
                <w:sz w:val="16"/>
                <w:szCs w:val="16"/>
              </w:rPr>
            </w:pPr>
            <w:r w:rsidRPr="00346A27">
              <w:rPr>
                <w:rFonts w:ascii="Arial" w:hAnsi="Arial" w:cs="Arial"/>
                <w:sz w:val="16"/>
                <w:szCs w:val="16"/>
              </w:rPr>
              <w:t>Contributed equity</w:t>
            </w: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17,503</w:t>
            </w:r>
          </w:p>
        </w:tc>
        <w:tc>
          <w:tcPr>
            <w:tcW w:w="900" w:type="dxa"/>
            <w:tcBorders>
              <w:top w:val="nil"/>
              <w:left w:val="nil"/>
              <w:bottom w:val="nil"/>
              <w:right w:val="nil"/>
            </w:tcBorders>
            <w:shd w:val="clear" w:color="000000" w:fill="D9D9D9"/>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19,482</w:t>
            </w: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21,460</w:t>
            </w: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23,457</w:t>
            </w: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25,468</w:t>
            </w:r>
          </w:p>
        </w:tc>
      </w:tr>
      <w:tr w:rsidR="00346A27" w:rsidRPr="00346A27" w:rsidTr="00EB0950">
        <w:trPr>
          <w:trHeight w:val="225"/>
        </w:trPr>
        <w:tc>
          <w:tcPr>
            <w:tcW w:w="286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ind w:firstLineChars="100" w:firstLine="160"/>
              <w:rPr>
                <w:rFonts w:ascii="Arial" w:hAnsi="Arial" w:cs="Arial"/>
                <w:sz w:val="16"/>
                <w:szCs w:val="16"/>
              </w:rPr>
            </w:pPr>
            <w:r w:rsidRPr="00346A27">
              <w:rPr>
                <w:rFonts w:ascii="Arial" w:hAnsi="Arial" w:cs="Arial"/>
                <w:sz w:val="16"/>
                <w:szCs w:val="16"/>
              </w:rPr>
              <w:t>Reserves</w:t>
            </w: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11,014</w:t>
            </w:r>
          </w:p>
        </w:tc>
        <w:tc>
          <w:tcPr>
            <w:tcW w:w="900" w:type="dxa"/>
            <w:tcBorders>
              <w:top w:val="nil"/>
              <w:left w:val="nil"/>
              <w:bottom w:val="nil"/>
              <w:right w:val="nil"/>
            </w:tcBorders>
            <w:shd w:val="clear" w:color="000000" w:fill="D9D9D9"/>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11,014</w:t>
            </w: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11,014</w:t>
            </w: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11,014</w:t>
            </w: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11,014</w:t>
            </w:r>
          </w:p>
        </w:tc>
      </w:tr>
      <w:tr w:rsidR="00346A27" w:rsidRPr="00346A27" w:rsidTr="00EB0950">
        <w:trPr>
          <w:trHeight w:val="225"/>
        </w:trPr>
        <w:tc>
          <w:tcPr>
            <w:tcW w:w="286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ind w:firstLineChars="100" w:firstLine="160"/>
              <w:rPr>
                <w:rFonts w:ascii="Arial" w:hAnsi="Arial" w:cs="Arial"/>
                <w:sz w:val="16"/>
                <w:szCs w:val="16"/>
              </w:rPr>
            </w:pPr>
            <w:r w:rsidRPr="00346A27">
              <w:rPr>
                <w:rFonts w:ascii="Arial" w:hAnsi="Arial" w:cs="Arial"/>
                <w:sz w:val="16"/>
                <w:szCs w:val="16"/>
              </w:rPr>
              <w:t>Retained surpluses or</w:t>
            </w: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p>
        </w:tc>
        <w:tc>
          <w:tcPr>
            <w:tcW w:w="900" w:type="dxa"/>
            <w:tcBorders>
              <w:top w:val="nil"/>
              <w:left w:val="nil"/>
              <w:bottom w:val="nil"/>
              <w:right w:val="nil"/>
            </w:tcBorders>
            <w:shd w:val="clear" w:color="000000" w:fill="D9D9D9"/>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p>
        </w:tc>
      </w:tr>
      <w:tr w:rsidR="00346A27" w:rsidRPr="00346A27" w:rsidTr="00EB0950">
        <w:trPr>
          <w:trHeight w:val="225"/>
        </w:trPr>
        <w:tc>
          <w:tcPr>
            <w:tcW w:w="286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ind w:firstLineChars="200" w:firstLine="320"/>
              <w:rPr>
                <w:rFonts w:ascii="Arial" w:hAnsi="Arial" w:cs="Arial"/>
                <w:sz w:val="16"/>
                <w:szCs w:val="16"/>
              </w:rPr>
            </w:pPr>
            <w:r w:rsidRPr="00346A27">
              <w:rPr>
                <w:rFonts w:ascii="Arial" w:hAnsi="Arial" w:cs="Arial"/>
                <w:sz w:val="16"/>
                <w:szCs w:val="16"/>
              </w:rPr>
              <w:t>accumulated deficits</w:t>
            </w:r>
          </w:p>
        </w:tc>
        <w:tc>
          <w:tcPr>
            <w:tcW w:w="900" w:type="dxa"/>
            <w:tcBorders>
              <w:top w:val="nil"/>
              <w:left w:val="nil"/>
              <w:bottom w:val="single" w:sz="4" w:space="0" w:color="000000"/>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(909)</w:t>
            </w:r>
          </w:p>
        </w:tc>
        <w:tc>
          <w:tcPr>
            <w:tcW w:w="900" w:type="dxa"/>
            <w:tcBorders>
              <w:top w:val="nil"/>
              <w:left w:val="nil"/>
              <w:bottom w:val="single" w:sz="4" w:space="0" w:color="000000"/>
              <w:right w:val="nil"/>
            </w:tcBorders>
            <w:shd w:val="clear" w:color="000000" w:fill="D9D9D9"/>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(3,723)</w:t>
            </w:r>
          </w:p>
        </w:tc>
        <w:tc>
          <w:tcPr>
            <w:tcW w:w="900" w:type="dxa"/>
            <w:tcBorders>
              <w:top w:val="nil"/>
              <w:left w:val="nil"/>
              <w:bottom w:val="single" w:sz="4" w:space="0" w:color="000000"/>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(5,894)</w:t>
            </w:r>
          </w:p>
        </w:tc>
        <w:tc>
          <w:tcPr>
            <w:tcW w:w="900" w:type="dxa"/>
            <w:tcBorders>
              <w:top w:val="nil"/>
              <w:left w:val="nil"/>
              <w:bottom w:val="single" w:sz="4" w:space="0" w:color="000000"/>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(8,065)</w:t>
            </w:r>
          </w:p>
        </w:tc>
        <w:tc>
          <w:tcPr>
            <w:tcW w:w="900" w:type="dxa"/>
            <w:tcBorders>
              <w:top w:val="nil"/>
              <w:left w:val="nil"/>
              <w:bottom w:val="single" w:sz="4" w:space="0" w:color="000000"/>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(10,236)</w:t>
            </w:r>
          </w:p>
        </w:tc>
      </w:tr>
      <w:tr w:rsidR="00346A27" w:rsidRPr="00346A27" w:rsidTr="00EB0950">
        <w:trPr>
          <w:trHeight w:val="225"/>
        </w:trPr>
        <w:tc>
          <w:tcPr>
            <w:tcW w:w="2860" w:type="dxa"/>
            <w:tcBorders>
              <w:top w:val="nil"/>
              <w:left w:val="nil"/>
              <w:bottom w:val="single" w:sz="4" w:space="0" w:color="auto"/>
              <w:right w:val="nil"/>
            </w:tcBorders>
            <w:shd w:val="clear" w:color="auto" w:fill="auto"/>
            <w:noWrap/>
            <w:vAlign w:val="bottom"/>
            <w:hideMark/>
          </w:tcPr>
          <w:p w:rsidR="00D8674C" w:rsidRPr="00346A27" w:rsidRDefault="00D8674C" w:rsidP="00D8674C">
            <w:pPr>
              <w:keepNext w:val="0"/>
              <w:spacing w:after="0"/>
              <w:ind w:firstLineChars="100" w:firstLine="161"/>
              <w:rPr>
                <w:rFonts w:ascii="Arial" w:hAnsi="Arial" w:cs="Arial"/>
                <w:b/>
                <w:bCs/>
                <w:sz w:val="16"/>
                <w:szCs w:val="16"/>
              </w:rPr>
            </w:pPr>
            <w:r w:rsidRPr="00346A27">
              <w:rPr>
                <w:rFonts w:ascii="Arial" w:hAnsi="Arial" w:cs="Arial"/>
                <w:b/>
                <w:bCs/>
                <w:sz w:val="16"/>
                <w:szCs w:val="16"/>
              </w:rPr>
              <w:t>Total equity</w:t>
            </w:r>
          </w:p>
        </w:tc>
        <w:tc>
          <w:tcPr>
            <w:tcW w:w="900" w:type="dxa"/>
            <w:tcBorders>
              <w:top w:val="nil"/>
              <w:left w:val="nil"/>
              <w:bottom w:val="single" w:sz="4" w:space="0" w:color="auto"/>
              <w:right w:val="nil"/>
            </w:tcBorders>
            <w:shd w:val="clear" w:color="auto" w:fill="auto"/>
            <w:noWrap/>
            <w:vAlign w:val="bottom"/>
            <w:hideMark/>
          </w:tcPr>
          <w:p w:rsidR="00D8674C" w:rsidRPr="00346A27" w:rsidRDefault="00D8674C" w:rsidP="00D8674C">
            <w:pPr>
              <w:keepNext w:val="0"/>
              <w:spacing w:after="0"/>
              <w:jc w:val="right"/>
              <w:rPr>
                <w:rFonts w:ascii="Arial" w:hAnsi="Arial" w:cs="Arial"/>
                <w:b/>
                <w:bCs/>
                <w:sz w:val="16"/>
                <w:szCs w:val="16"/>
              </w:rPr>
            </w:pPr>
            <w:r w:rsidRPr="00346A27">
              <w:rPr>
                <w:rFonts w:ascii="Arial" w:hAnsi="Arial" w:cs="Arial"/>
                <w:b/>
                <w:bCs/>
                <w:sz w:val="16"/>
                <w:szCs w:val="16"/>
              </w:rPr>
              <w:t>27,608</w:t>
            </w:r>
          </w:p>
        </w:tc>
        <w:tc>
          <w:tcPr>
            <w:tcW w:w="900" w:type="dxa"/>
            <w:tcBorders>
              <w:top w:val="nil"/>
              <w:left w:val="nil"/>
              <w:bottom w:val="single" w:sz="4" w:space="0" w:color="auto"/>
              <w:right w:val="nil"/>
            </w:tcBorders>
            <w:shd w:val="clear" w:color="000000" w:fill="D9D9D9"/>
            <w:noWrap/>
            <w:vAlign w:val="bottom"/>
            <w:hideMark/>
          </w:tcPr>
          <w:p w:rsidR="00D8674C" w:rsidRPr="00346A27" w:rsidRDefault="00D8674C" w:rsidP="00D8674C">
            <w:pPr>
              <w:keepNext w:val="0"/>
              <w:spacing w:after="0"/>
              <w:jc w:val="right"/>
              <w:rPr>
                <w:rFonts w:ascii="Arial" w:hAnsi="Arial" w:cs="Arial"/>
                <w:b/>
                <w:bCs/>
                <w:sz w:val="16"/>
                <w:szCs w:val="16"/>
              </w:rPr>
            </w:pPr>
            <w:r w:rsidRPr="00346A27">
              <w:rPr>
                <w:rFonts w:ascii="Arial" w:hAnsi="Arial" w:cs="Arial"/>
                <w:b/>
                <w:bCs/>
                <w:sz w:val="16"/>
                <w:szCs w:val="16"/>
              </w:rPr>
              <w:t>26,773</w:t>
            </w:r>
          </w:p>
        </w:tc>
        <w:tc>
          <w:tcPr>
            <w:tcW w:w="900" w:type="dxa"/>
            <w:tcBorders>
              <w:top w:val="nil"/>
              <w:left w:val="nil"/>
              <w:bottom w:val="single" w:sz="4" w:space="0" w:color="auto"/>
              <w:right w:val="nil"/>
            </w:tcBorders>
            <w:shd w:val="clear" w:color="auto" w:fill="auto"/>
            <w:noWrap/>
            <w:vAlign w:val="bottom"/>
            <w:hideMark/>
          </w:tcPr>
          <w:p w:rsidR="00D8674C" w:rsidRPr="00346A27" w:rsidRDefault="00D8674C" w:rsidP="00D8674C">
            <w:pPr>
              <w:keepNext w:val="0"/>
              <w:spacing w:after="0"/>
              <w:jc w:val="right"/>
              <w:rPr>
                <w:rFonts w:ascii="Arial" w:hAnsi="Arial" w:cs="Arial"/>
                <w:b/>
                <w:bCs/>
                <w:sz w:val="16"/>
                <w:szCs w:val="16"/>
              </w:rPr>
            </w:pPr>
            <w:r w:rsidRPr="00346A27">
              <w:rPr>
                <w:rFonts w:ascii="Arial" w:hAnsi="Arial" w:cs="Arial"/>
                <w:b/>
                <w:bCs/>
                <w:sz w:val="16"/>
                <w:szCs w:val="16"/>
              </w:rPr>
              <w:t>26,580</w:t>
            </w:r>
          </w:p>
        </w:tc>
        <w:tc>
          <w:tcPr>
            <w:tcW w:w="900" w:type="dxa"/>
            <w:tcBorders>
              <w:top w:val="nil"/>
              <w:left w:val="nil"/>
              <w:bottom w:val="single" w:sz="4" w:space="0" w:color="auto"/>
              <w:right w:val="nil"/>
            </w:tcBorders>
            <w:shd w:val="clear" w:color="auto" w:fill="auto"/>
            <w:noWrap/>
            <w:vAlign w:val="bottom"/>
            <w:hideMark/>
          </w:tcPr>
          <w:p w:rsidR="00D8674C" w:rsidRPr="00346A27" w:rsidRDefault="00D8674C" w:rsidP="00D8674C">
            <w:pPr>
              <w:keepNext w:val="0"/>
              <w:spacing w:after="0"/>
              <w:jc w:val="right"/>
              <w:rPr>
                <w:rFonts w:ascii="Arial" w:hAnsi="Arial" w:cs="Arial"/>
                <w:b/>
                <w:bCs/>
                <w:sz w:val="16"/>
                <w:szCs w:val="16"/>
              </w:rPr>
            </w:pPr>
            <w:r w:rsidRPr="00346A27">
              <w:rPr>
                <w:rFonts w:ascii="Arial" w:hAnsi="Arial" w:cs="Arial"/>
                <w:b/>
                <w:bCs/>
                <w:sz w:val="16"/>
                <w:szCs w:val="16"/>
              </w:rPr>
              <w:t>26,406</w:t>
            </w:r>
          </w:p>
        </w:tc>
        <w:tc>
          <w:tcPr>
            <w:tcW w:w="900" w:type="dxa"/>
            <w:tcBorders>
              <w:top w:val="nil"/>
              <w:left w:val="nil"/>
              <w:bottom w:val="single" w:sz="4" w:space="0" w:color="auto"/>
              <w:right w:val="nil"/>
            </w:tcBorders>
            <w:shd w:val="clear" w:color="auto" w:fill="auto"/>
            <w:noWrap/>
            <w:vAlign w:val="bottom"/>
            <w:hideMark/>
          </w:tcPr>
          <w:p w:rsidR="00D8674C" w:rsidRPr="00346A27" w:rsidRDefault="00D8674C" w:rsidP="00D8674C">
            <w:pPr>
              <w:keepNext w:val="0"/>
              <w:spacing w:after="0"/>
              <w:jc w:val="right"/>
              <w:rPr>
                <w:rFonts w:ascii="Arial" w:hAnsi="Arial" w:cs="Arial"/>
                <w:b/>
                <w:bCs/>
                <w:sz w:val="16"/>
                <w:szCs w:val="16"/>
              </w:rPr>
            </w:pPr>
            <w:r w:rsidRPr="00346A27">
              <w:rPr>
                <w:rFonts w:ascii="Arial" w:hAnsi="Arial" w:cs="Arial"/>
                <w:b/>
                <w:bCs/>
                <w:sz w:val="16"/>
                <w:szCs w:val="16"/>
              </w:rPr>
              <w:t>26,246</w:t>
            </w:r>
          </w:p>
        </w:tc>
      </w:tr>
    </w:tbl>
    <w:p w:rsidR="00FF423A" w:rsidRPr="00346A27" w:rsidRDefault="00FF423A" w:rsidP="00EB0950">
      <w:r w:rsidRPr="00346A27">
        <w:br w:type="page"/>
      </w:r>
    </w:p>
    <w:p w:rsidR="007E7063" w:rsidRPr="00346A27" w:rsidRDefault="007E7063" w:rsidP="002B0C32">
      <w:pPr>
        <w:pStyle w:val="TableHeading"/>
      </w:pPr>
      <w:r w:rsidRPr="00346A27">
        <w:lastRenderedPageBreak/>
        <w:t>Table 3.2.3: Departmental Statement of Changes in Equity — summary of movement (Budget year 201</w:t>
      </w:r>
      <w:r w:rsidR="00CD26B8" w:rsidRPr="00346A27">
        <w:t>5</w:t>
      </w:r>
      <w:r w:rsidRPr="00346A27">
        <w:t>-1</w:t>
      </w:r>
      <w:r w:rsidR="00CD26B8" w:rsidRPr="00346A27">
        <w:t>6</w:t>
      </w:r>
      <w:r w:rsidRPr="00346A27">
        <w:t>)</w:t>
      </w:r>
    </w:p>
    <w:tbl>
      <w:tblPr>
        <w:tblW w:w="7380" w:type="dxa"/>
        <w:tblInd w:w="93" w:type="dxa"/>
        <w:tblLook w:val="06A0" w:firstRow="1" w:lastRow="0" w:firstColumn="1" w:lastColumn="0" w:noHBand="1" w:noVBand="1"/>
        <w:tblCaption w:val="Table 3.2.3 Departmental Statement of Changes in Equity – Summary of Movement"/>
        <w:tblDescription w:val="Table 3.2.3 shows the forecast movement of the Entity’s equity position over the financial year, beginning with the opening balance as at 1 July 2015 and ending with the estimated closing balance as at 30 June 2016 at the bottom of the table. Read the first column for the movement categories and then across the table for the change categories. Note that there is no data for some categories."/>
      </w:tblPr>
      <w:tblGrid>
        <w:gridCol w:w="2860"/>
        <w:gridCol w:w="1060"/>
        <w:gridCol w:w="1200"/>
        <w:gridCol w:w="1200"/>
        <w:gridCol w:w="1060"/>
      </w:tblGrid>
      <w:tr w:rsidR="00346A27" w:rsidRPr="00346A27" w:rsidTr="00036CD6">
        <w:trPr>
          <w:trHeight w:val="633"/>
        </w:trPr>
        <w:tc>
          <w:tcPr>
            <w:tcW w:w="2860" w:type="dxa"/>
            <w:tcBorders>
              <w:top w:val="single" w:sz="4" w:space="0" w:color="auto"/>
              <w:left w:val="nil"/>
              <w:bottom w:val="nil"/>
              <w:right w:val="nil"/>
            </w:tcBorders>
            <w:shd w:val="clear" w:color="auto" w:fill="auto"/>
            <w:hideMark/>
          </w:tcPr>
          <w:p w:rsidR="00D8674C" w:rsidRPr="00346A27" w:rsidRDefault="00D8674C" w:rsidP="00FF423A">
            <w:pPr>
              <w:keepNext w:val="0"/>
              <w:spacing w:before="40" w:after="0"/>
              <w:jc w:val="right"/>
              <w:rPr>
                <w:rFonts w:ascii="Arial" w:hAnsi="Arial" w:cs="Arial"/>
                <w:sz w:val="16"/>
                <w:szCs w:val="16"/>
              </w:rPr>
            </w:pPr>
          </w:p>
        </w:tc>
        <w:tc>
          <w:tcPr>
            <w:tcW w:w="1060" w:type="dxa"/>
            <w:tcBorders>
              <w:top w:val="single" w:sz="4" w:space="0" w:color="auto"/>
              <w:left w:val="nil"/>
              <w:bottom w:val="single" w:sz="4" w:space="0" w:color="auto"/>
              <w:right w:val="nil"/>
            </w:tcBorders>
            <w:shd w:val="clear" w:color="auto" w:fill="auto"/>
            <w:hideMark/>
          </w:tcPr>
          <w:p w:rsidR="00D8674C" w:rsidRPr="00346A27" w:rsidRDefault="00D8674C" w:rsidP="00EB0950">
            <w:pPr>
              <w:keepNext w:val="0"/>
              <w:spacing w:before="40" w:after="0"/>
              <w:jc w:val="right"/>
              <w:rPr>
                <w:rFonts w:ascii="Arial" w:hAnsi="Arial" w:cs="Arial"/>
                <w:sz w:val="16"/>
                <w:szCs w:val="16"/>
              </w:rPr>
            </w:pPr>
            <w:r w:rsidRPr="00346A27">
              <w:rPr>
                <w:rFonts w:ascii="Arial" w:hAnsi="Arial" w:cs="Arial"/>
                <w:b/>
                <w:bCs/>
                <w:sz w:val="16"/>
                <w:szCs w:val="16"/>
              </w:rPr>
              <w:t>Retained earnings</w:t>
            </w:r>
            <w:r w:rsidRPr="00346A27">
              <w:rPr>
                <w:rFonts w:ascii="Arial" w:hAnsi="Arial" w:cs="Arial"/>
                <w:sz w:val="16"/>
                <w:szCs w:val="16"/>
              </w:rPr>
              <w:br/>
            </w:r>
            <w:r w:rsidRPr="00346A27">
              <w:rPr>
                <w:rFonts w:ascii="Arial" w:hAnsi="Arial" w:cs="Arial"/>
                <w:sz w:val="16"/>
                <w:szCs w:val="16"/>
              </w:rPr>
              <w:br/>
              <w:t>$'000</w:t>
            </w:r>
          </w:p>
        </w:tc>
        <w:tc>
          <w:tcPr>
            <w:tcW w:w="1200" w:type="dxa"/>
            <w:tcBorders>
              <w:top w:val="single" w:sz="4" w:space="0" w:color="auto"/>
              <w:left w:val="nil"/>
              <w:bottom w:val="single" w:sz="4" w:space="0" w:color="auto"/>
              <w:right w:val="nil"/>
            </w:tcBorders>
            <w:shd w:val="clear" w:color="auto" w:fill="auto"/>
            <w:hideMark/>
          </w:tcPr>
          <w:p w:rsidR="00D8674C" w:rsidRPr="00346A27" w:rsidRDefault="00D8674C" w:rsidP="00EB0950">
            <w:pPr>
              <w:keepNext w:val="0"/>
              <w:spacing w:before="40" w:after="0"/>
              <w:jc w:val="right"/>
              <w:rPr>
                <w:rFonts w:ascii="Arial" w:hAnsi="Arial" w:cs="Arial"/>
                <w:sz w:val="16"/>
                <w:szCs w:val="16"/>
              </w:rPr>
            </w:pPr>
            <w:r w:rsidRPr="00346A27">
              <w:rPr>
                <w:rFonts w:ascii="Arial" w:hAnsi="Arial" w:cs="Arial"/>
                <w:b/>
                <w:bCs/>
                <w:sz w:val="16"/>
                <w:szCs w:val="16"/>
              </w:rPr>
              <w:t>Asset revaluation reserve</w:t>
            </w:r>
            <w:r w:rsidRPr="00346A27">
              <w:rPr>
                <w:rFonts w:ascii="Arial" w:hAnsi="Arial" w:cs="Arial"/>
                <w:sz w:val="16"/>
                <w:szCs w:val="16"/>
              </w:rPr>
              <w:br/>
              <w:t>$'000</w:t>
            </w:r>
          </w:p>
        </w:tc>
        <w:tc>
          <w:tcPr>
            <w:tcW w:w="1200" w:type="dxa"/>
            <w:tcBorders>
              <w:top w:val="single" w:sz="4" w:space="0" w:color="auto"/>
              <w:left w:val="nil"/>
              <w:bottom w:val="single" w:sz="4" w:space="0" w:color="auto"/>
              <w:right w:val="nil"/>
            </w:tcBorders>
            <w:shd w:val="clear" w:color="auto" w:fill="auto"/>
            <w:hideMark/>
          </w:tcPr>
          <w:p w:rsidR="00D8674C" w:rsidRPr="00346A27" w:rsidRDefault="00D8674C" w:rsidP="00EB0950">
            <w:pPr>
              <w:keepNext w:val="0"/>
              <w:spacing w:before="40" w:after="0"/>
              <w:jc w:val="right"/>
              <w:rPr>
                <w:rFonts w:ascii="Arial" w:hAnsi="Arial" w:cs="Arial"/>
                <w:sz w:val="16"/>
                <w:szCs w:val="16"/>
              </w:rPr>
            </w:pPr>
            <w:r w:rsidRPr="00346A27">
              <w:rPr>
                <w:rFonts w:ascii="Arial" w:hAnsi="Arial" w:cs="Arial"/>
                <w:b/>
                <w:bCs/>
                <w:sz w:val="16"/>
                <w:szCs w:val="16"/>
              </w:rPr>
              <w:t>Contributed equity/</w:t>
            </w:r>
            <w:r w:rsidRPr="00346A27">
              <w:rPr>
                <w:rFonts w:ascii="Arial" w:hAnsi="Arial" w:cs="Arial"/>
                <w:b/>
                <w:bCs/>
                <w:sz w:val="16"/>
                <w:szCs w:val="16"/>
              </w:rPr>
              <w:br/>
              <w:t>capital</w:t>
            </w:r>
            <w:r w:rsidRPr="00346A27">
              <w:rPr>
                <w:rFonts w:ascii="Arial" w:hAnsi="Arial" w:cs="Arial"/>
                <w:sz w:val="16"/>
                <w:szCs w:val="16"/>
              </w:rPr>
              <w:br/>
              <w:t>$'000</w:t>
            </w:r>
          </w:p>
        </w:tc>
        <w:tc>
          <w:tcPr>
            <w:tcW w:w="1060" w:type="dxa"/>
            <w:tcBorders>
              <w:top w:val="single" w:sz="4" w:space="0" w:color="auto"/>
              <w:left w:val="nil"/>
              <w:bottom w:val="single" w:sz="4" w:space="0" w:color="auto"/>
              <w:right w:val="nil"/>
            </w:tcBorders>
            <w:shd w:val="clear" w:color="auto" w:fill="auto"/>
            <w:hideMark/>
          </w:tcPr>
          <w:p w:rsidR="00D8674C" w:rsidRPr="00346A27" w:rsidRDefault="00D8674C" w:rsidP="00EB0950">
            <w:pPr>
              <w:keepNext w:val="0"/>
              <w:spacing w:before="40" w:after="0"/>
              <w:jc w:val="right"/>
              <w:rPr>
                <w:rFonts w:ascii="Arial" w:hAnsi="Arial" w:cs="Arial"/>
                <w:sz w:val="16"/>
                <w:szCs w:val="16"/>
              </w:rPr>
            </w:pPr>
            <w:r w:rsidRPr="00346A27">
              <w:rPr>
                <w:rFonts w:ascii="Arial" w:hAnsi="Arial" w:cs="Arial"/>
                <w:b/>
                <w:bCs/>
                <w:sz w:val="16"/>
                <w:szCs w:val="16"/>
              </w:rPr>
              <w:t>Total equity</w:t>
            </w:r>
            <w:r w:rsidRPr="00346A27">
              <w:rPr>
                <w:rFonts w:ascii="Arial" w:hAnsi="Arial" w:cs="Arial"/>
                <w:sz w:val="16"/>
                <w:szCs w:val="16"/>
              </w:rPr>
              <w:br/>
            </w:r>
            <w:r w:rsidRPr="00346A27">
              <w:rPr>
                <w:rFonts w:ascii="Arial" w:hAnsi="Arial" w:cs="Arial"/>
                <w:sz w:val="16"/>
                <w:szCs w:val="16"/>
              </w:rPr>
              <w:br/>
              <w:t>$'000</w:t>
            </w:r>
          </w:p>
        </w:tc>
      </w:tr>
      <w:tr w:rsidR="00346A27" w:rsidRPr="00346A27" w:rsidTr="00036CD6">
        <w:trPr>
          <w:trHeight w:val="225"/>
        </w:trPr>
        <w:tc>
          <w:tcPr>
            <w:tcW w:w="286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rPr>
                <w:rFonts w:ascii="Arial" w:hAnsi="Arial" w:cs="Arial"/>
                <w:b/>
                <w:bCs/>
                <w:sz w:val="16"/>
                <w:szCs w:val="16"/>
              </w:rPr>
            </w:pPr>
            <w:r w:rsidRPr="00346A27">
              <w:rPr>
                <w:rFonts w:ascii="Arial" w:hAnsi="Arial" w:cs="Arial"/>
                <w:b/>
                <w:bCs/>
                <w:sz w:val="16"/>
                <w:szCs w:val="16"/>
              </w:rPr>
              <w:t>Opening balance as at 1 July 2015</w:t>
            </w:r>
          </w:p>
        </w:tc>
        <w:tc>
          <w:tcPr>
            <w:tcW w:w="106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p>
        </w:tc>
        <w:tc>
          <w:tcPr>
            <w:tcW w:w="12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p>
        </w:tc>
        <w:tc>
          <w:tcPr>
            <w:tcW w:w="12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p>
        </w:tc>
        <w:tc>
          <w:tcPr>
            <w:tcW w:w="106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p>
        </w:tc>
      </w:tr>
      <w:tr w:rsidR="00346A27" w:rsidRPr="00346A27" w:rsidTr="00036CD6">
        <w:trPr>
          <w:trHeight w:val="300"/>
        </w:trPr>
        <w:tc>
          <w:tcPr>
            <w:tcW w:w="286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ind w:firstLineChars="100" w:firstLine="160"/>
              <w:rPr>
                <w:rFonts w:ascii="Arial" w:hAnsi="Arial" w:cs="Arial"/>
                <w:sz w:val="16"/>
                <w:szCs w:val="16"/>
              </w:rPr>
            </w:pPr>
            <w:r w:rsidRPr="00346A27">
              <w:rPr>
                <w:rFonts w:ascii="Arial" w:hAnsi="Arial" w:cs="Arial"/>
                <w:sz w:val="16"/>
                <w:szCs w:val="16"/>
              </w:rPr>
              <w:t>Balance carried forward from</w:t>
            </w:r>
          </w:p>
        </w:tc>
        <w:tc>
          <w:tcPr>
            <w:tcW w:w="106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b/>
                <w:bCs/>
                <w:sz w:val="16"/>
                <w:szCs w:val="16"/>
              </w:rPr>
            </w:pPr>
          </w:p>
        </w:tc>
        <w:tc>
          <w:tcPr>
            <w:tcW w:w="12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b/>
                <w:bCs/>
                <w:sz w:val="16"/>
                <w:szCs w:val="16"/>
              </w:rPr>
            </w:pPr>
          </w:p>
        </w:tc>
        <w:tc>
          <w:tcPr>
            <w:tcW w:w="12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b/>
                <w:bCs/>
                <w:sz w:val="16"/>
                <w:szCs w:val="16"/>
              </w:rPr>
            </w:pPr>
          </w:p>
        </w:tc>
        <w:tc>
          <w:tcPr>
            <w:tcW w:w="106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b/>
                <w:bCs/>
                <w:sz w:val="16"/>
                <w:szCs w:val="16"/>
              </w:rPr>
            </w:pPr>
          </w:p>
        </w:tc>
      </w:tr>
      <w:tr w:rsidR="00346A27" w:rsidRPr="00346A27" w:rsidTr="00036CD6">
        <w:trPr>
          <w:trHeight w:val="227"/>
        </w:trPr>
        <w:tc>
          <w:tcPr>
            <w:tcW w:w="286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ind w:firstLineChars="200" w:firstLine="320"/>
              <w:rPr>
                <w:rFonts w:ascii="Arial" w:hAnsi="Arial" w:cs="Arial"/>
                <w:sz w:val="16"/>
                <w:szCs w:val="16"/>
              </w:rPr>
            </w:pPr>
            <w:r w:rsidRPr="00346A27">
              <w:rPr>
                <w:rFonts w:ascii="Arial" w:hAnsi="Arial" w:cs="Arial"/>
                <w:sz w:val="16"/>
                <w:szCs w:val="16"/>
              </w:rPr>
              <w:t>previous period</w:t>
            </w:r>
          </w:p>
        </w:tc>
        <w:tc>
          <w:tcPr>
            <w:tcW w:w="106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(909)</w:t>
            </w:r>
          </w:p>
        </w:tc>
        <w:tc>
          <w:tcPr>
            <w:tcW w:w="12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11,014</w:t>
            </w:r>
          </w:p>
        </w:tc>
        <w:tc>
          <w:tcPr>
            <w:tcW w:w="12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17,503</w:t>
            </w:r>
          </w:p>
        </w:tc>
        <w:tc>
          <w:tcPr>
            <w:tcW w:w="106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b/>
                <w:bCs/>
                <w:sz w:val="16"/>
                <w:szCs w:val="16"/>
              </w:rPr>
            </w:pPr>
            <w:r w:rsidRPr="00346A27">
              <w:rPr>
                <w:rFonts w:ascii="Arial" w:hAnsi="Arial" w:cs="Arial"/>
                <w:b/>
                <w:bCs/>
                <w:sz w:val="16"/>
                <w:szCs w:val="16"/>
              </w:rPr>
              <w:t>27,608</w:t>
            </w:r>
          </w:p>
        </w:tc>
      </w:tr>
      <w:tr w:rsidR="00346A27" w:rsidRPr="00346A27" w:rsidTr="00036CD6">
        <w:trPr>
          <w:trHeight w:val="227"/>
        </w:trPr>
        <w:tc>
          <w:tcPr>
            <w:tcW w:w="286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ind w:firstLineChars="100" w:firstLine="160"/>
              <w:rPr>
                <w:rFonts w:ascii="Arial" w:hAnsi="Arial" w:cs="Arial"/>
                <w:sz w:val="16"/>
                <w:szCs w:val="16"/>
              </w:rPr>
            </w:pPr>
            <w:r w:rsidRPr="00346A27">
              <w:rPr>
                <w:rFonts w:ascii="Arial" w:hAnsi="Arial" w:cs="Arial"/>
                <w:sz w:val="16"/>
                <w:szCs w:val="16"/>
              </w:rPr>
              <w:t>Surplus (deficit) for the period</w:t>
            </w:r>
          </w:p>
        </w:tc>
        <w:tc>
          <w:tcPr>
            <w:tcW w:w="106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(2,814)</w:t>
            </w:r>
          </w:p>
        </w:tc>
        <w:tc>
          <w:tcPr>
            <w:tcW w:w="12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b/>
                <w:bCs/>
                <w:sz w:val="16"/>
                <w:szCs w:val="16"/>
              </w:rPr>
            </w:pPr>
            <w:r w:rsidRPr="00346A27">
              <w:rPr>
                <w:rFonts w:ascii="Arial" w:hAnsi="Arial" w:cs="Arial"/>
                <w:b/>
                <w:bCs/>
                <w:sz w:val="16"/>
                <w:szCs w:val="16"/>
              </w:rPr>
              <w:t>(2,814)</w:t>
            </w:r>
          </w:p>
        </w:tc>
      </w:tr>
      <w:tr w:rsidR="00346A27" w:rsidRPr="00346A27" w:rsidTr="00036CD6">
        <w:trPr>
          <w:trHeight w:val="227"/>
        </w:trPr>
        <w:tc>
          <w:tcPr>
            <w:tcW w:w="2860" w:type="dxa"/>
            <w:tcBorders>
              <w:top w:val="nil"/>
              <w:left w:val="nil"/>
              <w:bottom w:val="nil"/>
              <w:right w:val="nil"/>
            </w:tcBorders>
            <w:shd w:val="clear" w:color="000000" w:fill="FFFFFF"/>
            <w:noWrap/>
            <w:vAlign w:val="bottom"/>
            <w:hideMark/>
          </w:tcPr>
          <w:p w:rsidR="00D8674C" w:rsidRPr="00346A27" w:rsidRDefault="00D8674C" w:rsidP="00D8674C">
            <w:pPr>
              <w:keepNext w:val="0"/>
              <w:spacing w:after="0"/>
              <w:ind w:firstLineChars="100" w:firstLine="160"/>
              <w:rPr>
                <w:rFonts w:ascii="Arial" w:hAnsi="Arial" w:cs="Arial"/>
                <w:sz w:val="16"/>
                <w:szCs w:val="16"/>
              </w:rPr>
            </w:pPr>
            <w:r w:rsidRPr="00346A27">
              <w:rPr>
                <w:rFonts w:ascii="Arial" w:hAnsi="Arial" w:cs="Arial"/>
                <w:sz w:val="16"/>
                <w:szCs w:val="16"/>
              </w:rPr>
              <w:t>Capital budget - Bill 1 (DCB)</w:t>
            </w:r>
          </w:p>
        </w:tc>
        <w:tc>
          <w:tcPr>
            <w:tcW w:w="106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1,979</w:t>
            </w:r>
          </w:p>
        </w:tc>
        <w:tc>
          <w:tcPr>
            <w:tcW w:w="106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jc w:val="right"/>
              <w:rPr>
                <w:rFonts w:ascii="Arial" w:hAnsi="Arial" w:cs="Arial"/>
                <w:b/>
                <w:bCs/>
                <w:sz w:val="16"/>
                <w:szCs w:val="16"/>
              </w:rPr>
            </w:pPr>
            <w:r w:rsidRPr="00346A27">
              <w:rPr>
                <w:rFonts w:ascii="Arial" w:hAnsi="Arial" w:cs="Arial"/>
                <w:b/>
                <w:bCs/>
                <w:sz w:val="16"/>
                <w:szCs w:val="16"/>
              </w:rPr>
              <w:t>1,979</w:t>
            </w:r>
          </w:p>
        </w:tc>
      </w:tr>
      <w:tr w:rsidR="00346A27" w:rsidRPr="00346A27" w:rsidTr="00036CD6">
        <w:trPr>
          <w:trHeight w:val="227"/>
        </w:trPr>
        <w:tc>
          <w:tcPr>
            <w:tcW w:w="286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ind w:firstLineChars="100" w:firstLine="160"/>
              <w:rPr>
                <w:rFonts w:ascii="Arial" w:hAnsi="Arial" w:cs="Arial"/>
                <w:sz w:val="16"/>
                <w:szCs w:val="16"/>
              </w:rPr>
            </w:pPr>
            <w:r w:rsidRPr="00346A27">
              <w:rPr>
                <w:rFonts w:ascii="Arial" w:hAnsi="Arial" w:cs="Arial"/>
                <w:sz w:val="16"/>
                <w:szCs w:val="16"/>
              </w:rPr>
              <w:t>Equity Injection - Appropriation</w:t>
            </w:r>
          </w:p>
        </w:tc>
        <w:tc>
          <w:tcPr>
            <w:tcW w:w="1060" w:type="dxa"/>
            <w:tcBorders>
              <w:top w:val="nil"/>
              <w:left w:val="nil"/>
              <w:bottom w:val="single" w:sz="4" w:space="0" w:color="auto"/>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w:t>
            </w:r>
          </w:p>
        </w:tc>
        <w:tc>
          <w:tcPr>
            <w:tcW w:w="1200" w:type="dxa"/>
            <w:tcBorders>
              <w:top w:val="nil"/>
              <w:left w:val="nil"/>
              <w:bottom w:val="single" w:sz="4" w:space="0" w:color="auto"/>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w:t>
            </w:r>
          </w:p>
        </w:tc>
        <w:tc>
          <w:tcPr>
            <w:tcW w:w="1200" w:type="dxa"/>
            <w:tcBorders>
              <w:top w:val="nil"/>
              <w:left w:val="nil"/>
              <w:bottom w:val="single" w:sz="4" w:space="0" w:color="auto"/>
              <w:right w:val="nil"/>
            </w:tcBorders>
            <w:shd w:val="clear" w:color="auto" w:fill="auto"/>
            <w:noWrap/>
            <w:vAlign w:val="bottom"/>
            <w:hideMark/>
          </w:tcPr>
          <w:p w:rsidR="00D8674C" w:rsidRPr="00346A27" w:rsidRDefault="00D8674C" w:rsidP="00D8674C">
            <w:pPr>
              <w:keepNext w:val="0"/>
              <w:spacing w:after="0"/>
              <w:jc w:val="right"/>
              <w:rPr>
                <w:rFonts w:ascii="Arial" w:hAnsi="Arial" w:cs="Arial"/>
                <w:sz w:val="16"/>
                <w:szCs w:val="16"/>
              </w:rPr>
            </w:pPr>
            <w:r w:rsidRPr="00346A27">
              <w:rPr>
                <w:rFonts w:ascii="Arial" w:hAnsi="Arial" w:cs="Arial"/>
                <w:sz w:val="16"/>
                <w:szCs w:val="16"/>
              </w:rPr>
              <w:t>-</w:t>
            </w:r>
          </w:p>
        </w:tc>
        <w:tc>
          <w:tcPr>
            <w:tcW w:w="1060" w:type="dxa"/>
            <w:tcBorders>
              <w:top w:val="nil"/>
              <w:left w:val="nil"/>
              <w:bottom w:val="single" w:sz="4" w:space="0" w:color="auto"/>
              <w:right w:val="nil"/>
            </w:tcBorders>
            <w:shd w:val="clear" w:color="auto" w:fill="auto"/>
            <w:noWrap/>
            <w:vAlign w:val="bottom"/>
            <w:hideMark/>
          </w:tcPr>
          <w:p w:rsidR="00D8674C" w:rsidRPr="00346A27" w:rsidRDefault="00D8674C" w:rsidP="00D8674C">
            <w:pPr>
              <w:keepNext w:val="0"/>
              <w:spacing w:after="0"/>
              <w:jc w:val="right"/>
              <w:rPr>
                <w:rFonts w:ascii="Arial" w:hAnsi="Arial" w:cs="Arial"/>
                <w:b/>
                <w:bCs/>
                <w:sz w:val="16"/>
                <w:szCs w:val="16"/>
              </w:rPr>
            </w:pPr>
            <w:r w:rsidRPr="00346A27">
              <w:rPr>
                <w:rFonts w:ascii="Arial" w:hAnsi="Arial" w:cs="Arial"/>
                <w:b/>
                <w:bCs/>
                <w:sz w:val="16"/>
                <w:szCs w:val="16"/>
              </w:rPr>
              <w:t>-</w:t>
            </w:r>
          </w:p>
        </w:tc>
      </w:tr>
      <w:tr w:rsidR="00346A27" w:rsidRPr="00346A27" w:rsidTr="00036CD6">
        <w:trPr>
          <w:trHeight w:val="300"/>
        </w:trPr>
        <w:tc>
          <w:tcPr>
            <w:tcW w:w="2860" w:type="dxa"/>
            <w:tcBorders>
              <w:top w:val="nil"/>
              <w:left w:val="nil"/>
              <w:bottom w:val="nil"/>
              <w:right w:val="nil"/>
            </w:tcBorders>
            <w:shd w:val="clear" w:color="auto" w:fill="auto"/>
            <w:noWrap/>
            <w:vAlign w:val="bottom"/>
            <w:hideMark/>
          </w:tcPr>
          <w:p w:rsidR="00D8674C" w:rsidRPr="00346A27" w:rsidRDefault="00D8674C" w:rsidP="00D8674C">
            <w:pPr>
              <w:keepNext w:val="0"/>
              <w:spacing w:after="0"/>
              <w:rPr>
                <w:rFonts w:ascii="Arial" w:hAnsi="Arial" w:cs="Arial"/>
                <w:b/>
                <w:bCs/>
                <w:sz w:val="16"/>
                <w:szCs w:val="16"/>
              </w:rPr>
            </w:pPr>
            <w:r w:rsidRPr="00346A27">
              <w:rPr>
                <w:rFonts w:ascii="Arial" w:hAnsi="Arial" w:cs="Arial"/>
                <w:b/>
                <w:bCs/>
                <w:sz w:val="16"/>
                <w:szCs w:val="16"/>
              </w:rPr>
              <w:t>Estimated closing balance</w:t>
            </w:r>
          </w:p>
        </w:tc>
        <w:tc>
          <w:tcPr>
            <w:tcW w:w="1060" w:type="dxa"/>
            <w:tcBorders>
              <w:top w:val="nil"/>
              <w:left w:val="nil"/>
              <w:bottom w:val="nil"/>
              <w:right w:val="nil"/>
            </w:tcBorders>
            <w:shd w:val="clear" w:color="auto" w:fill="auto"/>
            <w:noWrap/>
            <w:vAlign w:val="center"/>
            <w:hideMark/>
          </w:tcPr>
          <w:p w:rsidR="00D8674C" w:rsidRPr="00346A27" w:rsidRDefault="00D8674C" w:rsidP="00D8674C">
            <w:pPr>
              <w:keepNext w:val="0"/>
              <w:spacing w:after="0"/>
              <w:rPr>
                <w:rFonts w:ascii="Arial" w:hAnsi="Arial" w:cs="Arial"/>
                <w:sz w:val="16"/>
                <w:szCs w:val="16"/>
              </w:rPr>
            </w:pPr>
          </w:p>
        </w:tc>
        <w:tc>
          <w:tcPr>
            <w:tcW w:w="1200" w:type="dxa"/>
            <w:tcBorders>
              <w:top w:val="nil"/>
              <w:left w:val="nil"/>
              <w:bottom w:val="nil"/>
              <w:right w:val="nil"/>
            </w:tcBorders>
            <w:shd w:val="clear" w:color="auto" w:fill="auto"/>
            <w:noWrap/>
            <w:vAlign w:val="center"/>
            <w:hideMark/>
          </w:tcPr>
          <w:p w:rsidR="00D8674C" w:rsidRPr="00346A27" w:rsidRDefault="00D8674C" w:rsidP="00D8674C">
            <w:pPr>
              <w:keepNext w:val="0"/>
              <w:spacing w:after="0"/>
              <w:rPr>
                <w:rFonts w:ascii="Arial" w:hAnsi="Arial" w:cs="Arial"/>
                <w:sz w:val="16"/>
                <w:szCs w:val="16"/>
              </w:rPr>
            </w:pPr>
          </w:p>
        </w:tc>
        <w:tc>
          <w:tcPr>
            <w:tcW w:w="1200" w:type="dxa"/>
            <w:tcBorders>
              <w:top w:val="nil"/>
              <w:left w:val="nil"/>
              <w:bottom w:val="nil"/>
              <w:right w:val="nil"/>
            </w:tcBorders>
            <w:shd w:val="clear" w:color="auto" w:fill="auto"/>
            <w:noWrap/>
            <w:vAlign w:val="center"/>
            <w:hideMark/>
          </w:tcPr>
          <w:p w:rsidR="00D8674C" w:rsidRPr="00346A27" w:rsidRDefault="00D8674C" w:rsidP="00D8674C">
            <w:pPr>
              <w:keepNext w:val="0"/>
              <w:spacing w:after="0"/>
              <w:rPr>
                <w:rFonts w:ascii="Arial" w:hAnsi="Arial" w:cs="Arial"/>
                <w:sz w:val="16"/>
                <w:szCs w:val="16"/>
              </w:rPr>
            </w:pPr>
          </w:p>
        </w:tc>
        <w:tc>
          <w:tcPr>
            <w:tcW w:w="1060" w:type="dxa"/>
            <w:tcBorders>
              <w:top w:val="nil"/>
              <w:left w:val="nil"/>
              <w:bottom w:val="nil"/>
              <w:right w:val="nil"/>
            </w:tcBorders>
            <w:shd w:val="clear" w:color="auto" w:fill="auto"/>
            <w:noWrap/>
            <w:vAlign w:val="center"/>
            <w:hideMark/>
          </w:tcPr>
          <w:p w:rsidR="00D8674C" w:rsidRPr="00346A27" w:rsidRDefault="00D8674C" w:rsidP="00D8674C">
            <w:pPr>
              <w:keepNext w:val="0"/>
              <w:spacing w:after="0"/>
              <w:rPr>
                <w:rFonts w:ascii="Arial" w:hAnsi="Arial" w:cs="Arial"/>
                <w:sz w:val="16"/>
                <w:szCs w:val="16"/>
              </w:rPr>
            </w:pPr>
          </w:p>
        </w:tc>
      </w:tr>
      <w:tr w:rsidR="00346A27" w:rsidRPr="00346A27" w:rsidTr="00036CD6">
        <w:trPr>
          <w:trHeight w:val="225"/>
        </w:trPr>
        <w:tc>
          <w:tcPr>
            <w:tcW w:w="2860" w:type="dxa"/>
            <w:tcBorders>
              <w:top w:val="nil"/>
              <w:left w:val="nil"/>
              <w:bottom w:val="single" w:sz="4" w:space="0" w:color="auto"/>
              <w:right w:val="nil"/>
            </w:tcBorders>
            <w:shd w:val="clear" w:color="auto" w:fill="auto"/>
            <w:noWrap/>
            <w:vAlign w:val="bottom"/>
            <w:hideMark/>
          </w:tcPr>
          <w:p w:rsidR="00D8674C" w:rsidRPr="00346A27" w:rsidRDefault="00D8674C" w:rsidP="00D8674C">
            <w:pPr>
              <w:keepNext w:val="0"/>
              <w:spacing w:after="0"/>
              <w:ind w:firstLineChars="100" w:firstLine="161"/>
              <w:rPr>
                <w:rFonts w:ascii="Arial" w:hAnsi="Arial" w:cs="Arial"/>
                <w:b/>
                <w:bCs/>
                <w:sz w:val="16"/>
                <w:szCs w:val="16"/>
              </w:rPr>
            </w:pPr>
            <w:r w:rsidRPr="00346A27">
              <w:rPr>
                <w:rFonts w:ascii="Arial" w:hAnsi="Arial" w:cs="Arial"/>
                <w:b/>
                <w:bCs/>
                <w:sz w:val="16"/>
                <w:szCs w:val="16"/>
              </w:rPr>
              <w:t>as at 30 June 2016</w:t>
            </w:r>
          </w:p>
        </w:tc>
        <w:tc>
          <w:tcPr>
            <w:tcW w:w="1060" w:type="dxa"/>
            <w:tcBorders>
              <w:top w:val="nil"/>
              <w:left w:val="nil"/>
              <w:bottom w:val="single" w:sz="4" w:space="0" w:color="auto"/>
              <w:right w:val="nil"/>
            </w:tcBorders>
            <w:shd w:val="clear" w:color="auto" w:fill="auto"/>
            <w:noWrap/>
            <w:vAlign w:val="bottom"/>
            <w:hideMark/>
          </w:tcPr>
          <w:p w:rsidR="00D8674C" w:rsidRPr="00346A27" w:rsidRDefault="00D8674C" w:rsidP="00D8674C">
            <w:pPr>
              <w:keepNext w:val="0"/>
              <w:spacing w:after="0"/>
              <w:jc w:val="right"/>
              <w:rPr>
                <w:rFonts w:ascii="Arial" w:hAnsi="Arial" w:cs="Arial"/>
                <w:b/>
                <w:bCs/>
                <w:sz w:val="16"/>
                <w:szCs w:val="16"/>
              </w:rPr>
            </w:pPr>
            <w:r w:rsidRPr="00346A27">
              <w:rPr>
                <w:rFonts w:ascii="Arial" w:hAnsi="Arial" w:cs="Arial"/>
                <w:b/>
                <w:bCs/>
                <w:sz w:val="16"/>
                <w:szCs w:val="16"/>
              </w:rPr>
              <w:t>(3,723)</w:t>
            </w:r>
          </w:p>
        </w:tc>
        <w:tc>
          <w:tcPr>
            <w:tcW w:w="1200" w:type="dxa"/>
            <w:tcBorders>
              <w:top w:val="nil"/>
              <w:left w:val="nil"/>
              <w:bottom w:val="single" w:sz="4" w:space="0" w:color="auto"/>
              <w:right w:val="nil"/>
            </w:tcBorders>
            <w:shd w:val="clear" w:color="auto" w:fill="auto"/>
            <w:noWrap/>
            <w:vAlign w:val="bottom"/>
            <w:hideMark/>
          </w:tcPr>
          <w:p w:rsidR="00D8674C" w:rsidRPr="00346A27" w:rsidRDefault="00D8674C" w:rsidP="00D8674C">
            <w:pPr>
              <w:keepNext w:val="0"/>
              <w:spacing w:after="0"/>
              <w:jc w:val="right"/>
              <w:rPr>
                <w:rFonts w:ascii="Arial" w:hAnsi="Arial" w:cs="Arial"/>
                <w:b/>
                <w:bCs/>
                <w:sz w:val="16"/>
                <w:szCs w:val="16"/>
              </w:rPr>
            </w:pPr>
            <w:r w:rsidRPr="00346A27">
              <w:rPr>
                <w:rFonts w:ascii="Arial" w:hAnsi="Arial" w:cs="Arial"/>
                <w:b/>
                <w:bCs/>
                <w:sz w:val="16"/>
                <w:szCs w:val="16"/>
              </w:rPr>
              <w:t>11,014</w:t>
            </w:r>
          </w:p>
        </w:tc>
        <w:tc>
          <w:tcPr>
            <w:tcW w:w="1200" w:type="dxa"/>
            <w:tcBorders>
              <w:top w:val="nil"/>
              <w:left w:val="nil"/>
              <w:bottom w:val="single" w:sz="4" w:space="0" w:color="auto"/>
              <w:right w:val="nil"/>
            </w:tcBorders>
            <w:shd w:val="clear" w:color="auto" w:fill="auto"/>
            <w:noWrap/>
            <w:vAlign w:val="bottom"/>
            <w:hideMark/>
          </w:tcPr>
          <w:p w:rsidR="00D8674C" w:rsidRPr="00346A27" w:rsidRDefault="00D8674C" w:rsidP="00D8674C">
            <w:pPr>
              <w:keepNext w:val="0"/>
              <w:spacing w:after="0"/>
              <w:jc w:val="right"/>
              <w:rPr>
                <w:rFonts w:ascii="Arial" w:hAnsi="Arial" w:cs="Arial"/>
                <w:b/>
                <w:bCs/>
                <w:sz w:val="16"/>
                <w:szCs w:val="16"/>
              </w:rPr>
            </w:pPr>
            <w:r w:rsidRPr="00346A27">
              <w:rPr>
                <w:rFonts w:ascii="Arial" w:hAnsi="Arial" w:cs="Arial"/>
                <w:b/>
                <w:bCs/>
                <w:sz w:val="16"/>
                <w:szCs w:val="16"/>
              </w:rPr>
              <w:t>19,482</w:t>
            </w:r>
          </w:p>
        </w:tc>
        <w:tc>
          <w:tcPr>
            <w:tcW w:w="1060" w:type="dxa"/>
            <w:tcBorders>
              <w:top w:val="nil"/>
              <w:left w:val="nil"/>
              <w:bottom w:val="single" w:sz="4" w:space="0" w:color="auto"/>
              <w:right w:val="nil"/>
            </w:tcBorders>
            <w:shd w:val="clear" w:color="auto" w:fill="auto"/>
            <w:noWrap/>
            <w:vAlign w:val="bottom"/>
            <w:hideMark/>
          </w:tcPr>
          <w:p w:rsidR="00D8674C" w:rsidRPr="00346A27" w:rsidRDefault="00D8674C" w:rsidP="00D8674C">
            <w:pPr>
              <w:keepNext w:val="0"/>
              <w:spacing w:after="0"/>
              <w:jc w:val="right"/>
              <w:rPr>
                <w:rFonts w:ascii="Arial" w:hAnsi="Arial" w:cs="Arial"/>
                <w:b/>
                <w:bCs/>
                <w:sz w:val="16"/>
                <w:szCs w:val="16"/>
              </w:rPr>
            </w:pPr>
            <w:r w:rsidRPr="00346A27">
              <w:rPr>
                <w:rFonts w:ascii="Arial" w:hAnsi="Arial" w:cs="Arial"/>
                <w:b/>
                <w:bCs/>
                <w:sz w:val="16"/>
                <w:szCs w:val="16"/>
              </w:rPr>
              <w:t>26,773</w:t>
            </w:r>
          </w:p>
        </w:tc>
      </w:tr>
    </w:tbl>
    <w:p w:rsidR="007E7063" w:rsidRPr="00346A27" w:rsidRDefault="00D8674C" w:rsidP="00FF423A">
      <w:pPr>
        <w:pStyle w:val="FootnoteText"/>
        <w:spacing w:before="120"/>
      </w:pPr>
      <w:r w:rsidRPr="00346A27">
        <w:t>DCB = Departmental Capital Budget.</w:t>
      </w:r>
    </w:p>
    <w:p w:rsidR="00D8674C" w:rsidRPr="00346A27" w:rsidRDefault="00D8674C" w:rsidP="00EB0950">
      <w:r w:rsidRPr="00346A27">
        <w:br w:type="page"/>
      </w:r>
    </w:p>
    <w:p w:rsidR="007E7063" w:rsidRPr="00346A27" w:rsidRDefault="007E7063" w:rsidP="002B0C32">
      <w:pPr>
        <w:pStyle w:val="TableHeading"/>
      </w:pPr>
      <w:r w:rsidRPr="00346A27">
        <w:lastRenderedPageBreak/>
        <w:t xml:space="preserve">Table 3.2.4: Budgeted Departmental Statement of Cash Flows </w:t>
      </w:r>
      <w:r w:rsidR="00036CD6">
        <w:br/>
        <w:t>(for the period ended 30 June)</w:t>
      </w:r>
    </w:p>
    <w:tbl>
      <w:tblPr>
        <w:tblW w:w="7441" w:type="dxa"/>
        <w:tblInd w:w="93" w:type="dxa"/>
        <w:tblLook w:val="04A0" w:firstRow="1" w:lastRow="0" w:firstColumn="1" w:lastColumn="0" w:noHBand="0" w:noVBand="1"/>
        <w:tblCaption w:val="Table 3.2.4 Budgeted Departmental Statement of Cash Flows"/>
        <w:tblDescription w:val="Table 3.2.4 shows the Entity’s estimated cash flows over the financial year. Read the first column for the expected operating, investing, and financing activities and then across the table for 2014-15 estimated actual, 2015-16 Budget estimate and the forward estimates. Note that there is no data for some categories."/>
      </w:tblPr>
      <w:tblGrid>
        <w:gridCol w:w="2860"/>
        <w:gridCol w:w="981"/>
        <w:gridCol w:w="900"/>
        <w:gridCol w:w="900"/>
        <w:gridCol w:w="900"/>
        <w:gridCol w:w="900"/>
      </w:tblGrid>
      <w:tr w:rsidR="00346A27" w:rsidRPr="00346A27" w:rsidTr="00FF423A">
        <w:trPr>
          <w:trHeight w:val="585"/>
        </w:trPr>
        <w:tc>
          <w:tcPr>
            <w:tcW w:w="2860" w:type="dxa"/>
            <w:tcBorders>
              <w:top w:val="single" w:sz="4" w:space="0" w:color="auto"/>
              <w:left w:val="nil"/>
              <w:bottom w:val="nil"/>
              <w:right w:val="nil"/>
            </w:tcBorders>
            <w:shd w:val="clear" w:color="auto" w:fill="auto"/>
            <w:hideMark/>
          </w:tcPr>
          <w:p w:rsidR="00D8674C" w:rsidRPr="00346A27" w:rsidRDefault="00D8674C" w:rsidP="00FF423A">
            <w:pPr>
              <w:keepNext w:val="0"/>
              <w:spacing w:before="40" w:after="0"/>
              <w:jc w:val="right"/>
              <w:rPr>
                <w:rFonts w:ascii="Arial" w:hAnsi="Arial" w:cs="Arial"/>
                <w:sz w:val="16"/>
                <w:szCs w:val="16"/>
              </w:rPr>
            </w:pPr>
          </w:p>
        </w:tc>
        <w:tc>
          <w:tcPr>
            <w:tcW w:w="981" w:type="dxa"/>
            <w:tcBorders>
              <w:top w:val="single" w:sz="4" w:space="0" w:color="auto"/>
              <w:left w:val="nil"/>
              <w:bottom w:val="single" w:sz="4" w:space="0" w:color="auto"/>
              <w:right w:val="nil"/>
            </w:tcBorders>
            <w:shd w:val="clear" w:color="auto" w:fill="auto"/>
            <w:hideMark/>
          </w:tcPr>
          <w:p w:rsidR="00D8674C" w:rsidRPr="00346A27" w:rsidRDefault="00D8674C" w:rsidP="00FF423A">
            <w:pPr>
              <w:keepNext w:val="0"/>
              <w:spacing w:before="40" w:after="0"/>
              <w:jc w:val="right"/>
              <w:rPr>
                <w:rFonts w:ascii="Arial" w:hAnsi="Arial" w:cs="Arial"/>
                <w:b/>
                <w:bCs/>
                <w:sz w:val="16"/>
                <w:szCs w:val="16"/>
              </w:rPr>
            </w:pPr>
            <w:r w:rsidRPr="00346A27">
              <w:rPr>
                <w:rFonts w:ascii="Arial" w:hAnsi="Arial" w:cs="Arial"/>
                <w:b/>
                <w:bCs/>
                <w:sz w:val="16"/>
                <w:szCs w:val="16"/>
              </w:rPr>
              <w:t>Estimated actual 2014-15</w:t>
            </w:r>
            <w:r w:rsidRPr="00346A27">
              <w:rPr>
                <w:rFonts w:ascii="Arial" w:hAnsi="Arial" w:cs="Arial"/>
                <w:sz w:val="16"/>
                <w:szCs w:val="16"/>
              </w:rPr>
              <w:t xml:space="preserve"> $'000</w:t>
            </w:r>
          </w:p>
        </w:tc>
        <w:tc>
          <w:tcPr>
            <w:tcW w:w="900" w:type="dxa"/>
            <w:tcBorders>
              <w:top w:val="single" w:sz="4" w:space="0" w:color="auto"/>
              <w:left w:val="nil"/>
              <w:bottom w:val="single" w:sz="4" w:space="0" w:color="auto"/>
              <w:right w:val="nil"/>
            </w:tcBorders>
            <w:shd w:val="clear" w:color="000000" w:fill="D9D9D9"/>
            <w:hideMark/>
          </w:tcPr>
          <w:p w:rsidR="00D8674C" w:rsidRPr="00346A27" w:rsidRDefault="00D8674C" w:rsidP="00FF423A">
            <w:pPr>
              <w:keepNext w:val="0"/>
              <w:spacing w:before="40" w:after="0"/>
              <w:jc w:val="right"/>
              <w:rPr>
                <w:rFonts w:ascii="Arial" w:hAnsi="Arial" w:cs="Arial"/>
                <w:b/>
                <w:bCs/>
                <w:sz w:val="16"/>
                <w:szCs w:val="16"/>
              </w:rPr>
            </w:pPr>
            <w:r w:rsidRPr="00346A27">
              <w:rPr>
                <w:rFonts w:ascii="Arial" w:hAnsi="Arial" w:cs="Arial"/>
                <w:b/>
                <w:bCs/>
                <w:sz w:val="16"/>
                <w:szCs w:val="16"/>
              </w:rPr>
              <w:t>Budget estimate 2015-16</w:t>
            </w:r>
            <w:r w:rsidRPr="00346A27">
              <w:rPr>
                <w:rFonts w:ascii="Arial" w:hAnsi="Arial" w:cs="Arial"/>
                <w:sz w:val="16"/>
                <w:szCs w:val="16"/>
              </w:rPr>
              <w:t xml:space="preserve"> $'000</w:t>
            </w:r>
          </w:p>
        </w:tc>
        <w:tc>
          <w:tcPr>
            <w:tcW w:w="900" w:type="dxa"/>
            <w:tcBorders>
              <w:top w:val="single" w:sz="4" w:space="0" w:color="auto"/>
              <w:left w:val="nil"/>
              <w:bottom w:val="single" w:sz="4" w:space="0" w:color="auto"/>
              <w:right w:val="nil"/>
            </w:tcBorders>
            <w:shd w:val="clear" w:color="auto" w:fill="auto"/>
            <w:hideMark/>
          </w:tcPr>
          <w:p w:rsidR="00D8674C" w:rsidRPr="00346A27" w:rsidRDefault="00D8674C" w:rsidP="00FF423A">
            <w:pPr>
              <w:keepNext w:val="0"/>
              <w:spacing w:before="40" w:after="0"/>
              <w:jc w:val="right"/>
              <w:rPr>
                <w:rFonts w:ascii="Arial" w:hAnsi="Arial" w:cs="Arial"/>
                <w:b/>
                <w:bCs/>
                <w:sz w:val="16"/>
                <w:szCs w:val="16"/>
              </w:rPr>
            </w:pPr>
            <w:r w:rsidRPr="00346A27">
              <w:rPr>
                <w:rFonts w:ascii="Arial" w:hAnsi="Arial" w:cs="Arial"/>
                <w:b/>
                <w:bCs/>
                <w:sz w:val="16"/>
                <w:szCs w:val="16"/>
              </w:rPr>
              <w:t xml:space="preserve">Forward estimate 2016-17 </w:t>
            </w:r>
            <w:r w:rsidRPr="00346A27">
              <w:rPr>
                <w:rFonts w:ascii="Arial" w:hAnsi="Arial" w:cs="Arial"/>
                <w:sz w:val="16"/>
                <w:szCs w:val="16"/>
              </w:rPr>
              <w:t>$'000</w:t>
            </w:r>
          </w:p>
        </w:tc>
        <w:tc>
          <w:tcPr>
            <w:tcW w:w="900" w:type="dxa"/>
            <w:tcBorders>
              <w:top w:val="single" w:sz="4" w:space="0" w:color="auto"/>
              <w:left w:val="nil"/>
              <w:bottom w:val="single" w:sz="4" w:space="0" w:color="auto"/>
              <w:right w:val="nil"/>
            </w:tcBorders>
            <w:shd w:val="clear" w:color="auto" w:fill="auto"/>
            <w:hideMark/>
          </w:tcPr>
          <w:p w:rsidR="00D8674C" w:rsidRPr="00346A27" w:rsidRDefault="00D8674C" w:rsidP="00FF423A">
            <w:pPr>
              <w:keepNext w:val="0"/>
              <w:spacing w:before="40" w:after="0"/>
              <w:jc w:val="right"/>
              <w:rPr>
                <w:rFonts w:ascii="Arial" w:hAnsi="Arial" w:cs="Arial"/>
                <w:b/>
                <w:bCs/>
                <w:sz w:val="16"/>
                <w:szCs w:val="16"/>
              </w:rPr>
            </w:pPr>
            <w:r w:rsidRPr="00346A27">
              <w:rPr>
                <w:rFonts w:ascii="Arial" w:hAnsi="Arial" w:cs="Arial"/>
                <w:b/>
                <w:bCs/>
                <w:sz w:val="16"/>
                <w:szCs w:val="16"/>
              </w:rPr>
              <w:t xml:space="preserve">Forward estimate 2017-18 </w:t>
            </w:r>
            <w:r w:rsidRPr="00346A27">
              <w:rPr>
                <w:rFonts w:ascii="Arial" w:hAnsi="Arial" w:cs="Arial"/>
                <w:sz w:val="16"/>
                <w:szCs w:val="16"/>
              </w:rPr>
              <w:t>$'000</w:t>
            </w:r>
          </w:p>
        </w:tc>
        <w:tc>
          <w:tcPr>
            <w:tcW w:w="900" w:type="dxa"/>
            <w:tcBorders>
              <w:top w:val="single" w:sz="4" w:space="0" w:color="auto"/>
              <w:left w:val="nil"/>
              <w:bottom w:val="single" w:sz="4" w:space="0" w:color="auto"/>
              <w:right w:val="nil"/>
            </w:tcBorders>
            <w:shd w:val="clear" w:color="auto" w:fill="auto"/>
            <w:hideMark/>
          </w:tcPr>
          <w:p w:rsidR="00D8674C" w:rsidRPr="00346A27" w:rsidRDefault="00D8674C" w:rsidP="00FF423A">
            <w:pPr>
              <w:keepNext w:val="0"/>
              <w:spacing w:before="40" w:after="0"/>
              <w:jc w:val="right"/>
              <w:rPr>
                <w:rFonts w:ascii="Arial" w:hAnsi="Arial" w:cs="Arial"/>
                <w:b/>
                <w:bCs/>
                <w:sz w:val="16"/>
                <w:szCs w:val="16"/>
              </w:rPr>
            </w:pPr>
            <w:r w:rsidRPr="00346A27">
              <w:rPr>
                <w:rFonts w:ascii="Arial" w:hAnsi="Arial" w:cs="Arial"/>
                <w:b/>
                <w:bCs/>
                <w:sz w:val="16"/>
                <w:szCs w:val="16"/>
              </w:rPr>
              <w:t xml:space="preserve">Forward estimate 2018-19 </w:t>
            </w:r>
            <w:r w:rsidRPr="00346A27">
              <w:rPr>
                <w:rFonts w:ascii="Arial" w:hAnsi="Arial" w:cs="Arial"/>
                <w:sz w:val="16"/>
                <w:szCs w:val="16"/>
              </w:rPr>
              <w:t>$'000</w:t>
            </w:r>
          </w:p>
        </w:tc>
      </w:tr>
      <w:tr w:rsidR="00346A27" w:rsidRPr="00346A27" w:rsidTr="00036CD6">
        <w:trPr>
          <w:trHeight w:val="225"/>
        </w:trPr>
        <w:tc>
          <w:tcPr>
            <w:tcW w:w="286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rPr>
                <w:rFonts w:ascii="Arial" w:hAnsi="Arial" w:cs="Arial"/>
                <w:b/>
                <w:bCs/>
                <w:sz w:val="16"/>
                <w:szCs w:val="16"/>
              </w:rPr>
            </w:pPr>
            <w:r w:rsidRPr="00346A27">
              <w:rPr>
                <w:rFonts w:ascii="Arial" w:hAnsi="Arial" w:cs="Arial"/>
                <w:b/>
                <w:bCs/>
                <w:sz w:val="16"/>
                <w:szCs w:val="16"/>
              </w:rPr>
              <w:t>OPERATING ACTIVITIES</w:t>
            </w:r>
          </w:p>
        </w:tc>
        <w:tc>
          <w:tcPr>
            <w:tcW w:w="981" w:type="dxa"/>
            <w:tcBorders>
              <w:top w:val="single" w:sz="4" w:space="0" w:color="auto"/>
              <w:left w:val="nil"/>
              <w:bottom w:val="nil"/>
              <w:right w:val="nil"/>
            </w:tcBorders>
            <w:shd w:val="clear" w:color="auto" w:fill="auto"/>
            <w:noWrap/>
            <w:vAlign w:val="bottom"/>
          </w:tcPr>
          <w:p w:rsidR="00D8674C" w:rsidRPr="00346A27" w:rsidRDefault="00D8674C" w:rsidP="00FF423A">
            <w:pPr>
              <w:keepNext w:val="0"/>
              <w:spacing w:after="0"/>
              <w:jc w:val="right"/>
              <w:rPr>
                <w:rFonts w:ascii="Arial" w:hAnsi="Arial" w:cs="Arial"/>
                <w:sz w:val="16"/>
                <w:szCs w:val="16"/>
              </w:rPr>
            </w:pPr>
          </w:p>
        </w:tc>
        <w:tc>
          <w:tcPr>
            <w:tcW w:w="900" w:type="dxa"/>
            <w:tcBorders>
              <w:top w:val="single" w:sz="4" w:space="0" w:color="auto"/>
              <w:left w:val="nil"/>
              <w:bottom w:val="nil"/>
              <w:right w:val="nil"/>
            </w:tcBorders>
            <w:shd w:val="clear" w:color="000000" w:fill="D9D9D9"/>
            <w:noWrap/>
            <w:vAlign w:val="bottom"/>
          </w:tcPr>
          <w:p w:rsidR="00D8674C" w:rsidRPr="00346A27" w:rsidRDefault="00D8674C" w:rsidP="00FF423A">
            <w:pPr>
              <w:keepNext w:val="0"/>
              <w:spacing w:after="0"/>
              <w:jc w:val="right"/>
              <w:rPr>
                <w:rFonts w:ascii="Arial" w:hAnsi="Arial" w:cs="Arial"/>
                <w:sz w:val="16"/>
                <w:szCs w:val="16"/>
              </w:rPr>
            </w:pPr>
          </w:p>
        </w:tc>
        <w:tc>
          <w:tcPr>
            <w:tcW w:w="900" w:type="dxa"/>
            <w:tcBorders>
              <w:top w:val="single" w:sz="4" w:space="0" w:color="auto"/>
              <w:left w:val="nil"/>
              <w:bottom w:val="nil"/>
              <w:right w:val="nil"/>
            </w:tcBorders>
            <w:shd w:val="clear" w:color="auto" w:fill="auto"/>
            <w:noWrap/>
            <w:vAlign w:val="bottom"/>
          </w:tcPr>
          <w:p w:rsidR="00D8674C" w:rsidRPr="00346A27" w:rsidRDefault="00D8674C" w:rsidP="00FF423A">
            <w:pPr>
              <w:keepNext w:val="0"/>
              <w:spacing w:after="0"/>
              <w:jc w:val="right"/>
              <w:rPr>
                <w:rFonts w:ascii="Arial" w:hAnsi="Arial" w:cs="Arial"/>
                <w:sz w:val="16"/>
                <w:szCs w:val="16"/>
              </w:rPr>
            </w:pPr>
          </w:p>
        </w:tc>
        <w:tc>
          <w:tcPr>
            <w:tcW w:w="900" w:type="dxa"/>
            <w:tcBorders>
              <w:top w:val="single" w:sz="4" w:space="0" w:color="auto"/>
              <w:left w:val="nil"/>
              <w:bottom w:val="nil"/>
              <w:right w:val="nil"/>
            </w:tcBorders>
            <w:shd w:val="clear" w:color="auto" w:fill="auto"/>
            <w:noWrap/>
            <w:vAlign w:val="bottom"/>
          </w:tcPr>
          <w:p w:rsidR="00D8674C" w:rsidRPr="00346A27" w:rsidRDefault="00D8674C" w:rsidP="00FF423A">
            <w:pPr>
              <w:keepNext w:val="0"/>
              <w:spacing w:after="0"/>
              <w:jc w:val="right"/>
              <w:rPr>
                <w:rFonts w:ascii="Arial" w:hAnsi="Arial" w:cs="Arial"/>
                <w:sz w:val="16"/>
                <w:szCs w:val="16"/>
              </w:rPr>
            </w:pPr>
          </w:p>
        </w:tc>
        <w:tc>
          <w:tcPr>
            <w:tcW w:w="900" w:type="dxa"/>
            <w:tcBorders>
              <w:top w:val="single" w:sz="4" w:space="0" w:color="auto"/>
              <w:left w:val="nil"/>
              <w:bottom w:val="nil"/>
              <w:right w:val="nil"/>
            </w:tcBorders>
            <w:shd w:val="clear" w:color="auto" w:fill="auto"/>
            <w:noWrap/>
            <w:vAlign w:val="bottom"/>
          </w:tcPr>
          <w:p w:rsidR="00D8674C" w:rsidRPr="00346A27" w:rsidRDefault="00D8674C" w:rsidP="00FF423A">
            <w:pPr>
              <w:keepNext w:val="0"/>
              <w:spacing w:after="0"/>
              <w:jc w:val="right"/>
              <w:rPr>
                <w:rFonts w:ascii="Arial" w:hAnsi="Arial" w:cs="Arial"/>
                <w:sz w:val="16"/>
                <w:szCs w:val="16"/>
              </w:rPr>
            </w:pPr>
          </w:p>
        </w:tc>
      </w:tr>
      <w:tr w:rsidR="00346A27" w:rsidRPr="00346A27" w:rsidTr="00036CD6">
        <w:trPr>
          <w:trHeight w:val="225"/>
        </w:trPr>
        <w:tc>
          <w:tcPr>
            <w:tcW w:w="286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ind w:firstLineChars="100" w:firstLine="161"/>
              <w:rPr>
                <w:rFonts w:ascii="Arial" w:hAnsi="Arial" w:cs="Arial"/>
                <w:b/>
                <w:bCs/>
                <w:sz w:val="16"/>
                <w:szCs w:val="16"/>
              </w:rPr>
            </w:pPr>
            <w:r w:rsidRPr="00346A27">
              <w:rPr>
                <w:rFonts w:ascii="Arial" w:hAnsi="Arial" w:cs="Arial"/>
                <w:b/>
                <w:bCs/>
                <w:sz w:val="16"/>
                <w:szCs w:val="16"/>
              </w:rPr>
              <w:t>Cash received</w:t>
            </w:r>
          </w:p>
        </w:tc>
        <w:tc>
          <w:tcPr>
            <w:tcW w:w="981" w:type="dxa"/>
            <w:tcBorders>
              <w:top w:val="nil"/>
              <w:left w:val="nil"/>
              <w:bottom w:val="nil"/>
              <w:right w:val="nil"/>
            </w:tcBorders>
            <w:shd w:val="clear" w:color="auto" w:fill="auto"/>
            <w:noWrap/>
            <w:vAlign w:val="bottom"/>
          </w:tcPr>
          <w:p w:rsidR="00D8674C" w:rsidRPr="00346A27" w:rsidRDefault="00D8674C" w:rsidP="00FF423A">
            <w:pPr>
              <w:keepNext w:val="0"/>
              <w:spacing w:after="0"/>
              <w:jc w:val="right"/>
              <w:rPr>
                <w:rFonts w:ascii="Arial" w:hAnsi="Arial" w:cs="Arial"/>
                <w:sz w:val="16"/>
                <w:szCs w:val="16"/>
              </w:rPr>
            </w:pPr>
          </w:p>
        </w:tc>
        <w:tc>
          <w:tcPr>
            <w:tcW w:w="900" w:type="dxa"/>
            <w:tcBorders>
              <w:top w:val="nil"/>
              <w:left w:val="nil"/>
              <w:bottom w:val="nil"/>
              <w:right w:val="nil"/>
            </w:tcBorders>
            <w:shd w:val="clear" w:color="000000" w:fill="D9D9D9"/>
            <w:noWrap/>
            <w:vAlign w:val="bottom"/>
          </w:tcPr>
          <w:p w:rsidR="00D8674C" w:rsidRPr="00346A27" w:rsidRDefault="00D8674C" w:rsidP="00FF423A">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tcPr>
          <w:p w:rsidR="00D8674C" w:rsidRPr="00346A27" w:rsidRDefault="00D8674C" w:rsidP="00FF423A">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tcPr>
          <w:p w:rsidR="00D8674C" w:rsidRPr="00346A27" w:rsidRDefault="00D8674C" w:rsidP="00FF423A">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tcPr>
          <w:p w:rsidR="00D8674C" w:rsidRPr="00346A27" w:rsidRDefault="00D8674C" w:rsidP="00FF423A">
            <w:pPr>
              <w:keepNext w:val="0"/>
              <w:spacing w:after="0"/>
              <w:jc w:val="right"/>
              <w:rPr>
                <w:rFonts w:ascii="Arial" w:hAnsi="Arial" w:cs="Arial"/>
                <w:sz w:val="16"/>
                <w:szCs w:val="16"/>
              </w:rPr>
            </w:pPr>
          </w:p>
        </w:tc>
      </w:tr>
      <w:tr w:rsidR="00346A27" w:rsidRPr="00346A27" w:rsidTr="00FF423A">
        <w:trPr>
          <w:trHeight w:val="225"/>
        </w:trPr>
        <w:tc>
          <w:tcPr>
            <w:tcW w:w="286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ind w:firstLineChars="200" w:firstLine="320"/>
              <w:rPr>
                <w:rFonts w:ascii="Arial" w:hAnsi="Arial" w:cs="Arial"/>
                <w:sz w:val="16"/>
                <w:szCs w:val="16"/>
              </w:rPr>
            </w:pPr>
            <w:r w:rsidRPr="00346A27">
              <w:rPr>
                <w:rFonts w:ascii="Arial" w:hAnsi="Arial" w:cs="Arial"/>
                <w:sz w:val="16"/>
                <w:szCs w:val="16"/>
              </w:rPr>
              <w:t>Goods and services</w:t>
            </w:r>
          </w:p>
        </w:tc>
        <w:tc>
          <w:tcPr>
            <w:tcW w:w="981"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r w:rsidRPr="00346A27">
              <w:rPr>
                <w:rFonts w:ascii="Arial" w:hAnsi="Arial" w:cs="Arial"/>
                <w:sz w:val="16"/>
                <w:szCs w:val="16"/>
              </w:rPr>
              <w:t>4,286</w:t>
            </w:r>
          </w:p>
        </w:tc>
        <w:tc>
          <w:tcPr>
            <w:tcW w:w="900" w:type="dxa"/>
            <w:tcBorders>
              <w:top w:val="nil"/>
              <w:left w:val="nil"/>
              <w:bottom w:val="nil"/>
              <w:right w:val="nil"/>
            </w:tcBorders>
            <w:shd w:val="clear" w:color="000000" w:fill="D9D9D9"/>
            <w:noWrap/>
            <w:vAlign w:val="bottom"/>
            <w:hideMark/>
          </w:tcPr>
          <w:p w:rsidR="00D8674C" w:rsidRPr="00346A27" w:rsidRDefault="00D8674C" w:rsidP="00FF423A">
            <w:pPr>
              <w:keepNext w:val="0"/>
              <w:spacing w:after="0"/>
              <w:jc w:val="right"/>
              <w:rPr>
                <w:rFonts w:ascii="Arial" w:hAnsi="Arial" w:cs="Arial"/>
                <w:sz w:val="16"/>
                <w:szCs w:val="16"/>
              </w:rPr>
            </w:pPr>
            <w:r w:rsidRPr="00346A27">
              <w:rPr>
                <w:rFonts w:ascii="Arial" w:hAnsi="Arial" w:cs="Arial"/>
                <w:sz w:val="16"/>
                <w:szCs w:val="16"/>
              </w:rPr>
              <w:t>4,286</w:t>
            </w:r>
          </w:p>
        </w:tc>
        <w:tc>
          <w:tcPr>
            <w:tcW w:w="90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r w:rsidRPr="00346A27">
              <w:rPr>
                <w:rFonts w:ascii="Arial" w:hAnsi="Arial" w:cs="Arial"/>
                <w:sz w:val="16"/>
                <w:szCs w:val="16"/>
              </w:rPr>
              <w:t>4,286</w:t>
            </w:r>
          </w:p>
        </w:tc>
        <w:tc>
          <w:tcPr>
            <w:tcW w:w="90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r w:rsidRPr="00346A27">
              <w:rPr>
                <w:rFonts w:ascii="Arial" w:hAnsi="Arial" w:cs="Arial"/>
                <w:sz w:val="16"/>
                <w:szCs w:val="16"/>
              </w:rPr>
              <w:t>4,286</w:t>
            </w:r>
          </w:p>
        </w:tc>
        <w:tc>
          <w:tcPr>
            <w:tcW w:w="90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r w:rsidRPr="00346A27">
              <w:rPr>
                <w:rFonts w:ascii="Arial" w:hAnsi="Arial" w:cs="Arial"/>
                <w:sz w:val="16"/>
                <w:szCs w:val="16"/>
              </w:rPr>
              <w:t>4,286</w:t>
            </w:r>
          </w:p>
        </w:tc>
      </w:tr>
      <w:tr w:rsidR="00346A27" w:rsidRPr="00346A27" w:rsidTr="00FF423A">
        <w:trPr>
          <w:trHeight w:val="225"/>
        </w:trPr>
        <w:tc>
          <w:tcPr>
            <w:tcW w:w="286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ind w:firstLineChars="200" w:firstLine="320"/>
              <w:rPr>
                <w:rFonts w:ascii="Arial" w:hAnsi="Arial" w:cs="Arial"/>
                <w:sz w:val="16"/>
                <w:szCs w:val="16"/>
              </w:rPr>
            </w:pPr>
            <w:r w:rsidRPr="00346A27">
              <w:rPr>
                <w:rFonts w:ascii="Arial" w:hAnsi="Arial" w:cs="Arial"/>
                <w:sz w:val="16"/>
                <w:szCs w:val="16"/>
              </w:rPr>
              <w:t>Appropriations</w:t>
            </w:r>
          </w:p>
        </w:tc>
        <w:tc>
          <w:tcPr>
            <w:tcW w:w="981"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r w:rsidRPr="00346A27">
              <w:rPr>
                <w:rFonts w:ascii="Arial" w:hAnsi="Arial" w:cs="Arial"/>
                <w:sz w:val="16"/>
                <w:szCs w:val="16"/>
              </w:rPr>
              <w:t>13,253</w:t>
            </w:r>
          </w:p>
        </w:tc>
        <w:tc>
          <w:tcPr>
            <w:tcW w:w="900" w:type="dxa"/>
            <w:tcBorders>
              <w:top w:val="nil"/>
              <w:left w:val="nil"/>
              <w:bottom w:val="nil"/>
              <w:right w:val="nil"/>
            </w:tcBorders>
            <w:shd w:val="clear" w:color="000000" w:fill="D9D9D9"/>
            <w:noWrap/>
            <w:vAlign w:val="bottom"/>
            <w:hideMark/>
          </w:tcPr>
          <w:p w:rsidR="00D8674C" w:rsidRPr="00346A27" w:rsidRDefault="00D8674C" w:rsidP="00FF423A">
            <w:pPr>
              <w:keepNext w:val="0"/>
              <w:spacing w:after="0"/>
              <w:jc w:val="right"/>
              <w:rPr>
                <w:rFonts w:ascii="Arial" w:hAnsi="Arial" w:cs="Arial"/>
                <w:sz w:val="16"/>
                <w:szCs w:val="16"/>
              </w:rPr>
            </w:pPr>
            <w:r w:rsidRPr="00346A27">
              <w:rPr>
                <w:rFonts w:ascii="Arial" w:hAnsi="Arial" w:cs="Arial"/>
                <w:sz w:val="16"/>
                <w:szCs w:val="16"/>
              </w:rPr>
              <w:t>13,928</w:t>
            </w:r>
          </w:p>
        </w:tc>
        <w:tc>
          <w:tcPr>
            <w:tcW w:w="90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r w:rsidRPr="00346A27">
              <w:rPr>
                <w:rFonts w:ascii="Arial" w:hAnsi="Arial" w:cs="Arial"/>
                <w:sz w:val="16"/>
                <w:szCs w:val="16"/>
              </w:rPr>
              <w:t>12,937</w:t>
            </w:r>
          </w:p>
        </w:tc>
        <w:tc>
          <w:tcPr>
            <w:tcW w:w="90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r w:rsidRPr="00346A27">
              <w:rPr>
                <w:rFonts w:ascii="Arial" w:hAnsi="Arial" w:cs="Arial"/>
                <w:sz w:val="16"/>
                <w:szCs w:val="16"/>
              </w:rPr>
              <w:t>13,019</w:t>
            </w:r>
          </w:p>
        </w:tc>
        <w:tc>
          <w:tcPr>
            <w:tcW w:w="90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r w:rsidRPr="00346A27">
              <w:rPr>
                <w:rFonts w:ascii="Arial" w:hAnsi="Arial" w:cs="Arial"/>
                <w:sz w:val="16"/>
                <w:szCs w:val="16"/>
              </w:rPr>
              <w:t>13,103</w:t>
            </w:r>
          </w:p>
        </w:tc>
      </w:tr>
      <w:tr w:rsidR="00346A27" w:rsidRPr="00346A27" w:rsidTr="00FF423A">
        <w:trPr>
          <w:trHeight w:val="225"/>
        </w:trPr>
        <w:tc>
          <w:tcPr>
            <w:tcW w:w="286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ind w:firstLineChars="200" w:firstLine="320"/>
              <w:rPr>
                <w:rFonts w:ascii="Arial" w:hAnsi="Arial" w:cs="Arial"/>
                <w:sz w:val="16"/>
                <w:szCs w:val="16"/>
              </w:rPr>
            </w:pPr>
            <w:r w:rsidRPr="00346A27">
              <w:rPr>
                <w:rFonts w:ascii="Arial" w:hAnsi="Arial" w:cs="Arial"/>
                <w:sz w:val="16"/>
                <w:szCs w:val="16"/>
              </w:rPr>
              <w:t>Net GST received</w:t>
            </w:r>
          </w:p>
        </w:tc>
        <w:tc>
          <w:tcPr>
            <w:tcW w:w="981"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r w:rsidRPr="00346A27">
              <w:rPr>
                <w:rFonts w:ascii="Arial" w:hAnsi="Arial" w:cs="Arial"/>
                <w:sz w:val="16"/>
                <w:szCs w:val="16"/>
              </w:rPr>
              <w:t>485</w:t>
            </w:r>
          </w:p>
        </w:tc>
        <w:tc>
          <w:tcPr>
            <w:tcW w:w="900" w:type="dxa"/>
            <w:tcBorders>
              <w:top w:val="nil"/>
              <w:left w:val="nil"/>
              <w:bottom w:val="nil"/>
              <w:right w:val="nil"/>
            </w:tcBorders>
            <w:shd w:val="clear" w:color="000000" w:fill="D9D9D9"/>
            <w:noWrap/>
            <w:vAlign w:val="bottom"/>
            <w:hideMark/>
          </w:tcPr>
          <w:p w:rsidR="00D8674C" w:rsidRPr="00346A27" w:rsidRDefault="00D8674C" w:rsidP="00FF423A">
            <w:pPr>
              <w:keepNext w:val="0"/>
              <w:spacing w:after="0"/>
              <w:jc w:val="right"/>
              <w:rPr>
                <w:rFonts w:ascii="Arial" w:hAnsi="Arial" w:cs="Arial"/>
                <w:sz w:val="16"/>
                <w:szCs w:val="16"/>
              </w:rPr>
            </w:pPr>
            <w:r w:rsidRPr="00346A27">
              <w:rPr>
                <w:rFonts w:ascii="Arial" w:hAnsi="Arial" w:cs="Arial"/>
                <w:sz w:val="16"/>
                <w:szCs w:val="16"/>
              </w:rPr>
              <w:t>485</w:t>
            </w:r>
          </w:p>
        </w:tc>
        <w:tc>
          <w:tcPr>
            <w:tcW w:w="90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r w:rsidRPr="00346A27">
              <w:rPr>
                <w:rFonts w:ascii="Arial" w:hAnsi="Arial" w:cs="Arial"/>
                <w:sz w:val="16"/>
                <w:szCs w:val="16"/>
              </w:rPr>
              <w:t>485</w:t>
            </w:r>
          </w:p>
        </w:tc>
        <w:tc>
          <w:tcPr>
            <w:tcW w:w="90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r w:rsidRPr="00346A27">
              <w:rPr>
                <w:rFonts w:ascii="Arial" w:hAnsi="Arial" w:cs="Arial"/>
                <w:sz w:val="16"/>
                <w:szCs w:val="16"/>
              </w:rPr>
              <w:t>485</w:t>
            </w:r>
          </w:p>
        </w:tc>
        <w:tc>
          <w:tcPr>
            <w:tcW w:w="90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r w:rsidRPr="00346A27">
              <w:rPr>
                <w:rFonts w:ascii="Arial" w:hAnsi="Arial" w:cs="Arial"/>
                <w:sz w:val="16"/>
                <w:szCs w:val="16"/>
              </w:rPr>
              <w:t>485</w:t>
            </w:r>
          </w:p>
        </w:tc>
      </w:tr>
      <w:tr w:rsidR="00346A27" w:rsidRPr="00346A27" w:rsidTr="00FF423A">
        <w:trPr>
          <w:trHeight w:val="225"/>
        </w:trPr>
        <w:tc>
          <w:tcPr>
            <w:tcW w:w="286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ind w:firstLineChars="200" w:firstLine="320"/>
              <w:rPr>
                <w:rFonts w:ascii="Arial" w:hAnsi="Arial" w:cs="Arial"/>
                <w:sz w:val="16"/>
                <w:szCs w:val="16"/>
              </w:rPr>
            </w:pPr>
            <w:r w:rsidRPr="00346A27">
              <w:rPr>
                <w:rFonts w:ascii="Arial" w:hAnsi="Arial" w:cs="Arial"/>
                <w:sz w:val="16"/>
                <w:szCs w:val="16"/>
              </w:rPr>
              <w:t>Other cash received</w:t>
            </w:r>
          </w:p>
        </w:tc>
        <w:tc>
          <w:tcPr>
            <w:tcW w:w="981"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r w:rsidRPr="00346A27">
              <w:rPr>
                <w:rFonts w:ascii="Arial" w:hAnsi="Arial" w:cs="Arial"/>
                <w:sz w:val="16"/>
                <w:szCs w:val="16"/>
              </w:rPr>
              <w:t>5,275</w:t>
            </w:r>
          </w:p>
        </w:tc>
        <w:tc>
          <w:tcPr>
            <w:tcW w:w="900" w:type="dxa"/>
            <w:tcBorders>
              <w:top w:val="nil"/>
              <w:left w:val="nil"/>
              <w:bottom w:val="nil"/>
              <w:right w:val="nil"/>
            </w:tcBorders>
            <w:shd w:val="clear" w:color="000000" w:fill="D9D9D9"/>
            <w:noWrap/>
            <w:vAlign w:val="bottom"/>
            <w:hideMark/>
          </w:tcPr>
          <w:p w:rsidR="00D8674C" w:rsidRPr="00346A27" w:rsidRDefault="00D8674C" w:rsidP="00FF423A">
            <w:pPr>
              <w:keepNext w:val="0"/>
              <w:spacing w:after="0"/>
              <w:jc w:val="right"/>
              <w:rPr>
                <w:rFonts w:ascii="Arial" w:hAnsi="Arial" w:cs="Arial"/>
                <w:sz w:val="16"/>
                <w:szCs w:val="16"/>
              </w:rPr>
            </w:pPr>
            <w:r w:rsidRPr="00346A27">
              <w:rPr>
                <w:rFonts w:ascii="Arial" w:hAnsi="Arial" w:cs="Arial"/>
                <w:sz w:val="16"/>
                <w:szCs w:val="16"/>
              </w:rPr>
              <w:t>5,275</w:t>
            </w:r>
          </w:p>
        </w:tc>
        <w:tc>
          <w:tcPr>
            <w:tcW w:w="90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r w:rsidRPr="00346A27">
              <w:rPr>
                <w:rFonts w:ascii="Arial" w:hAnsi="Arial" w:cs="Arial"/>
                <w:sz w:val="16"/>
                <w:szCs w:val="16"/>
              </w:rPr>
              <w:t>5,275</w:t>
            </w:r>
          </w:p>
        </w:tc>
        <w:tc>
          <w:tcPr>
            <w:tcW w:w="90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r w:rsidRPr="00346A27">
              <w:rPr>
                <w:rFonts w:ascii="Arial" w:hAnsi="Arial" w:cs="Arial"/>
                <w:sz w:val="16"/>
                <w:szCs w:val="16"/>
              </w:rPr>
              <w:t>5,275</w:t>
            </w:r>
          </w:p>
        </w:tc>
        <w:tc>
          <w:tcPr>
            <w:tcW w:w="90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r w:rsidRPr="00346A27">
              <w:rPr>
                <w:rFonts w:ascii="Arial" w:hAnsi="Arial" w:cs="Arial"/>
                <w:sz w:val="16"/>
                <w:szCs w:val="16"/>
              </w:rPr>
              <w:t>5,275</w:t>
            </w:r>
          </w:p>
        </w:tc>
      </w:tr>
      <w:tr w:rsidR="00346A27" w:rsidRPr="00346A27" w:rsidTr="00FF423A">
        <w:trPr>
          <w:trHeight w:val="225"/>
        </w:trPr>
        <w:tc>
          <w:tcPr>
            <w:tcW w:w="286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ind w:firstLineChars="200" w:firstLine="321"/>
              <w:rPr>
                <w:rFonts w:ascii="Arial" w:hAnsi="Arial" w:cs="Arial"/>
                <w:b/>
                <w:bCs/>
                <w:sz w:val="16"/>
                <w:szCs w:val="16"/>
              </w:rPr>
            </w:pPr>
            <w:r w:rsidRPr="00346A27">
              <w:rPr>
                <w:rFonts w:ascii="Arial" w:hAnsi="Arial" w:cs="Arial"/>
                <w:b/>
                <w:bCs/>
                <w:sz w:val="16"/>
                <w:szCs w:val="16"/>
              </w:rPr>
              <w:t>Total cash received</w:t>
            </w:r>
          </w:p>
        </w:tc>
        <w:tc>
          <w:tcPr>
            <w:tcW w:w="981" w:type="dxa"/>
            <w:tcBorders>
              <w:top w:val="nil"/>
              <w:left w:val="nil"/>
              <w:bottom w:val="single" w:sz="4" w:space="0" w:color="auto"/>
              <w:right w:val="nil"/>
            </w:tcBorders>
            <w:shd w:val="clear" w:color="auto" w:fill="auto"/>
            <w:noWrap/>
            <w:vAlign w:val="bottom"/>
            <w:hideMark/>
          </w:tcPr>
          <w:p w:rsidR="00D8674C" w:rsidRPr="00346A27" w:rsidRDefault="00D8674C" w:rsidP="00FF423A">
            <w:pPr>
              <w:keepNext w:val="0"/>
              <w:spacing w:after="0"/>
              <w:jc w:val="right"/>
              <w:rPr>
                <w:rFonts w:ascii="Arial" w:hAnsi="Arial" w:cs="Arial"/>
                <w:b/>
                <w:bCs/>
                <w:sz w:val="16"/>
                <w:szCs w:val="16"/>
              </w:rPr>
            </w:pPr>
            <w:r w:rsidRPr="00346A27">
              <w:rPr>
                <w:rFonts w:ascii="Arial" w:hAnsi="Arial" w:cs="Arial"/>
                <w:b/>
                <w:bCs/>
                <w:sz w:val="16"/>
                <w:szCs w:val="16"/>
              </w:rPr>
              <w:t>23,299</w:t>
            </w:r>
          </w:p>
        </w:tc>
        <w:tc>
          <w:tcPr>
            <w:tcW w:w="900" w:type="dxa"/>
            <w:tcBorders>
              <w:top w:val="nil"/>
              <w:left w:val="nil"/>
              <w:bottom w:val="single" w:sz="4" w:space="0" w:color="auto"/>
              <w:right w:val="nil"/>
            </w:tcBorders>
            <w:shd w:val="clear" w:color="000000" w:fill="D9D9D9"/>
            <w:noWrap/>
            <w:vAlign w:val="bottom"/>
            <w:hideMark/>
          </w:tcPr>
          <w:p w:rsidR="00D8674C" w:rsidRPr="00346A27" w:rsidRDefault="00D8674C" w:rsidP="00FF423A">
            <w:pPr>
              <w:keepNext w:val="0"/>
              <w:spacing w:after="0"/>
              <w:jc w:val="right"/>
              <w:rPr>
                <w:rFonts w:ascii="Arial" w:hAnsi="Arial" w:cs="Arial"/>
                <w:b/>
                <w:bCs/>
                <w:sz w:val="16"/>
                <w:szCs w:val="16"/>
              </w:rPr>
            </w:pPr>
            <w:r w:rsidRPr="00346A27">
              <w:rPr>
                <w:rFonts w:ascii="Arial" w:hAnsi="Arial" w:cs="Arial"/>
                <w:b/>
                <w:bCs/>
                <w:sz w:val="16"/>
                <w:szCs w:val="16"/>
              </w:rPr>
              <w:t>23,974</w:t>
            </w:r>
          </w:p>
        </w:tc>
        <w:tc>
          <w:tcPr>
            <w:tcW w:w="900" w:type="dxa"/>
            <w:tcBorders>
              <w:top w:val="nil"/>
              <w:left w:val="nil"/>
              <w:bottom w:val="single" w:sz="4" w:space="0" w:color="auto"/>
              <w:right w:val="nil"/>
            </w:tcBorders>
            <w:shd w:val="clear" w:color="auto" w:fill="auto"/>
            <w:noWrap/>
            <w:vAlign w:val="bottom"/>
            <w:hideMark/>
          </w:tcPr>
          <w:p w:rsidR="00D8674C" w:rsidRPr="00346A27" w:rsidRDefault="00D8674C" w:rsidP="00FF423A">
            <w:pPr>
              <w:keepNext w:val="0"/>
              <w:spacing w:after="0"/>
              <w:jc w:val="right"/>
              <w:rPr>
                <w:rFonts w:ascii="Arial" w:hAnsi="Arial" w:cs="Arial"/>
                <w:b/>
                <w:bCs/>
                <w:sz w:val="16"/>
                <w:szCs w:val="16"/>
              </w:rPr>
            </w:pPr>
            <w:r w:rsidRPr="00346A27">
              <w:rPr>
                <w:rFonts w:ascii="Arial" w:hAnsi="Arial" w:cs="Arial"/>
                <w:b/>
                <w:bCs/>
                <w:sz w:val="16"/>
                <w:szCs w:val="16"/>
              </w:rPr>
              <w:t>22,983</w:t>
            </w:r>
          </w:p>
        </w:tc>
        <w:tc>
          <w:tcPr>
            <w:tcW w:w="900" w:type="dxa"/>
            <w:tcBorders>
              <w:top w:val="nil"/>
              <w:left w:val="nil"/>
              <w:bottom w:val="single" w:sz="4" w:space="0" w:color="auto"/>
              <w:right w:val="nil"/>
            </w:tcBorders>
            <w:shd w:val="clear" w:color="auto" w:fill="auto"/>
            <w:noWrap/>
            <w:vAlign w:val="bottom"/>
            <w:hideMark/>
          </w:tcPr>
          <w:p w:rsidR="00D8674C" w:rsidRPr="00346A27" w:rsidRDefault="00D8674C" w:rsidP="00FF423A">
            <w:pPr>
              <w:keepNext w:val="0"/>
              <w:spacing w:after="0"/>
              <w:jc w:val="right"/>
              <w:rPr>
                <w:rFonts w:ascii="Arial" w:hAnsi="Arial" w:cs="Arial"/>
                <w:b/>
                <w:bCs/>
                <w:sz w:val="16"/>
                <w:szCs w:val="16"/>
              </w:rPr>
            </w:pPr>
            <w:r w:rsidRPr="00346A27">
              <w:rPr>
                <w:rFonts w:ascii="Arial" w:hAnsi="Arial" w:cs="Arial"/>
                <w:b/>
                <w:bCs/>
                <w:sz w:val="16"/>
                <w:szCs w:val="16"/>
              </w:rPr>
              <w:t>23,065</w:t>
            </w:r>
          </w:p>
        </w:tc>
        <w:tc>
          <w:tcPr>
            <w:tcW w:w="900" w:type="dxa"/>
            <w:tcBorders>
              <w:top w:val="nil"/>
              <w:left w:val="nil"/>
              <w:bottom w:val="single" w:sz="4" w:space="0" w:color="auto"/>
              <w:right w:val="nil"/>
            </w:tcBorders>
            <w:shd w:val="clear" w:color="auto" w:fill="auto"/>
            <w:noWrap/>
            <w:vAlign w:val="bottom"/>
            <w:hideMark/>
          </w:tcPr>
          <w:p w:rsidR="00D8674C" w:rsidRPr="00346A27" w:rsidRDefault="00D8674C" w:rsidP="00FF423A">
            <w:pPr>
              <w:keepNext w:val="0"/>
              <w:spacing w:after="0"/>
              <w:jc w:val="right"/>
              <w:rPr>
                <w:rFonts w:ascii="Arial" w:hAnsi="Arial" w:cs="Arial"/>
                <w:b/>
                <w:bCs/>
                <w:sz w:val="16"/>
                <w:szCs w:val="16"/>
              </w:rPr>
            </w:pPr>
            <w:r w:rsidRPr="00346A27">
              <w:rPr>
                <w:rFonts w:ascii="Arial" w:hAnsi="Arial" w:cs="Arial"/>
                <w:b/>
                <w:bCs/>
                <w:sz w:val="16"/>
                <w:szCs w:val="16"/>
              </w:rPr>
              <w:t>23,149</w:t>
            </w:r>
          </w:p>
        </w:tc>
      </w:tr>
      <w:tr w:rsidR="00346A27" w:rsidRPr="00346A27" w:rsidTr="00FF423A">
        <w:trPr>
          <w:trHeight w:val="300"/>
        </w:trPr>
        <w:tc>
          <w:tcPr>
            <w:tcW w:w="286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ind w:firstLineChars="100" w:firstLine="161"/>
              <w:rPr>
                <w:rFonts w:ascii="Arial" w:hAnsi="Arial" w:cs="Arial"/>
                <w:b/>
                <w:bCs/>
                <w:sz w:val="16"/>
                <w:szCs w:val="16"/>
              </w:rPr>
            </w:pPr>
            <w:r w:rsidRPr="00346A27">
              <w:rPr>
                <w:rFonts w:ascii="Arial" w:hAnsi="Arial" w:cs="Arial"/>
                <w:b/>
                <w:bCs/>
                <w:sz w:val="16"/>
                <w:szCs w:val="16"/>
              </w:rPr>
              <w:t>Cash used</w:t>
            </w:r>
          </w:p>
        </w:tc>
        <w:tc>
          <w:tcPr>
            <w:tcW w:w="981"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p>
        </w:tc>
        <w:tc>
          <w:tcPr>
            <w:tcW w:w="900" w:type="dxa"/>
            <w:tcBorders>
              <w:top w:val="nil"/>
              <w:left w:val="nil"/>
              <w:bottom w:val="nil"/>
              <w:right w:val="nil"/>
            </w:tcBorders>
            <w:shd w:val="clear" w:color="000000" w:fill="D9D9D9"/>
            <w:noWrap/>
            <w:vAlign w:val="bottom"/>
            <w:hideMark/>
          </w:tcPr>
          <w:p w:rsidR="00D8674C" w:rsidRPr="00346A27" w:rsidRDefault="00D8674C" w:rsidP="00FF423A">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p>
        </w:tc>
      </w:tr>
      <w:tr w:rsidR="00346A27" w:rsidRPr="00346A27" w:rsidTr="00FF423A">
        <w:trPr>
          <w:trHeight w:val="225"/>
        </w:trPr>
        <w:tc>
          <w:tcPr>
            <w:tcW w:w="286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ind w:firstLineChars="200" w:firstLine="320"/>
              <w:rPr>
                <w:rFonts w:ascii="Arial" w:hAnsi="Arial" w:cs="Arial"/>
                <w:sz w:val="16"/>
                <w:szCs w:val="16"/>
              </w:rPr>
            </w:pPr>
            <w:r w:rsidRPr="00346A27">
              <w:rPr>
                <w:rFonts w:ascii="Arial" w:hAnsi="Arial" w:cs="Arial"/>
                <w:sz w:val="16"/>
                <w:szCs w:val="16"/>
              </w:rPr>
              <w:t>Employees</w:t>
            </w:r>
          </w:p>
        </w:tc>
        <w:tc>
          <w:tcPr>
            <w:tcW w:w="981"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r w:rsidRPr="00346A27">
              <w:rPr>
                <w:rFonts w:ascii="Arial" w:hAnsi="Arial" w:cs="Arial"/>
                <w:sz w:val="16"/>
                <w:szCs w:val="16"/>
              </w:rPr>
              <w:t>16,348</w:t>
            </w:r>
          </w:p>
        </w:tc>
        <w:tc>
          <w:tcPr>
            <w:tcW w:w="900" w:type="dxa"/>
            <w:tcBorders>
              <w:top w:val="nil"/>
              <w:left w:val="nil"/>
              <w:bottom w:val="nil"/>
              <w:right w:val="nil"/>
            </w:tcBorders>
            <w:shd w:val="clear" w:color="000000" w:fill="D9D9D9"/>
            <w:noWrap/>
            <w:vAlign w:val="bottom"/>
            <w:hideMark/>
          </w:tcPr>
          <w:p w:rsidR="00D8674C" w:rsidRPr="00346A27" w:rsidRDefault="00D8674C" w:rsidP="00FF423A">
            <w:pPr>
              <w:keepNext w:val="0"/>
              <w:spacing w:after="0"/>
              <w:jc w:val="right"/>
              <w:rPr>
                <w:rFonts w:ascii="Arial" w:hAnsi="Arial" w:cs="Arial"/>
                <w:sz w:val="16"/>
                <w:szCs w:val="16"/>
              </w:rPr>
            </w:pPr>
            <w:r w:rsidRPr="00346A27">
              <w:rPr>
                <w:rFonts w:ascii="Arial" w:hAnsi="Arial" w:cs="Arial"/>
                <w:sz w:val="16"/>
                <w:szCs w:val="16"/>
              </w:rPr>
              <w:t>16,349</w:t>
            </w:r>
          </w:p>
        </w:tc>
        <w:tc>
          <w:tcPr>
            <w:tcW w:w="90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r w:rsidRPr="00346A27">
              <w:rPr>
                <w:rFonts w:ascii="Arial" w:hAnsi="Arial" w:cs="Arial"/>
                <w:sz w:val="16"/>
                <w:szCs w:val="16"/>
              </w:rPr>
              <w:t>16,349</w:t>
            </w:r>
          </w:p>
        </w:tc>
        <w:tc>
          <w:tcPr>
            <w:tcW w:w="90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r w:rsidRPr="00346A27">
              <w:rPr>
                <w:rFonts w:ascii="Arial" w:hAnsi="Arial" w:cs="Arial"/>
                <w:sz w:val="16"/>
                <w:szCs w:val="16"/>
              </w:rPr>
              <w:t>16,348</w:t>
            </w:r>
          </w:p>
        </w:tc>
        <w:tc>
          <w:tcPr>
            <w:tcW w:w="90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r w:rsidRPr="00346A27">
              <w:rPr>
                <w:rFonts w:ascii="Arial" w:hAnsi="Arial" w:cs="Arial"/>
                <w:sz w:val="16"/>
                <w:szCs w:val="16"/>
              </w:rPr>
              <w:t>16,348</w:t>
            </w:r>
          </w:p>
        </w:tc>
      </w:tr>
      <w:tr w:rsidR="00346A27" w:rsidRPr="00346A27" w:rsidTr="00FF423A">
        <w:trPr>
          <w:trHeight w:val="225"/>
        </w:trPr>
        <w:tc>
          <w:tcPr>
            <w:tcW w:w="286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ind w:firstLineChars="200" w:firstLine="320"/>
              <w:rPr>
                <w:rFonts w:ascii="Arial" w:hAnsi="Arial" w:cs="Arial"/>
                <w:sz w:val="16"/>
                <w:szCs w:val="16"/>
              </w:rPr>
            </w:pPr>
            <w:r w:rsidRPr="00346A27">
              <w:rPr>
                <w:rFonts w:ascii="Arial" w:hAnsi="Arial" w:cs="Arial"/>
                <w:sz w:val="16"/>
                <w:szCs w:val="16"/>
              </w:rPr>
              <w:t>Suppliers</w:t>
            </w:r>
          </w:p>
        </w:tc>
        <w:tc>
          <w:tcPr>
            <w:tcW w:w="981"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r w:rsidRPr="00346A27">
              <w:rPr>
                <w:rFonts w:ascii="Arial" w:hAnsi="Arial" w:cs="Arial"/>
                <w:sz w:val="16"/>
                <w:szCs w:val="16"/>
              </w:rPr>
              <w:t>6,740</w:t>
            </w:r>
          </w:p>
        </w:tc>
        <w:tc>
          <w:tcPr>
            <w:tcW w:w="900" w:type="dxa"/>
            <w:tcBorders>
              <w:top w:val="nil"/>
              <w:left w:val="nil"/>
              <w:bottom w:val="nil"/>
              <w:right w:val="nil"/>
            </w:tcBorders>
            <w:shd w:val="clear" w:color="000000" w:fill="D9D9D9"/>
            <w:noWrap/>
            <w:vAlign w:val="bottom"/>
            <w:hideMark/>
          </w:tcPr>
          <w:p w:rsidR="00D8674C" w:rsidRPr="00346A27" w:rsidRDefault="00D8674C" w:rsidP="00FF423A">
            <w:pPr>
              <w:keepNext w:val="0"/>
              <w:spacing w:after="0"/>
              <w:jc w:val="right"/>
              <w:rPr>
                <w:rFonts w:ascii="Arial" w:hAnsi="Arial" w:cs="Arial"/>
                <w:sz w:val="16"/>
                <w:szCs w:val="16"/>
              </w:rPr>
            </w:pPr>
            <w:r w:rsidRPr="00346A27">
              <w:rPr>
                <w:rFonts w:ascii="Arial" w:hAnsi="Arial" w:cs="Arial"/>
                <w:sz w:val="16"/>
                <w:szCs w:val="16"/>
              </w:rPr>
              <w:t>6,678</w:t>
            </w:r>
          </w:p>
        </w:tc>
        <w:tc>
          <w:tcPr>
            <w:tcW w:w="90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r w:rsidRPr="00346A27">
              <w:rPr>
                <w:rFonts w:ascii="Arial" w:hAnsi="Arial" w:cs="Arial"/>
                <w:sz w:val="16"/>
                <w:szCs w:val="16"/>
              </w:rPr>
              <w:t>5,933</w:t>
            </w:r>
          </w:p>
        </w:tc>
        <w:tc>
          <w:tcPr>
            <w:tcW w:w="90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r w:rsidRPr="00346A27">
              <w:rPr>
                <w:rFonts w:ascii="Arial" w:hAnsi="Arial" w:cs="Arial"/>
                <w:sz w:val="16"/>
                <w:szCs w:val="16"/>
              </w:rPr>
              <w:t>6,034</w:t>
            </w:r>
          </w:p>
        </w:tc>
        <w:tc>
          <w:tcPr>
            <w:tcW w:w="90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r w:rsidRPr="00346A27">
              <w:rPr>
                <w:rFonts w:ascii="Arial" w:hAnsi="Arial" w:cs="Arial"/>
                <w:sz w:val="16"/>
                <w:szCs w:val="16"/>
              </w:rPr>
              <w:t>6,118</w:t>
            </w:r>
          </w:p>
        </w:tc>
      </w:tr>
      <w:tr w:rsidR="00346A27" w:rsidRPr="00346A27" w:rsidTr="00FF423A">
        <w:trPr>
          <w:trHeight w:val="225"/>
        </w:trPr>
        <w:tc>
          <w:tcPr>
            <w:tcW w:w="286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ind w:firstLineChars="200" w:firstLine="320"/>
              <w:rPr>
                <w:rFonts w:ascii="Arial" w:hAnsi="Arial" w:cs="Arial"/>
                <w:sz w:val="16"/>
                <w:szCs w:val="16"/>
              </w:rPr>
            </w:pPr>
            <w:r w:rsidRPr="00346A27">
              <w:rPr>
                <w:rFonts w:ascii="Arial" w:hAnsi="Arial" w:cs="Arial"/>
                <w:sz w:val="16"/>
                <w:szCs w:val="16"/>
              </w:rPr>
              <w:t>Net GST paid</w:t>
            </w:r>
          </w:p>
        </w:tc>
        <w:tc>
          <w:tcPr>
            <w:tcW w:w="981"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r w:rsidRPr="00346A27">
              <w:rPr>
                <w:rFonts w:ascii="Arial" w:hAnsi="Arial" w:cs="Arial"/>
                <w:sz w:val="16"/>
                <w:szCs w:val="16"/>
              </w:rPr>
              <w:t>726</w:t>
            </w:r>
          </w:p>
        </w:tc>
        <w:tc>
          <w:tcPr>
            <w:tcW w:w="900" w:type="dxa"/>
            <w:tcBorders>
              <w:top w:val="nil"/>
              <w:left w:val="nil"/>
              <w:bottom w:val="nil"/>
              <w:right w:val="nil"/>
            </w:tcBorders>
            <w:shd w:val="clear" w:color="000000" w:fill="D9D9D9"/>
            <w:noWrap/>
            <w:vAlign w:val="bottom"/>
            <w:hideMark/>
          </w:tcPr>
          <w:p w:rsidR="00D8674C" w:rsidRPr="00346A27" w:rsidRDefault="00D8674C" w:rsidP="00FF423A">
            <w:pPr>
              <w:keepNext w:val="0"/>
              <w:spacing w:after="0"/>
              <w:jc w:val="right"/>
              <w:rPr>
                <w:rFonts w:ascii="Arial" w:hAnsi="Arial" w:cs="Arial"/>
                <w:sz w:val="16"/>
                <w:szCs w:val="16"/>
              </w:rPr>
            </w:pPr>
            <w:r w:rsidRPr="00346A27">
              <w:rPr>
                <w:rFonts w:ascii="Arial" w:hAnsi="Arial" w:cs="Arial"/>
                <w:sz w:val="16"/>
                <w:szCs w:val="16"/>
              </w:rPr>
              <w:t>701</w:t>
            </w:r>
          </w:p>
        </w:tc>
        <w:tc>
          <w:tcPr>
            <w:tcW w:w="90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r w:rsidRPr="00346A27">
              <w:rPr>
                <w:rFonts w:ascii="Arial" w:hAnsi="Arial" w:cs="Arial"/>
                <w:sz w:val="16"/>
                <w:szCs w:val="16"/>
              </w:rPr>
              <w:t>701</w:t>
            </w:r>
          </w:p>
        </w:tc>
        <w:tc>
          <w:tcPr>
            <w:tcW w:w="90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r w:rsidRPr="00346A27">
              <w:rPr>
                <w:rFonts w:ascii="Arial" w:hAnsi="Arial" w:cs="Arial"/>
                <w:sz w:val="16"/>
                <w:szCs w:val="16"/>
              </w:rPr>
              <w:t>683</w:t>
            </w:r>
          </w:p>
        </w:tc>
        <w:tc>
          <w:tcPr>
            <w:tcW w:w="90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r w:rsidRPr="00346A27">
              <w:rPr>
                <w:rFonts w:ascii="Arial" w:hAnsi="Arial" w:cs="Arial"/>
                <w:sz w:val="16"/>
                <w:szCs w:val="16"/>
              </w:rPr>
              <w:t>683</w:t>
            </w:r>
          </w:p>
        </w:tc>
      </w:tr>
      <w:tr w:rsidR="00346A27" w:rsidRPr="00346A27" w:rsidTr="00FF423A">
        <w:trPr>
          <w:trHeight w:val="225"/>
        </w:trPr>
        <w:tc>
          <w:tcPr>
            <w:tcW w:w="286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ind w:firstLineChars="200" w:firstLine="321"/>
              <w:rPr>
                <w:rFonts w:ascii="Arial" w:hAnsi="Arial" w:cs="Arial"/>
                <w:b/>
                <w:bCs/>
                <w:sz w:val="16"/>
                <w:szCs w:val="16"/>
              </w:rPr>
            </w:pPr>
            <w:r w:rsidRPr="00346A27">
              <w:rPr>
                <w:rFonts w:ascii="Arial" w:hAnsi="Arial" w:cs="Arial"/>
                <w:b/>
                <w:bCs/>
                <w:sz w:val="16"/>
                <w:szCs w:val="16"/>
              </w:rPr>
              <w:t>Total cash used</w:t>
            </w:r>
          </w:p>
        </w:tc>
        <w:tc>
          <w:tcPr>
            <w:tcW w:w="981" w:type="dxa"/>
            <w:tcBorders>
              <w:top w:val="nil"/>
              <w:left w:val="nil"/>
              <w:bottom w:val="single" w:sz="4" w:space="0" w:color="auto"/>
              <w:right w:val="nil"/>
            </w:tcBorders>
            <w:shd w:val="clear" w:color="auto" w:fill="auto"/>
            <w:noWrap/>
            <w:vAlign w:val="bottom"/>
            <w:hideMark/>
          </w:tcPr>
          <w:p w:rsidR="00D8674C" w:rsidRPr="00346A27" w:rsidRDefault="00D8674C" w:rsidP="00FF423A">
            <w:pPr>
              <w:keepNext w:val="0"/>
              <w:spacing w:after="0"/>
              <w:jc w:val="right"/>
              <w:rPr>
                <w:rFonts w:ascii="Arial" w:hAnsi="Arial" w:cs="Arial"/>
                <w:b/>
                <w:bCs/>
                <w:sz w:val="16"/>
                <w:szCs w:val="16"/>
              </w:rPr>
            </w:pPr>
            <w:r w:rsidRPr="00346A27">
              <w:rPr>
                <w:rFonts w:ascii="Arial" w:hAnsi="Arial" w:cs="Arial"/>
                <w:b/>
                <w:bCs/>
                <w:sz w:val="16"/>
                <w:szCs w:val="16"/>
              </w:rPr>
              <w:t>23,814</w:t>
            </w:r>
          </w:p>
        </w:tc>
        <w:tc>
          <w:tcPr>
            <w:tcW w:w="900" w:type="dxa"/>
            <w:tcBorders>
              <w:top w:val="nil"/>
              <w:left w:val="nil"/>
              <w:bottom w:val="single" w:sz="4" w:space="0" w:color="auto"/>
              <w:right w:val="nil"/>
            </w:tcBorders>
            <w:shd w:val="clear" w:color="000000" w:fill="D9D9D9"/>
            <w:noWrap/>
            <w:vAlign w:val="bottom"/>
            <w:hideMark/>
          </w:tcPr>
          <w:p w:rsidR="00D8674C" w:rsidRPr="00346A27" w:rsidRDefault="00D8674C" w:rsidP="00FF423A">
            <w:pPr>
              <w:keepNext w:val="0"/>
              <w:spacing w:after="0"/>
              <w:jc w:val="right"/>
              <w:rPr>
                <w:rFonts w:ascii="Arial" w:hAnsi="Arial" w:cs="Arial"/>
                <w:b/>
                <w:bCs/>
                <w:sz w:val="16"/>
                <w:szCs w:val="16"/>
              </w:rPr>
            </w:pPr>
            <w:r w:rsidRPr="00346A27">
              <w:rPr>
                <w:rFonts w:ascii="Arial" w:hAnsi="Arial" w:cs="Arial"/>
                <w:b/>
                <w:bCs/>
                <w:sz w:val="16"/>
                <w:szCs w:val="16"/>
              </w:rPr>
              <w:t>23,728</w:t>
            </w:r>
          </w:p>
        </w:tc>
        <w:tc>
          <w:tcPr>
            <w:tcW w:w="900" w:type="dxa"/>
            <w:tcBorders>
              <w:top w:val="nil"/>
              <w:left w:val="nil"/>
              <w:bottom w:val="single" w:sz="4" w:space="0" w:color="auto"/>
              <w:right w:val="nil"/>
            </w:tcBorders>
            <w:shd w:val="clear" w:color="auto" w:fill="auto"/>
            <w:noWrap/>
            <w:vAlign w:val="bottom"/>
            <w:hideMark/>
          </w:tcPr>
          <w:p w:rsidR="00D8674C" w:rsidRPr="00346A27" w:rsidRDefault="00D8674C" w:rsidP="00FF423A">
            <w:pPr>
              <w:keepNext w:val="0"/>
              <w:spacing w:after="0"/>
              <w:jc w:val="right"/>
              <w:rPr>
                <w:rFonts w:ascii="Arial" w:hAnsi="Arial" w:cs="Arial"/>
                <w:b/>
                <w:bCs/>
                <w:sz w:val="16"/>
                <w:szCs w:val="16"/>
              </w:rPr>
            </w:pPr>
            <w:r w:rsidRPr="00346A27">
              <w:rPr>
                <w:rFonts w:ascii="Arial" w:hAnsi="Arial" w:cs="Arial"/>
                <w:b/>
                <w:bCs/>
                <w:sz w:val="16"/>
                <w:szCs w:val="16"/>
              </w:rPr>
              <w:t>22,983</w:t>
            </w:r>
          </w:p>
        </w:tc>
        <w:tc>
          <w:tcPr>
            <w:tcW w:w="900" w:type="dxa"/>
            <w:tcBorders>
              <w:top w:val="nil"/>
              <w:left w:val="nil"/>
              <w:bottom w:val="single" w:sz="4" w:space="0" w:color="auto"/>
              <w:right w:val="nil"/>
            </w:tcBorders>
            <w:shd w:val="clear" w:color="auto" w:fill="auto"/>
            <w:noWrap/>
            <w:vAlign w:val="bottom"/>
            <w:hideMark/>
          </w:tcPr>
          <w:p w:rsidR="00D8674C" w:rsidRPr="00346A27" w:rsidRDefault="00D8674C" w:rsidP="00FF423A">
            <w:pPr>
              <w:keepNext w:val="0"/>
              <w:spacing w:after="0"/>
              <w:jc w:val="right"/>
              <w:rPr>
                <w:rFonts w:ascii="Arial" w:hAnsi="Arial" w:cs="Arial"/>
                <w:b/>
                <w:bCs/>
                <w:sz w:val="16"/>
                <w:szCs w:val="16"/>
              </w:rPr>
            </w:pPr>
            <w:r w:rsidRPr="00346A27">
              <w:rPr>
                <w:rFonts w:ascii="Arial" w:hAnsi="Arial" w:cs="Arial"/>
                <w:b/>
                <w:bCs/>
                <w:sz w:val="16"/>
                <w:szCs w:val="16"/>
              </w:rPr>
              <w:t>23,065</w:t>
            </w:r>
          </w:p>
        </w:tc>
        <w:tc>
          <w:tcPr>
            <w:tcW w:w="900" w:type="dxa"/>
            <w:tcBorders>
              <w:top w:val="nil"/>
              <w:left w:val="nil"/>
              <w:bottom w:val="single" w:sz="4" w:space="0" w:color="auto"/>
              <w:right w:val="nil"/>
            </w:tcBorders>
            <w:shd w:val="clear" w:color="auto" w:fill="auto"/>
            <w:noWrap/>
            <w:vAlign w:val="bottom"/>
            <w:hideMark/>
          </w:tcPr>
          <w:p w:rsidR="00D8674C" w:rsidRPr="00346A27" w:rsidRDefault="00D8674C" w:rsidP="00FF423A">
            <w:pPr>
              <w:keepNext w:val="0"/>
              <w:spacing w:after="0"/>
              <w:jc w:val="right"/>
              <w:rPr>
                <w:rFonts w:ascii="Arial" w:hAnsi="Arial" w:cs="Arial"/>
                <w:b/>
                <w:bCs/>
                <w:sz w:val="16"/>
                <w:szCs w:val="16"/>
              </w:rPr>
            </w:pPr>
            <w:r w:rsidRPr="00346A27">
              <w:rPr>
                <w:rFonts w:ascii="Arial" w:hAnsi="Arial" w:cs="Arial"/>
                <w:b/>
                <w:bCs/>
                <w:sz w:val="16"/>
                <w:szCs w:val="16"/>
              </w:rPr>
              <w:t>23,149</w:t>
            </w:r>
          </w:p>
        </w:tc>
      </w:tr>
      <w:tr w:rsidR="00346A27" w:rsidRPr="00346A27" w:rsidTr="00FF423A">
        <w:trPr>
          <w:trHeight w:val="225"/>
        </w:trPr>
        <w:tc>
          <w:tcPr>
            <w:tcW w:w="286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ind w:firstLineChars="100" w:firstLine="161"/>
              <w:rPr>
                <w:rFonts w:ascii="Arial" w:hAnsi="Arial" w:cs="Arial"/>
                <w:b/>
                <w:bCs/>
                <w:sz w:val="16"/>
                <w:szCs w:val="16"/>
              </w:rPr>
            </w:pPr>
            <w:r w:rsidRPr="00346A27">
              <w:rPr>
                <w:rFonts w:ascii="Arial" w:hAnsi="Arial" w:cs="Arial"/>
                <w:b/>
                <w:bCs/>
                <w:sz w:val="16"/>
                <w:szCs w:val="16"/>
              </w:rPr>
              <w:t>Net cash from (or used by)</w:t>
            </w:r>
          </w:p>
        </w:tc>
        <w:tc>
          <w:tcPr>
            <w:tcW w:w="981"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p>
        </w:tc>
        <w:tc>
          <w:tcPr>
            <w:tcW w:w="900" w:type="dxa"/>
            <w:tcBorders>
              <w:top w:val="nil"/>
              <w:left w:val="nil"/>
              <w:bottom w:val="nil"/>
              <w:right w:val="nil"/>
            </w:tcBorders>
            <w:shd w:val="clear" w:color="000000" w:fill="D9D9D9"/>
            <w:noWrap/>
            <w:vAlign w:val="bottom"/>
            <w:hideMark/>
          </w:tcPr>
          <w:p w:rsidR="00D8674C" w:rsidRPr="00346A27" w:rsidRDefault="00D8674C" w:rsidP="00FF423A">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p>
        </w:tc>
      </w:tr>
      <w:tr w:rsidR="00346A27" w:rsidRPr="00346A27" w:rsidTr="00FF423A">
        <w:trPr>
          <w:trHeight w:val="225"/>
        </w:trPr>
        <w:tc>
          <w:tcPr>
            <w:tcW w:w="286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ind w:firstLineChars="200" w:firstLine="321"/>
              <w:rPr>
                <w:rFonts w:ascii="Arial" w:hAnsi="Arial" w:cs="Arial"/>
                <w:b/>
                <w:bCs/>
                <w:sz w:val="16"/>
                <w:szCs w:val="16"/>
              </w:rPr>
            </w:pPr>
            <w:r w:rsidRPr="00346A27">
              <w:rPr>
                <w:rFonts w:ascii="Arial" w:hAnsi="Arial" w:cs="Arial"/>
                <w:b/>
                <w:bCs/>
                <w:sz w:val="16"/>
                <w:szCs w:val="16"/>
              </w:rPr>
              <w:t>operating activities</w:t>
            </w:r>
          </w:p>
        </w:tc>
        <w:tc>
          <w:tcPr>
            <w:tcW w:w="981" w:type="dxa"/>
            <w:tcBorders>
              <w:top w:val="nil"/>
              <w:left w:val="nil"/>
              <w:bottom w:val="single" w:sz="4" w:space="0" w:color="auto"/>
              <w:right w:val="nil"/>
            </w:tcBorders>
            <w:shd w:val="clear" w:color="auto" w:fill="auto"/>
            <w:noWrap/>
            <w:vAlign w:val="bottom"/>
            <w:hideMark/>
          </w:tcPr>
          <w:p w:rsidR="00D8674C" w:rsidRPr="00346A27" w:rsidRDefault="00D8674C" w:rsidP="00FF423A">
            <w:pPr>
              <w:keepNext w:val="0"/>
              <w:spacing w:after="0"/>
              <w:jc w:val="right"/>
              <w:rPr>
                <w:rFonts w:ascii="Arial" w:hAnsi="Arial" w:cs="Arial"/>
                <w:b/>
                <w:bCs/>
                <w:sz w:val="16"/>
                <w:szCs w:val="16"/>
              </w:rPr>
            </w:pPr>
            <w:r w:rsidRPr="00346A27">
              <w:rPr>
                <w:rFonts w:ascii="Arial" w:hAnsi="Arial" w:cs="Arial"/>
                <w:b/>
                <w:bCs/>
                <w:sz w:val="16"/>
                <w:szCs w:val="16"/>
              </w:rPr>
              <w:t>(515)</w:t>
            </w:r>
          </w:p>
        </w:tc>
        <w:tc>
          <w:tcPr>
            <w:tcW w:w="900" w:type="dxa"/>
            <w:tcBorders>
              <w:top w:val="nil"/>
              <w:left w:val="nil"/>
              <w:bottom w:val="single" w:sz="4" w:space="0" w:color="auto"/>
              <w:right w:val="nil"/>
            </w:tcBorders>
            <w:shd w:val="clear" w:color="000000" w:fill="D9D9D9"/>
            <w:noWrap/>
            <w:vAlign w:val="bottom"/>
            <w:hideMark/>
          </w:tcPr>
          <w:p w:rsidR="00D8674C" w:rsidRPr="00346A27" w:rsidRDefault="00D8674C" w:rsidP="00FF423A">
            <w:pPr>
              <w:keepNext w:val="0"/>
              <w:spacing w:after="0"/>
              <w:jc w:val="right"/>
              <w:rPr>
                <w:rFonts w:ascii="Arial" w:hAnsi="Arial" w:cs="Arial"/>
                <w:b/>
                <w:bCs/>
                <w:sz w:val="16"/>
                <w:szCs w:val="16"/>
              </w:rPr>
            </w:pPr>
            <w:r w:rsidRPr="00346A27">
              <w:rPr>
                <w:rFonts w:ascii="Arial" w:hAnsi="Arial" w:cs="Arial"/>
                <w:b/>
                <w:bCs/>
                <w:sz w:val="16"/>
                <w:szCs w:val="16"/>
              </w:rPr>
              <w:t>246</w:t>
            </w:r>
          </w:p>
        </w:tc>
        <w:tc>
          <w:tcPr>
            <w:tcW w:w="900" w:type="dxa"/>
            <w:tcBorders>
              <w:top w:val="nil"/>
              <w:left w:val="nil"/>
              <w:bottom w:val="single" w:sz="4" w:space="0" w:color="auto"/>
              <w:right w:val="nil"/>
            </w:tcBorders>
            <w:shd w:val="clear" w:color="auto" w:fill="auto"/>
            <w:noWrap/>
            <w:vAlign w:val="bottom"/>
            <w:hideMark/>
          </w:tcPr>
          <w:p w:rsidR="00D8674C" w:rsidRPr="00346A27" w:rsidRDefault="00D8674C" w:rsidP="00FF423A">
            <w:pPr>
              <w:keepNext w:val="0"/>
              <w:spacing w:after="0"/>
              <w:jc w:val="right"/>
              <w:rPr>
                <w:rFonts w:ascii="Arial" w:hAnsi="Arial" w:cs="Arial"/>
                <w:b/>
                <w:bCs/>
                <w:sz w:val="16"/>
                <w:szCs w:val="16"/>
              </w:rPr>
            </w:pPr>
            <w:r w:rsidRPr="00346A27">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rsidR="00D8674C" w:rsidRPr="00346A27" w:rsidRDefault="00D8674C" w:rsidP="00FF423A">
            <w:pPr>
              <w:keepNext w:val="0"/>
              <w:spacing w:after="0"/>
              <w:jc w:val="right"/>
              <w:rPr>
                <w:rFonts w:ascii="Arial" w:hAnsi="Arial" w:cs="Arial"/>
                <w:b/>
                <w:bCs/>
                <w:sz w:val="16"/>
                <w:szCs w:val="16"/>
              </w:rPr>
            </w:pPr>
            <w:r w:rsidRPr="00346A27">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rsidR="00D8674C" w:rsidRPr="00346A27" w:rsidRDefault="00D8674C" w:rsidP="00FF423A">
            <w:pPr>
              <w:keepNext w:val="0"/>
              <w:spacing w:after="0"/>
              <w:jc w:val="right"/>
              <w:rPr>
                <w:rFonts w:ascii="Arial" w:hAnsi="Arial" w:cs="Arial"/>
                <w:b/>
                <w:bCs/>
                <w:sz w:val="16"/>
                <w:szCs w:val="16"/>
              </w:rPr>
            </w:pPr>
            <w:r w:rsidRPr="00346A27">
              <w:rPr>
                <w:rFonts w:ascii="Arial" w:hAnsi="Arial" w:cs="Arial"/>
                <w:b/>
                <w:bCs/>
                <w:sz w:val="16"/>
                <w:szCs w:val="16"/>
              </w:rPr>
              <w:t>-</w:t>
            </w:r>
          </w:p>
        </w:tc>
      </w:tr>
      <w:tr w:rsidR="00346A27" w:rsidRPr="00346A27" w:rsidTr="00036CD6">
        <w:trPr>
          <w:trHeight w:val="300"/>
        </w:trPr>
        <w:tc>
          <w:tcPr>
            <w:tcW w:w="286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rPr>
                <w:rFonts w:ascii="Arial" w:hAnsi="Arial" w:cs="Arial"/>
                <w:b/>
                <w:bCs/>
                <w:sz w:val="16"/>
                <w:szCs w:val="16"/>
              </w:rPr>
            </w:pPr>
            <w:r w:rsidRPr="00346A27">
              <w:rPr>
                <w:rFonts w:ascii="Arial" w:hAnsi="Arial" w:cs="Arial"/>
                <w:b/>
                <w:bCs/>
                <w:sz w:val="16"/>
                <w:szCs w:val="16"/>
              </w:rPr>
              <w:t>INVESTING ACTIVITIES</w:t>
            </w:r>
          </w:p>
        </w:tc>
        <w:tc>
          <w:tcPr>
            <w:tcW w:w="981"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p>
        </w:tc>
        <w:tc>
          <w:tcPr>
            <w:tcW w:w="900" w:type="dxa"/>
            <w:tcBorders>
              <w:top w:val="nil"/>
              <w:left w:val="nil"/>
              <w:bottom w:val="nil"/>
              <w:right w:val="nil"/>
            </w:tcBorders>
            <w:shd w:val="clear" w:color="000000" w:fill="D9D9D9"/>
            <w:noWrap/>
            <w:vAlign w:val="bottom"/>
          </w:tcPr>
          <w:p w:rsidR="00D8674C" w:rsidRPr="00346A27" w:rsidRDefault="00D8674C" w:rsidP="00FF423A">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p>
        </w:tc>
      </w:tr>
      <w:tr w:rsidR="00346A27" w:rsidRPr="00346A27" w:rsidTr="00036CD6">
        <w:trPr>
          <w:trHeight w:val="225"/>
        </w:trPr>
        <w:tc>
          <w:tcPr>
            <w:tcW w:w="286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ind w:firstLineChars="100" w:firstLine="161"/>
              <w:rPr>
                <w:rFonts w:ascii="Arial" w:hAnsi="Arial" w:cs="Arial"/>
                <w:b/>
                <w:bCs/>
                <w:sz w:val="16"/>
                <w:szCs w:val="16"/>
              </w:rPr>
            </w:pPr>
            <w:r w:rsidRPr="00346A27">
              <w:rPr>
                <w:rFonts w:ascii="Arial" w:hAnsi="Arial" w:cs="Arial"/>
                <w:b/>
                <w:bCs/>
                <w:sz w:val="16"/>
                <w:szCs w:val="16"/>
              </w:rPr>
              <w:t>Cash used</w:t>
            </w:r>
          </w:p>
        </w:tc>
        <w:tc>
          <w:tcPr>
            <w:tcW w:w="981"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p>
        </w:tc>
        <w:tc>
          <w:tcPr>
            <w:tcW w:w="900" w:type="dxa"/>
            <w:tcBorders>
              <w:top w:val="nil"/>
              <w:left w:val="nil"/>
              <w:bottom w:val="nil"/>
              <w:right w:val="nil"/>
            </w:tcBorders>
            <w:shd w:val="clear" w:color="000000" w:fill="D9D9D9"/>
            <w:noWrap/>
            <w:vAlign w:val="bottom"/>
          </w:tcPr>
          <w:p w:rsidR="00D8674C" w:rsidRPr="00346A27" w:rsidRDefault="00D8674C" w:rsidP="00FF423A">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p>
        </w:tc>
      </w:tr>
      <w:tr w:rsidR="00346A27" w:rsidRPr="00346A27" w:rsidTr="00036CD6">
        <w:trPr>
          <w:trHeight w:val="225"/>
        </w:trPr>
        <w:tc>
          <w:tcPr>
            <w:tcW w:w="286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ind w:firstLineChars="200" w:firstLine="320"/>
              <w:rPr>
                <w:rFonts w:ascii="Arial" w:hAnsi="Arial" w:cs="Arial"/>
                <w:sz w:val="16"/>
                <w:szCs w:val="16"/>
              </w:rPr>
            </w:pPr>
            <w:r w:rsidRPr="00346A27">
              <w:rPr>
                <w:rFonts w:ascii="Arial" w:hAnsi="Arial" w:cs="Arial"/>
                <w:sz w:val="16"/>
                <w:szCs w:val="16"/>
              </w:rPr>
              <w:t xml:space="preserve">Purchase of property, plant </w:t>
            </w:r>
          </w:p>
        </w:tc>
        <w:tc>
          <w:tcPr>
            <w:tcW w:w="981"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p>
        </w:tc>
        <w:tc>
          <w:tcPr>
            <w:tcW w:w="900" w:type="dxa"/>
            <w:tcBorders>
              <w:top w:val="nil"/>
              <w:left w:val="nil"/>
              <w:bottom w:val="nil"/>
              <w:right w:val="nil"/>
            </w:tcBorders>
            <w:shd w:val="clear" w:color="000000" w:fill="D9D9D9"/>
            <w:noWrap/>
            <w:vAlign w:val="bottom"/>
          </w:tcPr>
          <w:p w:rsidR="00D8674C" w:rsidRPr="00346A27" w:rsidRDefault="00D8674C" w:rsidP="00FF423A">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p>
        </w:tc>
      </w:tr>
      <w:tr w:rsidR="00346A27" w:rsidRPr="00346A27" w:rsidTr="00FF423A">
        <w:trPr>
          <w:trHeight w:val="225"/>
        </w:trPr>
        <w:tc>
          <w:tcPr>
            <w:tcW w:w="286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ind w:firstLineChars="300" w:firstLine="480"/>
              <w:rPr>
                <w:rFonts w:ascii="Arial" w:hAnsi="Arial" w:cs="Arial"/>
                <w:sz w:val="16"/>
                <w:szCs w:val="16"/>
              </w:rPr>
            </w:pPr>
            <w:r w:rsidRPr="00346A27">
              <w:rPr>
                <w:rFonts w:ascii="Arial" w:hAnsi="Arial" w:cs="Arial"/>
                <w:sz w:val="16"/>
                <w:szCs w:val="16"/>
              </w:rPr>
              <w:t>and equipment</w:t>
            </w:r>
          </w:p>
        </w:tc>
        <w:tc>
          <w:tcPr>
            <w:tcW w:w="981"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r w:rsidRPr="00346A27">
              <w:rPr>
                <w:rFonts w:ascii="Arial" w:hAnsi="Arial" w:cs="Arial"/>
                <w:sz w:val="16"/>
                <w:szCs w:val="16"/>
              </w:rPr>
              <w:t>2,003</w:t>
            </w:r>
          </w:p>
        </w:tc>
        <w:tc>
          <w:tcPr>
            <w:tcW w:w="900" w:type="dxa"/>
            <w:tcBorders>
              <w:top w:val="nil"/>
              <w:left w:val="nil"/>
              <w:bottom w:val="nil"/>
              <w:right w:val="nil"/>
            </w:tcBorders>
            <w:shd w:val="clear" w:color="000000" w:fill="D9D9D9"/>
            <w:noWrap/>
            <w:vAlign w:val="bottom"/>
            <w:hideMark/>
          </w:tcPr>
          <w:p w:rsidR="00D8674C" w:rsidRPr="00346A27" w:rsidRDefault="00D8674C" w:rsidP="00FF423A">
            <w:pPr>
              <w:keepNext w:val="0"/>
              <w:spacing w:after="0"/>
              <w:jc w:val="right"/>
              <w:rPr>
                <w:rFonts w:ascii="Arial" w:hAnsi="Arial" w:cs="Arial"/>
                <w:sz w:val="16"/>
                <w:szCs w:val="16"/>
              </w:rPr>
            </w:pPr>
            <w:r w:rsidRPr="00346A27">
              <w:rPr>
                <w:rFonts w:ascii="Arial" w:hAnsi="Arial" w:cs="Arial"/>
                <w:sz w:val="16"/>
                <w:szCs w:val="16"/>
              </w:rPr>
              <w:t>1,979</w:t>
            </w:r>
          </w:p>
        </w:tc>
        <w:tc>
          <w:tcPr>
            <w:tcW w:w="90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r w:rsidRPr="00346A27">
              <w:rPr>
                <w:rFonts w:ascii="Arial" w:hAnsi="Arial" w:cs="Arial"/>
                <w:sz w:val="16"/>
                <w:szCs w:val="16"/>
              </w:rPr>
              <w:t>1,978</w:t>
            </w:r>
          </w:p>
        </w:tc>
        <w:tc>
          <w:tcPr>
            <w:tcW w:w="90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r w:rsidRPr="00346A27">
              <w:rPr>
                <w:rFonts w:ascii="Arial" w:hAnsi="Arial" w:cs="Arial"/>
                <w:sz w:val="16"/>
                <w:szCs w:val="16"/>
              </w:rPr>
              <w:t>1,997</w:t>
            </w:r>
          </w:p>
        </w:tc>
        <w:tc>
          <w:tcPr>
            <w:tcW w:w="90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r w:rsidRPr="00346A27">
              <w:rPr>
                <w:rFonts w:ascii="Arial" w:hAnsi="Arial" w:cs="Arial"/>
                <w:sz w:val="16"/>
                <w:szCs w:val="16"/>
              </w:rPr>
              <w:t>2,011</w:t>
            </w:r>
          </w:p>
        </w:tc>
      </w:tr>
      <w:tr w:rsidR="00346A27" w:rsidRPr="00346A27" w:rsidTr="00FF423A">
        <w:trPr>
          <w:trHeight w:val="225"/>
        </w:trPr>
        <w:tc>
          <w:tcPr>
            <w:tcW w:w="286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ind w:firstLineChars="200" w:firstLine="321"/>
              <w:rPr>
                <w:rFonts w:ascii="Arial" w:hAnsi="Arial" w:cs="Arial"/>
                <w:b/>
                <w:bCs/>
                <w:sz w:val="16"/>
                <w:szCs w:val="16"/>
              </w:rPr>
            </w:pPr>
            <w:r w:rsidRPr="00346A27">
              <w:rPr>
                <w:rFonts w:ascii="Arial" w:hAnsi="Arial" w:cs="Arial"/>
                <w:b/>
                <w:bCs/>
                <w:sz w:val="16"/>
                <w:szCs w:val="16"/>
              </w:rPr>
              <w:t>Total cash used</w:t>
            </w:r>
          </w:p>
        </w:tc>
        <w:tc>
          <w:tcPr>
            <w:tcW w:w="981" w:type="dxa"/>
            <w:tcBorders>
              <w:top w:val="nil"/>
              <w:left w:val="nil"/>
              <w:bottom w:val="single" w:sz="4" w:space="0" w:color="auto"/>
              <w:right w:val="nil"/>
            </w:tcBorders>
            <w:shd w:val="clear" w:color="auto" w:fill="auto"/>
            <w:noWrap/>
            <w:vAlign w:val="bottom"/>
            <w:hideMark/>
          </w:tcPr>
          <w:p w:rsidR="00D8674C" w:rsidRPr="00346A27" w:rsidRDefault="00D8674C" w:rsidP="00FF423A">
            <w:pPr>
              <w:keepNext w:val="0"/>
              <w:spacing w:after="0"/>
              <w:jc w:val="right"/>
              <w:rPr>
                <w:rFonts w:ascii="Arial" w:hAnsi="Arial" w:cs="Arial"/>
                <w:b/>
                <w:bCs/>
                <w:sz w:val="16"/>
                <w:szCs w:val="16"/>
              </w:rPr>
            </w:pPr>
            <w:r w:rsidRPr="00346A27">
              <w:rPr>
                <w:rFonts w:ascii="Arial" w:hAnsi="Arial" w:cs="Arial"/>
                <w:b/>
                <w:bCs/>
                <w:sz w:val="16"/>
                <w:szCs w:val="16"/>
              </w:rPr>
              <w:t>2,003</w:t>
            </w:r>
          </w:p>
        </w:tc>
        <w:tc>
          <w:tcPr>
            <w:tcW w:w="900" w:type="dxa"/>
            <w:tcBorders>
              <w:top w:val="nil"/>
              <w:left w:val="nil"/>
              <w:bottom w:val="single" w:sz="4" w:space="0" w:color="auto"/>
              <w:right w:val="nil"/>
            </w:tcBorders>
            <w:shd w:val="clear" w:color="000000" w:fill="D9D9D9"/>
            <w:noWrap/>
            <w:vAlign w:val="bottom"/>
            <w:hideMark/>
          </w:tcPr>
          <w:p w:rsidR="00D8674C" w:rsidRPr="00346A27" w:rsidRDefault="00D8674C" w:rsidP="00FF423A">
            <w:pPr>
              <w:keepNext w:val="0"/>
              <w:spacing w:after="0"/>
              <w:jc w:val="right"/>
              <w:rPr>
                <w:rFonts w:ascii="Arial" w:hAnsi="Arial" w:cs="Arial"/>
                <w:b/>
                <w:bCs/>
                <w:sz w:val="16"/>
                <w:szCs w:val="16"/>
              </w:rPr>
            </w:pPr>
            <w:r w:rsidRPr="00346A27">
              <w:rPr>
                <w:rFonts w:ascii="Arial" w:hAnsi="Arial" w:cs="Arial"/>
                <w:b/>
                <w:bCs/>
                <w:sz w:val="16"/>
                <w:szCs w:val="16"/>
              </w:rPr>
              <w:t>1,979</w:t>
            </w:r>
          </w:p>
        </w:tc>
        <w:tc>
          <w:tcPr>
            <w:tcW w:w="900" w:type="dxa"/>
            <w:tcBorders>
              <w:top w:val="nil"/>
              <w:left w:val="nil"/>
              <w:bottom w:val="single" w:sz="4" w:space="0" w:color="auto"/>
              <w:right w:val="nil"/>
            </w:tcBorders>
            <w:shd w:val="clear" w:color="auto" w:fill="auto"/>
            <w:noWrap/>
            <w:vAlign w:val="bottom"/>
            <w:hideMark/>
          </w:tcPr>
          <w:p w:rsidR="00D8674C" w:rsidRPr="00346A27" w:rsidRDefault="00D8674C" w:rsidP="00FF423A">
            <w:pPr>
              <w:keepNext w:val="0"/>
              <w:spacing w:after="0"/>
              <w:jc w:val="right"/>
              <w:rPr>
                <w:rFonts w:ascii="Arial" w:hAnsi="Arial" w:cs="Arial"/>
                <w:b/>
                <w:bCs/>
                <w:sz w:val="16"/>
                <w:szCs w:val="16"/>
              </w:rPr>
            </w:pPr>
            <w:r w:rsidRPr="00346A27">
              <w:rPr>
                <w:rFonts w:ascii="Arial" w:hAnsi="Arial" w:cs="Arial"/>
                <w:b/>
                <w:bCs/>
                <w:sz w:val="16"/>
                <w:szCs w:val="16"/>
              </w:rPr>
              <w:t>1,978</w:t>
            </w:r>
          </w:p>
        </w:tc>
        <w:tc>
          <w:tcPr>
            <w:tcW w:w="900" w:type="dxa"/>
            <w:tcBorders>
              <w:top w:val="nil"/>
              <w:left w:val="nil"/>
              <w:bottom w:val="single" w:sz="4" w:space="0" w:color="auto"/>
              <w:right w:val="nil"/>
            </w:tcBorders>
            <w:shd w:val="clear" w:color="auto" w:fill="auto"/>
            <w:noWrap/>
            <w:vAlign w:val="bottom"/>
            <w:hideMark/>
          </w:tcPr>
          <w:p w:rsidR="00D8674C" w:rsidRPr="00346A27" w:rsidRDefault="00D8674C" w:rsidP="00FF423A">
            <w:pPr>
              <w:keepNext w:val="0"/>
              <w:spacing w:after="0"/>
              <w:jc w:val="right"/>
              <w:rPr>
                <w:rFonts w:ascii="Arial" w:hAnsi="Arial" w:cs="Arial"/>
                <w:b/>
                <w:bCs/>
                <w:sz w:val="16"/>
                <w:szCs w:val="16"/>
              </w:rPr>
            </w:pPr>
            <w:r w:rsidRPr="00346A27">
              <w:rPr>
                <w:rFonts w:ascii="Arial" w:hAnsi="Arial" w:cs="Arial"/>
                <w:b/>
                <w:bCs/>
                <w:sz w:val="16"/>
                <w:szCs w:val="16"/>
              </w:rPr>
              <w:t>1,997</w:t>
            </w:r>
          </w:p>
        </w:tc>
        <w:tc>
          <w:tcPr>
            <w:tcW w:w="900" w:type="dxa"/>
            <w:tcBorders>
              <w:top w:val="nil"/>
              <w:left w:val="nil"/>
              <w:bottom w:val="single" w:sz="4" w:space="0" w:color="auto"/>
              <w:right w:val="nil"/>
            </w:tcBorders>
            <w:shd w:val="clear" w:color="auto" w:fill="auto"/>
            <w:noWrap/>
            <w:vAlign w:val="bottom"/>
            <w:hideMark/>
          </w:tcPr>
          <w:p w:rsidR="00D8674C" w:rsidRPr="00346A27" w:rsidRDefault="00D8674C" w:rsidP="00FF423A">
            <w:pPr>
              <w:keepNext w:val="0"/>
              <w:spacing w:after="0"/>
              <w:jc w:val="right"/>
              <w:rPr>
                <w:rFonts w:ascii="Arial" w:hAnsi="Arial" w:cs="Arial"/>
                <w:b/>
                <w:bCs/>
                <w:sz w:val="16"/>
                <w:szCs w:val="16"/>
              </w:rPr>
            </w:pPr>
            <w:r w:rsidRPr="00346A27">
              <w:rPr>
                <w:rFonts w:ascii="Arial" w:hAnsi="Arial" w:cs="Arial"/>
                <w:b/>
                <w:bCs/>
                <w:sz w:val="16"/>
                <w:szCs w:val="16"/>
              </w:rPr>
              <w:t>2,011</w:t>
            </w:r>
          </w:p>
        </w:tc>
      </w:tr>
      <w:tr w:rsidR="00346A27" w:rsidRPr="00346A27" w:rsidTr="00FF423A">
        <w:trPr>
          <w:trHeight w:val="225"/>
        </w:trPr>
        <w:tc>
          <w:tcPr>
            <w:tcW w:w="286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ind w:firstLineChars="100" w:firstLine="161"/>
              <w:rPr>
                <w:rFonts w:ascii="Arial" w:hAnsi="Arial" w:cs="Arial"/>
                <w:b/>
                <w:bCs/>
                <w:sz w:val="16"/>
                <w:szCs w:val="16"/>
              </w:rPr>
            </w:pPr>
            <w:r w:rsidRPr="00346A27">
              <w:rPr>
                <w:rFonts w:ascii="Arial" w:hAnsi="Arial" w:cs="Arial"/>
                <w:b/>
                <w:bCs/>
                <w:sz w:val="16"/>
                <w:szCs w:val="16"/>
              </w:rPr>
              <w:t>Net cash from (or used by)</w:t>
            </w:r>
          </w:p>
        </w:tc>
        <w:tc>
          <w:tcPr>
            <w:tcW w:w="981"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p>
        </w:tc>
        <w:tc>
          <w:tcPr>
            <w:tcW w:w="900" w:type="dxa"/>
            <w:tcBorders>
              <w:top w:val="nil"/>
              <w:left w:val="nil"/>
              <w:bottom w:val="nil"/>
              <w:right w:val="nil"/>
            </w:tcBorders>
            <w:shd w:val="clear" w:color="000000" w:fill="D9D9D9"/>
            <w:noWrap/>
            <w:vAlign w:val="bottom"/>
            <w:hideMark/>
          </w:tcPr>
          <w:p w:rsidR="00D8674C" w:rsidRPr="00346A27" w:rsidRDefault="00D8674C" w:rsidP="00FF423A">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p>
        </w:tc>
      </w:tr>
      <w:tr w:rsidR="00346A27" w:rsidRPr="00346A27" w:rsidTr="00FF423A">
        <w:trPr>
          <w:trHeight w:val="225"/>
        </w:trPr>
        <w:tc>
          <w:tcPr>
            <w:tcW w:w="286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ind w:firstLineChars="200" w:firstLine="321"/>
              <w:rPr>
                <w:rFonts w:ascii="Arial" w:hAnsi="Arial" w:cs="Arial"/>
                <w:b/>
                <w:bCs/>
                <w:sz w:val="16"/>
                <w:szCs w:val="16"/>
              </w:rPr>
            </w:pPr>
            <w:r w:rsidRPr="00346A27">
              <w:rPr>
                <w:rFonts w:ascii="Arial" w:hAnsi="Arial" w:cs="Arial"/>
                <w:b/>
                <w:bCs/>
                <w:sz w:val="16"/>
                <w:szCs w:val="16"/>
              </w:rPr>
              <w:t>investing activities</w:t>
            </w:r>
          </w:p>
        </w:tc>
        <w:tc>
          <w:tcPr>
            <w:tcW w:w="981" w:type="dxa"/>
            <w:tcBorders>
              <w:top w:val="nil"/>
              <w:left w:val="nil"/>
              <w:bottom w:val="single" w:sz="4" w:space="0" w:color="auto"/>
              <w:right w:val="nil"/>
            </w:tcBorders>
            <w:shd w:val="clear" w:color="auto" w:fill="auto"/>
            <w:noWrap/>
            <w:vAlign w:val="bottom"/>
            <w:hideMark/>
          </w:tcPr>
          <w:p w:rsidR="00D8674C" w:rsidRPr="00346A27" w:rsidRDefault="00D8674C" w:rsidP="00FF423A">
            <w:pPr>
              <w:keepNext w:val="0"/>
              <w:spacing w:after="0"/>
              <w:jc w:val="right"/>
              <w:rPr>
                <w:rFonts w:ascii="Arial" w:hAnsi="Arial" w:cs="Arial"/>
                <w:b/>
                <w:bCs/>
                <w:sz w:val="16"/>
                <w:szCs w:val="16"/>
              </w:rPr>
            </w:pPr>
            <w:r w:rsidRPr="00346A27">
              <w:rPr>
                <w:rFonts w:ascii="Arial" w:hAnsi="Arial" w:cs="Arial"/>
                <w:b/>
                <w:bCs/>
                <w:sz w:val="16"/>
                <w:szCs w:val="16"/>
              </w:rPr>
              <w:t>(2,003)</w:t>
            </w:r>
          </w:p>
        </w:tc>
        <w:tc>
          <w:tcPr>
            <w:tcW w:w="900" w:type="dxa"/>
            <w:tcBorders>
              <w:top w:val="nil"/>
              <w:left w:val="nil"/>
              <w:bottom w:val="single" w:sz="4" w:space="0" w:color="auto"/>
              <w:right w:val="nil"/>
            </w:tcBorders>
            <w:shd w:val="clear" w:color="000000" w:fill="D9D9D9"/>
            <w:noWrap/>
            <w:vAlign w:val="bottom"/>
            <w:hideMark/>
          </w:tcPr>
          <w:p w:rsidR="00D8674C" w:rsidRPr="00346A27" w:rsidRDefault="00D8674C" w:rsidP="00FF423A">
            <w:pPr>
              <w:keepNext w:val="0"/>
              <w:spacing w:after="0"/>
              <w:jc w:val="right"/>
              <w:rPr>
                <w:rFonts w:ascii="Arial" w:hAnsi="Arial" w:cs="Arial"/>
                <w:b/>
                <w:bCs/>
                <w:sz w:val="16"/>
                <w:szCs w:val="16"/>
              </w:rPr>
            </w:pPr>
            <w:r w:rsidRPr="00346A27">
              <w:rPr>
                <w:rFonts w:ascii="Arial" w:hAnsi="Arial" w:cs="Arial"/>
                <w:b/>
                <w:bCs/>
                <w:sz w:val="16"/>
                <w:szCs w:val="16"/>
              </w:rPr>
              <w:t>(1,979)</w:t>
            </w:r>
          </w:p>
        </w:tc>
        <w:tc>
          <w:tcPr>
            <w:tcW w:w="900" w:type="dxa"/>
            <w:tcBorders>
              <w:top w:val="nil"/>
              <w:left w:val="nil"/>
              <w:bottom w:val="single" w:sz="4" w:space="0" w:color="auto"/>
              <w:right w:val="nil"/>
            </w:tcBorders>
            <w:shd w:val="clear" w:color="auto" w:fill="auto"/>
            <w:noWrap/>
            <w:vAlign w:val="bottom"/>
            <w:hideMark/>
          </w:tcPr>
          <w:p w:rsidR="00D8674C" w:rsidRPr="00346A27" w:rsidRDefault="00D8674C" w:rsidP="00FF423A">
            <w:pPr>
              <w:keepNext w:val="0"/>
              <w:spacing w:after="0"/>
              <w:jc w:val="right"/>
              <w:rPr>
                <w:rFonts w:ascii="Arial" w:hAnsi="Arial" w:cs="Arial"/>
                <w:b/>
                <w:bCs/>
                <w:sz w:val="16"/>
                <w:szCs w:val="16"/>
              </w:rPr>
            </w:pPr>
            <w:r w:rsidRPr="00346A27">
              <w:rPr>
                <w:rFonts w:ascii="Arial" w:hAnsi="Arial" w:cs="Arial"/>
                <w:b/>
                <w:bCs/>
                <w:sz w:val="16"/>
                <w:szCs w:val="16"/>
              </w:rPr>
              <w:t>(1,978)</w:t>
            </w:r>
          </w:p>
        </w:tc>
        <w:tc>
          <w:tcPr>
            <w:tcW w:w="900" w:type="dxa"/>
            <w:tcBorders>
              <w:top w:val="nil"/>
              <w:left w:val="nil"/>
              <w:bottom w:val="single" w:sz="4" w:space="0" w:color="auto"/>
              <w:right w:val="nil"/>
            </w:tcBorders>
            <w:shd w:val="clear" w:color="auto" w:fill="auto"/>
            <w:noWrap/>
            <w:vAlign w:val="bottom"/>
            <w:hideMark/>
          </w:tcPr>
          <w:p w:rsidR="00D8674C" w:rsidRPr="00346A27" w:rsidRDefault="00D8674C" w:rsidP="00FF423A">
            <w:pPr>
              <w:keepNext w:val="0"/>
              <w:spacing w:after="0"/>
              <w:jc w:val="right"/>
              <w:rPr>
                <w:rFonts w:ascii="Arial" w:hAnsi="Arial" w:cs="Arial"/>
                <w:b/>
                <w:bCs/>
                <w:sz w:val="16"/>
                <w:szCs w:val="16"/>
              </w:rPr>
            </w:pPr>
            <w:r w:rsidRPr="00346A27">
              <w:rPr>
                <w:rFonts w:ascii="Arial" w:hAnsi="Arial" w:cs="Arial"/>
                <w:b/>
                <w:bCs/>
                <w:sz w:val="16"/>
                <w:szCs w:val="16"/>
              </w:rPr>
              <w:t>(1,997)</w:t>
            </w:r>
          </w:p>
        </w:tc>
        <w:tc>
          <w:tcPr>
            <w:tcW w:w="900" w:type="dxa"/>
            <w:tcBorders>
              <w:top w:val="nil"/>
              <w:left w:val="nil"/>
              <w:bottom w:val="single" w:sz="4" w:space="0" w:color="auto"/>
              <w:right w:val="nil"/>
            </w:tcBorders>
            <w:shd w:val="clear" w:color="auto" w:fill="auto"/>
            <w:noWrap/>
            <w:vAlign w:val="bottom"/>
            <w:hideMark/>
          </w:tcPr>
          <w:p w:rsidR="00D8674C" w:rsidRPr="00346A27" w:rsidRDefault="00D8674C" w:rsidP="00FF423A">
            <w:pPr>
              <w:keepNext w:val="0"/>
              <w:spacing w:after="0"/>
              <w:jc w:val="right"/>
              <w:rPr>
                <w:rFonts w:ascii="Arial" w:hAnsi="Arial" w:cs="Arial"/>
                <w:b/>
                <w:bCs/>
                <w:sz w:val="16"/>
                <w:szCs w:val="16"/>
              </w:rPr>
            </w:pPr>
            <w:r w:rsidRPr="00346A27">
              <w:rPr>
                <w:rFonts w:ascii="Arial" w:hAnsi="Arial" w:cs="Arial"/>
                <w:b/>
                <w:bCs/>
                <w:sz w:val="16"/>
                <w:szCs w:val="16"/>
              </w:rPr>
              <w:t>(2,011)</w:t>
            </w:r>
          </w:p>
        </w:tc>
      </w:tr>
      <w:tr w:rsidR="00346A27" w:rsidRPr="00346A27" w:rsidTr="00036CD6">
        <w:trPr>
          <w:trHeight w:val="300"/>
        </w:trPr>
        <w:tc>
          <w:tcPr>
            <w:tcW w:w="286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rPr>
                <w:rFonts w:ascii="Arial" w:hAnsi="Arial" w:cs="Arial"/>
                <w:b/>
                <w:bCs/>
                <w:sz w:val="16"/>
                <w:szCs w:val="16"/>
              </w:rPr>
            </w:pPr>
            <w:r w:rsidRPr="00346A27">
              <w:rPr>
                <w:rFonts w:ascii="Arial" w:hAnsi="Arial" w:cs="Arial"/>
                <w:b/>
                <w:bCs/>
                <w:sz w:val="16"/>
                <w:szCs w:val="16"/>
              </w:rPr>
              <w:t>FINANCING ACTIVITIES</w:t>
            </w:r>
          </w:p>
        </w:tc>
        <w:tc>
          <w:tcPr>
            <w:tcW w:w="981"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p>
        </w:tc>
        <w:tc>
          <w:tcPr>
            <w:tcW w:w="900" w:type="dxa"/>
            <w:tcBorders>
              <w:top w:val="nil"/>
              <w:left w:val="nil"/>
              <w:bottom w:val="nil"/>
              <w:right w:val="nil"/>
            </w:tcBorders>
            <w:shd w:val="clear" w:color="000000" w:fill="D9D9D9"/>
            <w:noWrap/>
            <w:vAlign w:val="bottom"/>
          </w:tcPr>
          <w:p w:rsidR="00D8674C" w:rsidRPr="00346A27" w:rsidRDefault="00D8674C" w:rsidP="00FF423A">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p>
        </w:tc>
      </w:tr>
      <w:tr w:rsidR="00346A27" w:rsidRPr="00346A27" w:rsidTr="00036CD6">
        <w:trPr>
          <w:trHeight w:val="225"/>
        </w:trPr>
        <w:tc>
          <w:tcPr>
            <w:tcW w:w="286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ind w:firstLineChars="100" w:firstLine="161"/>
              <w:rPr>
                <w:rFonts w:ascii="Arial" w:hAnsi="Arial" w:cs="Arial"/>
                <w:b/>
                <w:bCs/>
                <w:sz w:val="16"/>
                <w:szCs w:val="16"/>
              </w:rPr>
            </w:pPr>
            <w:r w:rsidRPr="00346A27">
              <w:rPr>
                <w:rFonts w:ascii="Arial" w:hAnsi="Arial" w:cs="Arial"/>
                <w:b/>
                <w:bCs/>
                <w:sz w:val="16"/>
                <w:szCs w:val="16"/>
              </w:rPr>
              <w:t>Cash received</w:t>
            </w:r>
          </w:p>
        </w:tc>
        <w:tc>
          <w:tcPr>
            <w:tcW w:w="981"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p>
        </w:tc>
        <w:tc>
          <w:tcPr>
            <w:tcW w:w="900" w:type="dxa"/>
            <w:tcBorders>
              <w:top w:val="nil"/>
              <w:left w:val="nil"/>
              <w:bottom w:val="nil"/>
              <w:right w:val="nil"/>
            </w:tcBorders>
            <w:shd w:val="clear" w:color="000000" w:fill="D9D9D9"/>
            <w:noWrap/>
            <w:vAlign w:val="bottom"/>
          </w:tcPr>
          <w:p w:rsidR="00D8674C" w:rsidRPr="00346A27" w:rsidRDefault="00D8674C" w:rsidP="00FF423A">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p>
        </w:tc>
      </w:tr>
      <w:tr w:rsidR="00346A27" w:rsidRPr="00346A27" w:rsidTr="00FF423A">
        <w:trPr>
          <w:trHeight w:val="225"/>
        </w:trPr>
        <w:tc>
          <w:tcPr>
            <w:tcW w:w="2860" w:type="dxa"/>
            <w:tcBorders>
              <w:top w:val="nil"/>
              <w:left w:val="nil"/>
              <w:bottom w:val="nil"/>
              <w:right w:val="nil"/>
            </w:tcBorders>
            <w:shd w:val="clear" w:color="000000" w:fill="FFFFFF"/>
            <w:noWrap/>
            <w:vAlign w:val="bottom"/>
            <w:hideMark/>
          </w:tcPr>
          <w:p w:rsidR="00D8674C" w:rsidRPr="00346A27" w:rsidRDefault="00D8674C" w:rsidP="00FF423A">
            <w:pPr>
              <w:keepNext w:val="0"/>
              <w:spacing w:after="0"/>
              <w:ind w:firstLineChars="200" w:firstLine="320"/>
              <w:rPr>
                <w:rFonts w:ascii="Arial" w:hAnsi="Arial" w:cs="Arial"/>
                <w:sz w:val="16"/>
                <w:szCs w:val="16"/>
              </w:rPr>
            </w:pPr>
            <w:r w:rsidRPr="00346A27">
              <w:rPr>
                <w:rFonts w:ascii="Arial" w:hAnsi="Arial" w:cs="Arial"/>
                <w:sz w:val="16"/>
                <w:szCs w:val="16"/>
              </w:rPr>
              <w:t>Capital budget - Bill 1 (DCB)</w:t>
            </w:r>
          </w:p>
        </w:tc>
        <w:tc>
          <w:tcPr>
            <w:tcW w:w="981"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r w:rsidRPr="00346A27">
              <w:rPr>
                <w:rFonts w:ascii="Arial" w:hAnsi="Arial" w:cs="Arial"/>
                <w:sz w:val="16"/>
                <w:szCs w:val="16"/>
              </w:rPr>
              <w:t>2,003</w:t>
            </w:r>
          </w:p>
        </w:tc>
        <w:tc>
          <w:tcPr>
            <w:tcW w:w="900" w:type="dxa"/>
            <w:tcBorders>
              <w:top w:val="nil"/>
              <w:left w:val="nil"/>
              <w:bottom w:val="nil"/>
              <w:right w:val="nil"/>
            </w:tcBorders>
            <w:shd w:val="clear" w:color="000000" w:fill="D9D9D9"/>
            <w:noWrap/>
            <w:vAlign w:val="bottom"/>
            <w:hideMark/>
          </w:tcPr>
          <w:p w:rsidR="00D8674C" w:rsidRPr="00346A27" w:rsidRDefault="00D8674C" w:rsidP="00FF423A">
            <w:pPr>
              <w:keepNext w:val="0"/>
              <w:spacing w:after="0"/>
              <w:jc w:val="right"/>
              <w:rPr>
                <w:rFonts w:ascii="Arial" w:hAnsi="Arial" w:cs="Arial"/>
                <w:sz w:val="16"/>
                <w:szCs w:val="16"/>
              </w:rPr>
            </w:pPr>
            <w:r w:rsidRPr="00346A27">
              <w:rPr>
                <w:rFonts w:ascii="Arial" w:hAnsi="Arial" w:cs="Arial"/>
                <w:sz w:val="16"/>
                <w:szCs w:val="16"/>
              </w:rPr>
              <w:t>1,979</w:t>
            </w:r>
          </w:p>
        </w:tc>
        <w:tc>
          <w:tcPr>
            <w:tcW w:w="90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r w:rsidRPr="00346A27">
              <w:rPr>
                <w:rFonts w:ascii="Arial" w:hAnsi="Arial" w:cs="Arial"/>
                <w:sz w:val="16"/>
                <w:szCs w:val="16"/>
              </w:rPr>
              <w:t>1,978</w:t>
            </w:r>
          </w:p>
        </w:tc>
        <w:tc>
          <w:tcPr>
            <w:tcW w:w="90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r w:rsidRPr="00346A27">
              <w:rPr>
                <w:rFonts w:ascii="Arial" w:hAnsi="Arial" w:cs="Arial"/>
                <w:sz w:val="16"/>
                <w:szCs w:val="16"/>
              </w:rPr>
              <w:t>1,997</w:t>
            </w:r>
          </w:p>
        </w:tc>
        <w:tc>
          <w:tcPr>
            <w:tcW w:w="90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r w:rsidRPr="00346A27">
              <w:rPr>
                <w:rFonts w:ascii="Arial" w:hAnsi="Arial" w:cs="Arial"/>
                <w:sz w:val="16"/>
                <w:szCs w:val="16"/>
              </w:rPr>
              <w:t>2,011</w:t>
            </w:r>
          </w:p>
        </w:tc>
      </w:tr>
      <w:tr w:rsidR="00346A27" w:rsidRPr="00346A27" w:rsidTr="00FF423A">
        <w:trPr>
          <w:trHeight w:val="225"/>
        </w:trPr>
        <w:tc>
          <w:tcPr>
            <w:tcW w:w="286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ind w:firstLineChars="200" w:firstLine="321"/>
              <w:rPr>
                <w:rFonts w:ascii="Arial" w:hAnsi="Arial" w:cs="Arial"/>
                <w:b/>
                <w:bCs/>
                <w:sz w:val="16"/>
                <w:szCs w:val="16"/>
              </w:rPr>
            </w:pPr>
            <w:r w:rsidRPr="00346A27">
              <w:rPr>
                <w:rFonts w:ascii="Arial" w:hAnsi="Arial" w:cs="Arial"/>
                <w:b/>
                <w:bCs/>
                <w:sz w:val="16"/>
                <w:szCs w:val="16"/>
              </w:rPr>
              <w:t>Total cash received</w:t>
            </w:r>
          </w:p>
        </w:tc>
        <w:tc>
          <w:tcPr>
            <w:tcW w:w="981" w:type="dxa"/>
            <w:tcBorders>
              <w:top w:val="nil"/>
              <w:left w:val="nil"/>
              <w:bottom w:val="single" w:sz="4" w:space="0" w:color="auto"/>
              <w:right w:val="nil"/>
            </w:tcBorders>
            <w:shd w:val="clear" w:color="auto" w:fill="auto"/>
            <w:noWrap/>
            <w:vAlign w:val="bottom"/>
            <w:hideMark/>
          </w:tcPr>
          <w:p w:rsidR="00D8674C" w:rsidRPr="00346A27" w:rsidRDefault="00D8674C" w:rsidP="00FF423A">
            <w:pPr>
              <w:keepNext w:val="0"/>
              <w:spacing w:after="0"/>
              <w:jc w:val="right"/>
              <w:rPr>
                <w:rFonts w:ascii="Arial" w:hAnsi="Arial" w:cs="Arial"/>
                <w:b/>
                <w:bCs/>
                <w:sz w:val="16"/>
                <w:szCs w:val="16"/>
              </w:rPr>
            </w:pPr>
            <w:r w:rsidRPr="00346A27">
              <w:rPr>
                <w:rFonts w:ascii="Arial" w:hAnsi="Arial" w:cs="Arial"/>
                <w:b/>
                <w:bCs/>
                <w:sz w:val="16"/>
                <w:szCs w:val="16"/>
              </w:rPr>
              <w:t>2,003</w:t>
            </w:r>
          </w:p>
        </w:tc>
        <w:tc>
          <w:tcPr>
            <w:tcW w:w="900" w:type="dxa"/>
            <w:tcBorders>
              <w:top w:val="nil"/>
              <w:left w:val="nil"/>
              <w:bottom w:val="single" w:sz="4" w:space="0" w:color="auto"/>
              <w:right w:val="nil"/>
            </w:tcBorders>
            <w:shd w:val="clear" w:color="000000" w:fill="D9D9D9"/>
            <w:noWrap/>
            <w:vAlign w:val="bottom"/>
            <w:hideMark/>
          </w:tcPr>
          <w:p w:rsidR="00D8674C" w:rsidRPr="00346A27" w:rsidRDefault="00D8674C" w:rsidP="00FF423A">
            <w:pPr>
              <w:keepNext w:val="0"/>
              <w:spacing w:after="0"/>
              <w:jc w:val="right"/>
              <w:rPr>
                <w:rFonts w:ascii="Arial" w:hAnsi="Arial" w:cs="Arial"/>
                <w:b/>
                <w:bCs/>
                <w:sz w:val="16"/>
                <w:szCs w:val="16"/>
              </w:rPr>
            </w:pPr>
            <w:r w:rsidRPr="00346A27">
              <w:rPr>
                <w:rFonts w:ascii="Arial" w:hAnsi="Arial" w:cs="Arial"/>
                <w:b/>
                <w:bCs/>
                <w:sz w:val="16"/>
                <w:szCs w:val="16"/>
              </w:rPr>
              <w:t>1,979</w:t>
            </w:r>
          </w:p>
        </w:tc>
        <w:tc>
          <w:tcPr>
            <w:tcW w:w="900" w:type="dxa"/>
            <w:tcBorders>
              <w:top w:val="nil"/>
              <w:left w:val="nil"/>
              <w:bottom w:val="single" w:sz="4" w:space="0" w:color="auto"/>
              <w:right w:val="nil"/>
            </w:tcBorders>
            <w:shd w:val="clear" w:color="auto" w:fill="auto"/>
            <w:noWrap/>
            <w:vAlign w:val="bottom"/>
            <w:hideMark/>
          </w:tcPr>
          <w:p w:rsidR="00D8674C" w:rsidRPr="00346A27" w:rsidRDefault="00D8674C" w:rsidP="00FF423A">
            <w:pPr>
              <w:keepNext w:val="0"/>
              <w:spacing w:after="0"/>
              <w:jc w:val="right"/>
              <w:rPr>
                <w:rFonts w:ascii="Arial" w:hAnsi="Arial" w:cs="Arial"/>
                <w:b/>
                <w:bCs/>
                <w:sz w:val="16"/>
                <w:szCs w:val="16"/>
              </w:rPr>
            </w:pPr>
            <w:r w:rsidRPr="00346A27">
              <w:rPr>
                <w:rFonts w:ascii="Arial" w:hAnsi="Arial" w:cs="Arial"/>
                <w:b/>
                <w:bCs/>
                <w:sz w:val="16"/>
                <w:szCs w:val="16"/>
              </w:rPr>
              <w:t>1,978</w:t>
            </w:r>
          </w:p>
        </w:tc>
        <w:tc>
          <w:tcPr>
            <w:tcW w:w="900" w:type="dxa"/>
            <w:tcBorders>
              <w:top w:val="nil"/>
              <w:left w:val="nil"/>
              <w:bottom w:val="single" w:sz="4" w:space="0" w:color="auto"/>
              <w:right w:val="nil"/>
            </w:tcBorders>
            <w:shd w:val="clear" w:color="auto" w:fill="auto"/>
            <w:noWrap/>
            <w:vAlign w:val="bottom"/>
            <w:hideMark/>
          </w:tcPr>
          <w:p w:rsidR="00D8674C" w:rsidRPr="00346A27" w:rsidRDefault="00D8674C" w:rsidP="00FF423A">
            <w:pPr>
              <w:keepNext w:val="0"/>
              <w:spacing w:after="0"/>
              <w:jc w:val="right"/>
              <w:rPr>
                <w:rFonts w:ascii="Arial" w:hAnsi="Arial" w:cs="Arial"/>
                <w:b/>
                <w:bCs/>
                <w:sz w:val="16"/>
                <w:szCs w:val="16"/>
              </w:rPr>
            </w:pPr>
            <w:r w:rsidRPr="00346A27">
              <w:rPr>
                <w:rFonts w:ascii="Arial" w:hAnsi="Arial" w:cs="Arial"/>
                <w:b/>
                <w:bCs/>
                <w:sz w:val="16"/>
                <w:szCs w:val="16"/>
              </w:rPr>
              <w:t>1,997</w:t>
            </w:r>
          </w:p>
        </w:tc>
        <w:tc>
          <w:tcPr>
            <w:tcW w:w="900" w:type="dxa"/>
            <w:tcBorders>
              <w:top w:val="nil"/>
              <w:left w:val="nil"/>
              <w:bottom w:val="single" w:sz="4" w:space="0" w:color="auto"/>
              <w:right w:val="nil"/>
            </w:tcBorders>
            <w:shd w:val="clear" w:color="auto" w:fill="auto"/>
            <w:noWrap/>
            <w:vAlign w:val="bottom"/>
            <w:hideMark/>
          </w:tcPr>
          <w:p w:rsidR="00D8674C" w:rsidRPr="00346A27" w:rsidRDefault="00D8674C" w:rsidP="00FF423A">
            <w:pPr>
              <w:keepNext w:val="0"/>
              <w:spacing w:after="0"/>
              <w:jc w:val="right"/>
              <w:rPr>
                <w:rFonts w:ascii="Arial" w:hAnsi="Arial" w:cs="Arial"/>
                <w:b/>
                <w:bCs/>
                <w:sz w:val="16"/>
                <w:szCs w:val="16"/>
              </w:rPr>
            </w:pPr>
            <w:r w:rsidRPr="00346A27">
              <w:rPr>
                <w:rFonts w:ascii="Arial" w:hAnsi="Arial" w:cs="Arial"/>
                <w:b/>
                <w:bCs/>
                <w:sz w:val="16"/>
                <w:szCs w:val="16"/>
              </w:rPr>
              <w:t>2,011</w:t>
            </w:r>
          </w:p>
        </w:tc>
      </w:tr>
      <w:tr w:rsidR="00346A27" w:rsidRPr="00346A27" w:rsidTr="00FF423A">
        <w:trPr>
          <w:trHeight w:val="225"/>
        </w:trPr>
        <w:tc>
          <w:tcPr>
            <w:tcW w:w="286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ind w:firstLineChars="100" w:firstLine="161"/>
              <w:rPr>
                <w:rFonts w:ascii="Arial" w:hAnsi="Arial" w:cs="Arial"/>
                <w:b/>
                <w:bCs/>
                <w:sz w:val="16"/>
                <w:szCs w:val="16"/>
              </w:rPr>
            </w:pPr>
            <w:r w:rsidRPr="00346A27">
              <w:rPr>
                <w:rFonts w:ascii="Arial" w:hAnsi="Arial" w:cs="Arial"/>
                <w:b/>
                <w:bCs/>
                <w:sz w:val="16"/>
                <w:szCs w:val="16"/>
              </w:rPr>
              <w:t>Net cash from (or used by)</w:t>
            </w:r>
          </w:p>
        </w:tc>
        <w:tc>
          <w:tcPr>
            <w:tcW w:w="981"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p>
        </w:tc>
        <w:tc>
          <w:tcPr>
            <w:tcW w:w="900" w:type="dxa"/>
            <w:tcBorders>
              <w:top w:val="nil"/>
              <w:left w:val="nil"/>
              <w:bottom w:val="nil"/>
              <w:right w:val="nil"/>
            </w:tcBorders>
            <w:shd w:val="clear" w:color="000000" w:fill="D9D9D9"/>
            <w:noWrap/>
            <w:vAlign w:val="bottom"/>
            <w:hideMark/>
          </w:tcPr>
          <w:p w:rsidR="00D8674C" w:rsidRPr="00346A27" w:rsidRDefault="00D8674C" w:rsidP="00FF423A">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p>
        </w:tc>
      </w:tr>
      <w:tr w:rsidR="00346A27" w:rsidRPr="00346A27" w:rsidTr="00FF423A">
        <w:trPr>
          <w:trHeight w:val="225"/>
        </w:trPr>
        <w:tc>
          <w:tcPr>
            <w:tcW w:w="286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ind w:firstLineChars="200" w:firstLine="321"/>
              <w:rPr>
                <w:rFonts w:ascii="Arial" w:hAnsi="Arial" w:cs="Arial"/>
                <w:b/>
                <w:bCs/>
                <w:sz w:val="16"/>
                <w:szCs w:val="16"/>
              </w:rPr>
            </w:pPr>
            <w:r w:rsidRPr="00346A27">
              <w:rPr>
                <w:rFonts w:ascii="Arial" w:hAnsi="Arial" w:cs="Arial"/>
                <w:b/>
                <w:bCs/>
                <w:sz w:val="16"/>
                <w:szCs w:val="16"/>
              </w:rPr>
              <w:t>financing activities</w:t>
            </w:r>
          </w:p>
        </w:tc>
        <w:tc>
          <w:tcPr>
            <w:tcW w:w="981" w:type="dxa"/>
            <w:tcBorders>
              <w:top w:val="nil"/>
              <w:left w:val="nil"/>
              <w:bottom w:val="single" w:sz="4" w:space="0" w:color="auto"/>
              <w:right w:val="nil"/>
            </w:tcBorders>
            <w:shd w:val="clear" w:color="auto" w:fill="auto"/>
            <w:noWrap/>
            <w:vAlign w:val="bottom"/>
            <w:hideMark/>
          </w:tcPr>
          <w:p w:rsidR="00D8674C" w:rsidRPr="00346A27" w:rsidRDefault="00D8674C" w:rsidP="00FF423A">
            <w:pPr>
              <w:keepNext w:val="0"/>
              <w:spacing w:after="0"/>
              <w:jc w:val="right"/>
              <w:rPr>
                <w:rFonts w:ascii="Arial" w:hAnsi="Arial" w:cs="Arial"/>
                <w:b/>
                <w:bCs/>
                <w:sz w:val="16"/>
                <w:szCs w:val="16"/>
              </w:rPr>
            </w:pPr>
            <w:r w:rsidRPr="00346A27">
              <w:rPr>
                <w:rFonts w:ascii="Arial" w:hAnsi="Arial" w:cs="Arial"/>
                <w:b/>
                <w:bCs/>
                <w:sz w:val="16"/>
                <w:szCs w:val="16"/>
              </w:rPr>
              <w:t>2,003</w:t>
            </w:r>
          </w:p>
        </w:tc>
        <w:tc>
          <w:tcPr>
            <w:tcW w:w="900" w:type="dxa"/>
            <w:tcBorders>
              <w:top w:val="nil"/>
              <w:left w:val="nil"/>
              <w:bottom w:val="single" w:sz="4" w:space="0" w:color="auto"/>
              <w:right w:val="nil"/>
            </w:tcBorders>
            <w:shd w:val="clear" w:color="000000" w:fill="D9D9D9"/>
            <w:noWrap/>
            <w:vAlign w:val="bottom"/>
            <w:hideMark/>
          </w:tcPr>
          <w:p w:rsidR="00D8674C" w:rsidRPr="00346A27" w:rsidRDefault="00D8674C" w:rsidP="00FF423A">
            <w:pPr>
              <w:keepNext w:val="0"/>
              <w:spacing w:after="0"/>
              <w:jc w:val="right"/>
              <w:rPr>
                <w:rFonts w:ascii="Arial" w:hAnsi="Arial" w:cs="Arial"/>
                <w:b/>
                <w:bCs/>
                <w:sz w:val="16"/>
                <w:szCs w:val="16"/>
              </w:rPr>
            </w:pPr>
            <w:r w:rsidRPr="00346A27">
              <w:rPr>
                <w:rFonts w:ascii="Arial" w:hAnsi="Arial" w:cs="Arial"/>
                <w:b/>
                <w:bCs/>
                <w:sz w:val="16"/>
                <w:szCs w:val="16"/>
              </w:rPr>
              <w:t>1,979</w:t>
            </w:r>
          </w:p>
        </w:tc>
        <w:tc>
          <w:tcPr>
            <w:tcW w:w="900" w:type="dxa"/>
            <w:tcBorders>
              <w:top w:val="nil"/>
              <w:left w:val="nil"/>
              <w:bottom w:val="single" w:sz="4" w:space="0" w:color="auto"/>
              <w:right w:val="nil"/>
            </w:tcBorders>
            <w:shd w:val="clear" w:color="auto" w:fill="auto"/>
            <w:noWrap/>
            <w:vAlign w:val="bottom"/>
            <w:hideMark/>
          </w:tcPr>
          <w:p w:rsidR="00D8674C" w:rsidRPr="00346A27" w:rsidRDefault="00D8674C" w:rsidP="00FF423A">
            <w:pPr>
              <w:keepNext w:val="0"/>
              <w:spacing w:after="0"/>
              <w:jc w:val="right"/>
              <w:rPr>
                <w:rFonts w:ascii="Arial" w:hAnsi="Arial" w:cs="Arial"/>
                <w:b/>
                <w:bCs/>
                <w:sz w:val="16"/>
                <w:szCs w:val="16"/>
              </w:rPr>
            </w:pPr>
            <w:r w:rsidRPr="00346A27">
              <w:rPr>
                <w:rFonts w:ascii="Arial" w:hAnsi="Arial" w:cs="Arial"/>
                <w:b/>
                <w:bCs/>
                <w:sz w:val="16"/>
                <w:szCs w:val="16"/>
              </w:rPr>
              <w:t>1,978</w:t>
            </w:r>
          </w:p>
        </w:tc>
        <w:tc>
          <w:tcPr>
            <w:tcW w:w="900" w:type="dxa"/>
            <w:tcBorders>
              <w:top w:val="nil"/>
              <w:left w:val="nil"/>
              <w:bottom w:val="single" w:sz="4" w:space="0" w:color="auto"/>
              <w:right w:val="nil"/>
            </w:tcBorders>
            <w:shd w:val="clear" w:color="auto" w:fill="auto"/>
            <w:noWrap/>
            <w:vAlign w:val="bottom"/>
            <w:hideMark/>
          </w:tcPr>
          <w:p w:rsidR="00D8674C" w:rsidRPr="00346A27" w:rsidRDefault="00D8674C" w:rsidP="00FF423A">
            <w:pPr>
              <w:keepNext w:val="0"/>
              <w:spacing w:after="0"/>
              <w:jc w:val="right"/>
              <w:rPr>
                <w:rFonts w:ascii="Arial" w:hAnsi="Arial" w:cs="Arial"/>
                <w:b/>
                <w:bCs/>
                <w:sz w:val="16"/>
                <w:szCs w:val="16"/>
              </w:rPr>
            </w:pPr>
            <w:r w:rsidRPr="00346A27">
              <w:rPr>
                <w:rFonts w:ascii="Arial" w:hAnsi="Arial" w:cs="Arial"/>
                <w:b/>
                <w:bCs/>
                <w:sz w:val="16"/>
                <w:szCs w:val="16"/>
              </w:rPr>
              <w:t>1,997</w:t>
            </w:r>
          </w:p>
        </w:tc>
        <w:tc>
          <w:tcPr>
            <w:tcW w:w="900" w:type="dxa"/>
            <w:tcBorders>
              <w:top w:val="nil"/>
              <w:left w:val="nil"/>
              <w:bottom w:val="single" w:sz="4" w:space="0" w:color="auto"/>
              <w:right w:val="nil"/>
            </w:tcBorders>
            <w:shd w:val="clear" w:color="auto" w:fill="auto"/>
            <w:noWrap/>
            <w:vAlign w:val="bottom"/>
            <w:hideMark/>
          </w:tcPr>
          <w:p w:rsidR="00D8674C" w:rsidRPr="00346A27" w:rsidRDefault="00D8674C" w:rsidP="00FF423A">
            <w:pPr>
              <w:keepNext w:val="0"/>
              <w:spacing w:after="0"/>
              <w:jc w:val="right"/>
              <w:rPr>
                <w:rFonts w:ascii="Arial" w:hAnsi="Arial" w:cs="Arial"/>
                <w:b/>
                <w:bCs/>
                <w:sz w:val="16"/>
                <w:szCs w:val="16"/>
              </w:rPr>
            </w:pPr>
            <w:r w:rsidRPr="00346A27">
              <w:rPr>
                <w:rFonts w:ascii="Arial" w:hAnsi="Arial" w:cs="Arial"/>
                <w:b/>
                <w:bCs/>
                <w:sz w:val="16"/>
                <w:szCs w:val="16"/>
              </w:rPr>
              <w:t>2,011</w:t>
            </w:r>
          </w:p>
        </w:tc>
      </w:tr>
      <w:tr w:rsidR="00346A27" w:rsidRPr="00346A27" w:rsidTr="00FF423A">
        <w:trPr>
          <w:trHeight w:val="300"/>
        </w:trPr>
        <w:tc>
          <w:tcPr>
            <w:tcW w:w="286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rPr>
                <w:rFonts w:ascii="Arial" w:hAnsi="Arial" w:cs="Arial"/>
                <w:b/>
                <w:bCs/>
                <w:sz w:val="16"/>
                <w:szCs w:val="16"/>
              </w:rPr>
            </w:pPr>
            <w:r w:rsidRPr="00346A27">
              <w:rPr>
                <w:rFonts w:ascii="Arial" w:hAnsi="Arial" w:cs="Arial"/>
                <w:b/>
                <w:bCs/>
                <w:sz w:val="16"/>
                <w:szCs w:val="16"/>
              </w:rPr>
              <w:t>Net increase (or decrease)</w:t>
            </w:r>
          </w:p>
        </w:tc>
        <w:tc>
          <w:tcPr>
            <w:tcW w:w="981"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p>
        </w:tc>
        <w:tc>
          <w:tcPr>
            <w:tcW w:w="900" w:type="dxa"/>
            <w:tcBorders>
              <w:top w:val="nil"/>
              <w:left w:val="nil"/>
              <w:bottom w:val="nil"/>
              <w:right w:val="nil"/>
            </w:tcBorders>
            <w:shd w:val="clear" w:color="000000" w:fill="D9D9D9"/>
            <w:noWrap/>
            <w:vAlign w:val="bottom"/>
            <w:hideMark/>
          </w:tcPr>
          <w:p w:rsidR="00D8674C" w:rsidRPr="00346A27" w:rsidRDefault="00D8674C" w:rsidP="00FF423A">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p>
        </w:tc>
      </w:tr>
      <w:tr w:rsidR="00346A27" w:rsidRPr="00346A27" w:rsidTr="00FF423A">
        <w:trPr>
          <w:trHeight w:val="225"/>
        </w:trPr>
        <w:tc>
          <w:tcPr>
            <w:tcW w:w="286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ind w:firstLineChars="100" w:firstLine="161"/>
              <w:rPr>
                <w:rFonts w:ascii="Arial" w:hAnsi="Arial" w:cs="Arial"/>
                <w:b/>
                <w:bCs/>
                <w:sz w:val="16"/>
                <w:szCs w:val="16"/>
              </w:rPr>
            </w:pPr>
            <w:r w:rsidRPr="00346A27">
              <w:rPr>
                <w:rFonts w:ascii="Arial" w:hAnsi="Arial" w:cs="Arial"/>
                <w:b/>
                <w:bCs/>
                <w:sz w:val="16"/>
                <w:szCs w:val="16"/>
              </w:rPr>
              <w:t>in cash held</w:t>
            </w:r>
          </w:p>
        </w:tc>
        <w:tc>
          <w:tcPr>
            <w:tcW w:w="981" w:type="dxa"/>
            <w:tcBorders>
              <w:top w:val="nil"/>
              <w:left w:val="nil"/>
              <w:bottom w:val="single" w:sz="4" w:space="0" w:color="auto"/>
              <w:right w:val="nil"/>
            </w:tcBorders>
            <w:shd w:val="clear" w:color="auto" w:fill="auto"/>
            <w:noWrap/>
            <w:vAlign w:val="bottom"/>
            <w:hideMark/>
          </w:tcPr>
          <w:p w:rsidR="00D8674C" w:rsidRPr="00346A27" w:rsidRDefault="00D8674C" w:rsidP="00FF423A">
            <w:pPr>
              <w:keepNext w:val="0"/>
              <w:spacing w:after="0"/>
              <w:jc w:val="right"/>
              <w:rPr>
                <w:rFonts w:ascii="Arial" w:hAnsi="Arial" w:cs="Arial"/>
                <w:b/>
                <w:bCs/>
                <w:sz w:val="16"/>
                <w:szCs w:val="16"/>
              </w:rPr>
            </w:pPr>
            <w:r w:rsidRPr="00346A27">
              <w:rPr>
                <w:rFonts w:ascii="Arial" w:hAnsi="Arial" w:cs="Arial"/>
                <w:b/>
                <w:bCs/>
                <w:sz w:val="16"/>
                <w:szCs w:val="16"/>
              </w:rPr>
              <w:t>(515)</w:t>
            </w:r>
          </w:p>
        </w:tc>
        <w:tc>
          <w:tcPr>
            <w:tcW w:w="900" w:type="dxa"/>
            <w:tcBorders>
              <w:top w:val="nil"/>
              <w:left w:val="nil"/>
              <w:bottom w:val="single" w:sz="4" w:space="0" w:color="auto"/>
              <w:right w:val="nil"/>
            </w:tcBorders>
            <w:shd w:val="clear" w:color="000000" w:fill="D9D9D9"/>
            <w:noWrap/>
            <w:vAlign w:val="bottom"/>
            <w:hideMark/>
          </w:tcPr>
          <w:p w:rsidR="00D8674C" w:rsidRPr="00346A27" w:rsidRDefault="00D8674C" w:rsidP="00FF423A">
            <w:pPr>
              <w:keepNext w:val="0"/>
              <w:spacing w:after="0"/>
              <w:jc w:val="right"/>
              <w:rPr>
                <w:rFonts w:ascii="Arial" w:hAnsi="Arial" w:cs="Arial"/>
                <w:b/>
                <w:bCs/>
                <w:sz w:val="16"/>
                <w:szCs w:val="16"/>
              </w:rPr>
            </w:pPr>
            <w:r w:rsidRPr="00346A27">
              <w:rPr>
                <w:rFonts w:ascii="Arial" w:hAnsi="Arial" w:cs="Arial"/>
                <w:b/>
                <w:bCs/>
                <w:sz w:val="16"/>
                <w:szCs w:val="16"/>
              </w:rPr>
              <w:t>246</w:t>
            </w:r>
          </w:p>
        </w:tc>
        <w:tc>
          <w:tcPr>
            <w:tcW w:w="900" w:type="dxa"/>
            <w:tcBorders>
              <w:top w:val="nil"/>
              <w:left w:val="nil"/>
              <w:bottom w:val="single" w:sz="4" w:space="0" w:color="auto"/>
              <w:right w:val="nil"/>
            </w:tcBorders>
            <w:shd w:val="clear" w:color="auto" w:fill="auto"/>
            <w:noWrap/>
            <w:vAlign w:val="bottom"/>
            <w:hideMark/>
          </w:tcPr>
          <w:p w:rsidR="00D8674C" w:rsidRPr="00346A27" w:rsidRDefault="00D8674C" w:rsidP="00FF423A">
            <w:pPr>
              <w:keepNext w:val="0"/>
              <w:spacing w:after="0"/>
              <w:jc w:val="right"/>
              <w:rPr>
                <w:rFonts w:ascii="Arial" w:hAnsi="Arial" w:cs="Arial"/>
                <w:b/>
                <w:bCs/>
                <w:sz w:val="16"/>
                <w:szCs w:val="16"/>
              </w:rPr>
            </w:pPr>
            <w:r w:rsidRPr="00346A27">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rsidR="00D8674C" w:rsidRPr="00346A27" w:rsidRDefault="00D8674C" w:rsidP="00FF423A">
            <w:pPr>
              <w:keepNext w:val="0"/>
              <w:spacing w:after="0"/>
              <w:jc w:val="right"/>
              <w:rPr>
                <w:rFonts w:ascii="Arial" w:hAnsi="Arial" w:cs="Arial"/>
                <w:b/>
                <w:bCs/>
                <w:sz w:val="16"/>
                <w:szCs w:val="16"/>
              </w:rPr>
            </w:pPr>
            <w:r w:rsidRPr="00346A27">
              <w:rPr>
                <w:rFonts w:ascii="Arial" w:hAnsi="Arial" w:cs="Arial"/>
                <w:b/>
                <w:bCs/>
                <w:sz w:val="16"/>
                <w:szCs w:val="16"/>
              </w:rPr>
              <w:t>-</w:t>
            </w:r>
          </w:p>
        </w:tc>
        <w:tc>
          <w:tcPr>
            <w:tcW w:w="900" w:type="dxa"/>
            <w:tcBorders>
              <w:top w:val="nil"/>
              <w:left w:val="nil"/>
              <w:bottom w:val="single" w:sz="4" w:space="0" w:color="auto"/>
              <w:right w:val="nil"/>
            </w:tcBorders>
            <w:shd w:val="clear" w:color="auto" w:fill="auto"/>
            <w:noWrap/>
            <w:vAlign w:val="bottom"/>
            <w:hideMark/>
          </w:tcPr>
          <w:p w:rsidR="00D8674C" w:rsidRPr="00346A27" w:rsidRDefault="00D8674C" w:rsidP="00FF423A">
            <w:pPr>
              <w:keepNext w:val="0"/>
              <w:spacing w:after="0"/>
              <w:jc w:val="right"/>
              <w:rPr>
                <w:rFonts w:ascii="Arial" w:hAnsi="Arial" w:cs="Arial"/>
                <w:b/>
                <w:bCs/>
                <w:sz w:val="16"/>
                <w:szCs w:val="16"/>
              </w:rPr>
            </w:pPr>
            <w:r w:rsidRPr="00346A27">
              <w:rPr>
                <w:rFonts w:ascii="Arial" w:hAnsi="Arial" w:cs="Arial"/>
                <w:b/>
                <w:bCs/>
                <w:sz w:val="16"/>
                <w:szCs w:val="16"/>
              </w:rPr>
              <w:t>-</w:t>
            </w:r>
          </w:p>
        </w:tc>
      </w:tr>
      <w:tr w:rsidR="00346A27" w:rsidRPr="00346A27" w:rsidTr="00FF423A">
        <w:trPr>
          <w:trHeight w:val="225"/>
        </w:trPr>
        <w:tc>
          <w:tcPr>
            <w:tcW w:w="286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ind w:firstLineChars="100" w:firstLine="160"/>
              <w:rPr>
                <w:rFonts w:ascii="Arial" w:hAnsi="Arial" w:cs="Arial"/>
                <w:sz w:val="16"/>
                <w:szCs w:val="16"/>
              </w:rPr>
            </w:pPr>
            <w:r w:rsidRPr="00346A27">
              <w:rPr>
                <w:rFonts w:ascii="Arial" w:hAnsi="Arial" w:cs="Arial"/>
                <w:sz w:val="16"/>
                <w:szCs w:val="16"/>
              </w:rPr>
              <w:t>Cash and cash equivalents at the</w:t>
            </w:r>
          </w:p>
        </w:tc>
        <w:tc>
          <w:tcPr>
            <w:tcW w:w="981"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p>
        </w:tc>
        <w:tc>
          <w:tcPr>
            <w:tcW w:w="900" w:type="dxa"/>
            <w:tcBorders>
              <w:top w:val="nil"/>
              <w:left w:val="nil"/>
              <w:bottom w:val="nil"/>
              <w:right w:val="nil"/>
            </w:tcBorders>
            <w:shd w:val="clear" w:color="000000" w:fill="D9D9D9"/>
            <w:noWrap/>
            <w:vAlign w:val="bottom"/>
            <w:hideMark/>
          </w:tcPr>
          <w:p w:rsidR="00D8674C" w:rsidRPr="00346A27" w:rsidRDefault="00D8674C" w:rsidP="00FF423A">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p>
        </w:tc>
      </w:tr>
      <w:tr w:rsidR="00346A27" w:rsidRPr="00346A27" w:rsidTr="00FF423A">
        <w:trPr>
          <w:trHeight w:val="225"/>
        </w:trPr>
        <w:tc>
          <w:tcPr>
            <w:tcW w:w="286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ind w:firstLineChars="200" w:firstLine="320"/>
              <w:rPr>
                <w:rFonts w:ascii="Arial" w:hAnsi="Arial" w:cs="Arial"/>
                <w:sz w:val="16"/>
                <w:szCs w:val="16"/>
              </w:rPr>
            </w:pPr>
            <w:r w:rsidRPr="00346A27">
              <w:rPr>
                <w:rFonts w:ascii="Arial" w:hAnsi="Arial" w:cs="Arial"/>
                <w:sz w:val="16"/>
                <w:szCs w:val="16"/>
              </w:rPr>
              <w:t>beginning of the reporting period</w:t>
            </w:r>
          </w:p>
        </w:tc>
        <w:tc>
          <w:tcPr>
            <w:tcW w:w="981"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r w:rsidRPr="00346A27">
              <w:rPr>
                <w:rFonts w:ascii="Arial" w:hAnsi="Arial" w:cs="Arial"/>
                <w:sz w:val="16"/>
                <w:szCs w:val="16"/>
              </w:rPr>
              <w:t>1,395</w:t>
            </w:r>
          </w:p>
        </w:tc>
        <w:tc>
          <w:tcPr>
            <w:tcW w:w="900" w:type="dxa"/>
            <w:tcBorders>
              <w:top w:val="nil"/>
              <w:left w:val="nil"/>
              <w:bottom w:val="nil"/>
              <w:right w:val="nil"/>
            </w:tcBorders>
            <w:shd w:val="clear" w:color="000000" w:fill="D9D9D9"/>
            <w:noWrap/>
            <w:vAlign w:val="bottom"/>
            <w:hideMark/>
          </w:tcPr>
          <w:p w:rsidR="00D8674C" w:rsidRPr="00346A27" w:rsidRDefault="00D8674C" w:rsidP="00FF423A">
            <w:pPr>
              <w:keepNext w:val="0"/>
              <w:spacing w:after="0"/>
              <w:jc w:val="right"/>
              <w:rPr>
                <w:rFonts w:ascii="Arial" w:hAnsi="Arial" w:cs="Arial"/>
                <w:sz w:val="16"/>
                <w:szCs w:val="16"/>
              </w:rPr>
            </w:pPr>
            <w:r w:rsidRPr="00346A27">
              <w:rPr>
                <w:rFonts w:ascii="Arial" w:hAnsi="Arial" w:cs="Arial"/>
                <w:sz w:val="16"/>
                <w:szCs w:val="16"/>
              </w:rPr>
              <w:t>880</w:t>
            </w:r>
          </w:p>
        </w:tc>
        <w:tc>
          <w:tcPr>
            <w:tcW w:w="90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r w:rsidRPr="00346A27">
              <w:rPr>
                <w:rFonts w:ascii="Arial" w:hAnsi="Arial" w:cs="Arial"/>
                <w:sz w:val="16"/>
                <w:szCs w:val="16"/>
              </w:rPr>
              <w:t>1,126</w:t>
            </w:r>
          </w:p>
        </w:tc>
        <w:tc>
          <w:tcPr>
            <w:tcW w:w="90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r w:rsidRPr="00346A27">
              <w:rPr>
                <w:rFonts w:ascii="Arial" w:hAnsi="Arial" w:cs="Arial"/>
                <w:sz w:val="16"/>
                <w:szCs w:val="16"/>
              </w:rPr>
              <w:t>1,126</w:t>
            </w:r>
          </w:p>
        </w:tc>
        <w:tc>
          <w:tcPr>
            <w:tcW w:w="90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r w:rsidRPr="00346A27">
              <w:rPr>
                <w:rFonts w:ascii="Arial" w:hAnsi="Arial" w:cs="Arial"/>
                <w:sz w:val="16"/>
                <w:szCs w:val="16"/>
              </w:rPr>
              <w:t>1,126</w:t>
            </w:r>
          </w:p>
        </w:tc>
      </w:tr>
      <w:tr w:rsidR="00346A27" w:rsidRPr="00346A27" w:rsidTr="00FF423A">
        <w:trPr>
          <w:trHeight w:val="300"/>
        </w:trPr>
        <w:tc>
          <w:tcPr>
            <w:tcW w:w="286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rPr>
                <w:rFonts w:ascii="Arial" w:hAnsi="Arial" w:cs="Arial"/>
                <w:b/>
                <w:bCs/>
                <w:sz w:val="16"/>
                <w:szCs w:val="16"/>
              </w:rPr>
            </w:pPr>
            <w:r w:rsidRPr="00346A27">
              <w:rPr>
                <w:rFonts w:ascii="Arial" w:hAnsi="Arial" w:cs="Arial"/>
                <w:b/>
                <w:bCs/>
                <w:sz w:val="16"/>
                <w:szCs w:val="16"/>
              </w:rPr>
              <w:t>Cash and cash equivalents at the</w:t>
            </w:r>
          </w:p>
        </w:tc>
        <w:tc>
          <w:tcPr>
            <w:tcW w:w="981"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p>
        </w:tc>
        <w:tc>
          <w:tcPr>
            <w:tcW w:w="900" w:type="dxa"/>
            <w:tcBorders>
              <w:top w:val="nil"/>
              <w:left w:val="nil"/>
              <w:bottom w:val="nil"/>
              <w:right w:val="nil"/>
            </w:tcBorders>
            <w:shd w:val="clear" w:color="000000" w:fill="D9D9D9"/>
            <w:noWrap/>
            <w:vAlign w:val="bottom"/>
            <w:hideMark/>
          </w:tcPr>
          <w:p w:rsidR="00D8674C" w:rsidRPr="00346A27" w:rsidRDefault="00D8674C" w:rsidP="00FF423A">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D8674C" w:rsidRPr="00346A27" w:rsidRDefault="00D8674C" w:rsidP="00FF423A">
            <w:pPr>
              <w:keepNext w:val="0"/>
              <w:spacing w:after="0"/>
              <w:jc w:val="right"/>
              <w:rPr>
                <w:rFonts w:ascii="Arial" w:hAnsi="Arial" w:cs="Arial"/>
                <w:sz w:val="16"/>
                <w:szCs w:val="16"/>
              </w:rPr>
            </w:pPr>
          </w:p>
        </w:tc>
      </w:tr>
      <w:tr w:rsidR="00346A27" w:rsidRPr="00346A27" w:rsidTr="00FF423A">
        <w:trPr>
          <w:trHeight w:val="225"/>
        </w:trPr>
        <w:tc>
          <w:tcPr>
            <w:tcW w:w="2860" w:type="dxa"/>
            <w:tcBorders>
              <w:top w:val="nil"/>
              <w:left w:val="nil"/>
              <w:bottom w:val="single" w:sz="4" w:space="0" w:color="auto"/>
              <w:right w:val="nil"/>
            </w:tcBorders>
            <w:shd w:val="clear" w:color="auto" w:fill="auto"/>
            <w:noWrap/>
            <w:vAlign w:val="bottom"/>
            <w:hideMark/>
          </w:tcPr>
          <w:p w:rsidR="00D8674C" w:rsidRPr="00346A27" w:rsidRDefault="00D8674C" w:rsidP="00FF423A">
            <w:pPr>
              <w:keepNext w:val="0"/>
              <w:spacing w:after="0"/>
              <w:ind w:firstLineChars="100" w:firstLine="161"/>
              <w:rPr>
                <w:rFonts w:ascii="Arial" w:hAnsi="Arial" w:cs="Arial"/>
                <w:b/>
                <w:bCs/>
                <w:sz w:val="16"/>
                <w:szCs w:val="16"/>
              </w:rPr>
            </w:pPr>
            <w:r w:rsidRPr="00346A27">
              <w:rPr>
                <w:rFonts w:ascii="Arial" w:hAnsi="Arial" w:cs="Arial"/>
                <w:b/>
                <w:bCs/>
                <w:sz w:val="16"/>
                <w:szCs w:val="16"/>
              </w:rPr>
              <w:t>end of the reporting period</w:t>
            </w:r>
          </w:p>
        </w:tc>
        <w:tc>
          <w:tcPr>
            <w:tcW w:w="981" w:type="dxa"/>
            <w:tcBorders>
              <w:top w:val="nil"/>
              <w:left w:val="nil"/>
              <w:bottom w:val="single" w:sz="4" w:space="0" w:color="auto"/>
              <w:right w:val="nil"/>
            </w:tcBorders>
            <w:shd w:val="clear" w:color="auto" w:fill="auto"/>
            <w:noWrap/>
            <w:vAlign w:val="bottom"/>
            <w:hideMark/>
          </w:tcPr>
          <w:p w:rsidR="00D8674C" w:rsidRPr="00346A27" w:rsidRDefault="00D8674C" w:rsidP="00FF423A">
            <w:pPr>
              <w:keepNext w:val="0"/>
              <w:spacing w:after="0"/>
              <w:jc w:val="right"/>
              <w:rPr>
                <w:rFonts w:ascii="Arial" w:hAnsi="Arial" w:cs="Arial"/>
                <w:b/>
                <w:bCs/>
                <w:sz w:val="16"/>
                <w:szCs w:val="16"/>
              </w:rPr>
            </w:pPr>
            <w:r w:rsidRPr="00346A27">
              <w:rPr>
                <w:rFonts w:ascii="Arial" w:hAnsi="Arial" w:cs="Arial"/>
                <w:b/>
                <w:bCs/>
                <w:sz w:val="16"/>
                <w:szCs w:val="16"/>
              </w:rPr>
              <w:t>880</w:t>
            </w:r>
          </w:p>
        </w:tc>
        <w:tc>
          <w:tcPr>
            <w:tcW w:w="900" w:type="dxa"/>
            <w:tcBorders>
              <w:top w:val="nil"/>
              <w:left w:val="nil"/>
              <w:bottom w:val="single" w:sz="4" w:space="0" w:color="auto"/>
              <w:right w:val="nil"/>
            </w:tcBorders>
            <w:shd w:val="clear" w:color="000000" w:fill="D9D9D9"/>
            <w:noWrap/>
            <w:vAlign w:val="bottom"/>
            <w:hideMark/>
          </w:tcPr>
          <w:p w:rsidR="00D8674C" w:rsidRPr="00346A27" w:rsidRDefault="00D8674C" w:rsidP="00FF423A">
            <w:pPr>
              <w:keepNext w:val="0"/>
              <w:spacing w:after="0"/>
              <w:jc w:val="right"/>
              <w:rPr>
                <w:rFonts w:ascii="Arial" w:hAnsi="Arial" w:cs="Arial"/>
                <w:b/>
                <w:bCs/>
                <w:sz w:val="16"/>
                <w:szCs w:val="16"/>
              </w:rPr>
            </w:pPr>
            <w:r w:rsidRPr="00346A27">
              <w:rPr>
                <w:rFonts w:ascii="Arial" w:hAnsi="Arial" w:cs="Arial"/>
                <w:b/>
                <w:bCs/>
                <w:sz w:val="16"/>
                <w:szCs w:val="16"/>
              </w:rPr>
              <w:t>1,126</w:t>
            </w:r>
          </w:p>
        </w:tc>
        <w:tc>
          <w:tcPr>
            <w:tcW w:w="900" w:type="dxa"/>
            <w:tcBorders>
              <w:top w:val="nil"/>
              <w:left w:val="nil"/>
              <w:bottom w:val="single" w:sz="4" w:space="0" w:color="auto"/>
              <w:right w:val="nil"/>
            </w:tcBorders>
            <w:shd w:val="clear" w:color="auto" w:fill="auto"/>
            <w:noWrap/>
            <w:vAlign w:val="bottom"/>
            <w:hideMark/>
          </w:tcPr>
          <w:p w:rsidR="00D8674C" w:rsidRPr="00346A27" w:rsidRDefault="00D8674C" w:rsidP="00FF423A">
            <w:pPr>
              <w:keepNext w:val="0"/>
              <w:spacing w:after="0"/>
              <w:jc w:val="right"/>
              <w:rPr>
                <w:rFonts w:ascii="Arial" w:hAnsi="Arial" w:cs="Arial"/>
                <w:b/>
                <w:bCs/>
                <w:sz w:val="16"/>
                <w:szCs w:val="16"/>
              </w:rPr>
            </w:pPr>
            <w:r w:rsidRPr="00346A27">
              <w:rPr>
                <w:rFonts w:ascii="Arial" w:hAnsi="Arial" w:cs="Arial"/>
                <w:b/>
                <w:bCs/>
                <w:sz w:val="16"/>
                <w:szCs w:val="16"/>
              </w:rPr>
              <w:t>1,126</w:t>
            </w:r>
          </w:p>
        </w:tc>
        <w:tc>
          <w:tcPr>
            <w:tcW w:w="900" w:type="dxa"/>
            <w:tcBorders>
              <w:top w:val="nil"/>
              <w:left w:val="nil"/>
              <w:bottom w:val="single" w:sz="4" w:space="0" w:color="auto"/>
              <w:right w:val="nil"/>
            </w:tcBorders>
            <w:shd w:val="clear" w:color="auto" w:fill="auto"/>
            <w:noWrap/>
            <w:vAlign w:val="bottom"/>
            <w:hideMark/>
          </w:tcPr>
          <w:p w:rsidR="00D8674C" w:rsidRPr="00346A27" w:rsidRDefault="00D8674C" w:rsidP="00FF423A">
            <w:pPr>
              <w:keepNext w:val="0"/>
              <w:spacing w:after="0"/>
              <w:jc w:val="right"/>
              <w:rPr>
                <w:rFonts w:ascii="Arial" w:hAnsi="Arial" w:cs="Arial"/>
                <w:b/>
                <w:bCs/>
                <w:sz w:val="16"/>
                <w:szCs w:val="16"/>
              </w:rPr>
            </w:pPr>
            <w:r w:rsidRPr="00346A27">
              <w:rPr>
                <w:rFonts w:ascii="Arial" w:hAnsi="Arial" w:cs="Arial"/>
                <w:b/>
                <w:bCs/>
                <w:sz w:val="16"/>
                <w:szCs w:val="16"/>
              </w:rPr>
              <w:t>1,126</w:t>
            </w:r>
          </w:p>
        </w:tc>
        <w:tc>
          <w:tcPr>
            <w:tcW w:w="900" w:type="dxa"/>
            <w:tcBorders>
              <w:top w:val="nil"/>
              <w:left w:val="nil"/>
              <w:bottom w:val="single" w:sz="4" w:space="0" w:color="auto"/>
              <w:right w:val="nil"/>
            </w:tcBorders>
            <w:shd w:val="clear" w:color="auto" w:fill="auto"/>
            <w:noWrap/>
            <w:vAlign w:val="bottom"/>
            <w:hideMark/>
          </w:tcPr>
          <w:p w:rsidR="00D8674C" w:rsidRPr="00346A27" w:rsidRDefault="00D8674C" w:rsidP="00FF423A">
            <w:pPr>
              <w:keepNext w:val="0"/>
              <w:spacing w:after="0"/>
              <w:jc w:val="right"/>
              <w:rPr>
                <w:rFonts w:ascii="Arial" w:hAnsi="Arial" w:cs="Arial"/>
                <w:b/>
                <w:bCs/>
                <w:sz w:val="16"/>
                <w:szCs w:val="16"/>
              </w:rPr>
            </w:pPr>
            <w:r w:rsidRPr="00346A27">
              <w:rPr>
                <w:rFonts w:ascii="Arial" w:hAnsi="Arial" w:cs="Arial"/>
                <w:b/>
                <w:bCs/>
                <w:sz w:val="16"/>
                <w:szCs w:val="16"/>
              </w:rPr>
              <w:t>1,126</w:t>
            </w:r>
          </w:p>
        </w:tc>
      </w:tr>
    </w:tbl>
    <w:p w:rsidR="007E7063" w:rsidRPr="00346A27" w:rsidRDefault="00D8674C" w:rsidP="00D8674C">
      <w:pPr>
        <w:pStyle w:val="FootnoteText"/>
        <w:spacing w:before="120"/>
      </w:pPr>
      <w:r w:rsidRPr="00346A27">
        <w:t>DCB = Departmental Capital Budget.</w:t>
      </w:r>
    </w:p>
    <w:p w:rsidR="002D15FD" w:rsidRPr="00346A27" w:rsidRDefault="002D15FD" w:rsidP="002D15FD">
      <w:r w:rsidRPr="00346A27">
        <w:br w:type="page"/>
      </w:r>
    </w:p>
    <w:p w:rsidR="003214F7" w:rsidRPr="00346A27" w:rsidRDefault="007E7063" w:rsidP="002B0C32">
      <w:pPr>
        <w:pStyle w:val="TableHeading"/>
      </w:pPr>
      <w:r w:rsidRPr="00346A27">
        <w:lastRenderedPageBreak/>
        <w:t xml:space="preserve">Table 3.2.5: </w:t>
      </w:r>
      <w:r w:rsidR="008C2DCC" w:rsidRPr="00346A27">
        <w:t xml:space="preserve">Departmental </w:t>
      </w:r>
      <w:r w:rsidRPr="00346A27">
        <w:t>Capital Budget Statement</w:t>
      </w:r>
      <w:r w:rsidR="008C2DCC" w:rsidRPr="00346A27">
        <w:t xml:space="preserve"> (for the </w:t>
      </w:r>
      <w:r w:rsidR="00566B47" w:rsidRPr="00346A27">
        <w:t>p</w:t>
      </w:r>
      <w:r w:rsidR="008C2DCC" w:rsidRPr="00346A27">
        <w:t>eriod ended 30 June)</w:t>
      </w:r>
    </w:p>
    <w:tbl>
      <w:tblPr>
        <w:tblW w:w="7441" w:type="dxa"/>
        <w:tblInd w:w="93" w:type="dxa"/>
        <w:tblLook w:val="06A0" w:firstRow="1" w:lastRow="0" w:firstColumn="1" w:lastColumn="0" w:noHBand="1" w:noVBand="1"/>
        <w:tblCaption w:val="Table 3.2.5 Departmental Capital Budget Statement"/>
        <w:tblDescription w:val="Table 3.2.5 shows the Entity’s capital appropriations that will be provided through Appropriation Bills (No.1 and 2) and the purpose for which they were provided (either to purchase assets, or for departmental supplementation), compared to their forecast capital expenditure. Read the first column for the purpose and appropriation type and then across the table for 2014-15 estimated actual, 2015-16 Budget estimate and the forward estimates. Note that there is no data for some categories."/>
      </w:tblPr>
      <w:tblGrid>
        <w:gridCol w:w="2860"/>
        <w:gridCol w:w="981"/>
        <w:gridCol w:w="900"/>
        <w:gridCol w:w="900"/>
        <w:gridCol w:w="900"/>
        <w:gridCol w:w="900"/>
      </w:tblGrid>
      <w:tr w:rsidR="00346A27" w:rsidRPr="00346A27" w:rsidTr="00036CD6">
        <w:trPr>
          <w:trHeight w:val="652"/>
        </w:trPr>
        <w:tc>
          <w:tcPr>
            <w:tcW w:w="2860" w:type="dxa"/>
            <w:tcBorders>
              <w:top w:val="single" w:sz="4" w:space="0" w:color="auto"/>
              <w:left w:val="nil"/>
              <w:bottom w:val="nil"/>
              <w:right w:val="nil"/>
            </w:tcBorders>
            <w:shd w:val="clear" w:color="000000" w:fill="FFFFFF"/>
            <w:vAlign w:val="bottom"/>
            <w:hideMark/>
          </w:tcPr>
          <w:p w:rsidR="00FF423A" w:rsidRPr="00346A27" w:rsidRDefault="00FF423A" w:rsidP="00FF423A">
            <w:pPr>
              <w:keepNext w:val="0"/>
              <w:spacing w:before="40" w:after="0"/>
              <w:jc w:val="right"/>
              <w:rPr>
                <w:rFonts w:ascii="Arial" w:hAnsi="Arial" w:cs="Arial"/>
                <w:sz w:val="16"/>
                <w:szCs w:val="16"/>
              </w:rPr>
            </w:pPr>
          </w:p>
        </w:tc>
        <w:tc>
          <w:tcPr>
            <w:tcW w:w="981" w:type="dxa"/>
            <w:tcBorders>
              <w:top w:val="single" w:sz="4" w:space="0" w:color="auto"/>
              <w:left w:val="nil"/>
              <w:bottom w:val="single" w:sz="4" w:space="0" w:color="auto"/>
              <w:right w:val="nil"/>
            </w:tcBorders>
            <w:shd w:val="clear" w:color="auto" w:fill="auto"/>
            <w:vAlign w:val="bottom"/>
            <w:hideMark/>
          </w:tcPr>
          <w:p w:rsidR="00FF423A" w:rsidRPr="00346A27" w:rsidRDefault="00FF423A" w:rsidP="00FF423A">
            <w:pPr>
              <w:keepNext w:val="0"/>
              <w:spacing w:before="40" w:after="0"/>
              <w:jc w:val="right"/>
              <w:rPr>
                <w:rFonts w:ascii="Arial" w:hAnsi="Arial" w:cs="Arial"/>
                <w:b/>
                <w:bCs/>
                <w:sz w:val="16"/>
                <w:szCs w:val="16"/>
              </w:rPr>
            </w:pPr>
            <w:r w:rsidRPr="00346A27">
              <w:rPr>
                <w:rFonts w:ascii="Arial" w:hAnsi="Arial" w:cs="Arial"/>
                <w:b/>
                <w:bCs/>
                <w:sz w:val="16"/>
                <w:szCs w:val="16"/>
              </w:rPr>
              <w:t>Estimated actual 2014-15</w:t>
            </w:r>
            <w:r w:rsidRPr="00346A27">
              <w:rPr>
                <w:rFonts w:ascii="Arial" w:hAnsi="Arial" w:cs="Arial"/>
                <w:sz w:val="16"/>
                <w:szCs w:val="16"/>
              </w:rPr>
              <w:t xml:space="preserve"> $'000</w:t>
            </w:r>
          </w:p>
        </w:tc>
        <w:tc>
          <w:tcPr>
            <w:tcW w:w="900" w:type="dxa"/>
            <w:tcBorders>
              <w:top w:val="single" w:sz="4" w:space="0" w:color="auto"/>
              <w:left w:val="nil"/>
              <w:bottom w:val="single" w:sz="4" w:space="0" w:color="auto"/>
              <w:right w:val="nil"/>
            </w:tcBorders>
            <w:shd w:val="clear" w:color="000000" w:fill="D9D9D9"/>
            <w:vAlign w:val="bottom"/>
            <w:hideMark/>
          </w:tcPr>
          <w:p w:rsidR="00FF423A" w:rsidRPr="00346A27" w:rsidRDefault="00FF423A" w:rsidP="00FF423A">
            <w:pPr>
              <w:keepNext w:val="0"/>
              <w:spacing w:before="40" w:after="0"/>
              <w:jc w:val="right"/>
              <w:rPr>
                <w:rFonts w:ascii="Arial" w:hAnsi="Arial" w:cs="Arial"/>
                <w:b/>
                <w:bCs/>
                <w:sz w:val="16"/>
                <w:szCs w:val="16"/>
              </w:rPr>
            </w:pPr>
            <w:r w:rsidRPr="00346A27">
              <w:rPr>
                <w:rFonts w:ascii="Arial" w:hAnsi="Arial" w:cs="Arial"/>
                <w:b/>
                <w:bCs/>
                <w:sz w:val="16"/>
                <w:szCs w:val="16"/>
              </w:rPr>
              <w:t>Budget estimate 2015-16</w:t>
            </w:r>
            <w:r w:rsidRPr="00346A27">
              <w:rPr>
                <w:rFonts w:ascii="Arial" w:hAnsi="Arial" w:cs="Arial"/>
                <w:sz w:val="16"/>
                <w:szCs w:val="16"/>
              </w:rPr>
              <w:t xml:space="preserve"> $'000</w:t>
            </w:r>
          </w:p>
        </w:tc>
        <w:tc>
          <w:tcPr>
            <w:tcW w:w="900" w:type="dxa"/>
            <w:tcBorders>
              <w:top w:val="single" w:sz="4" w:space="0" w:color="auto"/>
              <w:left w:val="nil"/>
              <w:bottom w:val="single" w:sz="4" w:space="0" w:color="auto"/>
              <w:right w:val="nil"/>
            </w:tcBorders>
            <w:shd w:val="clear" w:color="auto" w:fill="auto"/>
            <w:vAlign w:val="bottom"/>
            <w:hideMark/>
          </w:tcPr>
          <w:p w:rsidR="00FF423A" w:rsidRPr="00346A27" w:rsidRDefault="00FF423A" w:rsidP="00FF423A">
            <w:pPr>
              <w:keepNext w:val="0"/>
              <w:spacing w:before="40" w:after="0"/>
              <w:jc w:val="right"/>
              <w:rPr>
                <w:rFonts w:ascii="Arial" w:hAnsi="Arial" w:cs="Arial"/>
                <w:b/>
                <w:bCs/>
                <w:sz w:val="16"/>
                <w:szCs w:val="16"/>
              </w:rPr>
            </w:pPr>
            <w:r w:rsidRPr="00346A27">
              <w:rPr>
                <w:rFonts w:ascii="Arial" w:hAnsi="Arial" w:cs="Arial"/>
                <w:b/>
                <w:bCs/>
                <w:sz w:val="16"/>
                <w:szCs w:val="16"/>
              </w:rPr>
              <w:t xml:space="preserve">Forward estimate 2016-17 </w:t>
            </w:r>
            <w:r w:rsidRPr="00346A27">
              <w:rPr>
                <w:rFonts w:ascii="Arial" w:hAnsi="Arial" w:cs="Arial"/>
                <w:sz w:val="16"/>
                <w:szCs w:val="16"/>
              </w:rPr>
              <w:t>$'000</w:t>
            </w:r>
          </w:p>
        </w:tc>
        <w:tc>
          <w:tcPr>
            <w:tcW w:w="900" w:type="dxa"/>
            <w:tcBorders>
              <w:top w:val="single" w:sz="4" w:space="0" w:color="auto"/>
              <w:left w:val="nil"/>
              <w:bottom w:val="single" w:sz="4" w:space="0" w:color="auto"/>
              <w:right w:val="nil"/>
            </w:tcBorders>
            <w:shd w:val="clear" w:color="auto" w:fill="auto"/>
            <w:vAlign w:val="bottom"/>
            <w:hideMark/>
          </w:tcPr>
          <w:p w:rsidR="00FF423A" w:rsidRPr="00346A27" w:rsidRDefault="00FF423A" w:rsidP="00FF423A">
            <w:pPr>
              <w:keepNext w:val="0"/>
              <w:spacing w:before="40" w:after="0"/>
              <w:jc w:val="right"/>
              <w:rPr>
                <w:rFonts w:ascii="Arial" w:hAnsi="Arial" w:cs="Arial"/>
                <w:b/>
                <w:bCs/>
                <w:sz w:val="16"/>
                <w:szCs w:val="16"/>
              </w:rPr>
            </w:pPr>
            <w:r w:rsidRPr="00346A27">
              <w:rPr>
                <w:rFonts w:ascii="Arial" w:hAnsi="Arial" w:cs="Arial"/>
                <w:b/>
                <w:bCs/>
                <w:sz w:val="16"/>
                <w:szCs w:val="16"/>
              </w:rPr>
              <w:t xml:space="preserve">Forward estimate 2017-18 </w:t>
            </w:r>
            <w:r w:rsidRPr="00346A27">
              <w:rPr>
                <w:rFonts w:ascii="Arial" w:hAnsi="Arial" w:cs="Arial"/>
                <w:sz w:val="16"/>
                <w:szCs w:val="16"/>
              </w:rPr>
              <w:t>$'000</w:t>
            </w:r>
          </w:p>
        </w:tc>
        <w:tc>
          <w:tcPr>
            <w:tcW w:w="900" w:type="dxa"/>
            <w:tcBorders>
              <w:top w:val="single" w:sz="4" w:space="0" w:color="auto"/>
              <w:left w:val="nil"/>
              <w:bottom w:val="single" w:sz="4" w:space="0" w:color="auto"/>
              <w:right w:val="nil"/>
            </w:tcBorders>
            <w:shd w:val="clear" w:color="auto" w:fill="auto"/>
            <w:vAlign w:val="bottom"/>
            <w:hideMark/>
          </w:tcPr>
          <w:p w:rsidR="00FF423A" w:rsidRPr="00346A27" w:rsidRDefault="00FF423A" w:rsidP="00FF423A">
            <w:pPr>
              <w:keepNext w:val="0"/>
              <w:spacing w:before="40" w:after="0"/>
              <w:jc w:val="right"/>
              <w:rPr>
                <w:rFonts w:ascii="Arial" w:hAnsi="Arial" w:cs="Arial"/>
                <w:b/>
                <w:bCs/>
                <w:sz w:val="16"/>
                <w:szCs w:val="16"/>
              </w:rPr>
            </w:pPr>
            <w:r w:rsidRPr="00346A27">
              <w:rPr>
                <w:rFonts w:ascii="Arial" w:hAnsi="Arial" w:cs="Arial"/>
                <w:b/>
                <w:bCs/>
                <w:sz w:val="16"/>
                <w:szCs w:val="16"/>
              </w:rPr>
              <w:t xml:space="preserve">Forward estimate 2018-19 </w:t>
            </w:r>
            <w:r w:rsidRPr="00346A27">
              <w:rPr>
                <w:rFonts w:ascii="Arial" w:hAnsi="Arial" w:cs="Arial"/>
                <w:sz w:val="16"/>
                <w:szCs w:val="16"/>
              </w:rPr>
              <w:t>$'000</w:t>
            </w:r>
          </w:p>
        </w:tc>
      </w:tr>
      <w:tr w:rsidR="00346A27" w:rsidRPr="00346A27" w:rsidTr="00036CD6">
        <w:trPr>
          <w:trHeight w:val="225"/>
        </w:trPr>
        <w:tc>
          <w:tcPr>
            <w:tcW w:w="2860" w:type="dxa"/>
            <w:tcBorders>
              <w:top w:val="nil"/>
              <w:left w:val="nil"/>
              <w:bottom w:val="nil"/>
              <w:right w:val="nil"/>
            </w:tcBorders>
            <w:shd w:val="clear" w:color="000000" w:fill="FFFFFF"/>
            <w:noWrap/>
            <w:vAlign w:val="bottom"/>
            <w:hideMark/>
          </w:tcPr>
          <w:p w:rsidR="00FF423A" w:rsidRPr="00346A27" w:rsidRDefault="00FF423A" w:rsidP="00FF423A">
            <w:pPr>
              <w:keepNext w:val="0"/>
              <w:spacing w:after="0"/>
              <w:rPr>
                <w:rFonts w:ascii="Arial" w:hAnsi="Arial" w:cs="Arial"/>
                <w:b/>
                <w:bCs/>
                <w:sz w:val="16"/>
                <w:szCs w:val="16"/>
              </w:rPr>
            </w:pPr>
            <w:r w:rsidRPr="00346A27">
              <w:rPr>
                <w:rFonts w:ascii="Arial" w:hAnsi="Arial" w:cs="Arial"/>
                <w:b/>
                <w:bCs/>
                <w:sz w:val="16"/>
                <w:szCs w:val="16"/>
              </w:rPr>
              <w:t>CAPITAL APPROPRIATIONS</w:t>
            </w:r>
          </w:p>
        </w:tc>
        <w:tc>
          <w:tcPr>
            <w:tcW w:w="981" w:type="dxa"/>
            <w:tcBorders>
              <w:top w:val="single" w:sz="4" w:space="0" w:color="auto"/>
              <w:left w:val="nil"/>
              <w:bottom w:val="nil"/>
              <w:right w:val="nil"/>
            </w:tcBorders>
            <w:shd w:val="clear" w:color="000000" w:fill="FFFFFF"/>
            <w:noWrap/>
            <w:vAlign w:val="bottom"/>
          </w:tcPr>
          <w:p w:rsidR="00FF423A" w:rsidRPr="00346A27" w:rsidRDefault="00FF423A" w:rsidP="00036CD6">
            <w:pPr>
              <w:keepNext w:val="0"/>
              <w:spacing w:after="0"/>
              <w:jc w:val="right"/>
              <w:rPr>
                <w:rFonts w:ascii="Arial" w:hAnsi="Arial" w:cs="Arial"/>
                <w:sz w:val="16"/>
                <w:szCs w:val="16"/>
              </w:rPr>
            </w:pPr>
          </w:p>
        </w:tc>
        <w:tc>
          <w:tcPr>
            <w:tcW w:w="900" w:type="dxa"/>
            <w:tcBorders>
              <w:top w:val="single" w:sz="4" w:space="0" w:color="auto"/>
              <w:left w:val="nil"/>
              <w:bottom w:val="nil"/>
              <w:right w:val="nil"/>
            </w:tcBorders>
            <w:shd w:val="clear" w:color="000000" w:fill="D9D9D9"/>
            <w:noWrap/>
            <w:vAlign w:val="bottom"/>
          </w:tcPr>
          <w:p w:rsidR="00FF423A" w:rsidRPr="00346A27" w:rsidRDefault="00FF423A" w:rsidP="00036CD6">
            <w:pPr>
              <w:keepNext w:val="0"/>
              <w:spacing w:after="0"/>
              <w:jc w:val="right"/>
              <w:rPr>
                <w:rFonts w:ascii="Arial" w:hAnsi="Arial" w:cs="Arial"/>
                <w:sz w:val="16"/>
                <w:szCs w:val="16"/>
              </w:rPr>
            </w:pPr>
          </w:p>
        </w:tc>
        <w:tc>
          <w:tcPr>
            <w:tcW w:w="900" w:type="dxa"/>
            <w:tcBorders>
              <w:top w:val="single" w:sz="4" w:space="0" w:color="auto"/>
              <w:left w:val="nil"/>
              <w:bottom w:val="nil"/>
              <w:right w:val="nil"/>
            </w:tcBorders>
            <w:shd w:val="clear" w:color="auto" w:fill="auto"/>
            <w:noWrap/>
            <w:vAlign w:val="bottom"/>
          </w:tcPr>
          <w:p w:rsidR="00FF423A" w:rsidRPr="00346A27" w:rsidRDefault="00FF423A" w:rsidP="00036CD6">
            <w:pPr>
              <w:keepNext w:val="0"/>
              <w:spacing w:after="0"/>
              <w:jc w:val="right"/>
              <w:rPr>
                <w:rFonts w:ascii="Arial" w:hAnsi="Arial" w:cs="Arial"/>
                <w:sz w:val="16"/>
                <w:szCs w:val="16"/>
              </w:rPr>
            </w:pPr>
          </w:p>
        </w:tc>
        <w:tc>
          <w:tcPr>
            <w:tcW w:w="900" w:type="dxa"/>
            <w:tcBorders>
              <w:top w:val="single" w:sz="4" w:space="0" w:color="auto"/>
              <w:left w:val="nil"/>
              <w:bottom w:val="nil"/>
              <w:right w:val="nil"/>
            </w:tcBorders>
            <w:shd w:val="clear" w:color="000000" w:fill="FFFFFF"/>
            <w:noWrap/>
            <w:vAlign w:val="bottom"/>
          </w:tcPr>
          <w:p w:rsidR="00FF423A" w:rsidRPr="00346A27" w:rsidRDefault="00FF423A" w:rsidP="00036CD6">
            <w:pPr>
              <w:keepNext w:val="0"/>
              <w:spacing w:after="0"/>
              <w:jc w:val="right"/>
              <w:rPr>
                <w:rFonts w:ascii="Arial" w:hAnsi="Arial" w:cs="Arial"/>
                <w:sz w:val="16"/>
                <w:szCs w:val="16"/>
              </w:rPr>
            </w:pPr>
          </w:p>
        </w:tc>
        <w:tc>
          <w:tcPr>
            <w:tcW w:w="900" w:type="dxa"/>
            <w:tcBorders>
              <w:top w:val="single" w:sz="4" w:space="0" w:color="auto"/>
              <w:left w:val="nil"/>
              <w:bottom w:val="nil"/>
              <w:right w:val="nil"/>
            </w:tcBorders>
            <w:shd w:val="clear" w:color="000000" w:fill="FFFFFF"/>
            <w:noWrap/>
            <w:vAlign w:val="bottom"/>
          </w:tcPr>
          <w:p w:rsidR="00FF423A" w:rsidRPr="00346A27" w:rsidRDefault="00FF423A" w:rsidP="00036CD6">
            <w:pPr>
              <w:keepNext w:val="0"/>
              <w:spacing w:after="0"/>
              <w:jc w:val="right"/>
              <w:rPr>
                <w:rFonts w:ascii="Arial" w:hAnsi="Arial" w:cs="Arial"/>
                <w:sz w:val="16"/>
                <w:szCs w:val="16"/>
              </w:rPr>
            </w:pPr>
          </w:p>
        </w:tc>
      </w:tr>
      <w:tr w:rsidR="00346A27" w:rsidRPr="00346A27" w:rsidTr="00036CD6">
        <w:trPr>
          <w:trHeight w:val="225"/>
        </w:trPr>
        <w:tc>
          <w:tcPr>
            <w:tcW w:w="2860" w:type="dxa"/>
            <w:tcBorders>
              <w:top w:val="nil"/>
              <w:left w:val="nil"/>
              <w:bottom w:val="nil"/>
              <w:right w:val="nil"/>
            </w:tcBorders>
            <w:shd w:val="clear" w:color="000000" w:fill="FFFFFF"/>
            <w:noWrap/>
            <w:vAlign w:val="bottom"/>
            <w:hideMark/>
          </w:tcPr>
          <w:p w:rsidR="00FF423A" w:rsidRPr="00346A27" w:rsidRDefault="00FF423A" w:rsidP="00FF423A">
            <w:pPr>
              <w:keepNext w:val="0"/>
              <w:spacing w:after="0"/>
              <w:ind w:firstLineChars="100" w:firstLine="160"/>
              <w:rPr>
                <w:rFonts w:ascii="Arial" w:hAnsi="Arial" w:cs="Arial"/>
                <w:sz w:val="16"/>
                <w:szCs w:val="16"/>
              </w:rPr>
            </w:pPr>
            <w:r w:rsidRPr="00346A27">
              <w:rPr>
                <w:rFonts w:ascii="Arial" w:hAnsi="Arial" w:cs="Arial"/>
                <w:sz w:val="16"/>
                <w:szCs w:val="16"/>
              </w:rPr>
              <w:t>Capital budget - Bill 1 (DCB)</w:t>
            </w:r>
          </w:p>
        </w:tc>
        <w:tc>
          <w:tcPr>
            <w:tcW w:w="981" w:type="dxa"/>
            <w:tcBorders>
              <w:top w:val="nil"/>
              <w:left w:val="nil"/>
              <w:bottom w:val="nil"/>
              <w:right w:val="nil"/>
            </w:tcBorders>
            <w:shd w:val="clear" w:color="auto" w:fill="auto"/>
            <w:noWrap/>
            <w:vAlign w:val="bottom"/>
            <w:hideMark/>
          </w:tcPr>
          <w:p w:rsidR="00FF423A" w:rsidRPr="00346A27" w:rsidRDefault="00FF423A" w:rsidP="00036CD6">
            <w:pPr>
              <w:keepNext w:val="0"/>
              <w:spacing w:after="0"/>
              <w:jc w:val="right"/>
              <w:rPr>
                <w:rFonts w:ascii="Arial" w:hAnsi="Arial" w:cs="Arial"/>
                <w:sz w:val="16"/>
                <w:szCs w:val="16"/>
              </w:rPr>
            </w:pPr>
            <w:r w:rsidRPr="00346A27">
              <w:rPr>
                <w:rFonts w:ascii="Arial" w:hAnsi="Arial" w:cs="Arial"/>
                <w:sz w:val="16"/>
                <w:szCs w:val="16"/>
              </w:rPr>
              <w:t>2,003</w:t>
            </w:r>
          </w:p>
        </w:tc>
        <w:tc>
          <w:tcPr>
            <w:tcW w:w="900" w:type="dxa"/>
            <w:tcBorders>
              <w:top w:val="nil"/>
              <w:left w:val="nil"/>
              <w:bottom w:val="nil"/>
              <w:right w:val="nil"/>
            </w:tcBorders>
            <w:shd w:val="clear" w:color="000000" w:fill="D9D9D9"/>
            <w:noWrap/>
            <w:vAlign w:val="bottom"/>
            <w:hideMark/>
          </w:tcPr>
          <w:p w:rsidR="00FF423A" w:rsidRPr="00346A27" w:rsidRDefault="00FF423A" w:rsidP="00036CD6">
            <w:pPr>
              <w:keepNext w:val="0"/>
              <w:spacing w:after="0"/>
              <w:jc w:val="right"/>
              <w:rPr>
                <w:rFonts w:ascii="Arial" w:hAnsi="Arial" w:cs="Arial"/>
                <w:sz w:val="16"/>
                <w:szCs w:val="16"/>
              </w:rPr>
            </w:pPr>
            <w:r w:rsidRPr="00346A27">
              <w:rPr>
                <w:rFonts w:ascii="Arial" w:hAnsi="Arial" w:cs="Arial"/>
                <w:sz w:val="16"/>
                <w:szCs w:val="16"/>
              </w:rPr>
              <w:t>1,979</w:t>
            </w:r>
          </w:p>
        </w:tc>
        <w:tc>
          <w:tcPr>
            <w:tcW w:w="900" w:type="dxa"/>
            <w:tcBorders>
              <w:top w:val="nil"/>
              <w:left w:val="nil"/>
              <w:bottom w:val="nil"/>
              <w:right w:val="nil"/>
            </w:tcBorders>
            <w:shd w:val="clear" w:color="auto" w:fill="auto"/>
            <w:noWrap/>
            <w:vAlign w:val="bottom"/>
            <w:hideMark/>
          </w:tcPr>
          <w:p w:rsidR="00FF423A" w:rsidRPr="00346A27" w:rsidRDefault="00FF423A" w:rsidP="00036CD6">
            <w:pPr>
              <w:keepNext w:val="0"/>
              <w:spacing w:after="0"/>
              <w:jc w:val="right"/>
              <w:rPr>
                <w:rFonts w:ascii="Arial" w:hAnsi="Arial" w:cs="Arial"/>
                <w:sz w:val="16"/>
                <w:szCs w:val="16"/>
              </w:rPr>
            </w:pPr>
            <w:r w:rsidRPr="00346A27">
              <w:rPr>
                <w:rFonts w:ascii="Arial" w:hAnsi="Arial" w:cs="Arial"/>
                <w:sz w:val="16"/>
                <w:szCs w:val="16"/>
              </w:rPr>
              <w:t>1,978</w:t>
            </w:r>
          </w:p>
        </w:tc>
        <w:tc>
          <w:tcPr>
            <w:tcW w:w="900" w:type="dxa"/>
            <w:tcBorders>
              <w:top w:val="nil"/>
              <w:left w:val="nil"/>
              <w:bottom w:val="nil"/>
              <w:right w:val="nil"/>
            </w:tcBorders>
            <w:shd w:val="clear" w:color="auto" w:fill="auto"/>
            <w:noWrap/>
            <w:vAlign w:val="bottom"/>
            <w:hideMark/>
          </w:tcPr>
          <w:p w:rsidR="00FF423A" w:rsidRPr="00346A27" w:rsidRDefault="00FF423A" w:rsidP="00036CD6">
            <w:pPr>
              <w:keepNext w:val="0"/>
              <w:spacing w:after="0"/>
              <w:jc w:val="right"/>
              <w:rPr>
                <w:rFonts w:ascii="Arial" w:hAnsi="Arial" w:cs="Arial"/>
                <w:sz w:val="16"/>
                <w:szCs w:val="16"/>
              </w:rPr>
            </w:pPr>
            <w:r w:rsidRPr="00346A27">
              <w:rPr>
                <w:rFonts w:ascii="Arial" w:hAnsi="Arial" w:cs="Arial"/>
                <w:sz w:val="16"/>
                <w:szCs w:val="16"/>
              </w:rPr>
              <w:t>1,997</w:t>
            </w:r>
          </w:p>
        </w:tc>
        <w:tc>
          <w:tcPr>
            <w:tcW w:w="900" w:type="dxa"/>
            <w:tcBorders>
              <w:top w:val="nil"/>
              <w:left w:val="nil"/>
              <w:bottom w:val="nil"/>
              <w:right w:val="nil"/>
            </w:tcBorders>
            <w:shd w:val="clear" w:color="auto" w:fill="auto"/>
            <w:noWrap/>
            <w:vAlign w:val="bottom"/>
            <w:hideMark/>
          </w:tcPr>
          <w:p w:rsidR="00FF423A" w:rsidRPr="00346A27" w:rsidRDefault="00FF423A" w:rsidP="00036CD6">
            <w:pPr>
              <w:keepNext w:val="0"/>
              <w:spacing w:after="0"/>
              <w:jc w:val="right"/>
              <w:rPr>
                <w:rFonts w:ascii="Arial" w:hAnsi="Arial" w:cs="Arial"/>
                <w:sz w:val="16"/>
                <w:szCs w:val="16"/>
              </w:rPr>
            </w:pPr>
            <w:r w:rsidRPr="00346A27">
              <w:rPr>
                <w:rFonts w:ascii="Arial" w:hAnsi="Arial" w:cs="Arial"/>
                <w:sz w:val="16"/>
                <w:szCs w:val="16"/>
              </w:rPr>
              <w:t>2,011</w:t>
            </w:r>
          </w:p>
        </w:tc>
      </w:tr>
      <w:tr w:rsidR="00346A27" w:rsidRPr="00346A27" w:rsidTr="00036CD6">
        <w:trPr>
          <w:trHeight w:val="225"/>
        </w:trPr>
        <w:tc>
          <w:tcPr>
            <w:tcW w:w="2860" w:type="dxa"/>
            <w:tcBorders>
              <w:top w:val="nil"/>
              <w:left w:val="nil"/>
              <w:bottom w:val="nil"/>
              <w:right w:val="nil"/>
            </w:tcBorders>
            <w:shd w:val="clear" w:color="auto" w:fill="auto"/>
            <w:noWrap/>
            <w:vAlign w:val="bottom"/>
            <w:hideMark/>
          </w:tcPr>
          <w:p w:rsidR="00FF423A" w:rsidRPr="00346A27" w:rsidRDefault="00FF423A" w:rsidP="00FF423A">
            <w:pPr>
              <w:keepNext w:val="0"/>
              <w:spacing w:after="0"/>
              <w:ind w:firstLineChars="100" w:firstLine="160"/>
              <w:rPr>
                <w:rFonts w:ascii="Arial" w:hAnsi="Arial" w:cs="Arial"/>
                <w:sz w:val="16"/>
                <w:szCs w:val="16"/>
              </w:rPr>
            </w:pPr>
            <w:r w:rsidRPr="00346A27">
              <w:rPr>
                <w:rFonts w:ascii="Arial" w:hAnsi="Arial" w:cs="Arial"/>
                <w:sz w:val="16"/>
                <w:szCs w:val="16"/>
              </w:rPr>
              <w:t>Equity injections - Bill 2</w:t>
            </w:r>
          </w:p>
        </w:tc>
        <w:tc>
          <w:tcPr>
            <w:tcW w:w="981" w:type="dxa"/>
            <w:tcBorders>
              <w:top w:val="nil"/>
              <w:left w:val="nil"/>
              <w:bottom w:val="nil"/>
              <w:right w:val="nil"/>
            </w:tcBorders>
            <w:shd w:val="clear" w:color="auto" w:fill="auto"/>
            <w:noWrap/>
            <w:vAlign w:val="bottom"/>
            <w:hideMark/>
          </w:tcPr>
          <w:p w:rsidR="00FF423A" w:rsidRPr="00346A27" w:rsidRDefault="00FF423A" w:rsidP="00036CD6">
            <w:pPr>
              <w:keepNext w:val="0"/>
              <w:spacing w:after="0"/>
              <w:jc w:val="right"/>
              <w:rPr>
                <w:rFonts w:ascii="Arial" w:hAnsi="Arial" w:cs="Arial"/>
                <w:sz w:val="16"/>
                <w:szCs w:val="16"/>
              </w:rPr>
            </w:pPr>
            <w:r w:rsidRPr="00346A27">
              <w:rPr>
                <w:rFonts w:ascii="Arial" w:hAnsi="Arial" w:cs="Arial"/>
                <w:sz w:val="16"/>
                <w:szCs w:val="16"/>
              </w:rPr>
              <w:t>-</w:t>
            </w:r>
          </w:p>
        </w:tc>
        <w:tc>
          <w:tcPr>
            <w:tcW w:w="900" w:type="dxa"/>
            <w:tcBorders>
              <w:top w:val="nil"/>
              <w:left w:val="nil"/>
              <w:bottom w:val="nil"/>
              <w:right w:val="nil"/>
            </w:tcBorders>
            <w:shd w:val="clear" w:color="000000" w:fill="D9D9D9"/>
            <w:noWrap/>
            <w:vAlign w:val="bottom"/>
            <w:hideMark/>
          </w:tcPr>
          <w:p w:rsidR="00FF423A" w:rsidRPr="00346A27" w:rsidRDefault="00FF423A" w:rsidP="00036CD6">
            <w:pPr>
              <w:keepNext w:val="0"/>
              <w:spacing w:after="0"/>
              <w:jc w:val="right"/>
              <w:rPr>
                <w:rFonts w:ascii="Arial" w:hAnsi="Arial" w:cs="Arial"/>
                <w:sz w:val="16"/>
                <w:szCs w:val="16"/>
              </w:rPr>
            </w:pPr>
            <w:r w:rsidRPr="00346A27">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rsidR="00FF423A" w:rsidRPr="00346A27" w:rsidRDefault="00FF423A" w:rsidP="00036CD6">
            <w:pPr>
              <w:keepNext w:val="0"/>
              <w:spacing w:after="0"/>
              <w:jc w:val="right"/>
              <w:rPr>
                <w:rFonts w:ascii="Arial" w:hAnsi="Arial" w:cs="Arial"/>
                <w:sz w:val="16"/>
                <w:szCs w:val="16"/>
              </w:rPr>
            </w:pPr>
            <w:r w:rsidRPr="00346A27">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rsidR="00FF423A" w:rsidRPr="00346A27" w:rsidRDefault="00FF423A" w:rsidP="00036CD6">
            <w:pPr>
              <w:keepNext w:val="0"/>
              <w:spacing w:after="0"/>
              <w:jc w:val="right"/>
              <w:rPr>
                <w:rFonts w:ascii="Arial" w:hAnsi="Arial" w:cs="Arial"/>
                <w:sz w:val="16"/>
                <w:szCs w:val="16"/>
              </w:rPr>
            </w:pPr>
            <w:r w:rsidRPr="00346A27">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rsidR="00FF423A" w:rsidRPr="00346A27" w:rsidRDefault="00FF423A" w:rsidP="00036CD6">
            <w:pPr>
              <w:keepNext w:val="0"/>
              <w:spacing w:after="0"/>
              <w:jc w:val="right"/>
              <w:rPr>
                <w:rFonts w:ascii="Arial" w:hAnsi="Arial" w:cs="Arial"/>
                <w:sz w:val="16"/>
                <w:szCs w:val="16"/>
              </w:rPr>
            </w:pPr>
            <w:r w:rsidRPr="00346A27">
              <w:rPr>
                <w:rFonts w:ascii="Arial" w:hAnsi="Arial" w:cs="Arial"/>
                <w:sz w:val="16"/>
                <w:szCs w:val="16"/>
              </w:rPr>
              <w:t>-</w:t>
            </w:r>
          </w:p>
        </w:tc>
      </w:tr>
      <w:tr w:rsidR="00346A27" w:rsidRPr="00346A27" w:rsidTr="00036CD6">
        <w:trPr>
          <w:trHeight w:val="225"/>
        </w:trPr>
        <w:tc>
          <w:tcPr>
            <w:tcW w:w="2860" w:type="dxa"/>
            <w:tcBorders>
              <w:top w:val="nil"/>
              <w:left w:val="nil"/>
              <w:bottom w:val="nil"/>
              <w:right w:val="nil"/>
            </w:tcBorders>
            <w:shd w:val="clear" w:color="000000" w:fill="FFFFFF"/>
            <w:noWrap/>
            <w:vAlign w:val="bottom"/>
            <w:hideMark/>
          </w:tcPr>
          <w:p w:rsidR="00FF423A" w:rsidRPr="00346A27" w:rsidRDefault="00FF423A" w:rsidP="00FF423A">
            <w:pPr>
              <w:keepNext w:val="0"/>
              <w:spacing w:after="0"/>
              <w:ind w:firstLineChars="100" w:firstLine="161"/>
              <w:rPr>
                <w:rFonts w:ascii="Arial" w:hAnsi="Arial" w:cs="Arial"/>
                <w:b/>
                <w:bCs/>
                <w:sz w:val="16"/>
                <w:szCs w:val="16"/>
              </w:rPr>
            </w:pPr>
            <w:r w:rsidRPr="00346A27">
              <w:rPr>
                <w:rFonts w:ascii="Arial" w:hAnsi="Arial" w:cs="Arial"/>
                <w:b/>
                <w:bCs/>
                <w:sz w:val="16"/>
                <w:szCs w:val="16"/>
              </w:rPr>
              <w:t>Total capital appropriations</w:t>
            </w:r>
          </w:p>
        </w:tc>
        <w:tc>
          <w:tcPr>
            <w:tcW w:w="981" w:type="dxa"/>
            <w:tcBorders>
              <w:top w:val="nil"/>
              <w:left w:val="nil"/>
              <w:bottom w:val="single" w:sz="4" w:space="0" w:color="auto"/>
              <w:right w:val="nil"/>
            </w:tcBorders>
            <w:shd w:val="clear" w:color="auto" w:fill="auto"/>
            <w:noWrap/>
            <w:vAlign w:val="bottom"/>
            <w:hideMark/>
          </w:tcPr>
          <w:p w:rsidR="00FF423A" w:rsidRPr="00346A27" w:rsidRDefault="00FF423A" w:rsidP="00036CD6">
            <w:pPr>
              <w:keepNext w:val="0"/>
              <w:spacing w:after="0"/>
              <w:jc w:val="right"/>
              <w:rPr>
                <w:rFonts w:ascii="Arial" w:hAnsi="Arial" w:cs="Arial"/>
                <w:b/>
                <w:bCs/>
                <w:sz w:val="16"/>
                <w:szCs w:val="16"/>
              </w:rPr>
            </w:pPr>
            <w:r w:rsidRPr="00346A27">
              <w:rPr>
                <w:rFonts w:ascii="Arial" w:hAnsi="Arial" w:cs="Arial"/>
                <w:b/>
                <w:bCs/>
                <w:sz w:val="16"/>
                <w:szCs w:val="16"/>
              </w:rPr>
              <w:t>2,003</w:t>
            </w:r>
          </w:p>
        </w:tc>
        <w:tc>
          <w:tcPr>
            <w:tcW w:w="900" w:type="dxa"/>
            <w:tcBorders>
              <w:top w:val="nil"/>
              <w:left w:val="nil"/>
              <w:bottom w:val="single" w:sz="4" w:space="0" w:color="auto"/>
              <w:right w:val="nil"/>
            </w:tcBorders>
            <w:shd w:val="clear" w:color="000000" w:fill="D9D9D9"/>
            <w:noWrap/>
            <w:vAlign w:val="bottom"/>
            <w:hideMark/>
          </w:tcPr>
          <w:p w:rsidR="00FF423A" w:rsidRPr="00346A27" w:rsidRDefault="00FF423A" w:rsidP="00036CD6">
            <w:pPr>
              <w:keepNext w:val="0"/>
              <w:spacing w:after="0"/>
              <w:jc w:val="right"/>
              <w:rPr>
                <w:rFonts w:ascii="Arial" w:hAnsi="Arial" w:cs="Arial"/>
                <w:b/>
                <w:bCs/>
                <w:sz w:val="16"/>
                <w:szCs w:val="16"/>
              </w:rPr>
            </w:pPr>
            <w:r w:rsidRPr="00346A27">
              <w:rPr>
                <w:rFonts w:ascii="Arial" w:hAnsi="Arial" w:cs="Arial"/>
                <w:b/>
                <w:bCs/>
                <w:sz w:val="16"/>
                <w:szCs w:val="16"/>
              </w:rPr>
              <w:t>1,979</w:t>
            </w:r>
          </w:p>
        </w:tc>
        <w:tc>
          <w:tcPr>
            <w:tcW w:w="900" w:type="dxa"/>
            <w:tcBorders>
              <w:top w:val="nil"/>
              <w:left w:val="nil"/>
              <w:bottom w:val="single" w:sz="4" w:space="0" w:color="auto"/>
              <w:right w:val="nil"/>
            </w:tcBorders>
            <w:shd w:val="clear" w:color="auto" w:fill="auto"/>
            <w:noWrap/>
            <w:vAlign w:val="bottom"/>
            <w:hideMark/>
          </w:tcPr>
          <w:p w:rsidR="00FF423A" w:rsidRPr="00346A27" w:rsidRDefault="00FF423A" w:rsidP="00036CD6">
            <w:pPr>
              <w:keepNext w:val="0"/>
              <w:spacing w:after="0"/>
              <w:jc w:val="right"/>
              <w:rPr>
                <w:rFonts w:ascii="Arial" w:hAnsi="Arial" w:cs="Arial"/>
                <w:b/>
                <w:bCs/>
                <w:sz w:val="16"/>
                <w:szCs w:val="16"/>
              </w:rPr>
            </w:pPr>
            <w:r w:rsidRPr="00346A27">
              <w:rPr>
                <w:rFonts w:ascii="Arial" w:hAnsi="Arial" w:cs="Arial"/>
                <w:b/>
                <w:bCs/>
                <w:sz w:val="16"/>
                <w:szCs w:val="16"/>
              </w:rPr>
              <w:t>1,978</w:t>
            </w:r>
          </w:p>
        </w:tc>
        <w:tc>
          <w:tcPr>
            <w:tcW w:w="900" w:type="dxa"/>
            <w:tcBorders>
              <w:top w:val="nil"/>
              <w:left w:val="nil"/>
              <w:bottom w:val="single" w:sz="4" w:space="0" w:color="auto"/>
              <w:right w:val="nil"/>
            </w:tcBorders>
            <w:shd w:val="clear" w:color="auto" w:fill="auto"/>
            <w:noWrap/>
            <w:vAlign w:val="bottom"/>
            <w:hideMark/>
          </w:tcPr>
          <w:p w:rsidR="00FF423A" w:rsidRPr="00346A27" w:rsidRDefault="00FF423A" w:rsidP="00036CD6">
            <w:pPr>
              <w:keepNext w:val="0"/>
              <w:spacing w:after="0"/>
              <w:jc w:val="right"/>
              <w:rPr>
                <w:rFonts w:ascii="Arial" w:hAnsi="Arial" w:cs="Arial"/>
                <w:b/>
                <w:bCs/>
                <w:sz w:val="16"/>
                <w:szCs w:val="16"/>
              </w:rPr>
            </w:pPr>
            <w:r w:rsidRPr="00346A27">
              <w:rPr>
                <w:rFonts w:ascii="Arial" w:hAnsi="Arial" w:cs="Arial"/>
                <w:b/>
                <w:bCs/>
                <w:sz w:val="16"/>
                <w:szCs w:val="16"/>
              </w:rPr>
              <w:t>1,997</w:t>
            </w:r>
          </w:p>
        </w:tc>
        <w:tc>
          <w:tcPr>
            <w:tcW w:w="900" w:type="dxa"/>
            <w:tcBorders>
              <w:top w:val="nil"/>
              <w:left w:val="nil"/>
              <w:bottom w:val="single" w:sz="4" w:space="0" w:color="auto"/>
              <w:right w:val="nil"/>
            </w:tcBorders>
            <w:shd w:val="clear" w:color="auto" w:fill="auto"/>
            <w:noWrap/>
            <w:vAlign w:val="bottom"/>
            <w:hideMark/>
          </w:tcPr>
          <w:p w:rsidR="00FF423A" w:rsidRPr="00346A27" w:rsidRDefault="00FF423A" w:rsidP="00036CD6">
            <w:pPr>
              <w:keepNext w:val="0"/>
              <w:spacing w:after="0"/>
              <w:jc w:val="right"/>
              <w:rPr>
                <w:rFonts w:ascii="Arial" w:hAnsi="Arial" w:cs="Arial"/>
                <w:b/>
                <w:bCs/>
                <w:sz w:val="16"/>
                <w:szCs w:val="16"/>
              </w:rPr>
            </w:pPr>
            <w:r w:rsidRPr="00346A27">
              <w:rPr>
                <w:rFonts w:ascii="Arial" w:hAnsi="Arial" w:cs="Arial"/>
                <w:b/>
                <w:bCs/>
                <w:sz w:val="16"/>
                <w:szCs w:val="16"/>
              </w:rPr>
              <w:t>2,011</w:t>
            </w:r>
          </w:p>
        </w:tc>
      </w:tr>
      <w:tr w:rsidR="00346A27" w:rsidRPr="00346A27" w:rsidTr="00036CD6">
        <w:trPr>
          <w:trHeight w:val="300"/>
        </w:trPr>
        <w:tc>
          <w:tcPr>
            <w:tcW w:w="2860" w:type="dxa"/>
            <w:tcBorders>
              <w:top w:val="nil"/>
              <w:left w:val="nil"/>
              <w:bottom w:val="nil"/>
              <w:right w:val="nil"/>
            </w:tcBorders>
            <w:shd w:val="clear" w:color="000000" w:fill="FFFFFF"/>
            <w:noWrap/>
            <w:vAlign w:val="bottom"/>
            <w:hideMark/>
          </w:tcPr>
          <w:p w:rsidR="00FF423A" w:rsidRPr="00346A27" w:rsidRDefault="00FF423A" w:rsidP="00FF423A">
            <w:pPr>
              <w:keepNext w:val="0"/>
              <w:spacing w:after="0"/>
              <w:rPr>
                <w:rFonts w:ascii="Arial" w:hAnsi="Arial" w:cs="Arial"/>
                <w:b/>
                <w:bCs/>
                <w:sz w:val="16"/>
                <w:szCs w:val="16"/>
              </w:rPr>
            </w:pPr>
            <w:r w:rsidRPr="00346A27">
              <w:rPr>
                <w:rFonts w:ascii="Arial" w:hAnsi="Arial" w:cs="Arial"/>
                <w:b/>
                <w:bCs/>
                <w:sz w:val="16"/>
                <w:szCs w:val="16"/>
              </w:rPr>
              <w:t>Total new capital appropriations</w:t>
            </w:r>
          </w:p>
        </w:tc>
        <w:tc>
          <w:tcPr>
            <w:tcW w:w="981" w:type="dxa"/>
            <w:tcBorders>
              <w:top w:val="nil"/>
              <w:left w:val="nil"/>
              <w:bottom w:val="nil"/>
              <w:right w:val="nil"/>
            </w:tcBorders>
            <w:shd w:val="clear" w:color="000000" w:fill="FFFFFF"/>
            <w:noWrap/>
            <w:vAlign w:val="bottom"/>
          </w:tcPr>
          <w:p w:rsidR="00FF423A" w:rsidRPr="00346A27" w:rsidRDefault="00FF423A" w:rsidP="00036CD6">
            <w:pPr>
              <w:keepNext w:val="0"/>
              <w:spacing w:after="0"/>
              <w:jc w:val="right"/>
              <w:rPr>
                <w:rFonts w:ascii="Arial" w:hAnsi="Arial" w:cs="Arial"/>
                <w:sz w:val="16"/>
                <w:szCs w:val="16"/>
              </w:rPr>
            </w:pPr>
          </w:p>
        </w:tc>
        <w:tc>
          <w:tcPr>
            <w:tcW w:w="900" w:type="dxa"/>
            <w:tcBorders>
              <w:top w:val="nil"/>
              <w:left w:val="nil"/>
              <w:bottom w:val="nil"/>
              <w:right w:val="nil"/>
            </w:tcBorders>
            <w:shd w:val="clear" w:color="000000" w:fill="D9D9D9"/>
            <w:noWrap/>
            <w:vAlign w:val="bottom"/>
          </w:tcPr>
          <w:p w:rsidR="00FF423A" w:rsidRPr="00346A27" w:rsidRDefault="00FF423A" w:rsidP="00036CD6">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tcPr>
          <w:p w:rsidR="00FF423A" w:rsidRPr="00346A27" w:rsidRDefault="00FF423A" w:rsidP="00036CD6">
            <w:pPr>
              <w:keepNext w:val="0"/>
              <w:spacing w:after="0"/>
              <w:jc w:val="right"/>
              <w:rPr>
                <w:rFonts w:ascii="Arial" w:hAnsi="Arial" w:cs="Arial"/>
                <w:sz w:val="16"/>
                <w:szCs w:val="16"/>
              </w:rPr>
            </w:pPr>
          </w:p>
        </w:tc>
        <w:tc>
          <w:tcPr>
            <w:tcW w:w="900" w:type="dxa"/>
            <w:tcBorders>
              <w:top w:val="nil"/>
              <w:left w:val="nil"/>
              <w:bottom w:val="nil"/>
              <w:right w:val="nil"/>
            </w:tcBorders>
            <w:shd w:val="clear" w:color="000000" w:fill="FFFFFF"/>
            <w:noWrap/>
            <w:vAlign w:val="bottom"/>
          </w:tcPr>
          <w:p w:rsidR="00FF423A" w:rsidRPr="00346A27" w:rsidRDefault="00FF423A" w:rsidP="00036CD6">
            <w:pPr>
              <w:keepNext w:val="0"/>
              <w:spacing w:after="0"/>
              <w:jc w:val="right"/>
              <w:rPr>
                <w:rFonts w:ascii="Arial" w:hAnsi="Arial" w:cs="Arial"/>
                <w:sz w:val="16"/>
                <w:szCs w:val="16"/>
              </w:rPr>
            </w:pPr>
          </w:p>
        </w:tc>
        <w:tc>
          <w:tcPr>
            <w:tcW w:w="900" w:type="dxa"/>
            <w:tcBorders>
              <w:top w:val="nil"/>
              <w:left w:val="nil"/>
              <w:bottom w:val="nil"/>
              <w:right w:val="nil"/>
            </w:tcBorders>
            <w:shd w:val="clear" w:color="000000" w:fill="FFFFFF"/>
            <w:noWrap/>
            <w:vAlign w:val="bottom"/>
          </w:tcPr>
          <w:p w:rsidR="00FF423A" w:rsidRPr="00346A27" w:rsidRDefault="00FF423A" w:rsidP="00036CD6">
            <w:pPr>
              <w:keepNext w:val="0"/>
              <w:spacing w:after="0"/>
              <w:jc w:val="right"/>
              <w:rPr>
                <w:rFonts w:ascii="Arial" w:hAnsi="Arial" w:cs="Arial"/>
                <w:sz w:val="16"/>
                <w:szCs w:val="16"/>
              </w:rPr>
            </w:pPr>
          </w:p>
        </w:tc>
      </w:tr>
      <w:tr w:rsidR="00346A27" w:rsidRPr="00346A27" w:rsidTr="00036CD6">
        <w:trPr>
          <w:trHeight w:val="225"/>
        </w:trPr>
        <w:tc>
          <w:tcPr>
            <w:tcW w:w="2860" w:type="dxa"/>
            <w:tcBorders>
              <w:top w:val="nil"/>
              <w:left w:val="nil"/>
              <w:bottom w:val="nil"/>
              <w:right w:val="nil"/>
            </w:tcBorders>
            <w:shd w:val="clear" w:color="000000" w:fill="FFFFFF"/>
            <w:noWrap/>
            <w:vAlign w:val="bottom"/>
            <w:hideMark/>
          </w:tcPr>
          <w:p w:rsidR="00FF423A" w:rsidRPr="00346A27" w:rsidRDefault="00FF423A" w:rsidP="00FF423A">
            <w:pPr>
              <w:keepNext w:val="0"/>
              <w:spacing w:after="0"/>
              <w:ind w:firstLineChars="100" w:firstLine="161"/>
              <w:rPr>
                <w:rFonts w:ascii="Arial" w:hAnsi="Arial" w:cs="Arial"/>
                <w:b/>
                <w:bCs/>
                <w:sz w:val="16"/>
                <w:szCs w:val="16"/>
              </w:rPr>
            </w:pPr>
            <w:r w:rsidRPr="00346A27">
              <w:rPr>
                <w:rFonts w:ascii="Arial" w:hAnsi="Arial" w:cs="Arial"/>
                <w:b/>
                <w:bCs/>
                <w:sz w:val="16"/>
                <w:szCs w:val="16"/>
              </w:rPr>
              <w:t>represented by:</w:t>
            </w:r>
          </w:p>
        </w:tc>
        <w:tc>
          <w:tcPr>
            <w:tcW w:w="981" w:type="dxa"/>
            <w:tcBorders>
              <w:top w:val="nil"/>
              <w:left w:val="nil"/>
              <w:bottom w:val="nil"/>
              <w:right w:val="nil"/>
            </w:tcBorders>
            <w:shd w:val="clear" w:color="000000" w:fill="FFFFFF"/>
            <w:noWrap/>
            <w:vAlign w:val="bottom"/>
          </w:tcPr>
          <w:p w:rsidR="00FF423A" w:rsidRPr="00346A27" w:rsidRDefault="00FF423A" w:rsidP="00036CD6">
            <w:pPr>
              <w:keepNext w:val="0"/>
              <w:spacing w:after="0"/>
              <w:jc w:val="right"/>
              <w:rPr>
                <w:rFonts w:ascii="Arial" w:hAnsi="Arial" w:cs="Arial"/>
                <w:sz w:val="16"/>
                <w:szCs w:val="16"/>
              </w:rPr>
            </w:pPr>
          </w:p>
        </w:tc>
        <w:tc>
          <w:tcPr>
            <w:tcW w:w="900" w:type="dxa"/>
            <w:tcBorders>
              <w:top w:val="nil"/>
              <w:left w:val="nil"/>
              <w:bottom w:val="nil"/>
              <w:right w:val="nil"/>
            </w:tcBorders>
            <w:shd w:val="clear" w:color="000000" w:fill="D9D9D9"/>
            <w:noWrap/>
            <w:vAlign w:val="bottom"/>
          </w:tcPr>
          <w:p w:rsidR="00FF423A" w:rsidRPr="00346A27" w:rsidRDefault="00FF423A" w:rsidP="00036CD6">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tcPr>
          <w:p w:rsidR="00FF423A" w:rsidRPr="00346A27" w:rsidRDefault="00FF423A" w:rsidP="00036CD6">
            <w:pPr>
              <w:keepNext w:val="0"/>
              <w:spacing w:after="0"/>
              <w:jc w:val="right"/>
              <w:rPr>
                <w:rFonts w:ascii="Arial" w:hAnsi="Arial" w:cs="Arial"/>
                <w:sz w:val="16"/>
                <w:szCs w:val="16"/>
              </w:rPr>
            </w:pPr>
          </w:p>
        </w:tc>
        <w:tc>
          <w:tcPr>
            <w:tcW w:w="900" w:type="dxa"/>
            <w:tcBorders>
              <w:top w:val="nil"/>
              <w:left w:val="nil"/>
              <w:bottom w:val="nil"/>
              <w:right w:val="nil"/>
            </w:tcBorders>
            <w:shd w:val="clear" w:color="000000" w:fill="FFFFFF"/>
            <w:noWrap/>
            <w:vAlign w:val="bottom"/>
          </w:tcPr>
          <w:p w:rsidR="00FF423A" w:rsidRPr="00346A27" w:rsidRDefault="00FF423A" w:rsidP="00036CD6">
            <w:pPr>
              <w:keepNext w:val="0"/>
              <w:spacing w:after="0"/>
              <w:jc w:val="right"/>
              <w:rPr>
                <w:rFonts w:ascii="Arial" w:hAnsi="Arial" w:cs="Arial"/>
                <w:sz w:val="16"/>
                <w:szCs w:val="16"/>
              </w:rPr>
            </w:pPr>
          </w:p>
        </w:tc>
        <w:tc>
          <w:tcPr>
            <w:tcW w:w="900" w:type="dxa"/>
            <w:tcBorders>
              <w:top w:val="nil"/>
              <w:left w:val="nil"/>
              <w:bottom w:val="nil"/>
              <w:right w:val="nil"/>
            </w:tcBorders>
            <w:shd w:val="clear" w:color="000000" w:fill="FFFFFF"/>
            <w:noWrap/>
            <w:vAlign w:val="bottom"/>
          </w:tcPr>
          <w:p w:rsidR="00FF423A" w:rsidRPr="00346A27" w:rsidRDefault="00FF423A" w:rsidP="00036CD6">
            <w:pPr>
              <w:keepNext w:val="0"/>
              <w:spacing w:after="0"/>
              <w:jc w:val="right"/>
              <w:rPr>
                <w:rFonts w:ascii="Arial" w:hAnsi="Arial" w:cs="Arial"/>
                <w:sz w:val="16"/>
                <w:szCs w:val="16"/>
              </w:rPr>
            </w:pPr>
          </w:p>
        </w:tc>
      </w:tr>
      <w:tr w:rsidR="00346A27" w:rsidRPr="00346A27" w:rsidTr="00036CD6">
        <w:trPr>
          <w:trHeight w:val="225"/>
        </w:trPr>
        <w:tc>
          <w:tcPr>
            <w:tcW w:w="2860" w:type="dxa"/>
            <w:tcBorders>
              <w:top w:val="nil"/>
              <w:left w:val="nil"/>
              <w:bottom w:val="nil"/>
              <w:right w:val="nil"/>
            </w:tcBorders>
            <w:shd w:val="clear" w:color="000000" w:fill="FFFFFF"/>
            <w:noWrap/>
            <w:vAlign w:val="bottom"/>
            <w:hideMark/>
          </w:tcPr>
          <w:p w:rsidR="00FF423A" w:rsidRPr="00346A27" w:rsidRDefault="00FF423A" w:rsidP="00FF423A">
            <w:pPr>
              <w:keepNext w:val="0"/>
              <w:spacing w:after="0"/>
              <w:ind w:firstLineChars="100" w:firstLine="160"/>
              <w:rPr>
                <w:rFonts w:ascii="Arial" w:hAnsi="Arial" w:cs="Arial"/>
                <w:sz w:val="16"/>
                <w:szCs w:val="16"/>
              </w:rPr>
            </w:pPr>
            <w:r w:rsidRPr="00346A27">
              <w:rPr>
                <w:rFonts w:ascii="Arial" w:hAnsi="Arial" w:cs="Arial"/>
                <w:sz w:val="16"/>
                <w:szCs w:val="16"/>
              </w:rPr>
              <w:t>Purchase of non-financial assets</w:t>
            </w:r>
          </w:p>
        </w:tc>
        <w:tc>
          <w:tcPr>
            <w:tcW w:w="981" w:type="dxa"/>
            <w:tcBorders>
              <w:top w:val="nil"/>
              <w:left w:val="nil"/>
              <w:bottom w:val="nil"/>
              <w:right w:val="nil"/>
            </w:tcBorders>
            <w:shd w:val="clear" w:color="auto" w:fill="auto"/>
            <w:noWrap/>
            <w:vAlign w:val="bottom"/>
            <w:hideMark/>
          </w:tcPr>
          <w:p w:rsidR="00FF423A" w:rsidRPr="00346A27" w:rsidRDefault="00FF423A" w:rsidP="00036CD6">
            <w:pPr>
              <w:keepNext w:val="0"/>
              <w:spacing w:after="0"/>
              <w:jc w:val="right"/>
              <w:rPr>
                <w:rFonts w:ascii="Arial" w:hAnsi="Arial" w:cs="Arial"/>
                <w:sz w:val="16"/>
                <w:szCs w:val="16"/>
              </w:rPr>
            </w:pPr>
            <w:r w:rsidRPr="00346A27">
              <w:rPr>
                <w:rFonts w:ascii="Arial" w:hAnsi="Arial" w:cs="Arial"/>
                <w:sz w:val="16"/>
                <w:szCs w:val="16"/>
              </w:rPr>
              <w:t>2,003</w:t>
            </w:r>
          </w:p>
        </w:tc>
        <w:tc>
          <w:tcPr>
            <w:tcW w:w="900" w:type="dxa"/>
            <w:tcBorders>
              <w:top w:val="nil"/>
              <w:left w:val="nil"/>
              <w:bottom w:val="nil"/>
              <w:right w:val="nil"/>
            </w:tcBorders>
            <w:shd w:val="clear" w:color="000000" w:fill="D9D9D9"/>
            <w:noWrap/>
            <w:vAlign w:val="bottom"/>
            <w:hideMark/>
          </w:tcPr>
          <w:p w:rsidR="00FF423A" w:rsidRPr="00346A27" w:rsidRDefault="00FF423A" w:rsidP="00036CD6">
            <w:pPr>
              <w:keepNext w:val="0"/>
              <w:spacing w:after="0"/>
              <w:jc w:val="right"/>
              <w:rPr>
                <w:rFonts w:ascii="Arial" w:hAnsi="Arial" w:cs="Arial"/>
                <w:sz w:val="16"/>
                <w:szCs w:val="16"/>
              </w:rPr>
            </w:pPr>
            <w:r w:rsidRPr="00346A27">
              <w:rPr>
                <w:rFonts w:ascii="Arial" w:hAnsi="Arial" w:cs="Arial"/>
                <w:sz w:val="16"/>
                <w:szCs w:val="16"/>
              </w:rPr>
              <w:t>1,979</w:t>
            </w:r>
          </w:p>
        </w:tc>
        <w:tc>
          <w:tcPr>
            <w:tcW w:w="900" w:type="dxa"/>
            <w:tcBorders>
              <w:top w:val="nil"/>
              <w:left w:val="nil"/>
              <w:bottom w:val="nil"/>
              <w:right w:val="nil"/>
            </w:tcBorders>
            <w:shd w:val="clear" w:color="auto" w:fill="auto"/>
            <w:noWrap/>
            <w:vAlign w:val="bottom"/>
            <w:hideMark/>
          </w:tcPr>
          <w:p w:rsidR="00FF423A" w:rsidRPr="00346A27" w:rsidRDefault="00FF423A" w:rsidP="00036CD6">
            <w:pPr>
              <w:keepNext w:val="0"/>
              <w:spacing w:after="0"/>
              <w:jc w:val="right"/>
              <w:rPr>
                <w:rFonts w:ascii="Arial" w:hAnsi="Arial" w:cs="Arial"/>
                <w:sz w:val="16"/>
                <w:szCs w:val="16"/>
              </w:rPr>
            </w:pPr>
            <w:r w:rsidRPr="00346A27">
              <w:rPr>
                <w:rFonts w:ascii="Arial" w:hAnsi="Arial" w:cs="Arial"/>
                <w:sz w:val="16"/>
                <w:szCs w:val="16"/>
              </w:rPr>
              <w:t>1,978</w:t>
            </w:r>
          </w:p>
        </w:tc>
        <w:tc>
          <w:tcPr>
            <w:tcW w:w="900" w:type="dxa"/>
            <w:tcBorders>
              <w:top w:val="nil"/>
              <w:left w:val="nil"/>
              <w:bottom w:val="nil"/>
              <w:right w:val="nil"/>
            </w:tcBorders>
            <w:shd w:val="clear" w:color="auto" w:fill="auto"/>
            <w:noWrap/>
            <w:vAlign w:val="bottom"/>
            <w:hideMark/>
          </w:tcPr>
          <w:p w:rsidR="00FF423A" w:rsidRPr="00346A27" w:rsidRDefault="00FF423A" w:rsidP="00036CD6">
            <w:pPr>
              <w:keepNext w:val="0"/>
              <w:spacing w:after="0"/>
              <w:jc w:val="right"/>
              <w:rPr>
                <w:rFonts w:ascii="Arial" w:hAnsi="Arial" w:cs="Arial"/>
                <w:sz w:val="16"/>
                <w:szCs w:val="16"/>
              </w:rPr>
            </w:pPr>
            <w:r w:rsidRPr="00346A27">
              <w:rPr>
                <w:rFonts w:ascii="Arial" w:hAnsi="Arial" w:cs="Arial"/>
                <w:sz w:val="16"/>
                <w:szCs w:val="16"/>
              </w:rPr>
              <w:t>1,997</w:t>
            </w:r>
          </w:p>
        </w:tc>
        <w:tc>
          <w:tcPr>
            <w:tcW w:w="900" w:type="dxa"/>
            <w:tcBorders>
              <w:top w:val="nil"/>
              <w:left w:val="nil"/>
              <w:bottom w:val="nil"/>
              <w:right w:val="nil"/>
            </w:tcBorders>
            <w:shd w:val="clear" w:color="auto" w:fill="auto"/>
            <w:noWrap/>
            <w:vAlign w:val="bottom"/>
            <w:hideMark/>
          </w:tcPr>
          <w:p w:rsidR="00FF423A" w:rsidRPr="00346A27" w:rsidRDefault="00FF423A" w:rsidP="00036CD6">
            <w:pPr>
              <w:keepNext w:val="0"/>
              <w:spacing w:after="0"/>
              <w:jc w:val="right"/>
              <w:rPr>
                <w:rFonts w:ascii="Arial" w:hAnsi="Arial" w:cs="Arial"/>
                <w:sz w:val="16"/>
                <w:szCs w:val="16"/>
              </w:rPr>
            </w:pPr>
            <w:r w:rsidRPr="00346A27">
              <w:rPr>
                <w:rFonts w:ascii="Arial" w:hAnsi="Arial" w:cs="Arial"/>
                <w:sz w:val="16"/>
                <w:szCs w:val="16"/>
              </w:rPr>
              <w:t>2,011</w:t>
            </w:r>
          </w:p>
        </w:tc>
      </w:tr>
      <w:tr w:rsidR="00346A27" w:rsidRPr="00346A27" w:rsidTr="00036CD6">
        <w:trPr>
          <w:trHeight w:val="225"/>
        </w:trPr>
        <w:tc>
          <w:tcPr>
            <w:tcW w:w="2860" w:type="dxa"/>
            <w:tcBorders>
              <w:top w:val="nil"/>
              <w:left w:val="nil"/>
              <w:bottom w:val="nil"/>
              <w:right w:val="nil"/>
            </w:tcBorders>
            <w:shd w:val="clear" w:color="000000" w:fill="FFFFFF"/>
            <w:noWrap/>
            <w:vAlign w:val="bottom"/>
            <w:hideMark/>
          </w:tcPr>
          <w:p w:rsidR="00FF423A" w:rsidRPr="00346A27" w:rsidRDefault="00FF423A" w:rsidP="00FF423A">
            <w:pPr>
              <w:keepNext w:val="0"/>
              <w:spacing w:after="0"/>
              <w:ind w:firstLineChars="100" w:firstLine="161"/>
              <w:rPr>
                <w:rFonts w:ascii="Arial" w:hAnsi="Arial" w:cs="Arial"/>
                <w:b/>
                <w:bCs/>
                <w:sz w:val="16"/>
                <w:szCs w:val="16"/>
              </w:rPr>
            </w:pPr>
            <w:r w:rsidRPr="00346A27">
              <w:rPr>
                <w:rFonts w:ascii="Arial" w:hAnsi="Arial" w:cs="Arial"/>
                <w:b/>
                <w:bCs/>
                <w:sz w:val="16"/>
                <w:szCs w:val="16"/>
              </w:rPr>
              <w:t>Total items</w:t>
            </w:r>
          </w:p>
        </w:tc>
        <w:tc>
          <w:tcPr>
            <w:tcW w:w="981" w:type="dxa"/>
            <w:tcBorders>
              <w:top w:val="nil"/>
              <w:left w:val="nil"/>
              <w:bottom w:val="single" w:sz="4" w:space="0" w:color="auto"/>
              <w:right w:val="nil"/>
            </w:tcBorders>
            <w:shd w:val="clear" w:color="auto" w:fill="auto"/>
            <w:noWrap/>
            <w:vAlign w:val="bottom"/>
            <w:hideMark/>
          </w:tcPr>
          <w:p w:rsidR="00FF423A" w:rsidRPr="00346A27" w:rsidRDefault="00FF423A" w:rsidP="00036CD6">
            <w:pPr>
              <w:keepNext w:val="0"/>
              <w:spacing w:after="0"/>
              <w:jc w:val="right"/>
              <w:rPr>
                <w:rFonts w:ascii="Arial" w:hAnsi="Arial" w:cs="Arial"/>
                <w:b/>
                <w:bCs/>
                <w:sz w:val="16"/>
                <w:szCs w:val="16"/>
              </w:rPr>
            </w:pPr>
            <w:r w:rsidRPr="00346A27">
              <w:rPr>
                <w:rFonts w:ascii="Arial" w:hAnsi="Arial" w:cs="Arial"/>
                <w:b/>
                <w:bCs/>
                <w:sz w:val="16"/>
                <w:szCs w:val="16"/>
              </w:rPr>
              <w:t>2,003</w:t>
            </w:r>
          </w:p>
        </w:tc>
        <w:tc>
          <w:tcPr>
            <w:tcW w:w="900" w:type="dxa"/>
            <w:tcBorders>
              <w:top w:val="nil"/>
              <w:left w:val="nil"/>
              <w:bottom w:val="single" w:sz="4" w:space="0" w:color="auto"/>
              <w:right w:val="nil"/>
            </w:tcBorders>
            <w:shd w:val="clear" w:color="000000" w:fill="D9D9D9"/>
            <w:noWrap/>
            <w:vAlign w:val="bottom"/>
            <w:hideMark/>
          </w:tcPr>
          <w:p w:rsidR="00FF423A" w:rsidRPr="00346A27" w:rsidRDefault="00FF423A" w:rsidP="00036CD6">
            <w:pPr>
              <w:keepNext w:val="0"/>
              <w:spacing w:after="0"/>
              <w:jc w:val="right"/>
              <w:rPr>
                <w:rFonts w:ascii="Arial" w:hAnsi="Arial" w:cs="Arial"/>
                <w:b/>
                <w:bCs/>
                <w:sz w:val="16"/>
                <w:szCs w:val="16"/>
              </w:rPr>
            </w:pPr>
            <w:r w:rsidRPr="00346A27">
              <w:rPr>
                <w:rFonts w:ascii="Arial" w:hAnsi="Arial" w:cs="Arial"/>
                <w:b/>
                <w:bCs/>
                <w:sz w:val="16"/>
                <w:szCs w:val="16"/>
              </w:rPr>
              <w:t>1,979</w:t>
            </w:r>
          </w:p>
        </w:tc>
        <w:tc>
          <w:tcPr>
            <w:tcW w:w="900" w:type="dxa"/>
            <w:tcBorders>
              <w:top w:val="nil"/>
              <w:left w:val="nil"/>
              <w:bottom w:val="single" w:sz="4" w:space="0" w:color="auto"/>
              <w:right w:val="nil"/>
            </w:tcBorders>
            <w:shd w:val="clear" w:color="auto" w:fill="auto"/>
            <w:noWrap/>
            <w:vAlign w:val="bottom"/>
            <w:hideMark/>
          </w:tcPr>
          <w:p w:rsidR="00FF423A" w:rsidRPr="00346A27" w:rsidRDefault="00FF423A" w:rsidP="00036CD6">
            <w:pPr>
              <w:keepNext w:val="0"/>
              <w:spacing w:after="0"/>
              <w:jc w:val="right"/>
              <w:rPr>
                <w:rFonts w:ascii="Arial" w:hAnsi="Arial" w:cs="Arial"/>
                <w:b/>
                <w:bCs/>
                <w:sz w:val="16"/>
                <w:szCs w:val="16"/>
              </w:rPr>
            </w:pPr>
            <w:r w:rsidRPr="00346A27">
              <w:rPr>
                <w:rFonts w:ascii="Arial" w:hAnsi="Arial" w:cs="Arial"/>
                <w:b/>
                <w:bCs/>
                <w:sz w:val="16"/>
                <w:szCs w:val="16"/>
              </w:rPr>
              <w:t>1,978</w:t>
            </w:r>
          </w:p>
        </w:tc>
        <w:tc>
          <w:tcPr>
            <w:tcW w:w="900" w:type="dxa"/>
            <w:tcBorders>
              <w:top w:val="nil"/>
              <w:left w:val="nil"/>
              <w:bottom w:val="single" w:sz="4" w:space="0" w:color="auto"/>
              <w:right w:val="nil"/>
            </w:tcBorders>
            <w:shd w:val="clear" w:color="auto" w:fill="auto"/>
            <w:noWrap/>
            <w:vAlign w:val="bottom"/>
            <w:hideMark/>
          </w:tcPr>
          <w:p w:rsidR="00FF423A" w:rsidRPr="00346A27" w:rsidRDefault="00FF423A" w:rsidP="00036CD6">
            <w:pPr>
              <w:keepNext w:val="0"/>
              <w:spacing w:after="0"/>
              <w:jc w:val="right"/>
              <w:rPr>
                <w:rFonts w:ascii="Arial" w:hAnsi="Arial" w:cs="Arial"/>
                <w:b/>
                <w:bCs/>
                <w:sz w:val="16"/>
                <w:szCs w:val="16"/>
              </w:rPr>
            </w:pPr>
            <w:r w:rsidRPr="00346A27">
              <w:rPr>
                <w:rFonts w:ascii="Arial" w:hAnsi="Arial" w:cs="Arial"/>
                <w:b/>
                <w:bCs/>
                <w:sz w:val="16"/>
                <w:szCs w:val="16"/>
              </w:rPr>
              <w:t>1,997</w:t>
            </w:r>
          </w:p>
        </w:tc>
        <w:tc>
          <w:tcPr>
            <w:tcW w:w="900" w:type="dxa"/>
            <w:tcBorders>
              <w:top w:val="nil"/>
              <w:left w:val="nil"/>
              <w:bottom w:val="single" w:sz="4" w:space="0" w:color="auto"/>
              <w:right w:val="nil"/>
            </w:tcBorders>
            <w:shd w:val="clear" w:color="auto" w:fill="auto"/>
            <w:noWrap/>
            <w:vAlign w:val="bottom"/>
            <w:hideMark/>
          </w:tcPr>
          <w:p w:rsidR="00FF423A" w:rsidRPr="00346A27" w:rsidRDefault="00FF423A" w:rsidP="00036CD6">
            <w:pPr>
              <w:keepNext w:val="0"/>
              <w:spacing w:after="0"/>
              <w:jc w:val="right"/>
              <w:rPr>
                <w:rFonts w:ascii="Arial" w:hAnsi="Arial" w:cs="Arial"/>
                <w:b/>
                <w:bCs/>
                <w:sz w:val="16"/>
                <w:szCs w:val="16"/>
              </w:rPr>
            </w:pPr>
            <w:r w:rsidRPr="00346A27">
              <w:rPr>
                <w:rFonts w:ascii="Arial" w:hAnsi="Arial" w:cs="Arial"/>
                <w:b/>
                <w:bCs/>
                <w:sz w:val="16"/>
                <w:szCs w:val="16"/>
              </w:rPr>
              <w:t>2,011</w:t>
            </w:r>
          </w:p>
        </w:tc>
      </w:tr>
      <w:tr w:rsidR="00346A27" w:rsidRPr="00346A27" w:rsidTr="00036CD6">
        <w:trPr>
          <w:trHeight w:val="300"/>
        </w:trPr>
        <w:tc>
          <w:tcPr>
            <w:tcW w:w="2860" w:type="dxa"/>
            <w:tcBorders>
              <w:top w:val="nil"/>
              <w:left w:val="nil"/>
              <w:bottom w:val="nil"/>
              <w:right w:val="nil"/>
            </w:tcBorders>
            <w:shd w:val="clear" w:color="000000" w:fill="FFFFFF"/>
            <w:noWrap/>
            <w:vAlign w:val="bottom"/>
            <w:hideMark/>
          </w:tcPr>
          <w:p w:rsidR="00FF423A" w:rsidRPr="00346A27" w:rsidRDefault="00FF423A" w:rsidP="00FF423A">
            <w:pPr>
              <w:keepNext w:val="0"/>
              <w:spacing w:after="0"/>
              <w:rPr>
                <w:rFonts w:ascii="Arial" w:hAnsi="Arial" w:cs="Arial"/>
                <w:b/>
                <w:bCs/>
                <w:sz w:val="16"/>
                <w:szCs w:val="16"/>
              </w:rPr>
            </w:pPr>
            <w:r w:rsidRPr="00346A27">
              <w:rPr>
                <w:rFonts w:ascii="Arial" w:hAnsi="Arial" w:cs="Arial"/>
                <w:b/>
                <w:bCs/>
                <w:sz w:val="16"/>
                <w:szCs w:val="16"/>
              </w:rPr>
              <w:t>PURCHASE OF NON-FINANCIAL</w:t>
            </w:r>
          </w:p>
        </w:tc>
        <w:tc>
          <w:tcPr>
            <w:tcW w:w="981" w:type="dxa"/>
            <w:tcBorders>
              <w:top w:val="nil"/>
              <w:left w:val="nil"/>
              <w:bottom w:val="nil"/>
              <w:right w:val="nil"/>
            </w:tcBorders>
            <w:shd w:val="clear" w:color="000000" w:fill="FFFFFF"/>
            <w:noWrap/>
            <w:vAlign w:val="bottom"/>
          </w:tcPr>
          <w:p w:rsidR="00FF423A" w:rsidRPr="00346A27" w:rsidRDefault="00FF423A" w:rsidP="00036CD6">
            <w:pPr>
              <w:keepNext w:val="0"/>
              <w:spacing w:after="0"/>
              <w:jc w:val="right"/>
              <w:rPr>
                <w:rFonts w:ascii="Arial" w:hAnsi="Arial" w:cs="Arial"/>
                <w:sz w:val="16"/>
                <w:szCs w:val="16"/>
              </w:rPr>
            </w:pPr>
          </w:p>
        </w:tc>
        <w:tc>
          <w:tcPr>
            <w:tcW w:w="900" w:type="dxa"/>
            <w:tcBorders>
              <w:top w:val="nil"/>
              <w:left w:val="nil"/>
              <w:bottom w:val="nil"/>
              <w:right w:val="nil"/>
            </w:tcBorders>
            <w:shd w:val="clear" w:color="000000" w:fill="D9D9D9"/>
            <w:noWrap/>
            <w:vAlign w:val="bottom"/>
          </w:tcPr>
          <w:p w:rsidR="00FF423A" w:rsidRPr="00346A27" w:rsidRDefault="00FF423A" w:rsidP="00036CD6">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tcPr>
          <w:p w:rsidR="00FF423A" w:rsidRPr="00346A27" w:rsidRDefault="00FF423A" w:rsidP="00036CD6">
            <w:pPr>
              <w:keepNext w:val="0"/>
              <w:spacing w:after="0"/>
              <w:jc w:val="right"/>
              <w:rPr>
                <w:rFonts w:ascii="Arial" w:hAnsi="Arial" w:cs="Arial"/>
                <w:sz w:val="16"/>
                <w:szCs w:val="16"/>
              </w:rPr>
            </w:pPr>
          </w:p>
        </w:tc>
        <w:tc>
          <w:tcPr>
            <w:tcW w:w="900" w:type="dxa"/>
            <w:tcBorders>
              <w:top w:val="nil"/>
              <w:left w:val="nil"/>
              <w:bottom w:val="nil"/>
              <w:right w:val="nil"/>
            </w:tcBorders>
            <w:shd w:val="clear" w:color="000000" w:fill="FFFFFF"/>
            <w:noWrap/>
            <w:vAlign w:val="bottom"/>
          </w:tcPr>
          <w:p w:rsidR="00FF423A" w:rsidRPr="00346A27" w:rsidRDefault="00FF423A" w:rsidP="00036CD6">
            <w:pPr>
              <w:keepNext w:val="0"/>
              <w:spacing w:after="0"/>
              <w:jc w:val="right"/>
              <w:rPr>
                <w:rFonts w:ascii="Arial" w:hAnsi="Arial" w:cs="Arial"/>
                <w:sz w:val="16"/>
                <w:szCs w:val="16"/>
              </w:rPr>
            </w:pPr>
          </w:p>
        </w:tc>
        <w:tc>
          <w:tcPr>
            <w:tcW w:w="900" w:type="dxa"/>
            <w:tcBorders>
              <w:top w:val="nil"/>
              <w:left w:val="nil"/>
              <w:bottom w:val="nil"/>
              <w:right w:val="nil"/>
            </w:tcBorders>
            <w:shd w:val="clear" w:color="000000" w:fill="FFFFFF"/>
            <w:noWrap/>
            <w:vAlign w:val="bottom"/>
          </w:tcPr>
          <w:p w:rsidR="00FF423A" w:rsidRPr="00346A27" w:rsidRDefault="00FF423A" w:rsidP="00036CD6">
            <w:pPr>
              <w:keepNext w:val="0"/>
              <w:spacing w:after="0"/>
              <w:jc w:val="right"/>
              <w:rPr>
                <w:rFonts w:ascii="Arial" w:hAnsi="Arial" w:cs="Arial"/>
                <w:sz w:val="16"/>
                <w:szCs w:val="16"/>
              </w:rPr>
            </w:pPr>
          </w:p>
        </w:tc>
      </w:tr>
      <w:tr w:rsidR="00346A27" w:rsidRPr="00346A27" w:rsidTr="00036CD6">
        <w:trPr>
          <w:trHeight w:val="225"/>
        </w:trPr>
        <w:tc>
          <w:tcPr>
            <w:tcW w:w="2860" w:type="dxa"/>
            <w:tcBorders>
              <w:top w:val="nil"/>
              <w:left w:val="nil"/>
              <w:bottom w:val="nil"/>
              <w:right w:val="nil"/>
            </w:tcBorders>
            <w:shd w:val="clear" w:color="000000" w:fill="FFFFFF"/>
            <w:noWrap/>
            <w:vAlign w:val="bottom"/>
            <w:hideMark/>
          </w:tcPr>
          <w:p w:rsidR="00FF423A" w:rsidRPr="00346A27" w:rsidRDefault="00FF423A" w:rsidP="00FF423A">
            <w:pPr>
              <w:keepNext w:val="0"/>
              <w:spacing w:after="0"/>
              <w:ind w:firstLineChars="100" w:firstLine="161"/>
              <w:rPr>
                <w:rFonts w:ascii="Arial" w:hAnsi="Arial" w:cs="Arial"/>
                <w:b/>
                <w:bCs/>
                <w:sz w:val="16"/>
                <w:szCs w:val="16"/>
              </w:rPr>
            </w:pPr>
            <w:r w:rsidRPr="00346A27">
              <w:rPr>
                <w:rFonts w:ascii="Arial" w:hAnsi="Arial" w:cs="Arial"/>
                <w:b/>
                <w:bCs/>
                <w:sz w:val="16"/>
                <w:szCs w:val="16"/>
              </w:rPr>
              <w:t>ASSETS</w:t>
            </w:r>
          </w:p>
        </w:tc>
        <w:tc>
          <w:tcPr>
            <w:tcW w:w="981" w:type="dxa"/>
            <w:tcBorders>
              <w:top w:val="nil"/>
              <w:left w:val="nil"/>
              <w:bottom w:val="nil"/>
              <w:right w:val="nil"/>
            </w:tcBorders>
            <w:shd w:val="clear" w:color="000000" w:fill="FFFFFF"/>
            <w:noWrap/>
            <w:vAlign w:val="bottom"/>
          </w:tcPr>
          <w:p w:rsidR="00FF423A" w:rsidRPr="00346A27" w:rsidRDefault="00FF423A" w:rsidP="00036CD6">
            <w:pPr>
              <w:keepNext w:val="0"/>
              <w:spacing w:after="0"/>
              <w:jc w:val="right"/>
              <w:rPr>
                <w:rFonts w:ascii="Arial" w:hAnsi="Arial" w:cs="Arial"/>
                <w:sz w:val="16"/>
                <w:szCs w:val="16"/>
              </w:rPr>
            </w:pPr>
          </w:p>
        </w:tc>
        <w:tc>
          <w:tcPr>
            <w:tcW w:w="900" w:type="dxa"/>
            <w:tcBorders>
              <w:top w:val="nil"/>
              <w:left w:val="nil"/>
              <w:bottom w:val="nil"/>
              <w:right w:val="nil"/>
            </w:tcBorders>
            <w:shd w:val="clear" w:color="000000" w:fill="D9D9D9"/>
            <w:noWrap/>
            <w:vAlign w:val="bottom"/>
          </w:tcPr>
          <w:p w:rsidR="00FF423A" w:rsidRPr="00346A27" w:rsidRDefault="00FF423A" w:rsidP="00036CD6">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tcPr>
          <w:p w:rsidR="00FF423A" w:rsidRPr="00346A27" w:rsidRDefault="00FF423A" w:rsidP="00036CD6">
            <w:pPr>
              <w:keepNext w:val="0"/>
              <w:spacing w:after="0"/>
              <w:jc w:val="right"/>
              <w:rPr>
                <w:rFonts w:ascii="Arial" w:hAnsi="Arial" w:cs="Arial"/>
                <w:sz w:val="16"/>
                <w:szCs w:val="16"/>
              </w:rPr>
            </w:pPr>
          </w:p>
        </w:tc>
        <w:tc>
          <w:tcPr>
            <w:tcW w:w="900" w:type="dxa"/>
            <w:tcBorders>
              <w:top w:val="nil"/>
              <w:left w:val="nil"/>
              <w:bottom w:val="nil"/>
              <w:right w:val="nil"/>
            </w:tcBorders>
            <w:shd w:val="clear" w:color="000000" w:fill="FFFFFF"/>
            <w:noWrap/>
            <w:vAlign w:val="bottom"/>
          </w:tcPr>
          <w:p w:rsidR="00FF423A" w:rsidRPr="00346A27" w:rsidRDefault="00FF423A" w:rsidP="00036CD6">
            <w:pPr>
              <w:keepNext w:val="0"/>
              <w:spacing w:after="0"/>
              <w:jc w:val="right"/>
              <w:rPr>
                <w:rFonts w:ascii="Arial" w:hAnsi="Arial" w:cs="Arial"/>
                <w:sz w:val="16"/>
                <w:szCs w:val="16"/>
              </w:rPr>
            </w:pPr>
          </w:p>
        </w:tc>
        <w:tc>
          <w:tcPr>
            <w:tcW w:w="900" w:type="dxa"/>
            <w:tcBorders>
              <w:top w:val="nil"/>
              <w:left w:val="nil"/>
              <w:bottom w:val="nil"/>
              <w:right w:val="nil"/>
            </w:tcBorders>
            <w:shd w:val="clear" w:color="000000" w:fill="FFFFFF"/>
            <w:noWrap/>
            <w:vAlign w:val="bottom"/>
          </w:tcPr>
          <w:p w:rsidR="00FF423A" w:rsidRPr="00346A27" w:rsidRDefault="00FF423A" w:rsidP="00036CD6">
            <w:pPr>
              <w:keepNext w:val="0"/>
              <w:spacing w:after="0"/>
              <w:jc w:val="right"/>
              <w:rPr>
                <w:rFonts w:ascii="Arial" w:hAnsi="Arial" w:cs="Arial"/>
                <w:sz w:val="16"/>
                <w:szCs w:val="16"/>
              </w:rPr>
            </w:pPr>
          </w:p>
        </w:tc>
      </w:tr>
      <w:tr w:rsidR="00346A27" w:rsidRPr="00346A27" w:rsidTr="00036CD6">
        <w:trPr>
          <w:trHeight w:val="225"/>
        </w:trPr>
        <w:tc>
          <w:tcPr>
            <w:tcW w:w="2860" w:type="dxa"/>
            <w:tcBorders>
              <w:top w:val="nil"/>
              <w:left w:val="nil"/>
              <w:bottom w:val="nil"/>
              <w:right w:val="nil"/>
            </w:tcBorders>
            <w:shd w:val="clear" w:color="000000" w:fill="FFFFFF"/>
            <w:noWrap/>
            <w:vAlign w:val="bottom"/>
            <w:hideMark/>
          </w:tcPr>
          <w:p w:rsidR="00FF423A" w:rsidRPr="00346A27" w:rsidRDefault="00FF423A" w:rsidP="00FF423A">
            <w:pPr>
              <w:keepNext w:val="0"/>
              <w:spacing w:after="0"/>
              <w:ind w:firstLineChars="100" w:firstLine="160"/>
              <w:rPr>
                <w:rFonts w:ascii="Arial" w:hAnsi="Arial" w:cs="Arial"/>
                <w:sz w:val="16"/>
                <w:szCs w:val="16"/>
              </w:rPr>
            </w:pPr>
            <w:r w:rsidRPr="00346A27">
              <w:rPr>
                <w:rFonts w:ascii="Arial" w:hAnsi="Arial" w:cs="Arial"/>
                <w:sz w:val="16"/>
                <w:szCs w:val="16"/>
              </w:rPr>
              <w:t>Funded by capital</w:t>
            </w:r>
          </w:p>
        </w:tc>
        <w:tc>
          <w:tcPr>
            <w:tcW w:w="981" w:type="dxa"/>
            <w:tcBorders>
              <w:top w:val="nil"/>
              <w:left w:val="nil"/>
              <w:bottom w:val="nil"/>
              <w:right w:val="nil"/>
            </w:tcBorders>
            <w:shd w:val="clear" w:color="auto" w:fill="auto"/>
            <w:noWrap/>
            <w:vAlign w:val="bottom"/>
          </w:tcPr>
          <w:p w:rsidR="00FF423A" w:rsidRPr="00346A27" w:rsidRDefault="00FF423A" w:rsidP="00036CD6">
            <w:pPr>
              <w:keepNext w:val="0"/>
              <w:spacing w:after="0"/>
              <w:jc w:val="right"/>
              <w:rPr>
                <w:rFonts w:ascii="Arial" w:hAnsi="Arial" w:cs="Arial"/>
                <w:sz w:val="16"/>
                <w:szCs w:val="16"/>
              </w:rPr>
            </w:pPr>
          </w:p>
        </w:tc>
        <w:tc>
          <w:tcPr>
            <w:tcW w:w="900" w:type="dxa"/>
            <w:tcBorders>
              <w:top w:val="nil"/>
              <w:left w:val="nil"/>
              <w:bottom w:val="nil"/>
              <w:right w:val="nil"/>
            </w:tcBorders>
            <w:shd w:val="clear" w:color="000000" w:fill="D9D9D9"/>
            <w:noWrap/>
            <w:vAlign w:val="bottom"/>
          </w:tcPr>
          <w:p w:rsidR="00FF423A" w:rsidRPr="00346A27" w:rsidRDefault="00FF423A" w:rsidP="00036CD6">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tcPr>
          <w:p w:rsidR="00FF423A" w:rsidRPr="00346A27" w:rsidRDefault="00FF423A" w:rsidP="00036CD6">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tcPr>
          <w:p w:rsidR="00FF423A" w:rsidRPr="00346A27" w:rsidRDefault="00FF423A" w:rsidP="00036CD6">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tcPr>
          <w:p w:rsidR="00FF423A" w:rsidRPr="00346A27" w:rsidRDefault="00FF423A" w:rsidP="00036CD6">
            <w:pPr>
              <w:keepNext w:val="0"/>
              <w:spacing w:after="0"/>
              <w:jc w:val="right"/>
              <w:rPr>
                <w:rFonts w:ascii="Arial" w:hAnsi="Arial" w:cs="Arial"/>
                <w:sz w:val="16"/>
                <w:szCs w:val="16"/>
              </w:rPr>
            </w:pPr>
          </w:p>
        </w:tc>
      </w:tr>
      <w:tr w:rsidR="00346A27" w:rsidRPr="00346A27" w:rsidTr="00036CD6">
        <w:trPr>
          <w:trHeight w:val="225"/>
        </w:trPr>
        <w:tc>
          <w:tcPr>
            <w:tcW w:w="2860" w:type="dxa"/>
            <w:tcBorders>
              <w:top w:val="nil"/>
              <w:left w:val="nil"/>
              <w:bottom w:val="nil"/>
              <w:right w:val="nil"/>
            </w:tcBorders>
            <w:shd w:val="clear" w:color="000000" w:fill="FFFFFF"/>
            <w:noWrap/>
            <w:vAlign w:val="bottom"/>
            <w:hideMark/>
          </w:tcPr>
          <w:p w:rsidR="00FF423A" w:rsidRPr="00346A27" w:rsidRDefault="00FF423A" w:rsidP="00FF423A">
            <w:pPr>
              <w:keepNext w:val="0"/>
              <w:spacing w:after="0"/>
              <w:ind w:firstLineChars="200" w:firstLine="320"/>
              <w:rPr>
                <w:rFonts w:ascii="Arial" w:hAnsi="Arial" w:cs="Arial"/>
                <w:sz w:val="16"/>
                <w:szCs w:val="16"/>
              </w:rPr>
            </w:pPr>
            <w:r w:rsidRPr="00346A27">
              <w:rPr>
                <w:rFonts w:ascii="Arial" w:hAnsi="Arial" w:cs="Arial"/>
                <w:sz w:val="16"/>
                <w:szCs w:val="16"/>
              </w:rPr>
              <w:t>appropriation - DCB</w:t>
            </w:r>
            <w:r w:rsidRPr="00346A27">
              <w:rPr>
                <w:rFonts w:ascii="Arial" w:hAnsi="Arial" w:cs="Arial"/>
                <w:sz w:val="16"/>
                <w:szCs w:val="16"/>
                <w:vertAlign w:val="superscript"/>
              </w:rPr>
              <w:t>1</w:t>
            </w:r>
          </w:p>
        </w:tc>
        <w:tc>
          <w:tcPr>
            <w:tcW w:w="981" w:type="dxa"/>
            <w:tcBorders>
              <w:top w:val="nil"/>
              <w:left w:val="nil"/>
              <w:bottom w:val="nil"/>
              <w:right w:val="nil"/>
            </w:tcBorders>
            <w:shd w:val="clear" w:color="auto" w:fill="auto"/>
            <w:noWrap/>
            <w:vAlign w:val="bottom"/>
            <w:hideMark/>
          </w:tcPr>
          <w:p w:rsidR="00FF423A" w:rsidRPr="00346A27" w:rsidRDefault="00FF423A" w:rsidP="00036CD6">
            <w:pPr>
              <w:keepNext w:val="0"/>
              <w:spacing w:after="0"/>
              <w:jc w:val="right"/>
              <w:rPr>
                <w:rFonts w:ascii="Arial" w:hAnsi="Arial" w:cs="Arial"/>
                <w:sz w:val="16"/>
                <w:szCs w:val="16"/>
              </w:rPr>
            </w:pPr>
            <w:r w:rsidRPr="00346A27">
              <w:rPr>
                <w:rFonts w:ascii="Arial" w:hAnsi="Arial" w:cs="Arial"/>
                <w:sz w:val="16"/>
                <w:szCs w:val="16"/>
              </w:rPr>
              <w:t>2,003</w:t>
            </w:r>
          </w:p>
        </w:tc>
        <w:tc>
          <w:tcPr>
            <w:tcW w:w="900" w:type="dxa"/>
            <w:tcBorders>
              <w:top w:val="nil"/>
              <w:left w:val="nil"/>
              <w:bottom w:val="nil"/>
              <w:right w:val="nil"/>
            </w:tcBorders>
            <w:shd w:val="clear" w:color="000000" w:fill="D9D9D9"/>
            <w:noWrap/>
            <w:vAlign w:val="bottom"/>
            <w:hideMark/>
          </w:tcPr>
          <w:p w:rsidR="00FF423A" w:rsidRPr="00346A27" w:rsidRDefault="00FF423A" w:rsidP="00036CD6">
            <w:pPr>
              <w:keepNext w:val="0"/>
              <w:spacing w:after="0"/>
              <w:jc w:val="right"/>
              <w:rPr>
                <w:rFonts w:ascii="Arial" w:hAnsi="Arial" w:cs="Arial"/>
                <w:sz w:val="16"/>
                <w:szCs w:val="16"/>
              </w:rPr>
            </w:pPr>
            <w:r w:rsidRPr="00346A27">
              <w:rPr>
                <w:rFonts w:ascii="Arial" w:hAnsi="Arial" w:cs="Arial"/>
                <w:sz w:val="16"/>
                <w:szCs w:val="16"/>
              </w:rPr>
              <w:t>1,979</w:t>
            </w:r>
          </w:p>
        </w:tc>
        <w:tc>
          <w:tcPr>
            <w:tcW w:w="900" w:type="dxa"/>
            <w:tcBorders>
              <w:top w:val="nil"/>
              <w:left w:val="nil"/>
              <w:bottom w:val="nil"/>
              <w:right w:val="nil"/>
            </w:tcBorders>
            <w:shd w:val="clear" w:color="auto" w:fill="auto"/>
            <w:noWrap/>
            <w:vAlign w:val="bottom"/>
            <w:hideMark/>
          </w:tcPr>
          <w:p w:rsidR="00FF423A" w:rsidRPr="00346A27" w:rsidRDefault="00FF423A" w:rsidP="00036CD6">
            <w:pPr>
              <w:keepNext w:val="0"/>
              <w:spacing w:after="0"/>
              <w:jc w:val="right"/>
              <w:rPr>
                <w:rFonts w:ascii="Arial" w:hAnsi="Arial" w:cs="Arial"/>
                <w:sz w:val="16"/>
                <w:szCs w:val="16"/>
              </w:rPr>
            </w:pPr>
            <w:r w:rsidRPr="00346A27">
              <w:rPr>
                <w:rFonts w:ascii="Arial" w:hAnsi="Arial" w:cs="Arial"/>
                <w:sz w:val="16"/>
                <w:szCs w:val="16"/>
              </w:rPr>
              <w:t>1,978</w:t>
            </w:r>
          </w:p>
        </w:tc>
        <w:tc>
          <w:tcPr>
            <w:tcW w:w="900" w:type="dxa"/>
            <w:tcBorders>
              <w:top w:val="nil"/>
              <w:left w:val="nil"/>
              <w:bottom w:val="nil"/>
              <w:right w:val="nil"/>
            </w:tcBorders>
            <w:shd w:val="clear" w:color="auto" w:fill="auto"/>
            <w:noWrap/>
            <w:vAlign w:val="bottom"/>
            <w:hideMark/>
          </w:tcPr>
          <w:p w:rsidR="00FF423A" w:rsidRPr="00346A27" w:rsidRDefault="00FF423A" w:rsidP="00036CD6">
            <w:pPr>
              <w:keepNext w:val="0"/>
              <w:spacing w:after="0"/>
              <w:jc w:val="right"/>
              <w:rPr>
                <w:rFonts w:ascii="Arial" w:hAnsi="Arial" w:cs="Arial"/>
                <w:sz w:val="16"/>
                <w:szCs w:val="16"/>
              </w:rPr>
            </w:pPr>
            <w:r w:rsidRPr="00346A27">
              <w:rPr>
                <w:rFonts w:ascii="Arial" w:hAnsi="Arial" w:cs="Arial"/>
                <w:sz w:val="16"/>
                <w:szCs w:val="16"/>
              </w:rPr>
              <w:t>1,997</w:t>
            </w:r>
          </w:p>
        </w:tc>
        <w:tc>
          <w:tcPr>
            <w:tcW w:w="900" w:type="dxa"/>
            <w:tcBorders>
              <w:top w:val="nil"/>
              <w:left w:val="nil"/>
              <w:bottom w:val="nil"/>
              <w:right w:val="nil"/>
            </w:tcBorders>
            <w:shd w:val="clear" w:color="auto" w:fill="auto"/>
            <w:noWrap/>
            <w:vAlign w:val="bottom"/>
            <w:hideMark/>
          </w:tcPr>
          <w:p w:rsidR="00FF423A" w:rsidRPr="00346A27" w:rsidRDefault="00FF423A" w:rsidP="00036CD6">
            <w:pPr>
              <w:keepNext w:val="0"/>
              <w:spacing w:after="0"/>
              <w:jc w:val="right"/>
              <w:rPr>
                <w:rFonts w:ascii="Arial" w:hAnsi="Arial" w:cs="Arial"/>
                <w:sz w:val="16"/>
                <w:szCs w:val="16"/>
              </w:rPr>
            </w:pPr>
            <w:r w:rsidRPr="00346A27">
              <w:rPr>
                <w:rFonts w:ascii="Arial" w:hAnsi="Arial" w:cs="Arial"/>
                <w:sz w:val="16"/>
                <w:szCs w:val="16"/>
              </w:rPr>
              <w:t>2,011</w:t>
            </w:r>
          </w:p>
        </w:tc>
      </w:tr>
      <w:tr w:rsidR="00346A27" w:rsidRPr="00346A27" w:rsidTr="00036CD6">
        <w:trPr>
          <w:trHeight w:val="225"/>
        </w:trPr>
        <w:tc>
          <w:tcPr>
            <w:tcW w:w="2860" w:type="dxa"/>
            <w:tcBorders>
              <w:top w:val="nil"/>
              <w:left w:val="nil"/>
              <w:bottom w:val="nil"/>
              <w:right w:val="nil"/>
            </w:tcBorders>
            <w:shd w:val="clear" w:color="000000" w:fill="FFFFFF"/>
            <w:noWrap/>
            <w:vAlign w:val="bottom"/>
            <w:hideMark/>
          </w:tcPr>
          <w:p w:rsidR="00FF423A" w:rsidRPr="00346A27" w:rsidRDefault="00FF423A" w:rsidP="00FF423A">
            <w:pPr>
              <w:keepNext w:val="0"/>
              <w:spacing w:after="0"/>
              <w:ind w:firstLineChars="100" w:firstLine="161"/>
              <w:rPr>
                <w:rFonts w:ascii="Arial" w:hAnsi="Arial" w:cs="Arial"/>
                <w:b/>
                <w:bCs/>
                <w:sz w:val="16"/>
                <w:szCs w:val="16"/>
              </w:rPr>
            </w:pPr>
            <w:r w:rsidRPr="00346A27">
              <w:rPr>
                <w:rFonts w:ascii="Arial" w:hAnsi="Arial" w:cs="Arial"/>
                <w:b/>
                <w:bCs/>
                <w:sz w:val="16"/>
                <w:szCs w:val="16"/>
              </w:rPr>
              <w:t>Total acquisitions of</w:t>
            </w:r>
          </w:p>
        </w:tc>
        <w:tc>
          <w:tcPr>
            <w:tcW w:w="981" w:type="dxa"/>
            <w:tcBorders>
              <w:top w:val="nil"/>
              <w:left w:val="nil"/>
              <w:bottom w:val="nil"/>
              <w:right w:val="nil"/>
            </w:tcBorders>
            <w:shd w:val="clear" w:color="auto" w:fill="auto"/>
            <w:noWrap/>
            <w:vAlign w:val="bottom"/>
            <w:hideMark/>
          </w:tcPr>
          <w:p w:rsidR="00FF423A" w:rsidRPr="00346A27" w:rsidRDefault="00FF423A" w:rsidP="00036CD6">
            <w:pPr>
              <w:keepNext w:val="0"/>
              <w:spacing w:after="0"/>
              <w:jc w:val="right"/>
              <w:rPr>
                <w:rFonts w:ascii="Arial" w:hAnsi="Arial" w:cs="Arial"/>
                <w:sz w:val="16"/>
                <w:szCs w:val="16"/>
              </w:rPr>
            </w:pPr>
          </w:p>
        </w:tc>
        <w:tc>
          <w:tcPr>
            <w:tcW w:w="900" w:type="dxa"/>
            <w:tcBorders>
              <w:top w:val="nil"/>
              <w:left w:val="nil"/>
              <w:bottom w:val="nil"/>
              <w:right w:val="nil"/>
            </w:tcBorders>
            <w:shd w:val="clear" w:color="000000" w:fill="D9D9D9"/>
            <w:noWrap/>
            <w:vAlign w:val="bottom"/>
          </w:tcPr>
          <w:p w:rsidR="00FF423A" w:rsidRPr="00346A27" w:rsidRDefault="00FF423A" w:rsidP="00036CD6">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tcPr>
          <w:p w:rsidR="00FF423A" w:rsidRPr="00346A27" w:rsidRDefault="00FF423A" w:rsidP="00036CD6">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FF423A" w:rsidRPr="00346A27" w:rsidRDefault="00FF423A" w:rsidP="00036CD6">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FF423A" w:rsidRPr="00346A27" w:rsidRDefault="00FF423A" w:rsidP="00036CD6">
            <w:pPr>
              <w:keepNext w:val="0"/>
              <w:spacing w:after="0"/>
              <w:jc w:val="right"/>
              <w:rPr>
                <w:rFonts w:ascii="Arial" w:hAnsi="Arial" w:cs="Arial"/>
                <w:sz w:val="16"/>
                <w:szCs w:val="16"/>
              </w:rPr>
            </w:pPr>
          </w:p>
        </w:tc>
      </w:tr>
      <w:tr w:rsidR="00346A27" w:rsidRPr="00346A27" w:rsidTr="00036CD6">
        <w:trPr>
          <w:trHeight w:val="225"/>
        </w:trPr>
        <w:tc>
          <w:tcPr>
            <w:tcW w:w="2860" w:type="dxa"/>
            <w:tcBorders>
              <w:top w:val="nil"/>
              <w:left w:val="nil"/>
              <w:bottom w:val="nil"/>
              <w:right w:val="nil"/>
            </w:tcBorders>
            <w:shd w:val="clear" w:color="000000" w:fill="FFFFFF"/>
            <w:noWrap/>
            <w:vAlign w:val="bottom"/>
            <w:hideMark/>
          </w:tcPr>
          <w:p w:rsidR="00FF423A" w:rsidRPr="00346A27" w:rsidRDefault="00FF423A" w:rsidP="00FF423A">
            <w:pPr>
              <w:keepNext w:val="0"/>
              <w:spacing w:after="0"/>
              <w:ind w:firstLineChars="200" w:firstLine="321"/>
              <w:rPr>
                <w:rFonts w:ascii="Arial" w:hAnsi="Arial" w:cs="Arial"/>
                <w:b/>
                <w:bCs/>
                <w:sz w:val="16"/>
                <w:szCs w:val="16"/>
              </w:rPr>
            </w:pPr>
            <w:r w:rsidRPr="00346A27">
              <w:rPr>
                <w:rFonts w:ascii="Arial" w:hAnsi="Arial" w:cs="Arial"/>
                <w:b/>
                <w:bCs/>
                <w:sz w:val="16"/>
                <w:szCs w:val="16"/>
              </w:rPr>
              <w:t>non-financial assets</w:t>
            </w:r>
          </w:p>
        </w:tc>
        <w:tc>
          <w:tcPr>
            <w:tcW w:w="981" w:type="dxa"/>
            <w:tcBorders>
              <w:top w:val="nil"/>
              <w:left w:val="nil"/>
              <w:bottom w:val="single" w:sz="4" w:space="0" w:color="auto"/>
              <w:right w:val="nil"/>
            </w:tcBorders>
            <w:shd w:val="clear" w:color="auto" w:fill="auto"/>
            <w:noWrap/>
            <w:vAlign w:val="bottom"/>
            <w:hideMark/>
          </w:tcPr>
          <w:p w:rsidR="00FF423A" w:rsidRPr="00346A27" w:rsidRDefault="00FF423A" w:rsidP="00036CD6">
            <w:pPr>
              <w:keepNext w:val="0"/>
              <w:spacing w:after="0"/>
              <w:jc w:val="right"/>
              <w:rPr>
                <w:rFonts w:ascii="Arial" w:hAnsi="Arial" w:cs="Arial"/>
                <w:b/>
                <w:bCs/>
                <w:sz w:val="16"/>
                <w:szCs w:val="16"/>
              </w:rPr>
            </w:pPr>
            <w:r w:rsidRPr="00346A27">
              <w:rPr>
                <w:rFonts w:ascii="Arial" w:hAnsi="Arial" w:cs="Arial"/>
                <w:b/>
                <w:bCs/>
                <w:sz w:val="16"/>
                <w:szCs w:val="16"/>
              </w:rPr>
              <w:t>2,003</w:t>
            </w:r>
          </w:p>
        </w:tc>
        <w:tc>
          <w:tcPr>
            <w:tcW w:w="900" w:type="dxa"/>
            <w:tcBorders>
              <w:top w:val="nil"/>
              <w:left w:val="nil"/>
              <w:bottom w:val="single" w:sz="4" w:space="0" w:color="auto"/>
              <w:right w:val="nil"/>
            </w:tcBorders>
            <w:shd w:val="clear" w:color="000000" w:fill="D9D9D9"/>
            <w:noWrap/>
            <w:vAlign w:val="bottom"/>
            <w:hideMark/>
          </w:tcPr>
          <w:p w:rsidR="00FF423A" w:rsidRPr="00346A27" w:rsidRDefault="00FF423A" w:rsidP="00036CD6">
            <w:pPr>
              <w:keepNext w:val="0"/>
              <w:spacing w:after="0"/>
              <w:jc w:val="right"/>
              <w:rPr>
                <w:rFonts w:ascii="Arial" w:hAnsi="Arial" w:cs="Arial"/>
                <w:b/>
                <w:bCs/>
                <w:sz w:val="16"/>
                <w:szCs w:val="16"/>
              </w:rPr>
            </w:pPr>
            <w:r w:rsidRPr="00346A27">
              <w:rPr>
                <w:rFonts w:ascii="Arial" w:hAnsi="Arial" w:cs="Arial"/>
                <w:b/>
                <w:bCs/>
                <w:sz w:val="16"/>
                <w:szCs w:val="16"/>
              </w:rPr>
              <w:t>1,979</w:t>
            </w:r>
          </w:p>
        </w:tc>
        <w:tc>
          <w:tcPr>
            <w:tcW w:w="900" w:type="dxa"/>
            <w:tcBorders>
              <w:top w:val="nil"/>
              <w:left w:val="nil"/>
              <w:bottom w:val="single" w:sz="4" w:space="0" w:color="auto"/>
              <w:right w:val="nil"/>
            </w:tcBorders>
            <w:shd w:val="clear" w:color="auto" w:fill="auto"/>
            <w:noWrap/>
            <w:vAlign w:val="bottom"/>
            <w:hideMark/>
          </w:tcPr>
          <w:p w:rsidR="00FF423A" w:rsidRPr="00346A27" w:rsidRDefault="00FF423A" w:rsidP="00036CD6">
            <w:pPr>
              <w:keepNext w:val="0"/>
              <w:spacing w:after="0"/>
              <w:jc w:val="right"/>
              <w:rPr>
                <w:rFonts w:ascii="Arial" w:hAnsi="Arial" w:cs="Arial"/>
                <w:b/>
                <w:bCs/>
                <w:sz w:val="16"/>
                <w:szCs w:val="16"/>
              </w:rPr>
            </w:pPr>
            <w:r w:rsidRPr="00346A27">
              <w:rPr>
                <w:rFonts w:ascii="Arial" w:hAnsi="Arial" w:cs="Arial"/>
                <w:b/>
                <w:bCs/>
                <w:sz w:val="16"/>
                <w:szCs w:val="16"/>
              </w:rPr>
              <w:t>1,978</w:t>
            </w:r>
          </w:p>
        </w:tc>
        <w:tc>
          <w:tcPr>
            <w:tcW w:w="900" w:type="dxa"/>
            <w:tcBorders>
              <w:top w:val="nil"/>
              <w:left w:val="nil"/>
              <w:bottom w:val="single" w:sz="4" w:space="0" w:color="auto"/>
              <w:right w:val="nil"/>
            </w:tcBorders>
            <w:shd w:val="clear" w:color="auto" w:fill="auto"/>
            <w:noWrap/>
            <w:vAlign w:val="bottom"/>
            <w:hideMark/>
          </w:tcPr>
          <w:p w:rsidR="00FF423A" w:rsidRPr="00346A27" w:rsidRDefault="00FF423A" w:rsidP="00036CD6">
            <w:pPr>
              <w:keepNext w:val="0"/>
              <w:spacing w:after="0"/>
              <w:jc w:val="right"/>
              <w:rPr>
                <w:rFonts w:ascii="Arial" w:hAnsi="Arial" w:cs="Arial"/>
                <w:b/>
                <w:bCs/>
                <w:sz w:val="16"/>
                <w:szCs w:val="16"/>
              </w:rPr>
            </w:pPr>
            <w:r w:rsidRPr="00346A27">
              <w:rPr>
                <w:rFonts w:ascii="Arial" w:hAnsi="Arial" w:cs="Arial"/>
                <w:b/>
                <w:bCs/>
                <w:sz w:val="16"/>
                <w:szCs w:val="16"/>
              </w:rPr>
              <w:t>1,997</w:t>
            </w:r>
          </w:p>
        </w:tc>
        <w:tc>
          <w:tcPr>
            <w:tcW w:w="900" w:type="dxa"/>
            <w:tcBorders>
              <w:top w:val="nil"/>
              <w:left w:val="nil"/>
              <w:bottom w:val="single" w:sz="4" w:space="0" w:color="auto"/>
              <w:right w:val="nil"/>
            </w:tcBorders>
            <w:shd w:val="clear" w:color="auto" w:fill="auto"/>
            <w:noWrap/>
            <w:vAlign w:val="bottom"/>
            <w:hideMark/>
          </w:tcPr>
          <w:p w:rsidR="00FF423A" w:rsidRPr="00346A27" w:rsidRDefault="00FF423A" w:rsidP="00036CD6">
            <w:pPr>
              <w:keepNext w:val="0"/>
              <w:spacing w:after="0"/>
              <w:jc w:val="right"/>
              <w:rPr>
                <w:rFonts w:ascii="Arial" w:hAnsi="Arial" w:cs="Arial"/>
                <w:b/>
                <w:bCs/>
                <w:sz w:val="16"/>
                <w:szCs w:val="16"/>
              </w:rPr>
            </w:pPr>
            <w:r w:rsidRPr="00346A27">
              <w:rPr>
                <w:rFonts w:ascii="Arial" w:hAnsi="Arial" w:cs="Arial"/>
                <w:b/>
                <w:bCs/>
                <w:sz w:val="16"/>
                <w:szCs w:val="16"/>
              </w:rPr>
              <w:t>2,011</w:t>
            </w:r>
          </w:p>
        </w:tc>
      </w:tr>
      <w:tr w:rsidR="00346A27" w:rsidRPr="00346A27" w:rsidTr="00036CD6">
        <w:trPr>
          <w:trHeight w:val="300"/>
        </w:trPr>
        <w:tc>
          <w:tcPr>
            <w:tcW w:w="2860" w:type="dxa"/>
            <w:tcBorders>
              <w:top w:val="nil"/>
              <w:left w:val="nil"/>
              <w:bottom w:val="nil"/>
              <w:right w:val="nil"/>
            </w:tcBorders>
            <w:shd w:val="clear" w:color="000000" w:fill="FFFFFF"/>
            <w:noWrap/>
            <w:vAlign w:val="bottom"/>
            <w:hideMark/>
          </w:tcPr>
          <w:p w:rsidR="00FF423A" w:rsidRPr="00346A27" w:rsidRDefault="00FF423A" w:rsidP="00FF423A">
            <w:pPr>
              <w:keepNext w:val="0"/>
              <w:spacing w:after="0"/>
              <w:rPr>
                <w:rFonts w:ascii="Arial" w:hAnsi="Arial" w:cs="Arial"/>
                <w:b/>
                <w:bCs/>
                <w:sz w:val="16"/>
                <w:szCs w:val="16"/>
              </w:rPr>
            </w:pPr>
            <w:r w:rsidRPr="00346A27">
              <w:rPr>
                <w:rFonts w:ascii="Arial" w:hAnsi="Arial" w:cs="Arial"/>
                <w:b/>
                <w:bCs/>
                <w:sz w:val="16"/>
                <w:szCs w:val="16"/>
              </w:rPr>
              <w:t>RECONCILIATION OF CASH USED</w:t>
            </w:r>
          </w:p>
        </w:tc>
        <w:tc>
          <w:tcPr>
            <w:tcW w:w="981" w:type="dxa"/>
            <w:tcBorders>
              <w:top w:val="nil"/>
              <w:left w:val="nil"/>
              <w:bottom w:val="nil"/>
              <w:right w:val="nil"/>
            </w:tcBorders>
            <w:shd w:val="clear" w:color="auto" w:fill="auto"/>
            <w:noWrap/>
            <w:vAlign w:val="bottom"/>
            <w:hideMark/>
          </w:tcPr>
          <w:p w:rsidR="00FF423A" w:rsidRPr="00346A27" w:rsidRDefault="00FF423A" w:rsidP="00036CD6">
            <w:pPr>
              <w:keepNext w:val="0"/>
              <w:spacing w:after="0"/>
              <w:jc w:val="right"/>
              <w:rPr>
                <w:rFonts w:ascii="Arial" w:hAnsi="Arial" w:cs="Arial"/>
                <w:b/>
                <w:bCs/>
                <w:sz w:val="16"/>
                <w:szCs w:val="16"/>
              </w:rPr>
            </w:pPr>
          </w:p>
        </w:tc>
        <w:tc>
          <w:tcPr>
            <w:tcW w:w="900" w:type="dxa"/>
            <w:tcBorders>
              <w:top w:val="nil"/>
              <w:left w:val="nil"/>
              <w:bottom w:val="nil"/>
              <w:right w:val="nil"/>
            </w:tcBorders>
            <w:shd w:val="clear" w:color="000000" w:fill="D9D9D9"/>
            <w:noWrap/>
            <w:vAlign w:val="bottom"/>
          </w:tcPr>
          <w:p w:rsidR="00FF423A" w:rsidRPr="00346A27" w:rsidRDefault="00FF423A" w:rsidP="00036CD6">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FF423A" w:rsidRPr="00346A27" w:rsidRDefault="00FF423A" w:rsidP="00036CD6">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FF423A" w:rsidRPr="00346A27" w:rsidRDefault="00FF423A" w:rsidP="00036CD6">
            <w:pPr>
              <w:keepNext w:val="0"/>
              <w:spacing w:after="0"/>
              <w:jc w:val="right"/>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rsidR="00FF423A" w:rsidRPr="00346A27" w:rsidRDefault="00FF423A" w:rsidP="00036CD6">
            <w:pPr>
              <w:keepNext w:val="0"/>
              <w:spacing w:after="0"/>
              <w:jc w:val="right"/>
              <w:rPr>
                <w:rFonts w:ascii="Arial" w:hAnsi="Arial" w:cs="Arial"/>
                <w:b/>
                <w:bCs/>
                <w:sz w:val="16"/>
                <w:szCs w:val="16"/>
              </w:rPr>
            </w:pPr>
          </w:p>
        </w:tc>
      </w:tr>
      <w:tr w:rsidR="00346A27" w:rsidRPr="00346A27" w:rsidTr="00036CD6">
        <w:trPr>
          <w:trHeight w:val="225"/>
        </w:trPr>
        <w:tc>
          <w:tcPr>
            <w:tcW w:w="2860" w:type="dxa"/>
            <w:tcBorders>
              <w:top w:val="nil"/>
              <w:left w:val="nil"/>
              <w:bottom w:val="nil"/>
              <w:right w:val="nil"/>
            </w:tcBorders>
            <w:shd w:val="clear" w:color="000000" w:fill="FFFFFF"/>
            <w:noWrap/>
            <w:vAlign w:val="bottom"/>
            <w:hideMark/>
          </w:tcPr>
          <w:p w:rsidR="00FF423A" w:rsidRPr="00346A27" w:rsidRDefault="00FF423A" w:rsidP="00FF423A">
            <w:pPr>
              <w:keepNext w:val="0"/>
              <w:spacing w:after="0"/>
              <w:ind w:firstLineChars="100" w:firstLine="161"/>
              <w:rPr>
                <w:rFonts w:ascii="Arial" w:hAnsi="Arial" w:cs="Arial"/>
                <w:b/>
                <w:bCs/>
                <w:sz w:val="16"/>
                <w:szCs w:val="16"/>
              </w:rPr>
            </w:pPr>
            <w:r w:rsidRPr="00346A27">
              <w:rPr>
                <w:rFonts w:ascii="Arial" w:hAnsi="Arial" w:cs="Arial"/>
                <w:b/>
                <w:bCs/>
                <w:sz w:val="16"/>
                <w:szCs w:val="16"/>
              </w:rPr>
              <w:t>TO ACQUIRE ASSETS TO</w:t>
            </w:r>
          </w:p>
        </w:tc>
        <w:tc>
          <w:tcPr>
            <w:tcW w:w="981" w:type="dxa"/>
            <w:tcBorders>
              <w:top w:val="nil"/>
              <w:left w:val="nil"/>
              <w:bottom w:val="nil"/>
              <w:right w:val="nil"/>
            </w:tcBorders>
            <w:shd w:val="clear" w:color="auto" w:fill="auto"/>
            <w:noWrap/>
            <w:vAlign w:val="bottom"/>
            <w:hideMark/>
          </w:tcPr>
          <w:p w:rsidR="00FF423A" w:rsidRPr="00346A27" w:rsidRDefault="00FF423A" w:rsidP="00036CD6">
            <w:pPr>
              <w:keepNext w:val="0"/>
              <w:spacing w:after="0"/>
              <w:jc w:val="right"/>
              <w:rPr>
                <w:rFonts w:ascii="Arial" w:hAnsi="Arial" w:cs="Arial"/>
                <w:b/>
                <w:bCs/>
                <w:sz w:val="16"/>
                <w:szCs w:val="16"/>
              </w:rPr>
            </w:pPr>
          </w:p>
        </w:tc>
        <w:tc>
          <w:tcPr>
            <w:tcW w:w="900" w:type="dxa"/>
            <w:tcBorders>
              <w:top w:val="nil"/>
              <w:left w:val="nil"/>
              <w:bottom w:val="nil"/>
              <w:right w:val="nil"/>
            </w:tcBorders>
            <w:shd w:val="clear" w:color="000000" w:fill="D9D9D9"/>
            <w:noWrap/>
            <w:vAlign w:val="bottom"/>
          </w:tcPr>
          <w:p w:rsidR="00FF423A" w:rsidRPr="00346A27" w:rsidRDefault="00FF423A" w:rsidP="00036CD6">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FF423A" w:rsidRPr="00346A27" w:rsidRDefault="00FF423A" w:rsidP="00036CD6">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FF423A" w:rsidRPr="00346A27" w:rsidRDefault="00FF423A" w:rsidP="00036CD6">
            <w:pPr>
              <w:keepNext w:val="0"/>
              <w:spacing w:after="0"/>
              <w:jc w:val="right"/>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rsidR="00FF423A" w:rsidRPr="00346A27" w:rsidRDefault="00FF423A" w:rsidP="00036CD6">
            <w:pPr>
              <w:keepNext w:val="0"/>
              <w:spacing w:after="0"/>
              <w:jc w:val="right"/>
              <w:rPr>
                <w:rFonts w:ascii="Arial" w:hAnsi="Arial" w:cs="Arial"/>
                <w:b/>
                <w:bCs/>
                <w:sz w:val="16"/>
                <w:szCs w:val="16"/>
              </w:rPr>
            </w:pPr>
          </w:p>
        </w:tc>
      </w:tr>
      <w:tr w:rsidR="00346A27" w:rsidRPr="00346A27" w:rsidTr="00036CD6">
        <w:trPr>
          <w:trHeight w:val="225"/>
        </w:trPr>
        <w:tc>
          <w:tcPr>
            <w:tcW w:w="2860" w:type="dxa"/>
            <w:tcBorders>
              <w:top w:val="nil"/>
              <w:left w:val="nil"/>
              <w:bottom w:val="nil"/>
              <w:right w:val="nil"/>
            </w:tcBorders>
            <w:shd w:val="clear" w:color="000000" w:fill="FFFFFF"/>
            <w:noWrap/>
            <w:vAlign w:val="bottom"/>
            <w:hideMark/>
          </w:tcPr>
          <w:p w:rsidR="00FF423A" w:rsidRPr="00346A27" w:rsidRDefault="00FF423A" w:rsidP="00FF423A">
            <w:pPr>
              <w:keepNext w:val="0"/>
              <w:spacing w:after="0"/>
              <w:ind w:firstLineChars="100" w:firstLine="161"/>
              <w:rPr>
                <w:rFonts w:ascii="Arial" w:hAnsi="Arial" w:cs="Arial"/>
                <w:b/>
                <w:bCs/>
                <w:sz w:val="16"/>
                <w:szCs w:val="16"/>
              </w:rPr>
            </w:pPr>
            <w:r w:rsidRPr="00346A27">
              <w:rPr>
                <w:rFonts w:ascii="Arial" w:hAnsi="Arial" w:cs="Arial"/>
                <w:b/>
                <w:bCs/>
                <w:sz w:val="16"/>
                <w:szCs w:val="16"/>
              </w:rPr>
              <w:t>ASSET MOVEMENT TABLE</w:t>
            </w:r>
          </w:p>
        </w:tc>
        <w:tc>
          <w:tcPr>
            <w:tcW w:w="981" w:type="dxa"/>
            <w:tcBorders>
              <w:top w:val="nil"/>
              <w:left w:val="nil"/>
              <w:bottom w:val="nil"/>
              <w:right w:val="nil"/>
            </w:tcBorders>
            <w:shd w:val="clear" w:color="auto" w:fill="auto"/>
            <w:noWrap/>
            <w:vAlign w:val="bottom"/>
            <w:hideMark/>
          </w:tcPr>
          <w:p w:rsidR="00FF423A" w:rsidRPr="00346A27" w:rsidRDefault="00FF423A" w:rsidP="00036CD6">
            <w:pPr>
              <w:keepNext w:val="0"/>
              <w:spacing w:after="0"/>
              <w:jc w:val="right"/>
              <w:rPr>
                <w:rFonts w:ascii="Arial" w:hAnsi="Arial" w:cs="Arial"/>
                <w:b/>
                <w:bCs/>
                <w:sz w:val="16"/>
                <w:szCs w:val="16"/>
              </w:rPr>
            </w:pPr>
          </w:p>
        </w:tc>
        <w:tc>
          <w:tcPr>
            <w:tcW w:w="900" w:type="dxa"/>
            <w:tcBorders>
              <w:top w:val="nil"/>
              <w:left w:val="nil"/>
              <w:bottom w:val="nil"/>
              <w:right w:val="nil"/>
            </w:tcBorders>
            <w:shd w:val="clear" w:color="000000" w:fill="D9D9D9"/>
            <w:noWrap/>
            <w:vAlign w:val="bottom"/>
          </w:tcPr>
          <w:p w:rsidR="00FF423A" w:rsidRPr="00346A27" w:rsidRDefault="00FF423A" w:rsidP="00036CD6">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FF423A" w:rsidRPr="00346A27" w:rsidRDefault="00FF423A" w:rsidP="00036CD6">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FF423A" w:rsidRPr="00346A27" w:rsidRDefault="00FF423A" w:rsidP="00036CD6">
            <w:pPr>
              <w:keepNext w:val="0"/>
              <w:spacing w:after="0"/>
              <w:jc w:val="right"/>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rsidR="00FF423A" w:rsidRPr="00346A27" w:rsidRDefault="00FF423A" w:rsidP="00036CD6">
            <w:pPr>
              <w:keepNext w:val="0"/>
              <w:spacing w:after="0"/>
              <w:jc w:val="right"/>
              <w:rPr>
                <w:rFonts w:ascii="Arial" w:hAnsi="Arial" w:cs="Arial"/>
                <w:b/>
                <w:bCs/>
                <w:sz w:val="16"/>
                <w:szCs w:val="16"/>
              </w:rPr>
            </w:pPr>
          </w:p>
        </w:tc>
      </w:tr>
      <w:tr w:rsidR="00346A27" w:rsidRPr="00346A27" w:rsidTr="00036CD6">
        <w:trPr>
          <w:trHeight w:val="225"/>
        </w:trPr>
        <w:tc>
          <w:tcPr>
            <w:tcW w:w="2860" w:type="dxa"/>
            <w:tcBorders>
              <w:top w:val="nil"/>
              <w:left w:val="nil"/>
              <w:bottom w:val="nil"/>
              <w:right w:val="nil"/>
            </w:tcBorders>
            <w:shd w:val="clear" w:color="000000" w:fill="FFFFFF"/>
            <w:noWrap/>
            <w:vAlign w:val="bottom"/>
            <w:hideMark/>
          </w:tcPr>
          <w:p w:rsidR="00FF423A" w:rsidRPr="00346A27" w:rsidRDefault="00FF423A" w:rsidP="00FF423A">
            <w:pPr>
              <w:keepNext w:val="0"/>
              <w:spacing w:after="0"/>
              <w:ind w:firstLineChars="100" w:firstLine="161"/>
              <w:rPr>
                <w:rFonts w:ascii="Arial" w:hAnsi="Arial" w:cs="Arial"/>
                <w:b/>
                <w:bCs/>
                <w:sz w:val="16"/>
                <w:szCs w:val="16"/>
              </w:rPr>
            </w:pPr>
            <w:r w:rsidRPr="00346A27">
              <w:rPr>
                <w:rFonts w:ascii="Arial" w:hAnsi="Arial" w:cs="Arial"/>
                <w:b/>
                <w:bCs/>
                <w:sz w:val="16"/>
                <w:szCs w:val="16"/>
              </w:rPr>
              <w:t>Total purchases</w:t>
            </w:r>
          </w:p>
        </w:tc>
        <w:tc>
          <w:tcPr>
            <w:tcW w:w="981" w:type="dxa"/>
            <w:tcBorders>
              <w:top w:val="nil"/>
              <w:left w:val="nil"/>
              <w:bottom w:val="single" w:sz="4" w:space="0" w:color="auto"/>
              <w:right w:val="nil"/>
            </w:tcBorders>
            <w:shd w:val="clear" w:color="auto" w:fill="auto"/>
            <w:noWrap/>
            <w:vAlign w:val="bottom"/>
            <w:hideMark/>
          </w:tcPr>
          <w:p w:rsidR="00FF423A" w:rsidRPr="00346A27" w:rsidRDefault="00FF423A" w:rsidP="00036CD6">
            <w:pPr>
              <w:keepNext w:val="0"/>
              <w:spacing w:after="0"/>
              <w:jc w:val="right"/>
              <w:rPr>
                <w:rFonts w:ascii="Arial" w:hAnsi="Arial" w:cs="Arial"/>
                <w:b/>
                <w:bCs/>
                <w:sz w:val="16"/>
                <w:szCs w:val="16"/>
              </w:rPr>
            </w:pPr>
            <w:r w:rsidRPr="00346A27">
              <w:rPr>
                <w:rFonts w:ascii="Arial" w:hAnsi="Arial" w:cs="Arial"/>
                <w:b/>
                <w:bCs/>
                <w:sz w:val="16"/>
                <w:szCs w:val="16"/>
              </w:rPr>
              <w:t>2,003</w:t>
            </w:r>
          </w:p>
        </w:tc>
        <w:tc>
          <w:tcPr>
            <w:tcW w:w="900" w:type="dxa"/>
            <w:tcBorders>
              <w:top w:val="nil"/>
              <w:left w:val="nil"/>
              <w:bottom w:val="single" w:sz="4" w:space="0" w:color="auto"/>
              <w:right w:val="nil"/>
            </w:tcBorders>
            <w:shd w:val="clear" w:color="000000" w:fill="D9D9D9"/>
            <w:noWrap/>
            <w:vAlign w:val="bottom"/>
            <w:hideMark/>
          </w:tcPr>
          <w:p w:rsidR="00FF423A" w:rsidRPr="00346A27" w:rsidRDefault="00FF423A" w:rsidP="00036CD6">
            <w:pPr>
              <w:keepNext w:val="0"/>
              <w:spacing w:after="0"/>
              <w:jc w:val="right"/>
              <w:rPr>
                <w:rFonts w:ascii="Arial" w:hAnsi="Arial" w:cs="Arial"/>
                <w:b/>
                <w:bCs/>
                <w:sz w:val="16"/>
                <w:szCs w:val="16"/>
              </w:rPr>
            </w:pPr>
            <w:r w:rsidRPr="00346A27">
              <w:rPr>
                <w:rFonts w:ascii="Arial" w:hAnsi="Arial" w:cs="Arial"/>
                <w:b/>
                <w:bCs/>
                <w:sz w:val="16"/>
                <w:szCs w:val="16"/>
              </w:rPr>
              <w:t>1,979</w:t>
            </w:r>
          </w:p>
        </w:tc>
        <w:tc>
          <w:tcPr>
            <w:tcW w:w="900" w:type="dxa"/>
            <w:tcBorders>
              <w:top w:val="nil"/>
              <w:left w:val="nil"/>
              <w:bottom w:val="single" w:sz="4" w:space="0" w:color="auto"/>
              <w:right w:val="nil"/>
            </w:tcBorders>
            <w:shd w:val="clear" w:color="auto" w:fill="auto"/>
            <w:noWrap/>
            <w:vAlign w:val="bottom"/>
            <w:hideMark/>
          </w:tcPr>
          <w:p w:rsidR="00FF423A" w:rsidRPr="00346A27" w:rsidRDefault="00FF423A" w:rsidP="00036CD6">
            <w:pPr>
              <w:keepNext w:val="0"/>
              <w:spacing w:after="0"/>
              <w:jc w:val="right"/>
              <w:rPr>
                <w:rFonts w:ascii="Arial" w:hAnsi="Arial" w:cs="Arial"/>
                <w:b/>
                <w:bCs/>
                <w:sz w:val="16"/>
                <w:szCs w:val="16"/>
              </w:rPr>
            </w:pPr>
            <w:r w:rsidRPr="00346A27">
              <w:rPr>
                <w:rFonts w:ascii="Arial" w:hAnsi="Arial" w:cs="Arial"/>
                <w:b/>
                <w:bCs/>
                <w:sz w:val="16"/>
                <w:szCs w:val="16"/>
              </w:rPr>
              <w:t>1,978</w:t>
            </w:r>
          </w:p>
        </w:tc>
        <w:tc>
          <w:tcPr>
            <w:tcW w:w="900" w:type="dxa"/>
            <w:tcBorders>
              <w:top w:val="nil"/>
              <w:left w:val="nil"/>
              <w:bottom w:val="single" w:sz="4" w:space="0" w:color="auto"/>
              <w:right w:val="nil"/>
            </w:tcBorders>
            <w:shd w:val="clear" w:color="auto" w:fill="auto"/>
            <w:noWrap/>
            <w:vAlign w:val="bottom"/>
            <w:hideMark/>
          </w:tcPr>
          <w:p w:rsidR="00FF423A" w:rsidRPr="00346A27" w:rsidRDefault="00FF423A" w:rsidP="00036CD6">
            <w:pPr>
              <w:keepNext w:val="0"/>
              <w:spacing w:after="0"/>
              <w:jc w:val="right"/>
              <w:rPr>
                <w:rFonts w:ascii="Arial" w:hAnsi="Arial" w:cs="Arial"/>
                <w:b/>
                <w:bCs/>
                <w:sz w:val="16"/>
                <w:szCs w:val="16"/>
              </w:rPr>
            </w:pPr>
            <w:r w:rsidRPr="00346A27">
              <w:rPr>
                <w:rFonts w:ascii="Arial" w:hAnsi="Arial" w:cs="Arial"/>
                <w:b/>
                <w:bCs/>
                <w:sz w:val="16"/>
                <w:szCs w:val="16"/>
              </w:rPr>
              <w:t>1,997</w:t>
            </w:r>
          </w:p>
        </w:tc>
        <w:tc>
          <w:tcPr>
            <w:tcW w:w="900" w:type="dxa"/>
            <w:tcBorders>
              <w:top w:val="nil"/>
              <w:left w:val="nil"/>
              <w:bottom w:val="single" w:sz="4" w:space="0" w:color="auto"/>
              <w:right w:val="nil"/>
            </w:tcBorders>
            <w:shd w:val="clear" w:color="auto" w:fill="auto"/>
            <w:noWrap/>
            <w:vAlign w:val="bottom"/>
            <w:hideMark/>
          </w:tcPr>
          <w:p w:rsidR="00FF423A" w:rsidRPr="00346A27" w:rsidRDefault="00FF423A" w:rsidP="00036CD6">
            <w:pPr>
              <w:keepNext w:val="0"/>
              <w:spacing w:after="0"/>
              <w:jc w:val="right"/>
              <w:rPr>
                <w:rFonts w:ascii="Arial" w:hAnsi="Arial" w:cs="Arial"/>
                <w:b/>
                <w:bCs/>
                <w:sz w:val="16"/>
                <w:szCs w:val="16"/>
              </w:rPr>
            </w:pPr>
            <w:r w:rsidRPr="00346A27">
              <w:rPr>
                <w:rFonts w:ascii="Arial" w:hAnsi="Arial" w:cs="Arial"/>
                <w:b/>
                <w:bCs/>
                <w:sz w:val="16"/>
                <w:szCs w:val="16"/>
              </w:rPr>
              <w:t>2,011</w:t>
            </w:r>
          </w:p>
        </w:tc>
      </w:tr>
      <w:tr w:rsidR="00346A27" w:rsidRPr="00346A27" w:rsidTr="00036CD6">
        <w:trPr>
          <w:trHeight w:val="225"/>
        </w:trPr>
        <w:tc>
          <w:tcPr>
            <w:tcW w:w="2860" w:type="dxa"/>
            <w:tcBorders>
              <w:top w:val="nil"/>
              <w:left w:val="nil"/>
              <w:bottom w:val="nil"/>
              <w:right w:val="nil"/>
            </w:tcBorders>
            <w:shd w:val="clear" w:color="000000" w:fill="FFFFFF"/>
            <w:noWrap/>
            <w:vAlign w:val="bottom"/>
            <w:hideMark/>
          </w:tcPr>
          <w:p w:rsidR="00FF423A" w:rsidRPr="00346A27" w:rsidRDefault="00FF423A" w:rsidP="00FF423A">
            <w:pPr>
              <w:keepNext w:val="0"/>
              <w:spacing w:after="0"/>
              <w:ind w:firstLineChars="100" w:firstLine="161"/>
              <w:rPr>
                <w:rFonts w:ascii="Arial" w:hAnsi="Arial" w:cs="Arial"/>
                <w:b/>
                <w:bCs/>
                <w:sz w:val="16"/>
                <w:szCs w:val="16"/>
              </w:rPr>
            </w:pPr>
            <w:r w:rsidRPr="00346A27">
              <w:rPr>
                <w:rFonts w:ascii="Arial" w:hAnsi="Arial" w:cs="Arial"/>
                <w:b/>
                <w:bCs/>
                <w:sz w:val="16"/>
                <w:szCs w:val="16"/>
              </w:rPr>
              <w:t>Total cash used to acquire</w:t>
            </w:r>
          </w:p>
        </w:tc>
        <w:tc>
          <w:tcPr>
            <w:tcW w:w="981" w:type="dxa"/>
            <w:tcBorders>
              <w:top w:val="nil"/>
              <w:left w:val="nil"/>
              <w:bottom w:val="nil"/>
              <w:right w:val="nil"/>
            </w:tcBorders>
            <w:shd w:val="clear" w:color="auto" w:fill="auto"/>
            <w:noWrap/>
            <w:vAlign w:val="bottom"/>
            <w:hideMark/>
          </w:tcPr>
          <w:p w:rsidR="00FF423A" w:rsidRPr="00346A27" w:rsidRDefault="00FF423A" w:rsidP="00036CD6">
            <w:pPr>
              <w:keepNext w:val="0"/>
              <w:spacing w:after="0"/>
              <w:jc w:val="right"/>
              <w:rPr>
                <w:rFonts w:ascii="Arial" w:hAnsi="Arial" w:cs="Arial"/>
                <w:sz w:val="16"/>
                <w:szCs w:val="16"/>
              </w:rPr>
            </w:pPr>
          </w:p>
        </w:tc>
        <w:tc>
          <w:tcPr>
            <w:tcW w:w="900" w:type="dxa"/>
            <w:tcBorders>
              <w:top w:val="nil"/>
              <w:left w:val="nil"/>
              <w:bottom w:val="nil"/>
              <w:right w:val="nil"/>
            </w:tcBorders>
            <w:shd w:val="clear" w:color="000000" w:fill="D9D9D9"/>
            <w:noWrap/>
            <w:vAlign w:val="bottom"/>
            <w:hideMark/>
          </w:tcPr>
          <w:p w:rsidR="00FF423A" w:rsidRPr="00346A27" w:rsidRDefault="00FF423A" w:rsidP="00036CD6">
            <w:pPr>
              <w:keepNext w:val="0"/>
              <w:spacing w:after="0"/>
              <w:jc w:val="right"/>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rsidR="00FF423A" w:rsidRPr="00346A27" w:rsidRDefault="00FF423A" w:rsidP="00036CD6">
            <w:pPr>
              <w:keepNext w:val="0"/>
              <w:spacing w:after="0"/>
              <w:jc w:val="right"/>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rsidR="00FF423A" w:rsidRPr="00346A27" w:rsidRDefault="00FF423A" w:rsidP="00036CD6">
            <w:pPr>
              <w:keepNext w:val="0"/>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rsidR="00FF423A" w:rsidRPr="00346A27" w:rsidRDefault="00FF423A" w:rsidP="00036CD6">
            <w:pPr>
              <w:keepNext w:val="0"/>
              <w:spacing w:after="0"/>
              <w:jc w:val="right"/>
              <w:rPr>
                <w:rFonts w:ascii="Arial" w:hAnsi="Arial" w:cs="Arial"/>
                <w:sz w:val="16"/>
                <w:szCs w:val="16"/>
              </w:rPr>
            </w:pPr>
          </w:p>
        </w:tc>
      </w:tr>
      <w:tr w:rsidR="00346A27" w:rsidRPr="00346A27" w:rsidTr="00036CD6">
        <w:trPr>
          <w:trHeight w:val="225"/>
        </w:trPr>
        <w:tc>
          <w:tcPr>
            <w:tcW w:w="2860" w:type="dxa"/>
            <w:tcBorders>
              <w:top w:val="nil"/>
              <w:left w:val="nil"/>
              <w:bottom w:val="single" w:sz="4" w:space="0" w:color="auto"/>
              <w:right w:val="nil"/>
            </w:tcBorders>
            <w:shd w:val="clear" w:color="000000" w:fill="FFFFFF"/>
            <w:noWrap/>
            <w:vAlign w:val="bottom"/>
            <w:hideMark/>
          </w:tcPr>
          <w:p w:rsidR="00FF423A" w:rsidRPr="00346A27" w:rsidRDefault="00FF423A" w:rsidP="00FF423A">
            <w:pPr>
              <w:keepNext w:val="0"/>
              <w:spacing w:after="0"/>
              <w:ind w:firstLineChars="200" w:firstLine="321"/>
              <w:rPr>
                <w:rFonts w:ascii="Arial" w:hAnsi="Arial" w:cs="Arial"/>
                <w:b/>
                <w:bCs/>
                <w:sz w:val="16"/>
                <w:szCs w:val="16"/>
              </w:rPr>
            </w:pPr>
            <w:r w:rsidRPr="00346A27">
              <w:rPr>
                <w:rFonts w:ascii="Arial" w:hAnsi="Arial" w:cs="Arial"/>
                <w:b/>
                <w:bCs/>
                <w:sz w:val="16"/>
                <w:szCs w:val="16"/>
              </w:rPr>
              <w:t>assets</w:t>
            </w:r>
          </w:p>
        </w:tc>
        <w:tc>
          <w:tcPr>
            <w:tcW w:w="981" w:type="dxa"/>
            <w:tcBorders>
              <w:top w:val="nil"/>
              <w:left w:val="nil"/>
              <w:bottom w:val="single" w:sz="4" w:space="0" w:color="auto"/>
              <w:right w:val="nil"/>
            </w:tcBorders>
            <w:shd w:val="clear" w:color="auto" w:fill="auto"/>
            <w:noWrap/>
            <w:vAlign w:val="bottom"/>
            <w:hideMark/>
          </w:tcPr>
          <w:p w:rsidR="00FF423A" w:rsidRPr="00346A27" w:rsidRDefault="00FF423A" w:rsidP="00036CD6">
            <w:pPr>
              <w:keepNext w:val="0"/>
              <w:spacing w:after="0"/>
              <w:jc w:val="right"/>
              <w:rPr>
                <w:rFonts w:ascii="Arial" w:hAnsi="Arial" w:cs="Arial"/>
                <w:b/>
                <w:bCs/>
                <w:sz w:val="16"/>
                <w:szCs w:val="16"/>
              </w:rPr>
            </w:pPr>
            <w:r w:rsidRPr="00346A27">
              <w:rPr>
                <w:rFonts w:ascii="Arial" w:hAnsi="Arial" w:cs="Arial"/>
                <w:b/>
                <w:bCs/>
                <w:sz w:val="16"/>
                <w:szCs w:val="16"/>
              </w:rPr>
              <w:t>2,003</w:t>
            </w:r>
          </w:p>
        </w:tc>
        <w:tc>
          <w:tcPr>
            <w:tcW w:w="900" w:type="dxa"/>
            <w:tcBorders>
              <w:top w:val="nil"/>
              <w:left w:val="nil"/>
              <w:bottom w:val="single" w:sz="4" w:space="0" w:color="auto"/>
              <w:right w:val="nil"/>
            </w:tcBorders>
            <w:shd w:val="clear" w:color="000000" w:fill="D9D9D9"/>
            <w:noWrap/>
            <w:vAlign w:val="bottom"/>
            <w:hideMark/>
          </w:tcPr>
          <w:p w:rsidR="00FF423A" w:rsidRPr="00346A27" w:rsidRDefault="00FF423A" w:rsidP="00036CD6">
            <w:pPr>
              <w:keepNext w:val="0"/>
              <w:spacing w:after="0"/>
              <w:jc w:val="right"/>
              <w:rPr>
                <w:rFonts w:ascii="Arial" w:hAnsi="Arial" w:cs="Arial"/>
                <w:b/>
                <w:bCs/>
                <w:sz w:val="16"/>
                <w:szCs w:val="16"/>
              </w:rPr>
            </w:pPr>
            <w:r w:rsidRPr="00346A27">
              <w:rPr>
                <w:rFonts w:ascii="Arial" w:hAnsi="Arial" w:cs="Arial"/>
                <w:b/>
                <w:bCs/>
                <w:sz w:val="16"/>
                <w:szCs w:val="16"/>
              </w:rPr>
              <w:t>1,979</w:t>
            </w:r>
          </w:p>
        </w:tc>
        <w:tc>
          <w:tcPr>
            <w:tcW w:w="900" w:type="dxa"/>
            <w:tcBorders>
              <w:top w:val="nil"/>
              <w:left w:val="nil"/>
              <w:bottom w:val="single" w:sz="4" w:space="0" w:color="auto"/>
              <w:right w:val="nil"/>
            </w:tcBorders>
            <w:shd w:val="clear" w:color="auto" w:fill="auto"/>
            <w:noWrap/>
            <w:vAlign w:val="bottom"/>
            <w:hideMark/>
          </w:tcPr>
          <w:p w:rsidR="00FF423A" w:rsidRPr="00346A27" w:rsidRDefault="00FF423A" w:rsidP="00036CD6">
            <w:pPr>
              <w:keepNext w:val="0"/>
              <w:spacing w:after="0"/>
              <w:jc w:val="right"/>
              <w:rPr>
                <w:rFonts w:ascii="Arial" w:hAnsi="Arial" w:cs="Arial"/>
                <w:b/>
                <w:bCs/>
                <w:sz w:val="16"/>
                <w:szCs w:val="16"/>
              </w:rPr>
            </w:pPr>
            <w:r w:rsidRPr="00346A27">
              <w:rPr>
                <w:rFonts w:ascii="Arial" w:hAnsi="Arial" w:cs="Arial"/>
                <w:b/>
                <w:bCs/>
                <w:sz w:val="16"/>
                <w:szCs w:val="16"/>
              </w:rPr>
              <w:t>1,978</w:t>
            </w:r>
          </w:p>
        </w:tc>
        <w:tc>
          <w:tcPr>
            <w:tcW w:w="900" w:type="dxa"/>
            <w:tcBorders>
              <w:top w:val="nil"/>
              <w:left w:val="nil"/>
              <w:bottom w:val="single" w:sz="4" w:space="0" w:color="auto"/>
              <w:right w:val="nil"/>
            </w:tcBorders>
            <w:shd w:val="clear" w:color="auto" w:fill="auto"/>
            <w:noWrap/>
            <w:vAlign w:val="bottom"/>
            <w:hideMark/>
          </w:tcPr>
          <w:p w:rsidR="00FF423A" w:rsidRPr="00346A27" w:rsidRDefault="00FF423A" w:rsidP="00036CD6">
            <w:pPr>
              <w:keepNext w:val="0"/>
              <w:spacing w:after="0"/>
              <w:jc w:val="right"/>
              <w:rPr>
                <w:rFonts w:ascii="Arial" w:hAnsi="Arial" w:cs="Arial"/>
                <w:b/>
                <w:bCs/>
                <w:sz w:val="16"/>
                <w:szCs w:val="16"/>
              </w:rPr>
            </w:pPr>
            <w:r w:rsidRPr="00346A27">
              <w:rPr>
                <w:rFonts w:ascii="Arial" w:hAnsi="Arial" w:cs="Arial"/>
                <w:b/>
                <w:bCs/>
                <w:sz w:val="16"/>
                <w:szCs w:val="16"/>
              </w:rPr>
              <w:t>1,997</w:t>
            </w:r>
          </w:p>
        </w:tc>
        <w:tc>
          <w:tcPr>
            <w:tcW w:w="900" w:type="dxa"/>
            <w:tcBorders>
              <w:top w:val="nil"/>
              <w:left w:val="nil"/>
              <w:bottom w:val="single" w:sz="4" w:space="0" w:color="auto"/>
              <w:right w:val="nil"/>
            </w:tcBorders>
            <w:shd w:val="clear" w:color="auto" w:fill="auto"/>
            <w:noWrap/>
            <w:vAlign w:val="bottom"/>
            <w:hideMark/>
          </w:tcPr>
          <w:p w:rsidR="00FF423A" w:rsidRPr="00346A27" w:rsidRDefault="00FF423A" w:rsidP="00036CD6">
            <w:pPr>
              <w:keepNext w:val="0"/>
              <w:spacing w:after="0"/>
              <w:jc w:val="right"/>
              <w:rPr>
                <w:rFonts w:ascii="Arial" w:hAnsi="Arial" w:cs="Arial"/>
                <w:b/>
                <w:bCs/>
                <w:sz w:val="16"/>
                <w:szCs w:val="16"/>
              </w:rPr>
            </w:pPr>
            <w:r w:rsidRPr="00346A27">
              <w:rPr>
                <w:rFonts w:ascii="Arial" w:hAnsi="Arial" w:cs="Arial"/>
                <w:b/>
                <w:bCs/>
                <w:sz w:val="16"/>
                <w:szCs w:val="16"/>
              </w:rPr>
              <w:t>2,011</w:t>
            </w:r>
          </w:p>
        </w:tc>
      </w:tr>
    </w:tbl>
    <w:p w:rsidR="000F3266" w:rsidRPr="00346A27" w:rsidRDefault="000F3266" w:rsidP="000F3266">
      <w:pPr>
        <w:pStyle w:val="FootnoteText"/>
        <w:spacing w:before="120"/>
      </w:pPr>
      <w:r w:rsidRPr="00346A27">
        <w:t>DCB = Departmental Capital Budget.</w:t>
      </w:r>
    </w:p>
    <w:p w:rsidR="00FF423A" w:rsidRPr="00346A27" w:rsidRDefault="00FF423A" w:rsidP="000F3266">
      <w:pPr>
        <w:pStyle w:val="FootnoteText"/>
      </w:pPr>
      <w:r w:rsidRPr="00346A27">
        <w:t>1</w:t>
      </w:r>
      <w:r w:rsidRPr="00346A27">
        <w:tab/>
        <w:t xml:space="preserve">Does not include annual finance lease costs. </w:t>
      </w:r>
      <w:proofErr w:type="gramStart"/>
      <w:r w:rsidRPr="00346A27">
        <w:t>Includes purchases from current and previous years' Departmental Capital Budgets.</w:t>
      </w:r>
      <w:proofErr w:type="gramEnd"/>
    </w:p>
    <w:p w:rsidR="007E7063" w:rsidRPr="00346A27" w:rsidRDefault="007E7063" w:rsidP="00FF423A">
      <w:pPr>
        <w:pStyle w:val="FootnoteText"/>
        <w:ind w:left="0" w:firstLine="0"/>
      </w:pPr>
      <w:r w:rsidRPr="00346A27">
        <w:br w:type="page"/>
      </w:r>
    </w:p>
    <w:p w:rsidR="0055560A" w:rsidRPr="00346A27" w:rsidRDefault="007E7063" w:rsidP="002B0C32">
      <w:pPr>
        <w:pStyle w:val="TableHeading"/>
      </w:pPr>
      <w:r w:rsidRPr="00346A27">
        <w:lastRenderedPageBreak/>
        <w:t>Table 3.2.6: Statement of Asset Movements (</w:t>
      </w:r>
      <w:r w:rsidR="008C2DCC" w:rsidRPr="00346A27">
        <w:t xml:space="preserve">Budget year </w:t>
      </w:r>
      <w:r w:rsidRPr="00346A27">
        <w:t>201</w:t>
      </w:r>
      <w:r w:rsidR="003214F7" w:rsidRPr="00346A27">
        <w:t>5</w:t>
      </w:r>
      <w:r w:rsidRPr="00346A27">
        <w:t>-1</w:t>
      </w:r>
      <w:r w:rsidR="003214F7" w:rsidRPr="00346A27">
        <w:t>6</w:t>
      </w:r>
      <w:r w:rsidRPr="00346A27">
        <w:t>)</w:t>
      </w:r>
    </w:p>
    <w:tbl>
      <w:tblPr>
        <w:tblW w:w="7493" w:type="dxa"/>
        <w:tblInd w:w="93" w:type="dxa"/>
        <w:tblLook w:val="06A0" w:firstRow="1" w:lastRow="0" w:firstColumn="1" w:lastColumn="0" w:noHBand="1" w:noVBand="1"/>
        <w:tblCaption w:val="Table 3.2.6 Statement of Asset Movements"/>
        <w:tblDescription w:val="Table 3.2.6 shows the movements in the Entity’s asset holdings, such as through the acquisition of new or replacement assets, disposals, revaluations or depreciation. Beginning with the opening net book balance as at 1 July 2015 and ending with the estimated net book closing balance as at 30 June 2016 at the bottom of the table. Read the first column for the movement categories and then across the table for the change categories. Note that there is no data for some categories."/>
      </w:tblPr>
      <w:tblGrid>
        <w:gridCol w:w="2858"/>
        <w:gridCol w:w="617"/>
        <w:gridCol w:w="945"/>
        <w:gridCol w:w="1200"/>
        <w:gridCol w:w="1061"/>
        <w:gridCol w:w="812"/>
      </w:tblGrid>
      <w:tr w:rsidR="00346A27" w:rsidRPr="00346A27" w:rsidTr="00FD155A">
        <w:trPr>
          <w:trHeight w:val="935"/>
        </w:trPr>
        <w:tc>
          <w:tcPr>
            <w:tcW w:w="2858" w:type="dxa"/>
            <w:tcBorders>
              <w:top w:val="single" w:sz="4" w:space="0" w:color="auto"/>
              <w:left w:val="nil"/>
              <w:bottom w:val="nil"/>
              <w:right w:val="nil"/>
            </w:tcBorders>
            <w:shd w:val="clear" w:color="auto" w:fill="auto"/>
            <w:hideMark/>
          </w:tcPr>
          <w:p w:rsidR="00FF423A" w:rsidRPr="00346A27" w:rsidRDefault="00FF423A" w:rsidP="00FF423A">
            <w:pPr>
              <w:keepNext w:val="0"/>
              <w:spacing w:before="40" w:after="0"/>
              <w:jc w:val="right"/>
              <w:rPr>
                <w:rFonts w:ascii="Arial" w:hAnsi="Arial" w:cs="Arial"/>
                <w:b/>
                <w:bCs/>
                <w:sz w:val="16"/>
                <w:szCs w:val="16"/>
              </w:rPr>
            </w:pPr>
          </w:p>
        </w:tc>
        <w:tc>
          <w:tcPr>
            <w:tcW w:w="617" w:type="dxa"/>
            <w:tcBorders>
              <w:top w:val="single" w:sz="4" w:space="0" w:color="auto"/>
              <w:left w:val="nil"/>
              <w:bottom w:val="single" w:sz="4" w:space="0" w:color="auto"/>
              <w:right w:val="nil"/>
            </w:tcBorders>
            <w:shd w:val="clear" w:color="auto" w:fill="auto"/>
            <w:hideMark/>
          </w:tcPr>
          <w:p w:rsidR="00FF423A" w:rsidRPr="00346A27" w:rsidRDefault="00FF423A" w:rsidP="00036CD6">
            <w:pPr>
              <w:keepNext w:val="0"/>
              <w:spacing w:before="40" w:after="0"/>
              <w:jc w:val="right"/>
              <w:rPr>
                <w:rFonts w:ascii="Arial" w:hAnsi="Arial" w:cs="Arial"/>
                <w:b/>
                <w:bCs/>
                <w:sz w:val="16"/>
                <w:szCs w:val="16"/>
              </w:rPr>
            </w:pPr>
            <w:r w:rsidRPr="00346A27">
              <w:rPr>
                <w:rFonts w:ascii="Arial" w:hAnsi="Arial" w:cs="Arial"/>
                <w:b/>
                <w:bCs/>
                <w:sz w:val="16"/>
                <w:szCs w:val="16"/>
              </w:rPr>
              <w:t>Land</w:t>
            </w:r>
            <w:r w:rsidRPr="00346A27">
              <w:rPr>
                <w:rFonts w:ascii="Arial" w:hAnsi="Arial" w:cs="Arial"/>
                <w:b/>
                <w:bCs/>
                <w:sz w:val="16"/>
                <w:szCs w:val="16"/>
              </w:rPr>
              <w:br/>
            </w:r>
            <w:r w:rsidRPr="00346A27">
              <w:rPr>
                <w:rFonts w:ascii="Arial" w:hAnsi="Arial" w:cs="Arial"/>
                <w:b/>
                <w:bCs/>
                <w:sz w:val="16"/>
                <w:szCs w:val="16"/>
              </w:rPr>
              <w:br/>
            </w:r>
            <w:r w:rsidRPr="00346A27">
              <w:rPr>
                <w:rFonts w:ascii="Arial" w:hAnsi="Arial" w:cs="Arial"/>
                <w:b/>
                <w:bCs/>
                <w:sz w:val="16"/>
                <w:szCs w:val="16"/>
              </w:rPr>
              <w:br/>
            </w:r>
            <w:r w:rsidRPr="00346A27">
              <w:rPr>
                <w:rFonts w:ascii="Arial" w:hAnsi="Arial" w:cs="Arial"/>
                <w:b/>
                <w:bCs/>
                <w:sz w:val="16"/>
                <w:szCs w:val="16"/>
              </w:rPr>
              <w:br/>
            </w:r>
            <w:r w:rsidRPr="00346A27">
              <w:rPr>
                <w:rFonts w:ascii="Arial" w:hAnsi="Arial" w:cs="Arial"/>
                <w:sz w:val="16"/>
                <w:szCs w:val="16"/>
              </w:rPr>
              <w:t>$'000</w:t>
            </w:r>
          </w:p>
        </w:tc>
        <w:tc>
          <w:tcPr>
            <w:tcW w:w="945" w:type="dxa"/>
            <w:tcBorders>
              <w:top w:val="single" w:sz="4" w:space="0" w:color="auto"/>
              <w:left w:val="nil"/>
              <w:bottom w:val="single" w:sz="4" w:space="0" w:color="auto"/>
              <w:right w:val="nil"/>
            </w:tcBorders>
            <w:shd w:val="clear" w:color="auto" w:fill="auto"/>
            <w:hideMark/>
          </w:tcPr>
          <w:p w:rsidR="00FF423A" w:rsidRPr="00346A27" w:rsidRDefault="00FF423A" w:rsidP="00036CD6">
            <w:pPr>
              <w:keepNext w:val="0"/>
              <w:spacing w:before="40" w:after="0"/>
              <w:jc w:val="right"/>
              <w:rPr>
                <w:rFonts w:ascii="Arial" w:hAnsi="Arial" w:cs="Arial"/>
                <w:b/>
                <w:bCs/>
                <w:sz w:val="16"/>
                <w:szCs w:val="16"/>
              </w:rPr>
            </w:pPr>
            <w:r w:rsidRPr="00346A27">
              <w:rPr>
                <w:rFonts w:ascii="Arial" w:hAnsi="Arial" w:cs="Arial"/>
                <w:b/>
                <w:bCs/>
                <w:sz w:val="16"/>
                <w:szCs w:val="16"/>
              </w:rPr>
              <w:t>Buildings</w:t>
            </w:r>
            <w:r w:rsidRPr="00346A27">
              <w:rPr>
                <w:rFonts w:ascii="Arial" w:hAnsi="Arial" w:cs="Arial"/>
                <w:b/>
                <w:bCs/>
                <w:sz w:val="16"/>
                <w:szCs w:val="16"/>
              </w:rPr>
              <w:br/>
            </w:r>
            <w:r w:rsidRPr="00346A27">
              <w:rPr>
                <w:rFonts w:ascii="Arial" w:hAnsi="Arial" w:cs="Arial"/>
                <w:b/>
                <w:bCs/>
                <w:sz w:val="16"/>
                <w:szCs w:val="16"/>
              </w:rPr>
              <w:br/>
            </w:r>
            <w:r w:rsidRPr="00346A27">
              <w:rPr>
                <w:rFonts w:ascii="Arial" w:hAnsi="Arial" w:cs="Arial"/>
                <w:b/>
                <w:bCs/>
                <w:sz w:val="16"/>
                <w:szCs w:val="16"/>
              </w:rPr>
              <w:br/>
            </w:r>
            <w:r w:rsidRPr="00346A27">
              <w:rPr>
                <w:rFonts w:ascii="Arial" w:hAnsi="Arial" w:cs="Arial"/>
                <w:b/>
                <w:bCs/>
                <w:sz w:val="16"/>
                <w:szCs w:val="16"/>
              </w:rPr>
              <w:br/>
            </w:r>
            <w:r w:rsidRPr="00346A27">
              <w:rPr>
                <w:rFonts w:ascii="Arial" w:hAnsi="Arial" w:cs="Arial"/>
                <w:sz w:val="16"/>
                <w:szCs w:val="16"/>
              </w:rPr>
              <w:t>$'000</w:t>
            </w:r>
          </w:p>
        </w:tc>
        <w:tc>
          <w:tcPr>
            <w:tcW w:w="1200" w:type="dxa"/>
            <w:tcBorders>
              <w:top w:val="single" w:sz="4" w:space="0" w:color="auto"/>
              <w:left w:val="nil"/>
              <w:bottom w:val="single" w:sz="4" w:space="0" w:color="auto"/>
              <w:right w:val="nil"/>
            </w:tcBorders>
            <w:shd w:val="clear" w:color="auto" w:fill="auto"/>
            <w:hideMark/>
          </w:tcPr>
          <w:p w:rsidR="00FF423A" w:rsidRPr="00346A27" w:rsidRDefault="00FF423A" w:rsidP="00B760BF">
            <w:pPr>
              <w:keepNext w:val="0"/>
              <w:spacing w:before="40" w:after="0"/>
              <w:jc w:val="right"/>
              <w:rPr>
                <w:rFonts w:ascii="Arial" w:hAnsi="Arial" w:cs="Arial"/>
                <w:b/>
                <w:bCs/>
                <w:sz w:val="16"/>
                <w:szCs w:val="16"/>
              </w:rPr>
            </w:pPr>
            <w:r w:rsidRPr="00346A27">
              <w:rPr>
                <w:rFonts w:ascii="Arial" w:hAnsi="Arial" w:cs="Arial"/>
                <w:b/>
                <w:bCs/>
                <w:sz w:val="16"/>
                <w:szCs w:val="16"/>
              </w:rPr>
              <w:t>Other property, plant and equipment</w:t>
            </w:r>
            <w:r w:rsidRPr="00346A27">
              <w:rPr>
                <w:rFonts w:ascii="Arial" w:hAnsi="Arial" w:cs="Arial"/>
                <w:b/>
                <w:bCs/>
                <w:sz w:val="16"/>
                <w:szCs w:val="16"/>
              </w:rPr>
              <w:br/>
            </w:r>
            <w:r w:rsidRPr="00346A27">
              <w:rPr>
                <w:rFonts w:ascii="Arial" w:hAnsi="Arial" w:cs="Arial"/>
                <w:sz w:val="16"/>
                <w:szCs w:val="16"/>
              </w:rPr>
              <w:t>$'000</w:t>
            </w:r>
          </w:p>
        </w:tc>
        <w:tc>
          <w:tcPr>
            <w:tcW w:w="1061" w:type="dxa"/>
            <w:tcBorders>
              <w:top w:val="single" w:sz="4" w:space="0" w:color="auto"/>
              <w:left w:val="nil"/>
              <w:bottom w:val="single" w:sz="4" w:space="0" w:color="auto"/>
              <w:right w:val="nil"/>
            </w:tcBorders>
            <w:shd w:val="clear" w:color="auto" w:fill="auto"/>
            <w:hideMark/>
          </w:tcPr>
          <w:p w:rsidR="00FF423A" w:rsidRPr="00346A27" w:rsidRDefault="00FF423A" w:rsidP="00B760BF">
            <w:pPr>
              <w:keepNext w:val="0"/>
              <w:spacing w:before="40" w:after="0"/>
              <w:jc w:val="right"/>
              <w:rPr>
                <w:rFonts w:ascii="Arial" w:hAnsi="Arial" w:cs="Arial"/>
                <w:b/>
                <w:bCs/>
                <w:sz w:val="16"/>
                <w:szCs w:val="16"/>
              </w:rPr>
            </w:pPr>
            <w:r w:rsidRPr="00346A27">
              <w:rPr>
                <w:rFonts w:ascii="Arial" w:hAnsi="Arial" w:cs="Arial"/>
                <w:b/>
                <w:bCs/>
                <w:sz w:val="16"/>
                <w:szCs w:val="16"/>
              </w:rPr>
              <w:t>Intangibles</w:t>
            </w:r>
            <w:r w:rsidRPr="00346A27">
              <w:rPr>
                <w:rFonts w:ascii="Arial" w:hAnsi="Arial" w:cs="Arial"/>
                <w:sz w:val="16"/>
                <w:szCs w:val="16"/>
              </w:rPr>
              <w:br/>
            </w:r>
            <w:r w:rsidRPr="00346A27">
              <w:rPr>
                <w:rFonts w:ascii="Arial" w:hAnsi="Arial" w:cs="Arial"/>
                <w:sz w:val="16"/>
                <w:szCs w:val="16"/>
              </w:rPr>
              <w:br/>
            </w:r>
            <w:r w:rsidRPr="00346A27">
              <w:rPr>
                <w:rFonts w:ascii="Arial" w:hAnsi="Arial" w:cs="Arial"/>
                <w:sz w:val="16"/>
                <w:szCs w:val="16"/>
              </w:rPr>
              <w:br/>
            </w:r>
            <w:r w:rsidRPr="00346A27">
              <w:rPr>
                <w:rFonts w:ascii="Arial" w:hAnsi="Arial" w:cs="Arial"/>
                <w:sz w:val="16"/>
                <w:szCs w:val="16"/>
              </w:rPr>
              <w:br/>
              <w:t>$'000</w:t>
            </w:r>
          </w:p>
        </w:tc>
        <w:tc>
          <w:tcPr>
            <w:tcW w:w="812" w:type="dxa"/>
            <w:tcBorders>
              <w:top w:val="single" w:sz="4" w:space="0" w:color="auto"/>
              <w:left w:val="nil"/>
              <w:bottom w:val="single" w:sz="4" w:space="0" w:color="auto"/>
              <w:right w:val="nil"/>
            </w:tcBorders>
            <w:shd w:val="clear" w:color="auto" w:fill="auto"/>
            <w:hideMark/>
          </w:tcPr>
          <w:p w:rsidR="00FF423A" w:rsidRPr="00346A27" w:rsidRDefault="00FF423A" w:rsidP="00B760BF">
            <w:pPr>
              <w:keepNext w:val="0"/>
              <w:spacing w:before="40" w:after="0"/>
              <w:jc w:val="right"/>
              <w:rPr>
                <w:rFonts w:ascii="Arial" w:hAnsi="Arial" w:cs="Arial"/>
                <w:b/>
                <w:bCs/>
                <w:sz w:val="16"/>
                <w:szCs w:val="16"/>
              </w:rPr>
            </w:pPr>
            <w:r w:rsidRPr="00346A27">
              <w:rPr>
                <w:rFonts w:ascii="Arial" w:hAnsi="Arial" w:cs="Arial"/>
                <w:b/>
                <w:bCs/>
                <w:sz w:val="16"/>
                <w:szCs w:val="16"/>
              </w:rPr>
              <w:t>Total</w:t>
            </w:r>
            <w:r w:rsidRPr="00346A27">
              <w:rPr>
                <w:rFonts w:ascii="Arial" w:hAnsi="Arial" w:cs="Arial"/>
                <w:b/>
                <w:bCs/>
                <w:sz w:val="16"/>
                <w:szCs w:val="16"/>
              </w:rPr>
              <w:br/>
            </w:r>
            <w:r w:rsidRPr="00346A27">
              <w:rPr>
                <w:rFonts w:ascii="Arial" w:hAnsi="Arial" w:cs="Arial"/>
                <w:b/>
                <w:bCs/>
                <w:sz w:val="16"/>
                <w:szCs w:val="16"/>
              </w:rPr>
              <w:br/>
            </w:r>
            <w:r w:rsidRPr="00346A27">
              <w:rPr>
                <w:rFonts w:ascii="Arial" w:hAnsi="Arial" w:cs="Arial"/>
                <w:b/>
                <w:bCs/>
                <w:sz w:val="16"/>
                <w:szCs w:val="16"/>
              </w:rPr>
              <w:br/>
            </w:r>
            <w:r w:rsidRPr="00346A27">
              <w:rPr>
                <w:rFonts w:ascii="Arial" w:hAnsi="Arial" w:cs="Arial"/>
                <w:b/>
                <w:bCs/>
                <w:sz w:val="16"/>
                <w:szCs w:val="16"/>
              </w:rPr>
              <w:br/>
            </w:r>
            <w:r w:rsidRPr="00346A27">
              <w:rPr>
                <w:rFonts w:ascii="Arial" w:hAnsi="Arial" w:cs="Arial"/>
                <w:sz w:val="16"/>
                <w:szCs w:val="16"/>
              </w:rPr>
              <w:t>$'000</w:t>
            </w:r>
          </w:p>
        </w:tc>
      </w:tr>
      <w:tr w:rsidR="00346A27" w:rsidRPr="00346A27" w:rsidTr="00FD155A">
        <w:trPr>
          <w:trHeight w:val="225"/>
        </w:trPr>
        <w:tc>
          <w:tcPr>
            <w:tcW w:w="2858" w:type="dxa"/>
            <w:tcBorders>
              <w:top w:val="nil"/>
              <w:left w:val="nil"/>
              <w:bottom w:val="nil"/>
              <w:right w:val="nil"/>
            </w:tcBorders>
            <w:shd w:val="clear" w:color="auto" w:fill="auto"/>
            <w:noWrap/>
            <w:vAlign w:val="bottom"/>
            <w:hideMark/>
          </w:tcPr>
          <w:p w:rsidR="00FF423A" w:rsidRPr="00346A27" w:rsidRDefault="00FF423A" w:rsidP="00FF423A">
            <w:pPr>
              <w:keepNext w:val="0"/>
              <w:spacing w:after="0"/>
              <w:rPr>
                <w:rFonts w:ascii="Arial" w:hAnsi="Arial" w:cs="Arial"/>
                <w:b/>
                <w:bCs/>
                <w:sz w:val="16"/>
                <w:szCs w:val="16"/>
              </w:rPr>
            </w:pPr>
            <w:r w:rsidRPr="00346A27">
              <w:rPr>
                <w:rFonts w:ascii="Arial" w:hAnsi="Arial" w:cs="Arial"/>
                <w:b/>
                <w:bCs/>
                <w:sz w:val="16"/>
                <w:szCs w:val="16"/>
              </w:rPr>
              <w:t>As at 1 July 2015</w:t>
            </w:r>
          </w:p>
        </w:tc>
        <w:tc>
          <w:tcPr>
            <w:tcW w:w="617" w:type="dxa"/>
            <w:tcBorders>
              <w:top w:val="nil"/>
              <w:left w:val="nil"/>
              <w:bottom w:val="nil"/>
              <w:right w:val="nil"/>
            </w:tcBorders>
            <w:shd w:val="clear" w:color="auto" w:fill="auto"/>
            <w:noWrap/>
            <w:vAlign w:val="bottom"/>
            <w:hideMark/>
          </w:tcPr>
          <w:p w:rsidR="00FF423A" w:rsidRPr="00346A27" w:rsidRDefault="00FF423A" w:rsidP="00FF423A">
            <w:pPr>
              <w:keepNext w:val="0"/>
              <w:spacing w:after="0"/>
              <w:jc w:val="right"/>
              <w:rPr>
                <w:rFonts w:ascii="Arial" w:hAnsi="Arial" w:cs="Arial"/>
                <w:sz w:val="16"/>
                <w:szCs w:val="16"/>
              </w:rPr>
            </w:pPr>
          </w:p>
        </w:tc>
        <w:tc>
          <w:tcPr>
            <w:tcW w:w="945" w:type="dxa"/>
            <w:tcBorders>
              <w:top w:val="nil"/>
              <w:left w:val="nil"/>
              <w:bottom w:val="nil"/>
              <w:right w:val="nil"/>
            </w:tcBorders>
            <w:shd w:val="clear" w:color="auto" w:fill="auto"/>
            <w:noWrap/>
            <w:vAlign w:val="bottom"/>
            <w:hideMark/>
          </w:tcPr>
          <w:p w:rsidR="00FF423A" w:rsidRPr="00346A27" w:rsidRDefault="00FF423A" w:rsidP="00FF423A">
            <w:pPr>
              <w:keepNext w:val="0"/>
              <w:spacing w:after="0"/>
              <w:jc w:val="right"/>
              <w:rPr>
                <w:rFonts w:ascii="Arial" w:hAnsi="Arial" w:cs="Arial"/>
                <w:sz w:val="16"/>
                <w:szCs w:val="16"/>
              </w:rPr>
            </w:pPr>
          </w:p>
        </w:tc>
        <w:tc>
          <w:tcPr>
            <w:tcW w:w="1200" w:type="dxa"/>
            <w:tcBorders>
              <w:top w:val="nil"/>
              <w:left w:val="nil"/>
              <w:bottom w:val="nil"/>
              <w:right w:val="nil"/>
            </w:tcBorders>
            <w:shd w:val="clear" w:color="auto" w:fill="auto"/>
            <w:noWrap/>
            <w:vAlign w:val="bottom"/>
            <w:hideMark/>
          </w:tcPr>
          <w:p w:rsidR="00FF423A" w:rsidRPr="00346A27" w:rsidRDefault="00FF423A" w:rsidP="00FF423A">
            <w:pPr>
              <w:keepNext w:val="0"/>
              <w:spacing w:after="0"/>
              <w:jc w:val="right"/>
              <w:rPr>
                <w:rFonts w:ascii="Arial" w:hAnsi="Arial" w:cs="Arial"/>
                <w:sz w:val="16"/>
                <w:szCs w:val="16"/>
              </w:rPr>
            </w:pPr>
          </w:p>
        </w:tc>
        <w:tc>
          <w:tcPr>
            <w:tcW w:w="1061" w:type="dxa"/>
            <w:tcBorders>
              <w:top w:val="nil"/>
              <w:left w:val="nil"/>
              <w:bottom w:val="nil"/>
              <w:right w:val="nil"/>
            </w:tcBorders>
            <w:shd w:val="clear" w:color="auto" w:fill="auto"/>
            <w:noWrap/>
            <w:vAlign w:val="bottom"/>
            <w:hideMark/>
          </w:tcPr>
          <w:p w:rsidR="00FF423A" w:rsidRPr="00346A27" w:rsidRDefault="00FF423A" w:rsidP="00FF423A">
            <w:pPr>
              <w:keepNext w:val="0"/>
              <w:spacing w:after="0"/>
              <w:jc w:val="right"/>
              <w:rPr>
                <w:rFonts w:ascii="Arial" w:hAnsi="Arial" w:cs="Arial"/>
                <w:sz w:val="16"/>
                <w:szCs w:val="16"/>
              </w:rPr>
            </w:pPr>
          </w:p>
        </w:tc>
        <w:tc>
          <w:tcPr>
            <w:tcW w:w="812" w:type="dxa"/>
            <w:tcBorders>
              <w:top w:val="nil"/>
              <w:left w:val="nil"/>
              <w:bottom w:val="nil"/>
              <w:right w:val="nil"/>
            </w:tcBorders>
            <w:shd w:val="clear" w:color="auto" w:fill="auto"/>
            <w:noWrap/>
            <w:vAlign w:val="bottom"/>
            <w:hideMark/>
          </w:tcPr>
          <w:p w:rsidR="00FF423A" w:rsidRPr="00346A27" w:rsidRDefault="00FF423A" w:rsidP="00FF423A">
            <w:pPr>
              <w:keepNext w:val="0"/>
              <w:spacing w:after="0"/>
              <w:jc w:val="right"/>
              <w:rPr>
                <w:rFonts w:ascii="Arial" w:hAnsi="Arial" w:cs="Arial"/>
                <w:sz w:val="16"/>
                <w:szCs w:val="16"/>
              </w:rPr>
            </w:pPr>
          </w:p>
        </w:tc>
      </w:tr>
      <w:tr w:rsidR="00346A27" w:rsidRPr="00346A27" w:rsidTr="00FD155A">
        <w:trPr>
          <w:trHeight w:val="225"/>
        </w:trPr>
        <w:tc>
          <w:tcPr>
            <w:tcW w:w="2858" w:type="dxa"/>
            <w:tcBorders>
              <w:top w:val="nil"/>
              <w:left w:val="nil"/>
              <w:bottom w:val="nil"/>
              <w:right w:val="nil"/>
            </w:tcBorders>
            <w:shd w:val="clear" w:color="auto" w:fill="auto"/>
            <w:noWrap/>
            <w:vAlign w:val="bottom"/>
            <w:hideMark/>
          </w:tcPr>
          <w:p w:rsidR="00FF423A" w:rsidRPr="00346A27" w:rsidRDefault="00FF423A" w:rsidP="00FF423A">
            <w:pPr>
              <w:keepNext w:val="0"/>
              <w:spacing w:after="0"/>
              <w:ind w:firstLineChars="100" w:firstLine="160"/>
              <w:rPr>
                <w:rFonts w:ascii="Arial" w:hAnsi="Arial" w:cs="Arial"/>
                <w:sz w:val="16"/>
                <w:szCs w:val="16"/>
              </w:rPr>
            </w:pPr>
            <w:r w:rsidRPr="00346A27">
              <w:rPr>
                <w:rFonts w:ascii="Arial" w:hAnsi="Arial" w:cs="Arial"/>
                <w:sz w:val="16"/>
                <w:szCs w:val="16"/>
              </w:rPr>
              <w:t xml:space="preserve">Gross book value </w:t>
            </w:r>
          </w:p>
        </w:tc>
        <w:tc>
          <w:tcPr>
            <w:tcW w:w="617" w:type="dxa"/>
            <w:tcBorders>
              <w:top w:val="nil"/>
              <w:left w:val="nil"/>
              <w:bottom w:val="nil"/>
              <w:right w:val="nil"/>
            </w:tcBorders>
            <w:shd w:val="clear" w:color="auto" w:fill="auto"/>
            <w:noWrap/>
            <w:vAlign w:val="bottom"/>
            <w:hideMark/>
          </w:tcPr>
          <w:p w:rsidR="00FF423A" w:rsidRPr="00346A27" w:rsidRDefault="00FF423A" w:rsidP="00FF423A">
            <w:pPr>
              <w:keepNext w:val="0"/>
              <w:spacing w:after="0"/>
              <w:jc w:val="right"/>
              <w:rPr>
                <w:rFonts w:ascii="Arial" w:hAnsi="Arial" w:cs="Arial"/>
                <w:sz w:val="16"/>
                <w:szCs w:val="16"/>
              </w:rPr>
            </w:pPr>
            <w:r w:rsidRPr="00346A27">
              <w:rPr>
                <w:rFonts w:ascii="Arial" w:hAnsi="Arial" w:cs="Arial"/>
                <w:sz w:val="16"/>
                <w:szCs w:val="16"/>
              </w:rPr>
              <w:t>5,700</w:t>
            </w:r>
          </w:p>
        </w:tc>
        <w:tc>
          <w:tcPr>
            <w:tcW w:w="945" w:type="dxa"/>
            <w:tcBorders>
              <w:top w:val="nil"/>
              <w:left w:val="nil"/>
              <w:bottom w:val="nil"/>
              <w:right w:val="nil"/>
            </w:tcBorders>
            <w:shd w:val="clear" w:color="auto" w:fill="auto"/>
            <w:noWrap/>
            <w:vAlign w:val="bottom"/>
            <w:hideMark/>
          </w:tcPr>
          <w:p w:rsidR="00FF423A" w:rsidRPr="00346A27" w:rsidRDefault="00FF423A" w:rsidP="00FF423A">
            <w:pPr>
              <w:keepNext w:val="0"/>
              <w:spacing w:after="0"/>
              <w:jc w:val="right"/>
              <w:rPr>
                <w:rFonts w:ascii="Arial" w:hAnsi="Arial" w:cs="Arial"/>
                <w:sz w:val="16"/>
                <w:szCs w:val="16"/>
              </w:rPr>
            </w:pPr>
            <w:r w:rsidRPr="00346A27">
              <w:rPr>
                <w:rFonts w:ascii="Arial" w:hAnsi="Arial" w:cs="Arial"/>
                <w:sz w:val="16"/>
                <w:szCs w:val="16"/>
              </w:rPr>
              <w:t>20,920</w:t>
            </w:r>
          </w:p>
        </w:tc>
        <w:tc>
          <w:tcPr>
            <w:tcW w:w="1200" w:type="dxa"/>
            <w:tcBorders>
              <w:top w:val="nil"/>
              <w:left w:val="nil"/>
              <w:bottom w:val="nil"/>
              <w:right w:val="nil"/>
            </w:tcBorders>
            <w:shd w:val="clear" w:color="auto" w:fill="auto"/>
            <w:noWrap/>
            <w:vAlign w:val="bottom"/>
            <w:hideMark/>
          </w:tcPr>
          <w:p w:rsidR="00FF423A" w:rsidRPr="00346A27" w:rsidRDefault="00FF423A" w:rsidP="00FF423A">
            <w:pPr>
              <w:keepNext w:val="0"/>
              <w:spacing w:after="0"/>
              <w:jc w:val="right"/>
              <w:rPr>
                <w:rFonts w:ascii="Arial" w:hAnsi="Arial" w:cs="Arial"/>
                <w:sz w:val="16"/>
                <w:szCs w:val="16"/>
              </w:rPr>
            </w:pPr>
            <w:r w:rsidRPr="00346A27">
              <w:rPr>
                <w:rFonts w:ascii="Arial" w:hAnsi="Arial" w:cs="Arial"/>
                <w:sz w:val="16"/>
                <w:szCs w:val="16"/>
              </w:rPr>
              <w:t>14,773</w:t>
            </w:r>
          </w:p>
        </w:tc>
        <w:tc>
          <w:tcPr>
            <w:tcW w:w="1061" w:type="dxa"/>
            <w:tcBorders>
              <w:top w:val="nil"/>
              <w:left w:val="nil"/>
              <w:bottom w:val="nil"/>
              <w:right w:val="nil"/>
            </w:tcBorders>
            <w:shd w:val="clear" w:color="auto" w:fill="auto"/>
            <w:noWrap/>
            <w:vAlign w:val="bottom"/>
            <w:hideMark/>
          </w:tcPr>
          <w:p w:rsidR="00FF423A" w:rsidRPr="00346A27" w:rsidRDefault="00FF423A" w:rsidP="00FF423A">
            <w:pPr>
              <w:keepNext w:val="0"/>
              <w:spacing w:after="0"/>
              <w:jc w:val="right"/>
              <w:rPr>
                <w:rFonts w:ascii="Arial" w:hAnsi="Arial" w:cs="Arial"/>
                <w:sz w:val="16"/>
                <w:szCs w:val="16"/>
              </w:rPr>
            </w:pPr>
            <w:r w:rsidRPr="00346A27">
              <w:rPr>
                <w:rFonts w:ascii="Arial" w:hAnsi="Arial" w:cs="Arial"/>
                <w:sz w:val="16"/>
                <w:szCs w:val="16"/>
              </w:rPr>
              <w:t>3,295</w:t>
            </w:r>
          </w:p>
        </w:tc>
        <w:tc>
          <w:tcPr>
            <w:tcW w:w="812" w:type="dxa"/>
            <w:tcBorders>
              <w:top w:val="nil"/>
              <w:left w:val="nil"/>
              <w:bottom w:val="nil"/>
              <w:right w:val="nil"/>
            </w:tcBorders>
            <w:shd w:val="clear" w:color="auto" w:fill="auto"/>
            <w:noWrap/>
            <w:vAlign w:val="bottom"/>
            <w:hideMark/>
          </w:tcPr>
          <w:p w:rsidR="00FF423A" w:rsidRPr="00346A27" w:rsidRDefault="00FF423A" w:rsidP="00FF423A">
            <w:pPr>
              <w:keepNext w:val="0"/>
              <w:spacing w:after="0"/>
              <w:jc w:val="right"/>
              <w:rPr>
                <w:rFonts w:ascii="Arial" w:hAnsi="Arial" w:cs="Arial"/>
                <w:b/>
                <w:bCs/>
                <w:sz w:val="16"/>
                <w:szCs w:val="16"/>
              </w:rPr>
            </w:pPr>
            <w:r w:rsidRPr="00346A27">
              <w:rPr>
                <w:rFonts w:ascii="Arial" w:hAnsi="Arial" w:cs="Arial"/>
                <w:b/>
                <w:bCs/>
                <w:sz w:val="16"/>
                <w:szCs w:val="16"/>
              </w:rPr>
              <w:t>44,688</w:t>
            </w:r>
          </w:p>
        </w:tc>
      </w:tr>
      <w:tr w:rsidR="00346A27" w:rsidRPr="00346A27" w:rsidTr="00FD155A">
        <w:trPr>
          <w:trHeight w:val="225"/>
        </w:trPr>
        <w:tc>
          <w:tcPr>
            <w:tcW w:w="3475" w:type="dxa"/>
            <w:gridSpan w:val="2"/>
            <w:tcBorders>
              <w:top w:val="nil"/>
              <w:left w:val="nil"/>
              <w:bottom w:val="nil"/>
              <w:right w:val="nil"/>
            </w:tcBorders>
            <w:shd w:val="clear" w:color="auto" w:fill="auto"/>
            <w:noWrap/>
            <w:vAlign w:val="bottom"/>
            <w:hideMark/>
          </w:tcPr>
          <w:p w:rsidR="00FF423A" w:rsidRPr="00346A27" w:rsidRDefault="00FF423A" w:rsidP="00FF423A">
            <w:pPr>
              <w:keepNext w:val="0"/>
              <w:spacing w:after="0"/>
              <w:ind w:firstLineChars="100" w:firstLine="160"/>
              <w:rPr>
                <w:rFonts w:ascii="Arial" w:hAnsi="Arial" w:cs="Arial"/>
                <w:sz w:val="16"/>
                <w:szCs w:val="16"/>
              </w:rPr>
            </w:pPr>
            <w:r w:rsidRPr="00346A27">
              <w:rPr>
                <w:rFonts w:ascii="Arial" w:hAnsi="Arial" w:cs="Arial"/>
                <w:sz w:val="16"/>
                <w:szCs w:val="16"/>
              </w:rPr>
              <w:t>Accumulated depreciation/amortisation</w:t>
            </w:r>
          </w:p>
        </w:tc>
        <w:tc>
          <w:tcPr>
            <w:tcW w:w="945" w:type="dxa"/>
            <w:tcBorders>
              <w:top w:val="nil"/>
              <w:left w:val="nil"/>
              <w:bottom w:val="nil"/>
              <w:right w:val="nil"/>
            </w:tcBorders>
            <w:shd w:val="clear" w:color="auto" w:fill="auto"/>
            <w:noWrap/>
            <w:vAlign w:val="bottom"/>
            <w:hideMark/>
          </w:tcPr>
          <w:p w:rsidR="00FF423A" w:rsidRPr="00346A27" w:rsidRDefault="00FF423A" w:rsidP="00FF423A">
            <w:pPr>
              <w:keepNext w:val="0"/>
              <w:spacing w:after="0"/>
              <w:jc w:val="right"/>
              <w:rPr>
                <w:rFonts w:ascii="Arial" w:hAnsi="Arial" w:cs="Arial"/>
                <w:sz w:val="16"/>
                <w:szCs w:val="16"/>
              </w:rPr>
            </w:pPr>
          </w:p>
        </w:tc>
        <w:tc>
          <w:tcPr>
            <w:tcW w:w="1200" w:type="dxa"/>
            <w:tcBorders>
              <w:top w:val="nil"/>
              <w:left w:val="nil"/>
              <w:bottom w:val="nil"/>
              <w:right w:val="nil"/>
            </w:tcBorders>
            <w:shd w:val="clear" w:color="auto" w:fill="auto"/>
            <w:noWrap/>
            <w:vAlign w:val="bottom"/>
            <w:hideMark/>
          </w:tcPr>
          <w:p w:rsidR="00FF423A" w:rsidRPr="00346A27" w:rsidRDefault="00FF423A" w:rsidP="00FF423A">
            <w:pPr>
              <w:keepNext w:val="0"/>
              <w:spacing w:after="0"/>
              <w:jc w:val="right"/>
              <w:rPr>
                <w:rFonts w:ascii="Arial" w:hAnsi="Arial" w:cs="Arial"/>
                <w:sz w:val="16"/>
                <w:szCs w:val="16"/>
              </w:rPr>
            </w:pPr>
          </w:p>
        </w:tc>
        <w:tc>
          <w:tcPr>
            <w:tcW w:w="1061" w:type="dxa"/>
            <w:tcBorders>
              <w:top w:val="nil"/>
              <w:left w:val="nil"/>
              <w:bottom w:val="nil"/>
              <w:right w:val="nil"/>
            </w:tcBorders>
            <w:shd w:val="clear" w:color="auto" w:fill="auto"/>
            <w:noWrap/>
            <w:vAlign w:val="bottom"/>
            <w:hideMark/>
          </w:tcPr>
          <w:p w:rsidR="00FF423A" w:rsidRPr="00346A27" w:rsidRDefault="00FF423A" w:rsidP="00FF423A">
            <w:pPr>
              <w:keepNext w:val="0"/>
              <w:spacing w:after="0"/>
              <w:jc w:val="right"/>
              <w:rPr>
                <w:rFonts w:ascii="Arial" w:hAnsi="Arial" w:cs="Arial"/>
                <w:sz w:val="16"/>
                <w:szCs w:val="16"/>
              </w:rPr>
            </w:pPr>
          </w:p>
        </w:tc>
        <w:tc>
          <w:tcPr>
            <w:tcW w:w="812" w:type="dxa"/>
            <w:tcBorders>
              <w:top w:val="nil"/>
              <w:left w:val="nil"/>
              <w:bottom w:val="nil"/>
              <w:right w:val="nil"/>
            </w:tcBorders>
            <w:shd w:val="clear" w:color="auto" w:fill="auto"/>
            <w:noWrap/>
            <w:vAlign w:val="bottom"/>
            <w:hideMark/>
          </w:tcPr>
          <w:p w:rsidR="00FF423A" w:rsidRPr="00346A27" w:rsidRDefault="00FF423A" w:rsidP="00FF423A">
            <w:pPr>
              <w:keepNext w:val="0"/>
              <w:spacing w:after="0"/>
              <w:jc w:val="right"/>
              <w:rPr>
                <w:rFonts w:ascii="Arial" w:hAnsi="Arial" w:cs="Arial"/>
                <w:b/>
                <w:bCs/>
                <w:sz w:val="16"/>
                <w:szCs w:val="16"/>
              </w:rPr>
            </w:pPr>
          </w:p>
        </w:tc>
      </w:tr>
      <w:tr w:rsidR="00346A27" w:rsidRPr="00346A27" w:rsidTr="00FD155A">
        <w:trPr>
          <w:trHeight w:val="225"/>
        </w:trPr>
        <w:tc>
          <w:tcPr>
            <w:tcW w:w="2858" w:type="dxa"/>
            <w:tcBorders>
              <w:top w:val="nil"/>
              <w:left w:val="nil"/>
              <w:bottom w:val="nil"/>
              <w:right w:val="nil"/>
            </w:tcBorders>
            <w:shd w:val="clear" w:color="auto" w:fill="auto"/>
            <w:noWrap/>
            <w:vAlign w:val="bottom"/>
            <w:hideMark/>
          </w:tcPr>
          <w:p w:rsidR="00FF423A" w:rsidRPr="00346A27" w:rsidRDefault="00FF423A" w:rsidP="00FF423A">
            <w:pPr>
              <w:keepNext w:val="0"/>
              <w:spacing w:after="0"/>
              <w:ind w:firstLineChars="200" w:firstLine="320"/>
              <w:rPr>
                <w:rFonts w:ascii="Arial" w:hAnsi="Arial" w:cs="Arial"/>
                <w:sz w:val="16"/>
                <w:szCs w:val="16"/>
              </w:rPr>
            </w:pPr>
            <w:r w:rsidRPr="00346A27">
              <w:rPr>
                <w:rFonts w:ascii="Arial" w:hAnsi="Arial" w:cs="Arial"/>
                <w:sz w:val="16"/>
                <w:szCs w:val="16"/>
              </w:rPr>
              <w:t>and impairment</w:t>
            </w:r>
          </w:p>
        </w:tc>
        <w:tc>
          <w:tcPr>
            <w:tcW w:w="617" w:type="dxa"/>
            <w:tcBorders>
              <w:top w:val="nil"/>
              <w:left w:val="nil"/>
              <w:bottom w:val="single" w:sz="4" w:space="0" w:color="auto"/>
              <w:right w:val="nil"/>
            </w:tcBorders>
            <w:shd w:val="clear" w:color="auto" w:fill="auto"/>
            <w:noWrap/>
            <w:vAlign w:val="bottom"/>
            <w:hideMark/>
          </w:tcPr>
          <w:p w:rsidR="00FF423A" w:rsidRPr="00346A27" w:rsidRDefault="00FF423A" w:rsidP="00FF423A">
            <w:pPr>
              <w:keepNext w:val="0"/>
              <w:spacing w:after="0"/>
              <w:jc w:val="right"/>
              <w:rPr>
                <w:rFonts w:ascii="Arial" w:hAnsi="Arial" w:cs="Arial"/>
                <w:sz w:val="16"/>
                <w:szCs w:val="16"/>
              </w:rPr>
            </w:pPr>
            <w:r w:rsidRPr="00346A27">
              <w:rPr>
                <w:rFonts w:ascii="Arial" w:hAnsi="Arial" w:cs="Arial"/>
                <w:sz w:val="16"/>
                <w:szCs w:val="16"/>
              </w:rPr>
              <w:t>-</w:t>
            </w:r>
          </w:p>
        </w:tc>
        <w:tc>
          <w:tcPr>
            <w:tcW w:w="945" w:type="dxa"/>
            <w:tcBorders>
              <w:top w:val="nil"/>
              <w:left w:val="nil"/>
              <w:bottom w:val="single" w:sz="4" w:space="0" w:color="auto"/>
              <w:right w:val="nil"/>
            </w:tcBorders>
            <w:shd w:val="clear" w:color="auto" w:fill="auto"/>
            <w:noWrap/>
            <w:vAlign w:val="bottom"/>
            <w:hideMark/>
          </w:tcPr>
          <w:p w:rsidR="00FF423A" w:rsidRPr="00346A27" w:rsidRDefault="00FF423A" w:rsidP="00FF423A">
            <w:pPr>
              <w:keepNext w:val="0"/>
              <w:spacing w:after="0"/>
              <w:jc w:val="right"/>
              <w:rPr>
                <w:rFonts w:ascii="Arial" w:hAnsi="Arial" w:cs="Arial"/>
                <w:sz w:val="16"/>
                <w:szCs w:val="16"/>
              </w:rPr>
            </w:pPr>
            <w:r w:rsidRPr="00346A27">
              <w:rPr>
                <w:rFonts w:ascii="Arial" w:hAnsi="Arial" w:cs="Arial"/>
                <w:sz w:val="16"/>
                <w:szCs w:val="16"/>
              </w:rPr>
              <w:t>(5,232)</w:t>
            </w:r>
          </w:p>
        </w:tc>
        <w:tc>
          <w:tcPr>
            <w:tcW w:w="1200" w:type="dxa"/>
            <w:tcBorders>
              <w:top w:val="nil"/>
              <w:left w:val="nil"/>
              <w:bottom w:val="single" w:sz="4" w:space="0" w:color="auto"/>
              <w:right w:val="nil"/>
            </w:tcBorders>
            <w:shd w:val="clear" w:color="auto" w:fill="auto"/>
            <w:noWrap/>
            <w:vAlign w:val="bottom"/>
            <w:hideMark/>
          </w:tcPr>
          <w:p w:rsidR="00FF423A" w:rsidRPr="00346A27" w:rsidRDefault="00FF423A" w:rsidP="00FF423A">
            <w:pPr>
              <w:keepNext w:val="0"/>
              <w:spacing w:after="0"/>
              <w:jc w:val="right"/>
              <w:rPr>
                <w:rFonts w:ascii="Arial" w:hAnsi="Arial" w:cs="Arial"/>
                <w:sz w:val="16"/>
                <w:szCs w:val="16"/>
              </w:rPr>
            </w:pPr>
            <w:r w:rsidRPr="00346A27">
              <w:rPr>
                <w:rFonts w:ascii="Arial" w:hAnsi="Arial" w:cs="Arial"/>
                <w:sz w:val="16"/>
                <w:szCs w:val="16"/>
              </w:rPr>
              <w:t>(9,417)</w:t>
            </w:r>
          </w:p>
        </w:tc>
        <w:tc>
          <w:tcPr>
            <w:tcW w:w="1061" w:type="dxa"/>
            <w:tcBorders>
              <w:top w:val="nil"/>
              <w:left w:val="nil"/>
              <w:bottom w:val="single" w:sz="4" w:space="0" w:color="auto"/>
              <w:right w:val="nil"/>
            </w:tcBorders>
            <w:shd w:val="clear" w:color="auto" w:fill="auto"/>
            <w:noWrap/>
            <w:vAlign w:val="bottom"/>
            <w:hideMark/>
          </w:tcPr>
          <w:p w:rsidR="00FF423A" w:rsidRPr="00346A27" w:rsidRDefault="00FF423A" w:rsidP="00FF423A">
            <w:pPr>
              <w:keepNext w:val="0"/>
              <w:spacing w:after="0"/>
              <w:jc w:val="right"/>
              <w:rPr>
                <w:rFonts w:ascii="Arial" w:hAnsi="Arial" w:cs="Arial"/>
                <w:sz w:val="16"/>
                <w:szCs w:val="16"/>
              </w:rPr>
            </w:pPr>
            <w:r w:rsidRPr="00346A27">
              <w:rPr>
                <w:rFonts w:ascii="Arial" w:hAnsi="Arial" w:cs="Arial"/>
                <w:sz w:val="16"/>
                <w:szCs w:val="16"/>
              </w:rPr>
              <w:t>(2,689)</w:t>
            </w:r>
          </w:p>
        </w:tc>
        <w:tc>
          <w:tcPr>
            <w:tcW w:w="812" w:type="dxa"/>
            <w:tcBorders>
              <w:top w:val="nil"/>
              <w:left w:val="nil"/>
              <w:bottom w:val="single" w:sz="4" w:space="0" w:color="auto"/>
              <w:right w:val="nil"/>
            </w:tcBorders>
            <w:shd w:val="clear" w:color="auto" w:fill="auto"/>
            <w:noWrap/>
            <w:vAlign w:val="bottom"/>
            <w:hideMark/>
          </w:tcPr>
          <w:p w:rsidR="00FF423A" w:rsidRPr="00346A27" w:rsidRDefault="00FF423A" w:rsidP="00FF423A">
            <w:pPr>
              <w:keepNext w:val="0"/>
              <w:spacing w:after="0"/>
              <w:jc w:val="right"/>
              <w:rPr>
                <w:rFonts w:ascii="Arial" w:hAnsi="Arial" w:cs="Arial"/>
                <w:b/>
                <w:bCs/>
                <w:sz w:val="16"/>
                <w:szCs w:val="16"/>
              </w:rPr>
            </w:pPr>
            <w:r w:rsidRPr="00346A27">
              <w:rPr>
                <w:rFonts w:ascii="Arial" w:hAnsi="Arial" w:cs="Arial"/>
                <w:b/>
                <w:bCs/>
                <w:sz w:val="16"/>
                <w:szCs w:val="16"/>
              </w:rPr>
              <w:t>(17,338)</w:t>
            </w:r>
          </w:p>
        </w:tc>
      </w:tr>
      <w:tr w:rsidR="00346A27" w:rsidRPr="00346A27" w:rsidTr="00FD155A">
        <w:trPr>
          <w:trHeight w:val="225"/>
        </w:trPr>
        <w:tc>
          <w:tcPr>
            <w:tcW w:w="2858" w:type="dxa"/>
            <w:tcBorders>
              <w:top w:val="nil"/>
              <w:left w:val="nil"/>
              <w:bottom w:val="nil"/>
              <w:right w:val="nil"/>
            </w:tcBorders>
            <w:shd w:val="clear" w:color="auto" w:fill="auto"/>
            <w:noWrap/>
            <w:vAlign w:val="bottom"/>
            <w:hideMark/>
          </w:tcPr>
          <w:p w:rsidR="00FF423A" w:rsidRPr="00346A27" w:rsidRDefault="00FF423A" w:rsidP="00FF423A">
            <w:pPr>
              <w:keepNext w:val="0"/>
              <w:spacing w:after="0"/>
              <w:ind w:firstLineChars="100" w:firstLine="161"/>
              <w:rPr>
                <w:rFonts w:ascii="Arial" w:hAnsi="Arial" w:cs="Arial"/>
                <w:b/>
                <w:bCs/>
                <w:sz w:val="16"/>
                <w:szCs w:val="16"/>
              </w:rPr>
            </w:pPr>
            <w:r w:rsidRPr="00346A27">
              <w:rPr>
                <w:rFonts w:ascii="Arial" w:hAnsi="Arial" w:cs="Arial"/>
                <w:b/>
                <w:bCs/>
                <w:sz w:val="16"/>
                <w:szCs w:val="16"/>
              </w:rPr>
              <w:t>Opening net book balance</w:t>
            </w:r>
          </w:p>
        </w:tc>
        <w:tc>
          <w:tcPr>
            <w:tcW w:w="617" w:type="dxa"/>
            <w:tcBorders>
              <w:top w:val="nil"/>
              <w:left w:val="nil"/>
              <w:bottom w:val="single" w:sz="4" w:space="0" w:color="auto"/>
              <w:right w:val="nil"/>
            </w:tcBorders>
            <w:shd w:val="clear" w:color="auto" w:fill="auto"/>
            <w:noWrap/>
            <w:vAlign w:val="bottom"/>
            <w:hideMark/>
          </w:tcPr>
          <w:p w:rsidR="00FF423A" w:rsidRPr="00346A27" w:rsidRDefault="00FF423A" w:rsidP="00FF423A">
            <w:pPr>
              <w:keepNext w:val="0"/>
              <w:spacing w:after="0"/>
              <w:jc w:val="right"/>
              <w:rPr>
                <w:rFonts w:ascii="Arial" w:hAnsi="Arial" w:cs="Arial"/>
                <w:b/>
                <w:bCs/>
                <w:sz w:val="16"/>
                <w:szCs w:val="16"/>
              </w:rPr>
            </w:pPr>
            <w:r w:rsidRPr="00346A27">
              <w:rPr>
                <w:rFonts w:ascii="Arial" w:hAnsi="Arial" w:cs="Arial"/>
                <w:b/>
                <w:bCs/>
                <w:sz w:val="16"/>
                <w:szCs w:val="16"/>
              </w:rPr>
              <w:t>5,700</w:t>
            </w:r>
          </w:p>
        </w:tc>
        <w:tc>
          <w:tcPr>
            <w:tcW w:w="945" w:type="dxa"/>
            <w:tcBorders>
              <w:top w:val="nil"/>
              <w:left w:val="nil"/>
              <w:bottom w:val="single" w:sz="4" w:space="0" w:color="auto"/>
              <w:right w:val="nil"/>
            </w:tcBorders>
            <w:shd w:val="clear" w:color="auto" w:fill="auto"/>
            <w:noWrap/>
            <w:vAlign w:val="bottom"/>
            <w:hideMark/>
          </w:tcPr>
          <w:p w:rsidR="00FF423A" w:rsidRPr="00346A27" w:rsidRDefault="00FF423A" w:rsidP="00FF423A">
            <w:pPr>
              <w:keepNext w:val="0"/>
              <w:spacing w:after="0"/>
              <w:jc w:val="right"/>
              <w:rPr>
                <w:rFonts w:ascii="Arial" w:hAnsi="Arial" w:cs="Arial"/>
                <w:b/>
                <w:bCs/>
                <w:sz w:val="16"/>
                <w:szCs w:val="16"/>
              </w:rPr>
            </w:pPr>
            <w:r w:rsidRPr="00346A27">
              <w:rPr>
                <w:rFonts w:ascii="Arial" w:hAnsi="Arial" w:cs="Arial"/>
                <w:b/>
                <w:bCs/>
                <w:sz w:val="16"/>
                <w:szCs w:val="16"/>
              </w:rPr>
              <w:t>15,688</w:t>
            </w:r>
          </w:p>
        </w:tc>
        <w:tc>
          <w:tcPr>
            <w:tcW w:w="1200" w:type="dxa"/>
            <w:tcBorders>
              <w:top w:val="nil"/>
              <w:left w:val="nil"/>
              <w:bottom w:val="single" w:sz="4" w:space="0" w:color="auto"/>
              <w:right w:val="nil"/>
            </w:tcBorders>
            <w:shd w:val="clear" w:color="auto" w:fill="auto"/>
            <w:noWrap/>
            <w:vAlign w:val="bottom"/>
            <w:hideMark/>
          </w:tcPr>
          <w:p w:rsidR="00FF423A" w:rsidRPr="00346A27" w:rsidRDefault="00FF423A" w:rsidP="00FF423A">
            <w:pPr>
              <w:keepNext w:val="0"/>
              <w:spacing w:after="0"/>
              <w:jc w:val="right"/>
              <w:rPr>
                <w:rFonts w:ascii="Arial" w:hAnsi="Arial" w:cs="Arial"/>
                <w:b/>
                <w:bCs/>
                <w:sz w:val="16"/>
                <w:szCs w:val="16"/>
              </w:rPr>
            </w:pPr>
            <w:r w:rsidRPr="00346A27">
              <w:rPr>
                <w:rFonts w:ascii="Arial" w:hAnsi="Arial" w:cs="Arial"/>
                <w:b/>
                <w:bCs/>
                <w:sz w:val="16"/>
                <w:szCs w:val="16"/>
              </w:rPr>
              <w:t>5,356</w:t>
            </w:r>
          </w:p>
        </w:tc>
        <w:tc>
          <w:tcPr>
            <w:tcW w:w="1061" w:type="dxa"/>
            <w:tcBorders>
              <w:top w:val="nil"/>
              <w:left w:val="nil"/>
              <w:bottom w:val="single" w:sz="4" w:space="0" w:color="auto"/>
              <w:right w:val="nil"/>
            </w:tcBorders>
            <w:shd w:val="clear" w:color="auto" w:fill="auto"/>
            <w:noWrap/>
            <w:vAlign w:val="bottom"/>
            <w:hideMark/>
          </w:tcPr>
          <w:p w:rsidR="00FF423A" w:rsidRPr="00346A27" w:rsidRDefault="00FF423A" w:rsidP="00FF423A">
            <w:pPr>
              <w:keepNext w:val="0"/>
              <w:spacing w:after="0"/>
              <w:jc w:val="right"/>
              <w:rPr>
                <w:rFonts w:ascii="Arial" w:hAnsi="Arial" w:cs="Arial"/>
                <w:b/>
                <w:bCs/>
                <w:sz w:val="16"/>
                <w:szCs w:val="16"/>
              </w:rPr>
            </w:pPr>
            <w:r w:rsidRPr="00346A27">
              <w:rPr>
                <w:rFonts w:ascii="Arial" w:hAnsi="Arial" w:cs="Arial"/>
                <w:b/>
                <w:bCs/>
                <w:sz w:val="16"/>
                <w:szCs w:val="16"/>
              </w:rPr>
              <w:t>606</w:t>
            </w:r>
          </w:p>
        </w:tc>
        <w:tc>
          <w:tcPr>
            <w:tcW w:w="812" w:type="dxa"/>
            <w:tcBorders>
              <w:top w:val="nil"/>
              <w:left w:val="nil"/>
              <w:bottom w:val="single" w:sz="4" w:space="0" w:color="auto"/>
              <w:right w:val="nil"/>
            </w:tcBorders>
            <w:shd w:val="clear" w:color="auto" w:fill="auto"/>
            <w:noWrap/>
            <w:vAlign w:val="bottom"/>
            <w:hideMark/>
          </w:tcPr>
          <w:p w:rsidR="00FF423A" w:rsidRPr="00346A27" w:rsidRDefault="00FF423A" w:rsidP="00FF423A">
            <w:pPr>
              <w:keepNext w:val="0"/>
              <w:spacing w:after="0"/>
              <w:jc w:val="right"/>
              <w:rPr>
                <w:rFonts w:ascii="Arial" w:hAnsi="Arial" w:cs="Arial"/>
                <w:b/>
                <w:bCs/>
                <w:sz w:val="16"/>
                <w:szCs w:val="16"/>
              </w:rPr>
            </w:pPr>
            <w:r w:rsidRPr="00346A27">
              <w:rPr>
                <w:rFonts w:ascii="Arial" w:hAnsi="Arial" w:cs="Arial"/>
                <w:b/>
                <w:bCs/>
                <w:sz w:val="16"/>
                <w:szCs w:val="16"/>
              </w:rPr>
              <w:t>27,350</w:t>
            </w:r>
          </w:p>
        </w:tc>
      </w:tr>
      <w:tr w:rsidR="00346A27" w:rsidRPr="00346A27" w:rsidTr="00FD155A">
        <w:trPr>
          <w:trHeight w:val="300"/>
        </w:trPr>
        <w:tc>
          <w:tcPr>
            <w:tcW w:w="2858" w:type="dxa"/>
            <w:tcBorders>
              <w:top w:val="nil"/>
              <w:left w:val="nil"/>
              <w:bottom w:val="nil"/>
              <w:right w:val="nil"/>
            </w:tcBorders>
            <w:shd w:val="clear" w:color="auto" w:fill="auto"/>
            <w:noWrap/>
            <w:vAlign w:val="bottom"/>
            <w:hideMark/>
          </w:tcPr>
          <w:p w:rsidR="00FF423A" w:rsidRPr="00346A27" w:rsidRDefault="00FF423A" w:rsidP="00FF423A">
            <w:pPr>
              <w:keepNext w:val="0"/>
              <w:spacing w:after="0"/>
              <w:rPr>
                <w:rFonts w:ascii="Arial" w:hAnsi="Arial" w:cs="Arial"/>
                <w:b/>
                <w:bCs/>
                <w:sz w:val="16"/>
                <w:szCs w:val="16"/>
              </w:rPr>
            </w:pPr>
            <w:r w:rsidRPr="00346A27">
              <w:rPr>
                <w:rFonts w:ascii="Arial" w:hAnsi="Arial" w:cs="Arial"/>
                <w:b/>
                <w:bCs/>
                <w:sz w:val="16"/>
                <w:szCs w:val="16"/>
              </w:rPr>
              <w:t>CAPITAL ASSET ADDITIONS</w:t>
            </w:r>
          </w:p>
        </w:tc>
        <w:tc>
          <w:tcPr>
            <w:tcW w:w="617" w:type="dxa"/>
            <w:tcBorders>
              <w:top w:val="nil"/>
              <w:left w:val="nil"/>
              <w:bottom w:val="nil"/>
              <w:right w:val="nil"/>
            </w:tcBorders>
            <w:shd w:val="clear" w:color="auto" w:fill="auto"/>
            <w:noWrap/>
            <w:vAlign w:val="bottom"/>
            <w:hideMark/>
          </w:tcPr>
          <w:p w:rsidR="00FF423A" w:rsidRPr="00346A27" w:rsidRDefault="00FF423A" w:rsidP="00FF423A">
            <w:pPr>
              <w:keepNext w:val="0"/>
              <w:spacing w:after="0"/>
              <w:jc w:val="right"/>
              <w:rPr>
                <w:rFonts w:ascii="Arial" w:hAnsi="Arial" w:cs="Arial"/>
                <w:sz w:val="16"/>
                <w:szCs w:val="16"/>
              </w:rPr>
            </w:pPr>
          </w:p>
        </w:tc>
        <w:tc>
          <w:tcPr>
            <w:tcW w:w="945" w:type="dxa"/>
            <w:tcBorders>
              <w:top w:val="nil"/>
              <w:left w:val="nil"/>
              <w:bottom w:val="nil"/>
              <w:right w:val="nil"/>
            </w:tcBorders>
            <w:shd w:val="clear" w:color="auto" w:fill="auto"/>
            <w:noWrap/>
            <w:vAlign w:val="bottom"/>
            <w:hideMark/>
          </w:tcPr>
          <w:p w:rsidR="00FF423A" w:rsidRPr="00346A27" w:rsidRDefault="00FF423A" w:rsidP="00FF423A">
            <w:pPr>
              <w:keepNext w:val="0"/>
              <w:spacing w:after="0"/>
              <w:jc w:val="right"/>
              <w:rPr>
                <w:rFonts w:ascii="Arial" w:hAnsi="Arial" w:cs="Arial"/>
                <w:sz w:val="16"/>
                <w:szCs w:val="16"/>
              </w:rPr>
            </w:pPr>
          </w:p>
        </w:tc>
        <w:tc>
          <w:tcPr>
            <w:tcW w:w="1200" w:type="dxa"/>
            <w:tcBorders>
              <w:top w:val="nil"/>
              <w:left w:val="nil"/>
              <w:bottom w:val="nil"/>
              <w:right w:val="nil"/>
            </w:tcBorders>
            <w:shd w:val="clear" w:color="auto" w:fill="auto"/>
            <w:noWrap/>
            <w:vAlign w:val="bottom"/>
            <w:hideMark/>
          </w:tcPr>
          <w:p w:rsidR="00FF423A" w:rsidRPr="00346A27" w:rsidRDefault="00FF423A" w:rsidP="00FF423A">
            <w:pPr>
              <w:keepNext w:val="0"/>
              <w:spacing w:after="0"/>
              <w:jc w:val="right"/>
              <w:rPr>
                <w:rFonts w:ascii="Arial" w:hAnsi="Arial" w:cs="Arial"/>
                <w:sz w:val="16"/>
                <w:szCs w:val="16"/>
              </w:rPr>
            </w:pPr>
          </w:p>
        </w:tc>
        <w:tc>
          <w:tcPr>
            <w:tcW w:w="1061" w:type="dxa"/>
            <w:tcBorders>
              <w:top w:val="nil"/>
              <w:left w:val="nil"/>
              <w:bottom w:val="nil"/>
              <w:right w:val="nil"/>
            </w:tcBorders>
            <w:shd w:val="clear" w:color="auto" w:fill="auto"/>
            <w:noWrap/>
            <w:vAlign w:val="bottom"/>
            <w:hideMark/>
          </w:tcPr>
          <w:p w:rsidR="00FF423A" w:rsidRPr="00346A27" w:rsidRDefault="00FF423A" w:rsidP="00FF423A">
            <w:pPr>
              <w:keepNext w:val="0"/>
              <w:spacing w:after="0"/>
              <w:jc w:val="right"/>
              <w:rPr>
                <w:rFonts w:ascii="Arial" w:hAnsi="Arial" w:cs="Arial"/>
                <w:sz w:val="16"/>
                <w:szCs w:val="16"/>
              </w:rPr>
            </w:pPr>
          </w:p>
        </w:tc>
        <w:tc>
          <w:tcPr>
            <w:tcW w:w="812" w:type="dxa"/>
            <w:tcBorders>
              <w:top w:val="nil"/>
              <w:left w:val="nil"/>
              <w:bottom w:val="nil"/>
              <w:right w:val="nil"/>
            </w:tcBorders>
            <w:shd w:val="clear" w:color="auto" w:fill="auto"/>
            <w:noWrap/>
            <w:vAlign w:val="bottom"/>
            <w:hideMark/>
          </w:tcPr>
          <w:p w:rsidR="00FF423A" w:rsidRPr="00346A27" w:rsidRDefault="00FF423A" w:rsidP="00FF423A">
            <w:pPr>
              <w:keepNext w:val="0"/>
              <w:spacing w:after="0"/>
              <w:jc w:val="right"/>
              <w:rPr>
                <w:rFonts w:ascii="Arial" w:hAnsi="Arial" w:cs="Arial"/>
                <w:b/>
                <w:bCs/>
                <w:sz w:val="16"/>
                <w:szCs w:val="16"/>
              </w:rPr>
            </w:pPr>
          </w:p>
        </w:tc>
      </w:tr>
      <w:tr w:rsidR="00346A27" w:rsidRPr="00346A27" w:rsidTr="00FD155A">
        <w:trPr>
          <w:trHeight w:val="225"/>
        </w:trPr>
        <w:tc>
          <w:tcPr>
            <w:tcW w:w="3475" w:type="dxa"/>
            <w:gridSpan w:val="2"/>
            <w:tcBorders>
              <w:top w:val="nil"/>
              <w:left w:val="nil"/>
              <w:bottom w:val="nil"/>
              <w:right w:val="nil"/>
            </w:tcBorders>
            <w:shd w:val="clear" w:color="auto" w:fill="auto"/>
            <w:noWrap/>
            <w:vAlign w:val="bottom"/>
            <w:hideMark/>
          </w:tcPr>
          <w:p w:rsidR="00FF423A" w:rsidRPr="00346A27" w:rsidRDefault="00FF423A" w:rsidP="00FF423A">
            <w:pPr>
              <w:keepNext w:val="0"/>
              <w:spacing w:after="0"/>
              <w:ind w:firstLineChars="100" w:firstLine="161"/>
              <w:rPr>
                <w:rFonts w:ascii="Arial" w:hAnsi="Arial" w:cs="Arial"/>
                <w:b/>
                <w:bCs/>
                <w:sz w:val="16"/>
                <w:szCs w:val="16"/>
              </w:rPr>
            </w:pPr>
            <w:r w:rsidRPr="00346A27">
              <w:rPr>
                <w:rFonts w:ascii="Arial" w:hAnsi="Arial" w:cs="Arial"/>
                <w:b/>
                <w:bCs/>
                <w:sz w:val="16"/>
                <w:szCs w:val="16"/>
              </w:rPr>
              <w:t>Estimated expenditure on new or</w:t>
            </w:r>
          </w:p>
        </w:tc>
        <w:tc>
          <w:tcPr>
            <w:tcW w:w="945" w:type="dxa"/>
            <w:tcBorders>
              <w:top w:val="nil"/>
              <w:left w:val="nil"/>
              <w:bottom w:val="nil"/>
              <w:right w:val="nil"/>
            </w:tcBorders>
            <w:shd w:val="clear" w:color="auto" w:fill="auto"/>
            <w:noWrap/>
            <w:vAlign w:val="bottom"/>
            <w:hideMark/>
          </w:tcPr>
          <w:p w:rsidR="00FF423A" w:rsidRPr="00346A27" w:rsidRDefault="00FF423A" w:rsidP="00FF423A">
            <w:pPr>
              <w:keepNext w:val="0"/>
              <w:spacing w:after="0"/>
              <w:jc w:val="right"/>
              <w:rPr>
                <w:rFonts w:ascii="Arial" w:hAnsi="Arial" w:cs="Arial"/>
                <w:sz w:val="16"/>
                <w:szCs w:val="16"/>
              </w:rPr>
            </w:pPr>
          </w:p>
        </w:tc>
        <w:tc>
          <w:tcPr>
            <w:tcW w:w="1200" w:type="dxa"/>
            <w:tcBorders>
              <w:top w:val="nil"/>
              <w:left w:val="nil"/>
              <w:bottom w:val="nil"/>
              <w:right w:val="nil"/>
            </w:tcBorders>
            <w:shd w:val="clear" w:color="auto" w:fill="auto"/>
            <w:noWrap/>
            <w:vAlign w:val="bottom"/>
            <w:hideMark/>
          </w:tcPr>
          <w:p w:rsidR="00FF423A" w:rsidRPr="00346A27" w:rsidRDefault="00FF423A" w:rsidP="00FF423A">
            <w:pPr>
              <w:keepNext w:val="0"/>
              <w:spacing w:after="0"/>
              <w:jc w:val="right"/>
              <w:rPr>
                <w:rFonts w:ascii="Arial" w:hAnsi="Arial" w:cs="Arial"/>
                <w:sz w:val="16"/>
                <w:szCs w:val="16"/>
              </w:rPr>
            </w:pPr>
          </w:p>
        </w:tc>
        <w:tc>
          <w:tcPr>
            <w:tcW w:w="1061" w:type="dxa"/>
            <w:tcBorders>
              <w:top w:val="nil"/>
              <w:left w:val="nil"/>
              <w:bottom w:val="nil"/>
              <w:right w:val="nil"/>
            </w:tcBorders>
            <w:shd w:val="clear" w:color="auto" w:fill="auto"/>
            <w:noWrap/>
            <w:vAlign w:val="bottom"/>
            <w:hideMark/>
          </w:tcPr>
          <w:p w:rsidR="00FF423A" w:rsidRPr="00346A27" w:rsidRDefault="00FF423A" w:rsidP="00FF423A">
            <w:pPr>
              <w:keepNext w:val="0"/>
              <w:spacing w:after="0"/>
              <w:jc w:val="right"/>
              <w:rPr>
                <w:rFonts w:ascii="Arial" w:hAnsi="Arial" w:cs="Arial"/>
                <w:sz w:val="16"/>
                <w:szCs w:val="16"/>
              </w:rPr>
            </w:pPr>
          </w:p>
        </w:tc>
        <w:tc>
          <w:tcPr>
            <w:tcW w:w="812" w:type="dxa"/>
            <w:tcBorders>
              <w:top w:val="nil"/>
              <w:left w:val="nil"/>
              <w:bottom w:val="nil"/>
              <w:right w:val="nil"/>
            </w:tcBorders>
            <w:shd w:val="clear" w:color="auto" w:fill="auto"/>
            <w:noWrap/>
            <w:vAlign w:val="bottom"/>
            <w:hideMark/>
          </w:tcPr>
          <w:p w:rsidR="00FF423A" w:rsidRPr="00346A27" w:rsidRDefault="00FF423A" w:rsidP="00FF423A">
            <w:pPr>
              <w:keepNext w:val="0"/>
              <w:spacing w:after="0"/>
              <w:jc w:val="right"/>
              <w:rPr>
                <w:rFonts w:ascii="Arial" w:hAnsi="Arial" w:cs="Arial"/>
                <w:b/>
                <w:bCs/>
                <w:sz w:val="16"/>
                <w:szCs w:val="16"/>
              </w:rPr>
            </w:pPr>
          </w:p>
        </w:tc>
      </w:tr>
      <w:tr w:rsidR="00346A27" w:rsidRPr="00346A27" w:rsidTr="00FD155A">
        <w:trPr>
          <w:trHeight w:val="225"/>
        </w:trPr>
        <w:tc>
          <w:tcPr>
            <w:tcW w:w="2858" w:type="dxa"/>
            <w:tcBorders>
              <w:top w:val="nil"/>
              <w:left w:val="nil"/>
              <w:bottom w:val="nil"/>
              <w:right w:val="nil"/>
            </w:tcBorders>
            <w:shd w:val="clear" w:color="auto" w:fill="auto"/>
            <w:noWrap/>
            <w:vAlign w:val="bottom"/>
            <w:hideMark/>
          </w:tcPr>
          <w:p w:rsidR="00FF423A" w:rsidRPr="00346A27" w:rsidRDefault="00FF423A" w:rsidP="00FF423A">
            <w:pPr>
              <w:keepNext w:val="0"/>
              <w:spacing w:after="0"/>
              <w:ind w:firstLineChars="200" w:firstLine="321"/>
              <w:rPr>
                <w:rFonts w:ascii="Arial" w:hAnsi="Arial" w:cs="Arial"/>
                <w:b/>
                <w:bCs/>
                <w:sz w:val="16"/>
                <w:szCs w:val="16"/>
              </w:rPr>
            </w:pPr>
            <w:r w:rsidRPr="00346A27">
              <w:rPr>
                <w:rFonts w:ascii="Arial" w:hAnsi="Arial" w:cs="Arial"/>
                <w:b/>
                <w:bCs/>
                <w:sz w:val="16"/>
                <w:szCs w:val="16"/>
              </w:rPr>
              <w:t>replacement assets</w:t>
            </w:r>
          </w:p>
        </w:tc>
        <w:tc>
          <w:tcPr>
            <w:tcW w:w="617" w:type="dxa"/>
            <w:tcBorders>
              <w:top w:val="nil"/>
              <w:left w:val="nil"/>
              <w:bottom w:val="nil"/>
              <w:right w:val="nil"/>
            </w:tcBorders>
            <w:shd w:val="clear" w:color="auto" w:fill="auto"/>
            <w:noWrap/>
            <w:vAlign w:val="bottom"/>
            <w:hideMark/>
          </w:tcPr>
          <w:p w:rsidR="00FF423A" w:rsidRPr="00346A27" w:rsidRDefault="00FF423A" w:rsidP="00FF423A">
            <w:pPr>
              <w:keepNext w:val="0"/>
              <w:spacing w:after="0"/>
              <w:jc w:val="right"/>
              <w:rPr>
                <w:rFonts w:ascii="Arial" w:hAnsi="Arial" w:cs="Arial"/>
                <w:sz w:val="16"/>
                <w:szCs w:val="16"/>
              </w:rPr>
            </w:pPr>
          </w:p>
        </w:tc>
        <w:tc>
          <w:tcPr>
            <w:tcW w:w="945" w:type="dxa"/>
            <w:tcBorders>
              <w:top w:val="nil"/>
              <w:left w:val="nil"/>
              <w:bottom w:val="nil"/>
              <w:right w:val="nil"/>
            </w:tcBorders>
            <w:shd w:val="clear" w:color="auto" w:fill="auto"/>
            <w:noWrap/>
            <w:vAlign w:val="bottom"/>
            <w:hideMark/>
          </w:tcPr>
          <w:p w:rsidR="00FF423A" w:rsidRPr="00346A27" w:rsidRDefault="00FF423A" w:rsidP="00FF423A">
            <w:pPr>
              <w:keepNext w:val="0"/>
              <w:spacing w:after="0"/>
              <w:jc w:val="right"/>
              <w:rPr>
                <w:rFonts w:ascii="Arial" w:hAnsi="Arial" w:cs="Arial"/>
                <w:sz w:val="16"/>
                <w:szCs w:val="16"/>
              </w:rPr>
            </w:pPr>
          </w:p>
        </w:tc>
        <w:tc>
          <w:tcPr>
            <w:tcW w:w="1200" w:type="dxa"/>
            <w:tcBorders>
              <w:top w:val="nil"/>
              <w:left w:val="nil"/>
              <w:bottom w:val="nil"/>
              <w:right w:val="nil"/>
            </w:tcBorders>
            <w:shd w:val="clear" w:color="auto" w:fill="auto"/>
            <w:noWrap/>
            <w:vAlign w:val="bottom"/>
            <w:hideMark/>
          </w:tcPr>
          <w:p w:rsidR="00FF423A" w:rsidRPr="00346A27" w:rsidRDefault="00FF423A" w:rsidP="00FF423A">
            <w:pPr>
              <w:keepNext w:val="0"/>
              <w:spacing w:after="0"/>
              <w:jc w:val="right"/>
              <w:rPr>
                <w:rFonts w:ascii="Arial" w:hAnsi="Arial" w:cs="Arial"/>
                <w:sz w:val="16"/>
                <w:szCs w:val="16"/>
              </w:rPr>
            </w:pPr>
          </w:p>
        </w:tc>
        <w:tc>
          <w:tcPr>
            <w:tcW w:w="1061" w:type="dxa"/>
            <w:tcBorders>
              <w:top w:val="nil"/>
              <w:left w:val="nil"/>
              <w:bottom w:val="nil"/>
              <w:right w:val="nil"/>
            </w:tcBorders>
            <w:shd w:val="clear" w:color="auto" w:fill="auto"/>
            <w:noWrap/>
            <w:vAlign w:val="bottom"/>
            <w:hideMark/>
          </w:tcPr>
          <w:p w:rsidR="00FF423A" w:rsidRPr="00346A27" w:rsidRDefault="00FF423A" w:rsidP="00FF423A">
            <w:pPr>
              <w:keepNext w:val="0"/>
              <w:spacing w:after="0"/>
              <w:jc w:val="right"/>
              <w:rPr>
                <w:rFonts w:ascii="Arial" w:hAnsi="Arial" w:cs="Arial"/>
                <w:sz w:val="16"/>
                <w:szCs w:val="16"/>
              </w:rPr>
            </w:pPr>
          </w:p>
        </w:tc>
        <w:tc>
          <w:tcPr>
            <w:tcW w:w="812" w:type="dxa"/>
            <w:tcBorders>
              <w:top w:val="nil"/>
              <w:left w:val="nil"/>
              <w:bottom w:val="nil"/>
              <w:right w:val="nil"/>
            </w:tcBorders>
            <w:shd w:val="clear" w:color="auto" w:fill="auto"/>
            <w:noWrap/>
            <w:vAlign w:val="bottom"/>
            <w:hideMark/>
          </w:tcPr>
          <w:p w:rsidR="00FF423A" w:rsidRPr="00346A27" w:rsidRDefault="00FF423A" w:rsidP="00FF423A">
            <w:pPr>
              <w:keepNext w:val="0"/>
              <w:spacing w:after="0"/>
              <w:jc w:val="right"/>
              <w:rPr>
                <w:rFonts w:ascii="Arial" w:hAnsi="Arial" w:cs="Arial"/>
                <w:b/>
                <w:bCs/>
                <w:sz w:val="16"/>
                <w:szCs w:val="16"/>
              </w:rPr>
            </w:pPr>
          </w:p>
        </w:tc>
      </w:tr>
      <w:tr w:rsidR="00346A27" w:rsidRPr="00346A27" w:rsidTr="00FD155A">
        <w:trPr>
          <w:trHeight w:val="225"/>
        </w:trPr>
        <w:tc>
          <w:tcPr>
            <w:tcW w:w="2858" w:type="dxa"/>
            <w:tcBorders>
              <w:top w:val="nil"/>
              <w:left w:val="nil"/>
              <w:bottom w:val="nil"/>
              <w:right w:val="nil"/>
            </w:tcBorders>
            <w:shd w:val="clear" w:color="auto" w:fill="auto"/>
            <w:noWrap/>
            <w:vAlign w:val="bottom"/>
            <w:hideMark/>
          </w:tcPr>
          <w:p w:rsidR="00FF423A" w:rsidRPr="00346A27" w:rsidRDefault="00FF423A" w:rsidP="00FF423A">
            <w:pPr>
              <w:keepNext w:val="0"/>
              <w:spacing w:after="0"/>
              <w:ind w:firstLineChars="100" w:firstLine="160"/>
              <w:rPr>
                <w:rFonts w:ascii="Arial" w:hAnsi="Arial" w:cs="Arial"/>
                <w:sz w:val="16"/>
                <w:szCs w:val="16"/>
              </w:rPr>
            </w:pPr>
            <w:r w:rsidRPr="00346A27">
              <w:rPr>
                <w:rFonts w:ascii="Arial" w:hAnsi="Arial" w:cs="Arial"/>
                <w:sz w:val="16"/>
                <w:szCs w:val="16"/>
              </w:rPr>
              <w:t>By purchase - appropriation</w:t>
            </w:r>
          </w:p>
        </w:tc>
        <w:tc>
          <w:tcPr>
            <w:tcW w:w="617" w:type="dxa"/>
            <w:tcBorders>
              <w:top w:val="nil"/>
              <w:left w:val="nil"/>
              <w:bottom w:val="nil"/>
              <w:right w:val="nil"/>
            </w:tcBorders>
            <w:shd w:val="clear" w:color="auto" w:fill="auto"/>
            <w:noWrap/>
            <w:vAlign w:val="center"/>
            <w:hideMark/>
          </w:tcPr>
          <w:p w:rsidR="00FF423A" w:rsidRPr="00346A27" w:rsidRDefault="00FF423A" w:rsidP="00FF423A">
            <w:pPr>
              <w:keepNext w:val="0"/>
              <w:spacing w:after="0"/>
              <w:jc w:val="right"/>
              <w:rPr>
                <w:rFonts w:ascii="Arial" w:hAnsi="Arial" w:cs="Arial"/>
                <w:sz w:val="16"/>
                <w:szCs w:val="16"/>
              </w:rPr>
            </w:pPr>
          </w:p>
        </w:tc>
        <w:tc>
          <w:tcPr>
            <w:tcW w:w="945" w:type="dxa"/>
            <w:tcBorders>
              <w:top w:val="nil"/>
              <w:left w:val="nil"/>
              <w:bottom w:val="nil"/>
              <w:right w:val="nil"/>
            </w:tcBorders>
            <w:shd w:val="clear" w:color="auto" w:fill="auto"/>
            <w:noWrap/>
            <w:vAlign w:val="center"/>
            <w:hideMark/>
          </w:tcPr>
          <w:p w:rsidR="00FF423A" w:rsidRPr="00346A27" w:rsidRDefault="00FF423A" w:rsidP="00FF423A">
            <w:pPr>
              <w:keepNext w:val="0"/>
              <w:spacing w:after="0"/>
              <w:jc w:val="right"/>
              <w:rPr>
                <w:rFonts w:ascii="Arial" w:hAnsi="Arial" w:cs="Arial"/>
                <w:sz w:val="16"/>
                <w:szCs w:val="16"/>
              </w:rPr>
            </w:pPr>
          </w:p>
        </w:tc>
        <w:tc>
          <w:tcPr>
            <w:tcW w:w="1200" w:type="dxa"/>
            <w:tcBorders>
              <w:top w:val="nil"/>
              <w:left w:val="nil"/>
              <w:bottom w:val="nil"/>
              <w:right w:val="nil"/>
            </w:tcBorders>
            <w:shd w:val="clear" w:color="auto" w:fill="auto"/>
            <w:noWrap/>
            <w:vAlign w:val="center"/>
            <w:hideMark/>
          </w:tcPr>
          <w:p w:rsidR="00FF423A" w:rsidRPr="00346A27" w:rsidRDefault="00FF423A" w:rsidP="00FF423A">
            <w:pPr>
              <w:keepNext w:val="0"/>
              <w:spacing w:after="0"/>
              <w:jc w:val="right"/>
              <w:rPr>
                <w:rFonts w:ascii="Arial" w:hAnsi="Arial" w:cs="Arial"/>
                <w:sz w:val="16"/>
                <w:szCs w:val="16"/>
              </w:rPr>
            </w:pPr>
          </w:p>
        </w:tc>
        <w:tc>
          <w:tcPr>
            <w:tcW w:w="1061" w:type="dxa"/>
            <w:tcBorders>
              <w:top w:val="nil"/>
              <w:left w:val="nil"/>
              <w:bottom w:val="nil"/>
              <w:right w:val="nil"/>
            </w:tcBorders>
            <w:shd w:val="clear" w:color="auto" w:fill="auto"/>
            <w:noWrap/>
            <w:vAlign w:val="center"/>
            <w:hideMark/>
          </w:tcPr>
          <w:p w:rsidR="00FF423A" w:rsidRPr="00346A27" w:rsidRDefault="00FF423A" w:rsidP="00FF423A">
            <w:pPr>
              <w:keepNext w:val="0"/>
              <w:spacing w:after="0"/>
              <w:jc w:val="right"/>
              <w:rPr>
                <w:rFonts w:ascii="Arial" w:hAnsi="Arial" w:cs="Arial"/>
                <w:sz w:val="16"/>
                <w:szCs w:val="16"/>
              </w:rPr>
            </w:pPr>
          </w:p>
        </w:tc>
        <w:tc>
          <w:tcPr>
            <w:tcW w:w="812" w:type="dxa"/>
            <w:tcBorders>
              <w:top w:val="nil"/>
              <w:left w:val="nil"/>
              <w:bottom w:val="nil"/>
              <w:right w:val="nil"/>
            </w:tcBorders>
            <w:shd w:val="clear" w:color="auto" w:fill="auto"/>
            <w:noWrap/>
            <w:vAlign w:val="center"/>
            <w:hideMark/>
          </w:tcPr>
          <w:p w:rsidR="00FF423A" w:rsidRPr="00346A27" w:rsidRDefault="00FF423A" w:rsidP="00FF423A">
            <w:pPr>
              <w:keepNext w:val="0"/>
              <w:spacing w:after="0"/>
              <w:jc w:val="right"/>
              <w:rPr>
                <w:rFonts w:ascii="Arial" w:hAnsi="Arial" w:cs="Arial"/>
                <w:b/>
                <w:bCs/>
                <w:sz w:val="16"/>
                <w:szCs w:val="16"/>
              </w:rPr>
            </w:pPr>
          </w:p>
        </w:tc>
      </w:tr>
      <w:tr w:rsidR="00346A27" w:rsidRPr="00346A27" w:rsidTr="00FD155A">
        <w:trPr>
          <w:trHeight w:val="225"/>
        </w:trPr>
        <w:tc>
          <w:tcPr>
            <w:tcW w:w="2858" w:type="dxa"/>
            <w:tcBorders>
              <w:top w:val="nil"/>
              <w:left w:val="nil"/>
              <w:bottom w:val="nil"/>
              <w:right w:val="nil"/>
            </w:tcBorders>
            <w:shd w:val="clear" w:color="auto" w:fill="auto"/>
            <w:noWrap/>
            <w:vAlign w:val="bottom"/>
            <w:hideMark/>
          </w:tcPr>
          <w:p w:rsidR="00FF423A" w:rsidRPr="00346A27" w:rsidRDefault="00FF423A" w:rsidP="00FF423A">
            <w:pPr>
              <w:keepNext w:val="0"/>
              <w:spacing w:after="0"/>
              <w:ind w:firstLineChars="200" w:firstLine="320"/>
              <w:rPr>
                <w:rFonts w:ascii="Arial" w:hAnsi="Arial" w:cs="Arial"/>
                <w:sz w:val="16"/>
                <w:szCs w:val="16"/>
              </w:rPr>
            </w:pPr>
            <w:r w:rsidRPr="00346A27">
              <w:rPr>
                <w:rFonts w:ascii="Arial" w:hAnsi="Arial" w:cs="Arial"/>
                <w:sz w:val="16"/>
                <w:szCs w:val="16"/>
              </w:rPr>
              <w:t>ordinary annual services</w:t>
            </w:r>
          </w:p>
        </w:tc>
        <w:tc>
          <w:tcPr>
            <w:tcW w:w="617" w:type="dxa"/>
            <w:tcBorders>
              <w:top w:val="nil"/>
              <w:left w:val="nil"/>
              <w:bottom w:val="single" w:sz="4" w:space="0" w:color="auto"/>
              <w:right w:val="nil"/>
            </w:tcBorders>
            <w:shd w:val="clear" w:color="auto" w:fill="auto"/>
            <w:noWrap/>
            <w:vAlign w:val="bottom"/>
            <w:hideMark/>
          </w:tcPr>
          <w:p w:rsidR="00FF423A" w:rsidRPr="00346A27" w:rsidRDefault="00FF423A" w:rsidP="00FF423A">
            <w:pPr>
              <w:keepNext w:val="0"/>
              <w:spacing w:after="0"/>
              <w:jc w:val="right"/>
              <w:rPr>
                <w:rFonts w:ascii="Arial" w:hAnsi="Arial" w:cs="Arial"/>
                <w:sz w:val="16"/>
                <w:szCs w:val="16"/>
              </w:rPr>
            </w:pPr>
            <w:r w:rsidRPr="00346A27">
              <w:rPr>
                <w:rFonts w:ascii="Arial" w:hAnsi="Arial" w:cs="Arial"/>
                <w:sz w:val="16"/>
                <w:szCs w:val="16"/>
              </w:rPr>
              <w:t>-</w:t>
            </w:r>
          </w:p>
        </w:tc>
        <w:tc>
          <w:tcPr>
            <w:tcW w:w="945" w:type="dxa"/>
            <w:tcBorders>
              <w:top w:val="nil"/>
              <w:left w:val="nil"/>
              <w:bottom w:val="single" w:sz="4" w:space="0" w:color="auto"/>
              <w:right w:val="nil"/>
            </w:tcBorders>
            <w:shd w:val="clear" w:color="auto" w:fill="auto"/>
            <w:noWrap/>
            <w:vAlign w:val="bottom"/>
            <w:hideMark/>
          </w:tcPr>
          <w:p w:rsidR="00FF423A" w:rsidRPr="00346A27" w:rsidRDefault="00FF423A" w:rsidP="00FF423A">
            <w:pPr>
              <w:keepNext w:val="0"/>
              <w:spacing w:after="0"/>
              <w:jc w:val="right"/>
              <w:rPr>
                <w:rFonts w:ascii="Arial" w:hAnsi="Arial" w:cs="Arial"/>
                <w:sz w:val="16"/>
                <w:szCs w:val="16"/>
              </w:rPr>
            </w:pPr>
            <w:r w:rsidRPr="00346A27">
              <w:rPr>
                <w:rFonts w:ascii="Arial" w:hAnsi="Arial" w:cs="Arial"/>
                <w:sz w:val="16"/>
                <w:szCs w:val="16"/>
              </w:rPr>
              <w:t>785</w:t>
            </w:r>
          </w:p>
        </w:tc>
        <w:tc>
          <w:tcPr>
            <w:tcW w:w="1200" w:type="dxa"/>
            <w:tcBorders>
              <w:top w:val="nil"/>
              <w:left w:val="nil"/>
              <w:bottom w:val="single" w:sz="4" w:space="0" w:color="auto"/>
              <w:right w:val="nil"/>
            </w:tcBorders>
            <w:shd w:val="clear" w:color="auto" w:fill="auto"/>
            <w:noWrap/>
            <w:vAlign w:val="bottom"/>
            <w:hideMark/>
          </w:tcPr>
          <w:p w:rsidR="00FF423A" w:rsidRPr="00346A27" w:rsidRDefault="00FF423A" w:rsidP="00FF423A">
            <w:pPr>
              <w:keepNext w:val="0"/>
              <w:spacing w:after="0"/>
              <w:jc w:val="right"/>
              <w:rPr>
                <w:rFonts w:ascii="Arial" w:hAnsi="Arial" w:cs="Arial"/>
                <w:sz w:val="16"/>
                <w:szCs w:val="16"/>
              </w:rPr>
            </w:pPr>
            <w:r w:rsidRPr="00346A27">
              <w:rPr>
                <w:rFonts w:ascii="Arial" w:hAnsi="Arial" w:cs="Arial"/>
                <w:sz w:val="16"/>
                <w:szCs w:val="16"/>
              </w:rPr>
              <w:t>747</w:t>
            </w:r>
          </w:p>
        </w:tc>
        <w:tc>
          <w:tcPr>
            <w:tcW w:w="1061" w:type="dxa"/>
            <w:tcBorders>
              <w:top w:val="nil"/>
              <w:left w:val="nil"/>
              <w:bottom w:val="single" w:sz="4" w:space="0" w:color="auto"/>
              <w:right w:val="nil"/>
            </w:tcBorders>
            <w:shd w:val="clear" w:color="auto" w:fill="auto"/>
            <w:noWrap/>
            <w:vAlign w:val="bottom"/>
            <w:hideMark/>
          </w:tcPr>
          <w:p w:rsidR="00FF423A" w:rsidRPr="00346A27" w:rsidRDefault="00FF423A" w:rsidP="00FF423A">
            <w:pPr>
              <w:keepNext w:val="0"/>
              <w:spacing w:after="0"/>
              <w:jc w:val="right"/>
              <w:rPr>
                <w:rFonts w:ascii="Arial" w:hAnsi="Arial" w:cs="Arial"/>
                <w:sz w:val="16"/>
                <w:szCs w:val="16"/>
              </w:rPr>
            </w:pPr>
            <w:r w:rsidRPr="00346A27">
              <w:rPr>
                <w:rFonts w:ascii="Arial" w:hAnsi="Arial" w:cs="Arial"/>
                <w:sz w:val="16"/>
                <w:szCs w:val="16"/>
              </w:rPr>
              <w:t>447</w:t>
            </w:r>
          </w:p>
        </w:tc>
        <w:tc>
          <w:tcPr>
            <w:tcW w:w="812" w:type="dxa"/>
            <w:tcBorders>
              <w:top w:val="nil"/>
              <w:left w:val="nil"/>
              <w:bottom w:val="single" w:sz="4" w:space="0" w:color="auto"/>
              <w:right w:val="nil"/>
            </w:tcBorders>
            <w:shd w:val="clear" w:color="auto" w:fill="auto"/>
            <w:noWrap/>
            <w:vAlign w:val="bottom"/>
            <w:hideMark/>
          </w:tcPr>
          <w:p w:rsidR="00FF423A" w:rsidRPr="00346A27" w:rsidRDefault="00FF423A" w:rsidP="00FF423A">
            <w:pPr>
              <w:keepNext w:val="0"/>
              <w:spacing w:after="0"/>
              <w:jc w:val="right"/>
              <w:rPr>
                <w:rFonts w:ascii="Arial" w:hAnsi="Arial" w:cs="Arial"/>
                <w:b/>
                <w:bCs/>
                <w:sz w:val="16"/>
                <w:szCs w:val="16"/>
              </w:rPr>
            </w:pPr>
            <w:r w:rsidRPr="00346A27">
              <w:rPr>
                <w:rFonts w:ascii="Arial" w:hAnsi="Arial" w:cs="Arial"/>
                <w:b/>
                <w:bCs/>
                <w:sz w:val="16"/>
                <w:szCs w:val="16"/>
              </w:rPr>
              <w:t>1,979</w:t>
            </w:r>
          </w:p>
        </w:tc>
      </w:tr>
      <w:tr w:rsidR="00346A27" w:rsidRPr="00346A27" w:rsidTr="00FD155A">
        <w:trPr>
          <w:trHeight w:val="225"/>
        </w:trPr>
        <w:tc>
          <w:tcPr>
            <w:tcW w:w="2858" w:type="dxa"/>
            <w:tcBorders>
              <w:top w:val="nil"/>
              <w:left w:val="nil"/>
              <w:bottom w:val="nil"/>
              <w:right w:val="nil"/>
            </w:tcBorders>
            <w:shd w:val="clear" w:color="auto" w:fill="auto"/>
            <w:noWrap/>
            <w:vAlign w:val="bottom"/>
            <w:hideMark/>
          </w:tcPr>
          <w:p w:rsidR="00FF423A" w:rsidRPr="00346A27" w:rsidRDefault="00FF423A" w:rsidP="00FF423A">
            <w:pPr>
              <w:keepNext w:val="0"/>
              <w:spacing w:after="0"/>
              <w:ind w:firstLineChars="100" w:firstLine="161"/>
              <w:rPr>
                <w:rFonts w:ascii="Arial" w:hAnsi="Arial" w:cs="Arial"/>
                <w:b/>
                <w:bCs/>
                <w:sz w:val="16"/>
                <w:szCs w:val="16"/>
              </w:rPr>
            </w:pPr>
            <w:r w:rsidRPr="00346A27">
              <w:rPr>
                <w:rFonts w:ascii="Arial" w:hAnsi="Arial" w:cs="Arial"/>
                <w:b/>
                <w:bCs/>
                <w:sz w:val="16"/>
                <w:szCs w:val="16"/>
              </w:rPr>
              <w:t>Total additions</w:t>
            </w:r>
          </w:p>
        </w:tc>
        <w:tc>
          <w:tcPr>
            <w:tcW w:w="617" w:type="dxa"/>
            <w:tcBorders>
              <w:top w:val="nil"/>
              <w:left w:val="nil"/>
              <w:bottom w:val="single" w:sz="4" w:space="0" w:color="auto"/>
              <w:right w:val="nil"/>
            </w:tcBorders>
            <w:shd w:val="clear" w:color="auto" w:fill="auto"/>
            <w:noWrap/>
            <w:vAlign w:val="center"/>
            <w:hideMark/>
          </w:tcPr>
          <w:p w:rsidR="00FF423A" w:rsidRPr="00346A27" w:rsidRDefault="00FF423A" w:rsidP="00FF423A">
            <w:pPr>
              <w:keepNext w:val="0"/>
              <w:spacing w:after="0"/>
              <w:jc w:val="right"/>
              <w:rPr>
                <w:rFonts w:ascii="Arial" w:hAnsi="Arial" w:cs="Arial"/>
                <w:b/>
                <w:bCs/>
                <w:sz w:val="16"/>
                <w:szCs w:val="16"/>
              </w:rPr>
            </w:pPr>
            <w:r w:rsidRPr="00346A27">
              <w:rPr>
                <w:rFonts w:ascii="Arial" w:hAnsi="Arial" w:cs="Arial"/>
                <w:b/>
                <w:bCs/>
                <w:sz w:val="16"/>
                <w:szCs w:val="16"/>
              </w:rPr>
              <w:t>-</w:t>
            </w:r>
          </w:p>
        </w:tc>
        <w:tc>
          <w:tcPr>
            <w:tcW w:w="945" w:type="dxa"/>
            <w:tcBorders>
              <w:top w:val="nil"/>
              <w:left w:val="nil"/>
              <w:bottom w:val="single" w:sz="4" w:space="0" w:color="auto"/>
              <w:right w:val="nil"/>
            </w:tcBorders>
            <w:shd w:val="clear" w:color="auto" w:fill="auto"/>
            <w:noWrap/>
            <w:vAlign w:val="center"/>
            <w:hideMark/>
          </w:tcPr>
          <w:p w:rsidR="00FF423A" w:rsidRPr="00346A27" w:rsidRDefault="00FF423A" w:rsidP="00FF423A">
            <w:pPr>
              <w:keepNext w:val="0"/>
              <w:spacing w:after="0"/>
              <w:jc w:val="right"/>
              <w:rPr>
                <w:rFonts w:ascii="Arial" w:hAnsi="Arial" w:cs="Arial"/>
                <w:b/>
                <w:bCs/>
                <w:sz w:val="16"/>
                <w:szCs w:val="16"/>
              </w:rPr>
            </w:pPr>
            <w:r w:rsidRPr="00346A27">
              <w:rPr>
                <w:rFonts w:ascii="Arial" w:hAnsi="Arial" w:cs="Arial"/>
                <w:b/>
                <w:bCs/>
                <w:sz w:val="16"/>
                <w:szCs w:val="16"/>
              </w:rPr>
              <w:t>785</w:t>
            </w:r>
          </w:p>
        </w:tc>
        <w:tc>
          <w:tcPr>
            <w:tcW w:w="1200" w:type="dxa"/>
            <w:tcBorders>
              <w:top w:val="nil"/>
              <w:left w:val="nil"/>
              <w:bottom w:val="single" w:sz="4" w:space="0" w:color="auto"/>
              <w:right w:val="nil"/>
            </w:tcBorders>
            <w:shd w:val="clear" w:color="auto" w:fill="auto"/>
            <w:noWrap/>
            <w:vAlign w:val="center"/>
            <w:hideMark/>
          </w:tcPr>
          <w:p w:rsidR="00FF423A" w:rsidRPr="00346A27" w:rsidRDefault="00FF423A" w:rsidP="00FF423A">
            <w:pPr>
              <w:keepNext w:val="0"/>
              <w:spacing w:after="0"/>
              <w:jc w:val="right"/>
              <w:rPr>
                <w:rFonts w:ascii="Arial" w:hAnsi="Arial" w:cs="Arial"/>
                <w:b/>
                <w:bCs/>
                <w:sz w:val="16"/>
                <w:szCs w:val="16"/>
              </w:rPr>
            </w:pPr>
            <w:r w:rsidRPr="00346A27">
              <w:rPr>
                <w:rFonts w:ascii="Arial" w:hAnsi="Arial" w:cs="Arial"/>
                <w:b/>
                <w:bCs/>
                <w:sz w:val="16"/>
                <w:szCs w:val="16"/>
              </w:rPr>
              <w:t>747</w:t>
            </w:r>
          </w:p>
        </w:tc>
        <w:tc>
          <w:tcPr>
            <w:tcW w:w="1061" w:type="dxa"/>
            <w:tcBorders>
              <w:top w:val="nil"/>
              <w:left w:val="nil"/>
              <w:bottom w:val="single" w:sz="4" w:space="0" w:color="auto"/>
              <w:right w:val="nil"/>
            </w:tcBorders>
            <w:shd w:val="clear" w:color="auto" w:fill="auto"/>
            <w:noWrap/>
            <w:vAlign w:val="center"/>
            <w:hideMark/>
          </w:tcPr>
          <w:p w:rsidR="00FF423A" w:rsidRPr="00346A27" w:rsidRDefault="00FF423A" w:rsidP="00FF423A">
            <w:pPr>
              <w:keepNext w:val="0"/>
              <w:spacing w:after="0"/>
              <w:jc w:val="right"/>
              <w:rPr>
                <w:rFonts w:ascii="Arial" w:hAnsi="Arial" w:cs="Arial"/>
                <w:b/>
                <w:bCs/>
                <w:sz w:val="16"/>
                <w:szCs w:val="16"/>
              </w:rPr>
            </w:pPr>
            <w:r w:rsidRPr="00346A27">
              <w:rPr>
                <w:rFonts w:ascii="Arial" w:hAnsi="Arial" w:cs="Arial"/>
                <w:b/>
                <w:bCs/>
                <w:sz w:val="16"/>
                <w:szCs w:val="16"/>
              </w:rPr>
              <w:t>447</w:t>
            </w:r>
          </w:p>
        </w:tc>
        <w:tc>
          <w:tcPr>
            <w:tcW w:w="812" w:type="dxa"/>
            <w:tcBorders>
              <w:top w:val="nil"/>
              <w:left w:val="nil"/>
              <w:bottom w:val="single" w:sz="4" w:space="0" w:color="auto"/>
              <w:right w:val="nil"/>
            </w:tcBorders>
            <w:shd w:val="clear" w:color="auto" w:fill="auto"/>
            <w:noWrap/>
            <w:vAlign w:val="center"/>
            <w:hideMark/>
          </w:tcPr>
          <w:p w:rsidR="00FF423A" w:rsidRPr="00346A27" w:rsidRDefault="00FF423A" w:rsidP="00FF423A">
            <w:pPr>
              <w:keepNext w:val="0"/>
              <w:spacing w:after="0"/>
              <w:jc w:val="right"/>
              <w:rPr>
                <w:rFonts w:ascii="Arial" w:hAnsi="Arial" w:cs="Arial"/>
                <w:b/>
                <w:bCs/>
                <w:sz w:val="16"/>
                <w:szCs w:val="16"/>
              </w:rPr>
            </w:pPr>
            <w:r w:rsidRPr="00346A27">
              <w:rPr>
                <w:rFonts w:ascii="Arial" w:hAnsi="Arial" w:cs="Arial"/>
                <w:b/>
                <w:bCs/>
                <w:sz w:val="16"/>
                <w:szCs w:val="16"/>
              </w:rPr>
              <w:t>1,979</w:t>
            </w:r>
          </w:p>
        </w:tc>
      </w:tr>
      <w:tr w:rsidR="00346A27" w:rsidRPr="00346A27" w:rsidTr="00FD155A">
        <w:trPr>
          <w:trHeight w:val="300"/>
        </w:trPr>
        <w:tc>
          <w:tcPr>
            <w:tcW w:w="2858" w:type="dxa"/>
            <w:tcBorders>
              <w:top w:val="nil"/>
              <w:left w:val="nil"/>
              <w:bottom w:val="nil"/>
              <w:right w:val="nil"/>
            </w:tcBorders>
            <w:shd w:val="clear" w:color="auto" w:fill="auto"/>
            <w:noWrap/>
            <w:vAlign w:val="bottom"/>
            <w:hideMark/>
          </w:tcPr>
          <w:p w:rsidR="00FF423A" w:rsidRPr="00346A27" w:rsidRDefault="00FF423A" w:rsidP="00FF423A">
            <w:pPr>
              <w:keepNext w:val="0"/>
              <w:spacing w:after="0"/>
              <w:rPr>
                <w:rFonts w:ascii="Arial" w:hAnsi="Arial" w:cs="Arial"/>
                <w:b/>
                <w:bCs/>
                <w:sz w:val="16"/>
                <w:szCs w:val="16"/>
              </w:rPr>
            </w:pPr>
            <w:r w:rsidRPr="00346A27">
              <w:rPr>
                <w:rFonts w:ascii="Arial" w:hAnsi="Arial" w:cs="Arial"/>
                <w:b/>
                <w:bCs/>
                <w:sz w:val="16"/>
                <w:szCs w:val="16"/>
              </w:rPr>
              <w:t>Other movements</w:t>
            </w:r>
          </w:p>
        </w:tc>
        <w:tc>
          <w:tcPr>
            <w:tcW w:w="617" w:type="dxa"/>
            <w:tcBorders>
              <w:top w:val="nil"/>
              <w:left w:val="nil"/>
              <w:bottom w:val="nil"/>
              <w:right w:val="nil"/>
            </w:tcBorders>
            <w:shd w:val="clear" w:color="auto" w:fill="auto"/>
            <w:noWrap/>
            <w:vAlign w:val="bottom"/>
            <w:hideMark/>
          </w:tcPr>
          <w:p w:rsidR="00FF423A" w:rsidRPr="00346A27" w:rsidRDefault="00FF423A" w:rsidP="00FF423A">
            <w:pPr>
              <w:keepNext w:val="0"/>
              <w:spacing w:after="0"/>
              <w:jc w:val="right"/>
              <w:rPr>
                <w:rFonts w:ascii="Arial" w:hAnsi="Arial" w:cs="Arial"/>
                <w:sz w:val="16"/>
                <w:szCs w:val="16"/>
              </w:rPr>
            </w:pPr>
          </w:p>
        </w:tc>
        <w:tc>
          <w:tcPr>
            <w:tcW w:w="945" w:type="dxa"/>
            <w:tcBorders>
              <w:top w:val="nil"/>
              <w:left w:val="nil"/>
              <w:bottom w:val="nil"/>
              <w:right w:val="nil"/>
            </w:tcBorders>
            <w:shd w:val="clear" w:color="auto" w:fill="auto"/>
            <w:noWrap/>
            <w:vAlign w:val="bottom"/>
            <w:hideMark/>
          </w:tcPr>
          <w:p w:rsidR="00FF423A" w:rsidRPr="00346A27" w:rsidRDefault="00FF423A" w:rsidP="00FF423A">
            <w:pPr>
              <w:keepNext w:val="0"/>
              <w:spacing w:after="0"/>
              <w:jc w:val="right"/>
              <w:rPr>
                <w:rFonts w:ascii="Arial" w:hAnsi="Arial" w:cs="Arial"/>
                <w:sz w:val="16"/>
                <w:szCs w:val="16"/>
              </w:rPr>
            </w:pPr>
          </w:p>
        </w:tc>
        <w:tc>
          <w:tcPr>
            <w:tcW w:w="1200" w:type="dxa"/>
            <w:tcBorders>
              <w:top w:val="nil"/>
              <w:left w:val="nil"/>
              <w:bottom w:val="nil"/>
              <w:right w:val="nil"/>
            </w:tcBorders>
            <w:shd w:val="clear" w:color="auto" w:fill="auto"/>
            <w:noWrap/>
            <w:vAlign w:val="bottom"/>
            <w:hideMark/>
          </w:tcPr>
          <w:p w:rsidR="00FF423A" w:rsidRPr="00346A27" w:rsidRDefault="00FF423A" w:rsidP="00FF423A">
            <w:pPr>
              <w:keepNext w:val="0"/>
              <w:spacing w:after="0"/>
              <w:jc w:val="right"/>
              <w:rPr>
                <w:rFonts w:ascii="Arial" w:hAnsi="Arial" w:cs="Arial"/>
                <w:sz w:val="16"/>
                <w:szCs w:val="16"/>
              </w:rPr>
            </w:pPr>
          </w:p>
        </w:tc>
        <w:tc>
          <w:tcPr>
            <w:tcW w:w="1061" w:type="dxa"/>
            <w:tcBorders>
              <w:top w:val="nil"/>
              <w:left w:val="nil"/>
              <w:bottom w:val="nil"/>
              <w:right w:val="nil"/>
            </w:tcBorders>
            <w:shd w:val="clear" w:color="auto" w:fill="auto"/>
            <w:noWrap/>
            <w:vAlign w:val="bottom"/>
            <w:hideMark/>
          </w:tcPr>
          <w:p w:rsidR="00FF423A" w:rsidRPr="00346A27" w:rsidRDefault="00FF423A" w:rsidP="00FF423A">
            <w:pPr>
              <w:keepNext w:val="0"/>
              <w:spacing w:after="0"/>
              <w:jc w:val="right"/>
              <w:rPr>
                <w:rFonts w:ascii="Arial" w:hAnsi="Arial" w:cs="Arial"/>
                <w:sz w:val="16"/>
                <w:szCs w:val="16"/>
              </w:rPr>
            </w:pPr>
          </w:p>
        </w:tc>
        <w:tc>
          <w:tcPr>
            <w:tcW w:w="812" w:type="dxa"/>
            <w:tcBorders>
              <w:top w:val="nil"/>
              <w:left w:val="nil"/>
              <w:bottom w:val="nil"/>
              <w:right w:val="nil"/>
            </w:tcBorders>
            <w:shd w:val="clear" w:color="auto" w:fill="auto"/>
            <w:noWrap/>
            <w:vAlign w:val="bottom"/>
            <w:hideMark/>
          </w:tcPr>
          <w:p w:rsidR="00FF423A" w:rsidRPr="00346A27" w:rsidRDefault="00FF423A" w:rsidP="00FF423A">
            <w:pPr>
              <w:keepNext w:val="0"/>
              <w:spacing w:after="0"/>
              <w:jc w:val="right"/>
              <w:rPr>
                <w:rFonts w:ascii="Arial" w:hAnsi="Arial" w:cs="Arial"/>
                <w:b/>
                <w:bCs/>
                <w:sz w:val="16"/>
                <w:szCs w:val="16"/>
              </w:rPr>
            </w:pPr>
          </w:p>
        </w:tc>
      </w:tr>
      <w:tr w:rsidR="00346A27" w:rsidRPr="00346A27" w:rsidTr="00FD155A">
        <w:trPr>
          <w:trHeight w:val="225"/>
        </w:trPr>
        <w:tc>
          <w:tcPr>
            <w:tcW w:w="2858" w:type="dxa"/>
            <w:tcBorders>
              <w:top w:val="nil"/>
              <w:left w:val="nil"/>
              <w:bottom w:val="nil"/>
              <w:right w:val="nil"/>
            </w:tcBorders>
            <w:shd w:val="clear" w:color="auto" w:fill="auto"/>
            <w:noWrap/>
            <w:vAlign w:val="bottom"/>
            <w:hideMark/>
          </w:tcPr>
          <w:p w:rsidR="00FF423A" w:rsidRPr="00346A27" w:rsidRDefault="00FF423A" w:rsidP="00FF423A">
            <w:pPr>
              <w:keepNext w:val="0"/>
              <w:spacing w:after="0"/>
              <w:ind w:firstLineChars="100" w:firstLine="160"/>
              <w:rPr>
                <w:rFonts w:ascii="Arial" w:hAnsi="Arial" w:cs="Arial"/>
                <w:sz w:val="16"/>
                <w:szCs w:val="16"/>
              </w:rPr>
            </w:pPr>
            <w:r w:rsidRPr="00346A27">
              <w:rPr>
                <w:rFonts w:ascii="Arial" w:hAnsi="Arial" w:cs="Arial"/>
                <w:sz w:val="16"/>
                <w:szCs w:val="16"/>
              </w:rPr>
              <w:t>Depreciation/amortisation expense</w:t>
            </w:r>
          </w:p>
        </w:tc>
        <w:tc>
          <w:tcPr>
            <w:tcW w:w="617" w:type="dxa"/>
            <w:tcBorders>
              <w:top w:val="nil"/>
              <w:left w:val="nil"/>
              <w:bottom w:val="nil"/>
              <w:right w:val="nil"/>
            </w:tcBorders>
            <w:shd w:val="clear" w:color="auto" w:fill="auto"/>
            <w:noWrap/>
            <w:vAlign w:val="bottom"/>
            <w:hideMark/>
          </w:tcPr>
          <w:p w:rsidR="00FF423A" w:rsidRPr="00346A27" w:rsidRDefault="00FF423A" w:rsidP="00FF423A">
            <w:pPr>
              <w:keepNext w:val="0"/>
              <w:spacing w:after="0"/>
              <w:jc w:val="right"/>
              <w:rPr>
                <w:rFonts w:ascii="Arial" w:hAnsi="Arial" w:cs="Arial"/>
                <w:sz w:val="16"/>
                <w:szCs w:val="16"/>
              </w:rPr>
            </w:pPr>
            <w:r w:rsidRPr="00346A27">
              <w:rPr>
                <w:rFonts w:ascii="Arial" w:hAnsi="Arial" w:cs="Arial"/>
                <w:sz w:val="16"/>
                <w:szCs w:val="16"/>
              </w:rPr>
              <w:t>-</w:t>
            </w:r>
          </w:p>
        </w:tc>
        <w:tc>
          <w:tcPr>
            <w:tcW w:w="945" w:type="dxa"/>
            <w:tcBorders>
              <w:top w:val="nil"/>
              <w:left w:val="nil"/>
              <w:bottom w:val="nil"/>
              <w:right w:val="nil"/>
            </w:tcBorders>
            <w:shd w:val="clear" w:color="auto" w:fill="auto"/>
            <w:noWrap/>
            <w:vAlign w:val="bottom"/>
            <w:hideMark/>
          </w:tcPr>
          <w:p w:rsidR="00FF423A" w:rsidRPr="00346A27" w:rsidRDefault="00FF423A" w:rsidP="00FF423A">
            <w:pPr>
              <w:keepNext w:val="0"/>
              <w:spacing w:after="0"/>
              <w:jc w:val="right"/>
              <w:rPr>
                <w:rFonts w:ascii="Arial" w:hAnsi="Arial" w:cs="Arial"/>
                <w:sz w:val="16"/>
                <w:szCs w:val="16"/>
              </w:rPr>
            </w:pPr>
            <w:r w:rsidRPr="00346A27">
              <w:rPr>
                <w:rFonts w:ascii="Arial" w:hAnsi="Arial" w:cs="Arial"/>
                <w:sz w:val="16"/>
                <w:szCs w:val="16"/>
              </w:rPr>
              <w:t>(580)</w:t>
            </w:r>
          </w:p>
        </w:tc>
        <w:tc>
          <w:tcPr>
            <w:tcW w:w="1200" w:type="dxa"/>
            <w:tcBorders>
              <w:top w:val="nil"/>
              <w:left w:val="nil"/>
              <w:bottom w:val="nil"/>
              <w:right w:val="nil"/>
            </w:tcBorders>
            <w:shd w:val="clear" w:color="auto" w:fill="auto"/>
            <w:noWrap/>
            <w:vAlign w:val="bottom"/>
            <w:hideMark/>
          </w:tcPr>
          <w:p w:rsidR="00FF423A" w:rsidRPr="00346A27" w:rsidRDefault="00FF423A" w:rsidP="00FF423A">
            <w:pPr>
              <w:keepNext w:val="0"/>
              <w:spacing w:after="0"/>
              <w:jc w:val="right"/>
              <w:rPr>
                <w:rFonts w:ascii="Arial" w:hAnsi="Arial" w:cs="Arial"/>
                <w:sz w:val="16"/>
                <w:szCs w:val="16"/>
              </w:rPr>
            </w:pPr>
            <w:r w:rsidRPr="00346A27">
              <w:rPr>
                <w:rFonts w:ascii="Arial" w:hAnsi="Arial" w:cs="Arial"/>
                <w:sz w:val="16"/>
                <w:szCs w:val="16"/>
              </w:rPr>
              <w:t>(1,159)</w:t>
            </w:r>
          </w:p>
        </w:tc>
        <w:tc>
          <w:tcPr>
            <w:tcW w:w="1061" w:type="dxa"/>
            <w:tcBorders>
              <w:top w:val="nil"/>
              <w:left w:val="nil"/>
              <w:bottom w:val="nil"/>
              <w:right w:val="nil"/>
            </w:tcBorders>
            <w:shd w:val="clear" w:color="auto" w:fill="auto"/>
            <w:noWrap/>
            <w:vAlign w:val="bottom"/>
            <w:hideMark/>
          </w:tcPr>
          <w:p w:rsidR="00FF423A" w:rsidRPr="00346A27" w:rsidRDefault="00FF423A" w:rsidP="00FF423A">
            <w:pPr>
              <w:keepNext w:val="0"/>
              <w:spacing w:after="0"/>
              <w:jc w:val="right"/>
              <w:rPr>
                <w:rFonts w:ascii="Arial" w:hAnsi="Arial" w:cs="Arial"/>
                <w:sz w:val="16"/>
                <w:szCs w:val="16"/>
              </w:rPr>
            </w:pPr>
            <w:r w:rsidRPr="00346A27">
              <w:rPr>
                <w:rFonts w:ascii="Arial" w:hAnsi="Arial" w:cs="Arial"/>
                <w:sz w:val="16"/>
                <w:szCs w:val="16"/>
              </w:rPr>
              <w:t>(432)</w:t>
            </w:r>
          </w:p>
        </w:tc>
        <w:tc>
          <w:tcPr>
            <w:tcW w:w="812" w:type="dxa"/>
            <w:tcBorders>
              <w:top w:val="nil"/>
              <w:left w:val="nil"/>
              <w:bottom w:val="nil"/>
              <w:right w:val="nil"/>
            </w:tcBorders>
            <w:shd w:val="clear" w:color="auto" w:fill="auto"/>
            <w:noWrap/>
            <w:vAlign w:val="bottom"/>
            <w:hideMark/>
          </w:tcPr>
          <w:p w:rsidR="00FF423A" w:rsidRPr="00346A27" w:rsidRDefault="00FF423A" w:rsidP="00FF423A">
            <w:pPr>
              <w:keepNext w:val="0"/>
              <w:spacing w:after="0"/>
              <w:jc w:val="right"/>
              <w:rPr>
                <w:rFonts w:ascii="Arial" w:hAnsi="Arial" w:cs="Arial"/>
                <w:b/>
                <w:bCs/>
                <w:sz w:val="16"/>
                <w:szCs w:val="16"/>
              </w:rPr>
            </w:pPr>
            <w:r w:rsidRPr="00346A27">
              <w:rPr>
                <w:rFonts w:ascii="Arial" w:hAnsi="Arial" w:cs="Arial"/>
                <w:b/>
                <w:bCs/>
                <w:sz w:val="16"/>
                <w:szCs w:val="16"/>
              </w:rPr>
              <w:t>(2,171)</w:t>
            </w:r>
          </w:p>
        </w:tc>
      </w:tr>
      <w:tr w:rsidR="00346A27" w:rsidRPr="00346A27" w:rsidTr="00FD155A">
        <w:trPr>
          <w:trHeight w:val="225"/>
        </w:trPr>
        <w:tc>
          <w:tcPr>
            <w:tcW w:w="2858" w:type="dxa"/>
            <w:tcBorders>
              <w:top w:val="nil"/>
              <w:left w:val="nil"/>
              <w:bottom w:val="nil"/>
              <w:right w:val="nil"/>
            </w:tcBorders>
            <w:shd w:val="clear" w:color="auto" w:fill="auto"/>
            <w:noWrap/>
            <w:vAlign w:val="bottom"/>
            <w:hideMark/>
          </w:tcPr>
          <w:p w:rsidR="00FF423A" w:rsidRPr="00346A27" w:rsidRDefault="00FF423A" w:rsidP="00FF423A">
            <w:pPr>
              <w:keepNext w:val="0"/>
              <w:spacing w:after="0"/>
              <w:ind w:firstLineChars="100" w:firstLine="161"/>
              <w:rPr>
                <w:rFonts w:ascii="Arial" w:hAnsi="Arial" w:cs="Arial"/>
                <w:b/>
                <w:bCs/>
                <w:sz w:val="16"/>
                <w:szCs w:val="16"/>
              </w:rPr>
            </w:pPr>
            <w:r w:rsidRPr="00346A27">
              <w:rPr>
                <w:rFonts w:ascii="Arial" w:hAnsi="Arial" w:cs="Arial"/>
                <w:b/>
                <w:bCs/>
                <w:sz w:val="16"/>
                <w:szCs w:val="16"/>
              </w:rPr>
              <w:t>Total other movements</w:t>
            </w:r>
          </w:p>
        </w:tc>
        <w:tc>
          <w:tcPr>
            <w:tcW w:w="617" w:type="dxa"/>
            <w:tcBorders>
              <w:top w:val="single" w:sz="4" w:space="0" w:color="auto"/>
              <w:left w:val="nil"/>
              <w:bottom w:val="single" w:sz="4" w:space="0" w:color="auto"/>
              <w:right w:val="nil"/>
            </w:tcBorders>
            <w:shd w:val="clear" w:color="auto" w:fill="auto"/>
            <w:noWrap/>
            <w:vAlign w:val="bottom"/>
            <w:hideMark/>
          </w:tcPr>
          <w:p w:rsidR="00FF423A" w:rsidRPr="00346A27" w:rsidRDefault="00FF423A" w:rsidP="00FF423A">
            <w:pPr>
              <w:keepNext w:val="0"/>
              <w:spacing w:after="0"/>
              <w:jc w:val="right"/>
              <w:rPr>
                <w:rFonts w:ascii="Arial" w:hAnsi="Arial" w:cs="Arial"/>
                <w:b/>
                <w:bCs/>
                <w:sz w:val="16"/>
                <w:szCs w:val="16"/>
              </w:rPr>
            </w:pPr>
            <w:r w:rsidRPr="00346A27">
              <w:rPr>
                <w:rFonts w:ascii="Arial" w:hAnsi="Arial" w:cs="Arial"/>
                <w:b/>
                <w:bCs/>
                <w:sz w:val="16"/>
                <w:szCs w:val="16"/>
              </w:rPr>
              <w:t>-</w:t>
            </w:r>
          </w:p>
        </w:tc>
        <w:tc>
          <w:tcPr>
            <w:tcW w:w="945" w:type="dxa"/>
            <w:tcBorders>
              <w:top w:val="single" w:sz="4" w:space="0" w:color="auto"/>
              <w:left w:val="nil"/>
              <w:bottom w:val="single" w:sz="4" w:space="0" w:color="auto"/>
              <w:right w:val="nil"/>
            </w:tcBorders>
            <w:shd w:val="clear" w:color="auto" w:fill="auto"/>
            <w:noWrap/>
            <w:vAlign w:val="bottom"/>
            <w:hideMark/>
          </w:tcPr>
          <w:p w:rsidR="00FF423A" w:rsidRPr="00346A27" w:rsidRDefault="00FF423A" w:rsidP="00FF423A">
            <w:pPr>
              <w:keepNext w:val="0"/>
              <w:spacing w:after="0"/>
              <w:jc w:val="right"/>
              <w:rPr>
                <w:rFonts w:ascii="Arial" w:hAnsi="Arial" w:cs="Arial"/>
                <w:b/>
                <w:bCs/>
                <w:sz w:val="16"/>
                <w:szCs w:val="16"/>
              </w:rPr>
            </w:pPr>
            <w:r w:rsidRPr="00346A27">
              <w:rPr>
                <w:rFonts w:ascii="Arial" w:hAnsi="Arial" w:cs="Arial"/>
                <w:b/>
                <w:bCs/>
                <w:sz w:val="16"/>
                <w:szCs w:val="16"/>
              </w:rPr>
              <w:t>(580)</w:t>
            </w:r>
          </w:p>
        </w:tc>
        <w:tc>
          <w:tcPr>
            <w:tcW w:w="1200" w:type="dxa"/>
            <w:tcBorders>
              <w:top w:val="single" w:sz="4" w:space="0" w:color="auto"/>
              <w:left w:val="nil"/>
              <w:bottom w:val="single" w:sz="4" w:space="0" w:color="auto"/>
              <w:right w:val="nil"/>
            </w:tcBorders>
            <w:shd w:val="clear" w:color="auto" w:fill="auto"/>
            <w:noWrap/>
            <w:vAlign w:val="bottom"/>
            <w:hideMark/>
          </w:tcPr>
          <w:p w:rsidR="00FF423A" w:rsidRPr="00346A27" w:rsidRDefault="00FF423A" w:rsidP="00FF423A">
            <w:pPr>
              <w:keepNext w:val="0"/>
              <w:spacing w:after="0"/>
              <w:jc w:val="right"/>
              <w:rPr>
                <w:rFonts w:ascii="Arial" w:hAnsi="Arial" w:cs="Arial"/>
                <w:b/>
                <w:bCs/>
                <w:sz w:val="16"/>
                <w:szCs w:val="16"/>
              </w:rPr>
            </w:pPr>
            <w:r w:rsidRPr="00346A27">
              <w:rPr>
                <w:rFonts w:ascii="Arial" w:hAnsi="Arial" w:cs="Arial"/>
                <w:b/>
                <w:bCs/>
                <w:sz w:val="16"/>
                <w:szCs w:val="16"/>
              </w:rPr>
              <w:t>(1,159)</w:t>
            </w:r>
          </w:p>
        </w:tc>
        <w:tc>
          <w:tcPr>
            <w:tcW w:w="1061" w:type="dxa"/>
            <w:tcBorders>
              <w:top w:val="single" w:sz="4" w:space="0" w:color="auto"/>
              <w:left w:val="nil"/>
              <w:bottom w:val="single" w:sz="4" w:space="0" w:color="auto"/>
              <w:right w:val="nil"/>
            </w:tcBorders>
            <w:shd w:val="clear" w:color="auto" w:fill="auto"/>
            <w:noWrap/>
            <w:vAlign w:val="bottom"/>
            <w:hideMark/>
          </w:tcPr>
          <w:p w:rsidR="00FF423A" w:rsidRPr="00346A27" w:rsidRDefault="00FF423A" w:rsidP="00FF423A">
            <w:pPr>
              <w:keepNext w:val="0"/>
              <w:spacing w:after="0"/>
              <w:jc w:val="right"/>
              <w:rPr>
                <w:rFonts w:ascii="Arial" w:hAnsi="Arial" w:cs="Arial"/>
                <w:b/>
                <w:bCs/>
                <w:sz w:val="16"/>
                <w:szCs w:val="16"/>
              </w:rPr>
            </w:pPr>
            <w:r w:rsidRPr="00346A27">
              <w:rPr>
                <w:rFonts w:ascii="Arial" w:hAnsi="Arial" w:cs="Arial"/>
                <w:b/>
                <w:bCs/>
                <w:sz w:val="16"/>
                <w:szCs w:val="16"/>
              </w:rPr>
              <w:t>(432)</w:t>
            </w:r>
          </w:p>
        </w:tc>
        <w:tc>
          <w:tcPr>
            <w:tcW w:w="812" w:type="dxa"/>
            <w:tcBorders>
              <w:top w:val="single" w:sz="4" w:space="0" w:color="auto"/>
              <w:left w:val="nil"/>
              <w:bottom w:val="single" w:sz="4" w:space="0" w:color="auto"/>
              <w:right w:val="nil"/>
            </w:tcBorders>
            <w:shd w:val="clear" w:color="auto" w:fill="auto"/>
            <w:noWrap/>
            <w:vAlign w:val="bottom"/>
            <w:hideMark/>
          </w:tcPr>
          <w:p w:rsidR="00FF423A" w:rsidRPr="00346A27" w:rsidRDefault="00FF423A" w:rsidP="00FF423A">
            <w:pPr>
              <w:keepNext w:val="0"/>
              <w:spacing w:after="0"/>
              <w:jc w:val="right"/>
              <w:rPr>
                <w:rFonts w:ascii="Arial" w:hAnsi="Arial" w:cs="Arial"/>
                <w:b/>
                <w:bCs/>
                <w:sz w:val="16"/>
                <w:szCs w:val="16"/>
              </w:rPr>
            </w:pPr>
            <w:r w:rsidRPr="00346A27">
              <w:rPr>
                <w:rFonts w:ascii="Arial" w:hAnsi="Arial" w:cs="Arial"/>
                <w:b/>
                <w:bCs/>
                <w:sz w:val="16"/>
                <w:szCs w:val="16"/>
              </w:rPr>
              <w:t>(2,171)</w:t>
            </w:r>
          </w:p>
        </w:tc>
      </w:tr>
      <w:tr w:rsidR="00346A27" w:rsidRPr="00346A27" w:rsidTr="00FD155A">
        <w:trPr>
          <w:trHeight w:val="300"/>
        </w:trPr>
        <w:tc>
          <w:tcPr>
            <w:tcW w:w="2858" w:type="dxa"/>
            <w:tcBorders>
              <w:top w:val="nil"/>
              <w:left w:val="nil"/>
              <w:bottom w:val="nil"/>
              <w:right w:val="nil"/>
            </w:tcBorders>
            <w:shd w:val="clear" w:color="auto" w:fill="auto"/>
            <w:noWrap/>
            <w:vAlign w:val="bottom"/>
            <w:hideMark/>
          </w:tcPr>
          <w:p w:rsidR="00FF423A" w:rsidRPr="00346A27" w:rsidRDefault="00FF423A" w:rsidP="00FF423A">
            <w:pPr>
              <w:keepNext w:val="0"/>
              <w:spacing w:after="0"/>
              <w:rPr>
                <w:rFonts w:ascii="Arial" w:hAnsi="Arial" w:cs="Arial"/>
                <w:b/>
                <w:bCs/>
                <w:sz w:val="16"/>
                <w:szCs w:val="16"/>
              </w:rPr>
            </w:pPr>
            <w:r w:rsidRPr="00346A27">
              <w:rPr>
                <w:rFonts w:ascii="Arial" w:hAnsi="Arial" w:cs="Arial"/>
                <w:b/>
                <w:bCs/>
                <w:sz w:val="16"/>
                <w:szCs w:val="16"/>
              </w:rPr>
              <w:t>As at 30 June 2016</w:t>
            </w:r>
          </w:p>
        </w:tc>
        <w:tc>
          <w:tcPr>
            <w:tcW w:w="617" w:type="dxa"/>
            <w:tcBorders>
              <w:top w:val="nil"/>
              <w:left w:val="nil"/>
              <w:bottom w:val="nil"/>
              <w:right w:val="nil"/>
            </w:tcBorders>
            <w:shd w:val="clear" w:color="auto" w:fill="auto"/>
            <w:noWrap/>
            <w:vAlign w:val="bottom"/>
            <w:hideMark/>
          </w:tcPr>
          <w:p w:rsidR="00FF423A" w:rsidRPr="00346A27" w:rsidRDefault="00FF423A" w:rsidP="00FF423A">
            <w:pPr>
              <w:keepNext w:val="0"/>
              <w:spacing w:after="0"/>
              <w:jc w:val="right"/>
              <w:rPr>
                <w:rFonts w:ascii="Arial" w:hAnsi="Arial" w:cs="Arial"/>
                <w:sz w:val="16"/>
                <w:szCs w:val="16"/>
              </w:rPr>
            </w:pPr>
          </w:p>
        </w:tc>
        <w:tc>
          <w:tcPr>
            <w:tcW w:w="945" w:type="dxa"/>
            <w:tcBorders>
              <w:top w:val="nil"/>
              <w:left w:val="nil"/>
              <w:bottom w:val="nil"/>
              <w:right w:val="nil"/>
            </w:tcBorders>
            <w:shd w:val="clear" w:color="auto" w:fill="auto"/>
            <w:noWrap/>
            <w:vAlign w:val="bottom"/>
            <w:hideMark/>
          </w:tcPr>
          <w:p w:rsidR="00FF423A" w:rsidRPr="00346A27" w:rsidRDefault="00FF423A" w:rsidP="00FF423A">
            <w:pPr>
              <w:keepNext w:val="0"/>
              <w:spacing w:after="0"/>
              <w:jc w:val="right"/>
              <w:rPr>
                <w:rFonts w:ascii="Arial" w:hAnsi="Arial" w:cs="Arial"/>
                <w:sz w:val="16"/>
                <w:szCs w:val="16"/>
              </w:rPr>
            </w:pPr>
          </w:p>
        </w:tc>
        <w:tc>
          <w:tcPr>
            <w:tcW w:w="1200" w:type="dxa"/>
            <w:tcBorders>
              <w:top w:val="nil"/>
              <w:left w:val="nil"/>
              <w:bottom w:val="nil"/>
              <w:right w:val="nil"/>
            </w:tcBorders>
            <w:shd w:val="clear" w:color="auto" w:fill="auto"/>
            <w:noWrap/>
            <w:vAlign w:val="bottom"/>
            <w:hideMark/>
          </w:tcPr>
          <w:p w:rsidR="00FF423A" w:rsidRPr="00346A27" w:rsidRDefault="00FF423A" w:rsidP="00FF423A">
            <w:pPr>
              <w:keepNext w:val="0"/>
              <w:spacing w:after="0"/>
              <w:jc w:val="right"/>
              <w:rPr>
                <w:rFonts w:ascii="Arial" w:hAnsi="Arial" w:cs="Arial"/>
                <w:sz w:val="16"/>
                <w:szCs w:val="16"/>
              </w:rPr>
            </w:pPr>
          </w:p>
        </w:tc>
        <w:tc>
          <w:tcPr>
            <w:tcW w:w="1061" w:type="dxa"/>
            <w:tcBorders>
              <w:top w:val="nil"/>
              <w:left w:val="nil"/>
              <w:bottom w:val="nil"/>
              <w:right w:val="nil"/>
            </w:tcBorders>
            <w:shd w:val="clear" w:color="auto" w:fill="auto"/>
            <w:noWrap/>
            <w:vAlign w:val="bottom"/>
            <w:hideMark/>
          </w:tcPr>
          <w:p w:rsidR="00FF423A" w:rsidRPr="00346A27" w:rsidRDefault="00FF423A" w:rsidP="00FF423A">
            <w:pPr>
              <w:keepNext w:val="0"/>
              <w:spacing w:after="0"/>
              <w:jc w:val="right"/>
              <w:rPr>
                <w:rFonts w:ascii="Arial" w:hAnsi="Arial" w:cs="Arial"/>
                <w:sz w:val="16"/>
                <w:szCs w:val="16"/>
              </w:rPr>
            </w:pPr>
          </w:p>
        </w:tc>
        <w:tc>
          <w:tcPr>
            <w:tcW w:w="812" w:type="dxa"/>
            <w:tcBorders>
              <w:top w:val="nil"/>
              <w:left w:val="nil"/>
              <w:bottom w:val="nil"/>
              <w:right w:val="nil"/>
            </w:tcBorders>
            <w:shd w:val="clear" w:color="auto" w:fill="auto"/>
            <w:noWrap/>
            <w:vAlign w:val="bottom"/>
            <w:hideMark/>
          </w:tcPr>
          <w:p w:rsidR="00FF423A" w:rsidRPr="00346A27" w:rsidRDefault="00FF423A" w:rsidP="00FF423A">
            <w:pPr>
              <w:keepNext w:val="0"/>
              <w:spacing w:after="0"/>
              <w:jc w:val="right"/>
              <w:rPr>
                <w:rFonts w:ascii="Arial" w:hAnsi="Arial" w:cs="Arial"/>
                <w:b/>
                <w:bCs/>
                <w:sz w:val="16"/>
                <w:szCs w:val="16"/>
              </w:rPr>
            </w:pPr>
          </w:p>
        </w:tc>
      </w:tr>
      <w:tr w:rsidR="00346A27" w:rsidRPr="00346A27" w:rsidTr="00FD155A">
        <w:trPr>
          <w:trHeight w:val="225"/>
        </w:trPr>
        <w:tc>
          <w:tcPr>
            <w:tcW w:w="2858" w:type="dxa"/>
            <w:tcBorders>
              <w:top w:val="nil"/>
              <w:left w:val="nil"/>
              <w:bottom w:val="nil"/>
              <w:right w:val="nil"/>
            </w:tcBorders>
            <w:shd w:val="clear" w:color="auto" w:fill="auto"/>
            <w:noWrap/>
            <w:vAlign w:val="bottom"/>
            <w:hideMark/>
          </w:tcPr>
          <w:p w:rsidR="00FF423A" w:rsidRPr="00346A27" w:rsidRDefault="00FF423A" w:rsidP="00FF423A">
            <w:pPr>
              <w:keepNext w:val="0"/>
              <w:spacing w:after="0"/>
              <w:ind w:firstLineChars="100" w:firstLine="160"/>
              <w:rPr>
                <w:rFonts w:ascii="Arial" w:hAnsi="Arial" w:cs="Arial"/>
                <w:sz w:val="16"/>
                <w:szCs w:val="16"/>
              </w:rPr>
            </w:pPr>
            <w:r w:rsidRPr="00346A27">
              <w:rPr>
                <w:rFonts w:ascii="Arial" w:hAnsi="Arial" w:cs="Arial"/>
                <w:sz w:val="16"/>
                <w:szCs w:val="16"/>
              </w:rPr>
              <w:t>Gross book value</w:t>
            </w:r>
          </w:p>
        </w:tc>
        <w:tc>
          <w:tcPr>
            <w:tcW w:w="617" w:type="dxa"/>
            <w:tcBorders>
              <w:top w:val="nil"/>
              <w:left w:val="nil"/>
              <w:bottom w:val="nil"/>
              <w:right w:val="nil"/>
            </w:tcBorders>
            <w:shd w:val="clear" w:color="auto" w:fill="auto"/>
            <w:noWrap/>
            <w:vAlign w:val="bottom"/>
            <w:hideMark/>
          </w:tcPr>
          <w:p w:rsidR="00FF423A" w:rsidRPr="00346A27" w:rsidRDefault="00FF423A" w:rsidP="00FF423A">
            <w:pPr>
              <w:keepNext w:val="0"/>
              <w:spacing w:after="0"/>
              <w:jc w:val="right"/>
              <w:rPr>
                <w:rFonts w:ascii="Arial" w:hAnsi="Arial" w:cs="Arial"/>
                <w:sz w:val="16"/>
                <w:szCs w:val="16"/>
              </w:rPr>
            </w:pPr>
            <w:r w:rsidRPr="00346A27">
              <w:rPr>
                <w:rFonts w:ascii="Arial" w:hAnsi="Arial" w:cs="Arial"/>
                <w:sz w:val="16"/>
                <w:szCs w:val="16"/>
              </w:rPr>
              <w:t>5,700</w:t>
            </w:r>
          </w:p>
        </w:tc>
        <w:tc>
          <w:tcPr>
            <w:tcW w:w="945" w:type="dxa"/>
            <w:tcBorders>
              <w:top w:val="nil"/>
              <w:left w:val="nil"/>
              <w:bottom w:val="nil"/>
              <w:right w:val="nil"/>
            </w:tcBorders>
            <w:shd w:val="clear" w:color="auto" w:fill="auto"/>
            <w:noWrap/>
            <w:vAlign w:val="bottom"/>
            <w:hideMark/>
          </w:tcPr>
          <w:p w:rsidR="00FF423A" w:rsidRPr="00346A27" w:rsidRDefault="00FF423A" w:rsidP="00FF423A">
            <w:pPr>
              <w:keepNext w:val="0"/>
              <w:spacing w:after="0"/>
              <w:jc w:val="right"/>
              <w:rPr>
                <w:rFonts w:ascii="Arial" w:hAnsi="Arial" w:cs="Arial"/>
                <w:sz w:val="16"/>
                <w:szCs w:val="16"/>
              </w:rPr>
            </w:pPr>
            <w:r w:rsidRPr="00346A27">
              <w:rPr>
                <w:rFonts w:ascii="Arial" w:hAnsi="Arial" w:cs="Arial"/>
                <w:sz w:val="16"/>
                <w:szCs w:val="16"/>
              </w:rPr>
              <w:t>21,705</w:t>
            </w:r>
          </w:p>
        </w:tc>
        <w:tc>
          <w:tcPr>
            <w:tcW w:w="1200" w:type="dxa"/>
            <w:tcBorders>
              <w:top w:val="nil"/>
              <w:left w:val="nil"/>
              <w:bottom w:val="nil"/>
              <w:right w:val="nil"/>
            </w:tcBorders>
            <w:shd w:val="clear" w:color="auto" w:fill="auto"/>
            <w:noWrap/>
            <w:vAlign w:val="bottom"/>
            <w:hideMark/>
          </w:tcPr>
          <w:p w:rsidR="00FF423A" w:rsidRPr="00346A27" w:rsidRDefault="00FF423A" w:rsidP="00FF423A">
            <w:pPr>
              <w:keepNext w:val="0"/>
              <w:spacing w:after="0"/>
              <w:jc w:val="right"/>
              <w:rPr>
                <w:rFonts w:ascii="Arial" w:hAnsi="Arial" w:cs="Arial"/>
                <w:sz w:val="16"/>
                <w:szCs w:val="16"/>
              </w:rPr>
            </w:pPr>
            <w:r w:rsidRPr="00346A27">
              <w:rPr>
                <w:rFonts w:ascii="Arial" w:hAnsi="Arial" w:cs="Arial"/>
                <w:sz w:val="16"/>
                <w:szCs w:val="16"/>
              </w:rPr>
              <w:t>15,520</w:t>
            </w:r>
          </w:p>
        </w:tc>
        <w:tc>
          <w:tcPr>
            <w:tcW w:w="1061" w:type="dxa"/>
            <w:tcBorders>
              <w:top w:val="nil"/>
              <w:left w:val="nil"/>
              <w:bottom w:val="nil"/>
              <w:right w:val="nil"/>
            </w:tcBorders>
            <w:shd w:val="clear" w:color="auto" w:fill="auto"/>
            <w:noWrap/>
            <w:vAlign w:val="bottom"/>
            <w:hideMark/>
          </w:tcPr>
          <w:p w:rsidR="00FF423A" w:rsidRPr="00346A27" w:rsidRDefault="00FF423A" w:rsidP="00FF423A">
            <w:pPr>
              <w:keepNext w:val="0"/>
              <w:spacing w:after="0"/>
              <w:jc w:val="right"/>
              <w:rPr>
                <w:rFonts w:ascii="Arial" w:hAnsi="Arial" w:cs="Arial"/>
                <w:sz w:val="16"/>
                <w:szCs w:val="16"/>
              </w:rPr>
            </w:pPr>
            <w:r w:rsidRPr="00346A27">
              <w:rPr>
                <w:rFonts w:ascii="Arial" w:hAnsi="Arial" w:cs="Arial"/>
                <w:sz w:val="16"/>
                <w:szCs w:val="16"/>
              </w:rPr>
              <w:t>3,742</w:t>
            </w:r>
          </w:p>
        </w:tc>
        <w:tc>
          <w:tcPr>
            <w:tcW w:w="812" w:type="dxa"/>
            <w:tcBorders>
              <w:top w:val="nil"/>
              <w:left w:val="nil"/>
              <w:bottom w:val="nil"/>
              <w:right w:val="nil"/>
            </w:tcBorders>
            <w:shd w:val="clear" w:color="auto" w:fill="auto"/>
            <w:noWrap/>
            <w:vAlign w:val="bottom"/>
            <w:hideMark/>
          </w:tcPr>
          <w:p w:rsidR="00FF423A" w:rsidRPr="00346A27" w:rsidRDefault="00FF423A" w:rsidP="00FF423A">
            <w:pPr>
              <w:keepNext w:val="0"/>
              <w:spacing w:after="0"/>
              <w:jc w:val="right"/>
              <w:rPr>
                <w:rFonts w:ascii="Arial" w:hAnsi="Arial" w:cs="Arial"/>
                <w:b/>
                <w:bCs/>
                <w:sz w:val="16"/>
                <w:szCs w:val="16"/>
              </w:rPr>
            </w:pPr>
            <w:r w:rsidRPr="00346A27">
              <w:rPr>
                <w:rFonts w:ascii="Arial" w:hAnsi="Arial" w:cs="Arial"/>
                <w:b/>
                <w:bCs/>
                <w:sz w:val="16"/>
                <w:szCs w:val="16"/>
              </w:rPr>
              <w:t>46,667</w:t>
            </w:r>
          </w:p>
        </w:tc>
      </w:tr>
      <w:tr w:rsidR="00346A27" w:rsidRPr="00346A27" w:rsidTr="00FD155A">
        <w:trPr>
          <w:trHeight w:val="225"/>
        </w:trPr>
        <w:tc>
          <w:tcPr>
            <w:tcW w:w="3475" w:type="dxa"/>
            <w:gridSpan w:val="2"/>
            <w:tcBorders>
              <w:top w:val="nil"/>
              <w:left w:val="nil"/>
              <w:bottom w:val="nil"/>
              <w:right w:val="nil"/>
            </w:tcBorders>
            <w:shd w:val="clear" w:color="auto" w:fill="auto"/>
            <w:noWrap/>
            <w:vAlign w:val="bottom"/>
            <w:hideMark/>
          </w:tcPr>
          <w:p w:rsidR="00FF423A" w:rsidRPr="00346A27" w:rsidRDefault="00FF423A" w:rsidP="00FF423A">
            <w:pPr>
              <w:keepNext w:val="0"/>
              <w:spacing w:after="0"/>
              <w:ind w:firstLineChars="100" w:firstLine="160"/>
              <w:rPr>
                <w:rFonts w:ascii="Arial" w:hAnsi="Arial" w:cs="Arial"/>
                <w:sz w:val="16"/>
                <w:szCs w:val="16"/>
              </w:rPr>
            </w:pPr>
            <w:r w:rsidRPr="00346A27">
              <w:rPr>
                <w:rFonts w:ascii="Arial" w:hAnsi="Arial" w:cs="Arial"/>
                <w:sz w:val="16"/>
                <w:szCs w:val="16"/>
              </w:rPr>
              <w:t>Accumulated depreciation/amortisation</w:t>
            </w:r>
          </w:p>
        </w:tc>
        <w:tc>
          <w:tcPr>
            <w:tcW w:w="945" w:type="dxa"/>
            <w:tcBorders>
              <w:top w:val="nil"/>
              <w:left w:val="nil"/>
              <w:bottom w:val="nil"/>
              <w:right w:val="nil"/>
            </w:tcBorders>
            <w:shd w:val="clear" w:color="auto" w:fill="auto"/>
            <w:noWrap/>
            <w:vAlign w:val="bottom"/>
            <w:hideMark/>
          </w:tcPr>
          <w:p w:rsidR="00FF423A" w:rsidRPr="00346A27" w:rsidRDefault="00FF423A" w:rsidP="00FF423A">
            <w:pPr>
              <w:keepNext w:val="0"/>
              <w:spacing w:after="0"/>
              <w:jc w:val="right"/>
              <w:rPr>
                <w:rFonts w:ascii="Arial" w:hAnsi="Arial" w:cs="Arial"/>
                <w:sz w:val="16"/>
                <w:szCs w:val="16"/>
              </w:rPr>
            </w:pPr>
          </w:p>
        </w:tc>
        <w:tc>
          <w:tcPr>
            <w:tcW w:w="1200" w:type="dxa"/>
            <w:tcBorders>
              <w:top w:val="nil"/>
              <w:left w:val="nil"/>
              <w:bottom w:val="nil"/>
              <w:right w:val="nil"/>
            </w:tcBorders>
            <w:shd w:val="clear" w:color="auto" w:fill="auto"/>
            <w:noWrap/>
            <w:vAlign w:val="bottom"/>
            <w:hideMark/>
          </w:tcPr>
          <w:p w:rsidR="00FF423A" w:rsidRPr="00346A27" w:rsidRDefault="00FF423A" w:rsidP="00FF423A">
            <w:pPr>
              <w:keepNext w:val="0"/>
              <w:spacing w:after="0"/>
              <w:jc w:val="right"/>
              <w:rPr>
                <w:rFonts w:ascii="Arial" w:hAnsi="Arial" w:cs="Arial"/>
                <w:sz w:val="16"/>
                <w:szCs w:val="16"/>
              </w:rPr>
            </w:pPr>
          </w:p>
        </w:tc>
        <w:tc>
          <w:tcPr>
            <w:tcW w:w="1061" w:type="dxa"/>
            <w:tcBorders>
              <w:top w:val="nil"/>
              <w:left w:val="nil"/>
              <w:bottom w:val="nil"/>
              <w:right w:val="nil"/>
            </w:tcBorders>
            <w:shd w:val="clear" w:color="auto" w:fill="auto"/>
            <w:noWrap/>
            <w:vAlign w:val="bottom"/>
            <w:hideMark/>
          </w:tcPr>
          <w:p w:rsidR="00FF423A" w:rsidRPr="00346A27" w:rsidRDefault="00FF423A" w:rsidP="00FF423A">
            <w:pPr>
              <w:keepNext w:val="0"/>
              <w:spacing w:after="0"/>
              <w:jc w:val="right"/>
              <w:rPr>
                <w:rFonts w:ascii="Arial" w:hAnsi="Arial" w:cs="Arial"/>
                <w:sz w:val="16"/>
                <w:szCs w:val="16"/>
              </w:rPr>
            </w:pPr>
          </w:p>
        </w:tc>
        <w:tc>
          <w:tcPr>
            <w:tcW w:w="812" w:type="dxa"/>
            <w:tcBorders>
              <w:top w:val="nil"/>
              <w:left w:val="nil"/>
              <w:bottom w:val="nil"/>
              <w:right w:val="nil"/>
            </w:tcBorders>
            <w:shd w:val="clear" w:color="auto" w:fill="auto"/>
            <w:noWrap/>
            <w:vAlign w:val="bottom"/>
            <w:hideMark/>
          </w:tcPr>
          <w:p w:rsidR="00FF423A" w:rsidRPr="00346A27" w:rsidRDefault="00FF423A" w:rsidP="00FF423A">
            <w:pPr>
              <w:keepNext w:val="0"/>
              <w:spacing w:after="0"/>
              <w:jc w:val="right"/>
              <w:rPr>
                <w:rFonts w:ascii="Arial" w:hAnsi="Arial" w:cs="Arial"/>
                <w:b/>
                <w:bCs/>
                <w:sz w:val="16"/>
                <w:szCs w:val="16"/>
              </w:rPr>
            </w:pPr>
          </w:p>
        </w:tc>
      </w:tr>
      <w:tr w:rsidR="00346A27" w:rsidRPr="00346A27" w:rsidTr="00FD155A">
        <w:trPr>
          <w:trHeight w:val="225"/>
        </w:trPr>
        <w:tc>
          <w:tcPr>
            <w:tcW w:w="2858" w:type="dxa"/>
            <w:tcBorders>
              <w:top w:val="nil"/>
              <w:left w:val="nil"/>
              <w:bottom w:val="nil"/>
              <w:right w:val="nil"/>
            </w:tcBorders>
            <w:shd w:val="clear" w:color="auto" w:fill="auto"/>
            <w:noWrap/>
            <w:vAlign w:val="bottom"/>
            <w:hideMark/>
          </w:tcPr>
          <w:p w:rsidR="00FF423A" w:rsidRPr="00346A27" w:rsidRDefault="00FF423A" w:rsidP="00FF423A">
            <w:pPr>
              <w:keepNext w:val="0"/>
              <w:spacing w:after="0"/>
              <w:ind w:firstLineChars="200" w:firstLine="320"/>
              <w:rPr>
                <w:rFonts w:ascii="Arial" w:hAnsi="Arial" w:cs="Arial"/>
                <w:sz w:val="16"/>
                <w:szCs w:val="16"/>
              </w:rPr>
            </w:pPr>
            <w:r w:rsidRPr="00346A27">
              <w:rPr>
                <w:rFonts w:ascii="Arial" w:hAnsi="Arial" w:cs="Arial"/>
                <w:sz w:val="16"/>
                <w:szCs w:val="16"/>
              </w:rPr>
              <w:t>and impairment</w:t>
            </w:r>
          </w:p>
        </w:tc>
        <w:tc>
          <w:tcPr>
            <w:tcW w:w="617" w:type="dxa"/>
            <w:tcBorders>
              <w:top w:val="nil"/>
              <w:left w:val="nil"/>
              <w:bottom w:val="single" w:sz="4" w:space="0" w:color="auto"/>
              <w:right w:val="nil"/>
            </w:tcBorders>
            <w:shd w:val="clear" w:color="auto" w:fill="auto"/>
            <w:noWrap/>
            <w:vAlign w:val="bottom"/>
            <w:hideMark/>
          </w:tcPr>
          <w:p w:rsidR="00FF423A" w:rsidRPr="00346A27" w:rsidRDefault="00FF423A" w:rsidP="00FF423A">
            <w:pPr>
              <w:keepNext w:val="0"/>
              <w:spacing w:after="0"/>
              <w:jc w:val="right"/>
              <w:rPr>
                <w:rFonts w:ascii="Arial" w:hAnsi="Arial" w:cs="Arial"/>
                <w:sz w:val="16"/>
                <w:szCs w:val="16"/>
              </w:rPr>
            </w:pPr>
            <w:r w:rsidRPr="00346A27">
              <w:rPr>
                <w:rFonts w:ascii="Arial" w:hAnsi="Arial" w:cs="Arial"/>
                <w:sz w:val="16"/>
                <w:szCs w:val="16"/>
              </w:rPr>
              <w:t>-</w:t>
            </w:r>
          </w:p>
        </w:tc>
        <w:tc>
          <w:tcPr>
            <w:tcW w:w="945" w:type="dxa"/>
            <w:tcBorders>
              <w:top w:val="nil"/>
              <w:left w:val="nil"/>
              <w:bottom w:val="single" w:sz="4" w:space="0" w:color="auto"/>
              <w:right w:val="nil"/>
            </w:tcBorders>
            <w:shd w:val="clear" w:color="auto" w:fill="auto"/>
            <w:noWrap/>
            <w:vAlign w:val="bottom"/>
            <w:hideMark/>
          </w:tcPr>
          <w:p w:rsidR="00FF423A" w:rsidRPr="00346A27" w:rsidRDefault="00FF423A" w:rsidP="00FF423A">
            <w:pPr>
              <w:keepNext w:val="0"/>
              <w:spacing w:after="0"/>
              <w:jc w:val="right"/>
              <w:rPr>
                <w:rFonts w:ascii="Arial" w:hAnsi="Arial" w:cs="Arial"/>
                <w:sz w:val="16"/>
                <w:szCs w:val="16"/>
              </w:rPr>
            </w:pPr>
            <w:r w:rsidRPr="00346A27">
              <w:rPr>
                <w:rFonts w:ascii="Arial" w:hAnsi="Arial" w:cs="Arial"/>
                <w:sz w:val="16"/>
                <w:szCs w:val="16"/>
              </w:rPr>
              <w:t>(5,812)</w:t>
            </w:r>
          </w:p>
        </w:tc>
        <w:tc>
          <w:tcPr>
            <w:tcW w:w="1200" w:type="dxa"/>
            <w:tcBorders>
              <w:top w:val="nil"/>
              <w:left w:val="nil"/>
              <w:bottom w:val="single" w:sz="4" w:space="0" w:color="auto"/>
              <w:right w:val="nil"/>
            </w:tcBorders>
            <w:shd w:val="clear" w:color="auto" w:fill="auto"/>
            <w:noWrap/>
            <w:vAlign w:val="bottom"/>
            <w:hideMark/>
          </w:tcPr>
          <w:p w:rsidR="00FF423A" w:rsidRPr="00346A27" w:rsidRDefault="00FF423A" w:rsidP="00FF423A">
            <w:pPr>
              <w:keepNext w:val="0"/>
              <w:spacing w:after="0"/>
              <w:jc w:val="right"/>
              <w:rPr>
                <w:rFonts w:ascii="Arial" w:hAnsi="Arial" w:cs="Arial"/>
                <w:sz w:val="16"/>
                <w:szCs w:val="16"/>
              </w:rPr>
            </w:pPr>
            <w:r w:rsidRPr="00346A27">
              <w:rPr>
                <w:rFonts w:ascii="Arial" w:hAnsi="Arial" w:cs="Arial"/>
                <w:sz w:val="16"/>
                <w:szCs w:val="16"/>
              </w:rPr>
              <w:t>(10,576)</w:t>
            </w:r>
          </w:p>
        </w:tc>
        <w:tc>
          <w:tcPr>
            <w:tcW w:w="1061" w:type="dxa"/>
            <w:tcBorders>
              <w:top w:val="nil"/>
              <w:left w:val="nil"/>
              <w:bottom w:val="single" w:sz="4" w:space="0" w:color="auto"/>
              <w:right w:val="nil"/>
            </w:tcBorders>
            <w:shd w:val="clear" w:color="auto" w:fill="auto"/>
            <w:noWrap/>
            <w:vAlign w:val="bottom"/>
            <w:hideMark/>
          </w:tcPr>
          <w:p w:rsidR="00FF423A" w:rsidRPr="00346A27" w:rsidRDefault="00FF423A" w:rsidP="00FF423A">
            <w:pPr>
              <w:keepNext w:val="0"/>
              <w:spacing w:after="0"/>
              <w:jc w:val="right"/>
              <w:rPr>
                <w:rFonts w:ascii="Arial" w:hAnsi="Arial" w:cs="Arial"/>
                <w:sz w:val="16"/>
                <w:szCs w:val="16"/>
              </w:rPr>
            </w:pPr>
            <w:r w:rsidRPr="00346A27">
              <w:rPr>
                <w:rFonts w:ascii="Arial" w:hAnsi="Arial" w:cs="Arial"/>
                <w:sz w:val="16"/>
                <w:szCs w:val="16"/>
              </w:rPr>
              <w:t>(3,121)</w:t>
            </w:r>
          </w:p>
        </w:tc>
        <w:tc>
          <w:tcPr>
            <w:tcW w:w="812" w:type="dxa"/>
            <w:tcBorders>
              <w:top w:val="nil"/>
              <w:left w:val="nil"/>
              <w:bottom w:val="single" w:sz="4" w:space="0" w:color="auto"/>
              <w:right w:val="nil"/>
            </w:tcBorders>
            <w:shd w:val="clear" w:color="auto" w:fill="auto"/>
            <w:noWrap/>
            <w:vAlign w:val="bottom"/>
            <w:hideMark/>
          </w:tcPr>
          <w:p w:rsidR="00FF423A" w:rsidRPr="00346A27" w:rsidRDefault="00FF423A" w:rsidP="00FF423A">
            <w:pPr>
              <w:keepNext w:val="0"/>
              <w:spacing w:after="0"/>
              <w:jc w:val="right"/>
              <w:rPr>
                <w:rFonts w:ascii="Arial" w:hAnsi="Arial" w:cs="Arial"/>
                <w:b/>
                <w:bCs/>
                <w:sz w:val="16"/>
                <w:szCs w:val="16"/>
              </w:rPr>
            </w:pPr>
            <w:r w:rsidRPr="00346A27">
              <w:rPr>
                <w:rFonts w:ascii="Arial" w:hAnsi="Arial" w:cs="Arial"/>
                <w:b/>
                <w:bCs/>
                <w:sz w:val="16"/>
                <w:szCs w:val="16"/>
              </w:rPr>
              <w:t>(19,509)</w:t>
            </w:r>
          </w:p>
        </w:tc>
      </w:tr>
      <w:tr w:rsidR="00FF423A" w:rsidRPr="00346A27" w:rsidTr="00FD155A">
        <w:trPr>
          <w:trHeight w:val="225"/>
        </w:trPr>
        <w:tc>
          <w:tcPr>
            <w:tcW w:w="2858" w:type="dxa"/>
            <w:tcBorders>
              <w:top w:val="nil"/>
              <w:left w:val="nil"/>
              <w:bottom w:val="single" w:sz="4" w:space="0" w:color="auto"/>
              <w:right w:val="nil"/>
            </w:tcBorders>
            <w:shd w:val="clear" w:color="auto" w:fill="auto"/>
            <w:noWrap/>
            <w:vAlign w:val="bottom"/>
            <w:hideMark/>
          </w:tcPr>
          <w:p w:rsidR="00FF423A" w:rsidRPr="00346A27" w:rsidRDefault="00FF423A" w:rsidP="00FF423A">
            <w:pPr>
              <w:keepNext w:val="0"/>
              <w:spacing w:after="0"/>
              <w:ind w:firstLineChars="100" w:firstLine="161"/>
              <w:rPr>
                <w:rFonts w:ascii="Arial" w:hAnsi="Arial" w:cs="Arial"/>
                <w:b/>
                <w:bCs/>
                <w:sz w:val="16"/>
                <w:szCs w:val="16"/>
              </w:rPr>
            </w:pPr>
            <w:r w:rsidRPr="00346A27">
              <w:rPr>
                <w:rFonts w:ascii="Arial" w:hAnsi="Arial" w:cs="Arial"/>
                <w:b/>
                <w:bCs/>
                <w:sz w:val="16"/>
                <w:szCs w:val="16"/>
              </w:rPr>
              <w:t>Closing net book balance</w:t>
            </w:r>
          </w:p>
        </w:tc>
        <w:tc>
          <w:tcPr>
            <w:tcW w:w="617" w:type="dxa"/>
            <w:tcBorders>
              <w:top w:val="nil"/>
              <w:left w:val="nil"/>
              <w:bottom w:val="single" w:sz="4" w:space="0" w:color="auto"/>
              <w:right w:val="nil"/>
            </w:tcBorders>
            <w:shd w:val="clear" w:color="auto" w:fill="auto"/>
            <w:noWrap/>
            <w:vAlign w:val="bottom"/>
            <w:hideMark/>
          </w:tcPr>
          <w:p w:rsidR="00FF423A" w:rsidRPr="00346A27" w:rsidRDefault="00FF423A" w:rsidP="00FF423A">
            <w:pPr>
              <w:keepNext w:val="0"/>
              <w:spacing w:after="0"/>
              <w:jc w:val="right"/>
              <w:rPr>
                <w:rFonts w:ascii="Arial" w:hAnsi="Arial" w:cs="Arial"/>
                <w:b/>
                <w:bCs/>
                <w:sz w:val="16"/>
                <w:szCs w:val="16"/>
              </w:rPr>
            </w:pPr>
            <w:r w:rsidRPr="00346A27">
              <w:rPr>
                <w:rFonts w:ascii="Arial" w:hAnsi="Arial" w:cs="Arial"/>
                <w:b/>
                <w:bCs/>
                <w:sz w:val="16"/>
                <w:szCs w:val="16"/>
              </w:rPr>
              <w:t>5,700</w:t>
            </w:r>
          </w:p>
        </w:tc>
        <w:tc>
          <w:tcPr>
            <w:tcW w:w="945" w:type="dxa"/>
            <w:tcBorders>
              <w:top w:val="nil"/>
              <w:left w:val="nil"/>
              <w:bottom w:val="single" w:sz="4" w:space="0" w:color="auto"/>
              <w:right w:val="nil"/>
            </w:tcBorders>
            <w:shd w:val="clear" w:color="auto" w:fill="auto"/>
            <w:noWrap/>
            <w:vAlign w:val="bottom"/>
            <w:hideMark/>
          </w:tcPr>
          <w:p w:rsidR="00FF423A" w:rsidRPr="00346A27" w:rsidRDefault="00FF423A" w:rsidP="00FF423A">
            <w:pPr>
              <w:keepNext w:val="0"/>
              <w:spacing w:after="0"/>
              <w:jc w:val="right"/>
              <w:rPr>
                <w:rFonts w:ascii="Arial" w:hAnsi="Arial" w:cs="Arial"/>
                <w:b/>
                <w:bCs/>
                <w:sz w:val="16"/>
                <w:szCs w:val="16"/>
              </w:rPr>
            </w:pPr>
            <w:r w:rsidRPr="00346A27">
              <w:rPr>
                <w:rFonts w:ascii="Arial" w:hAnsi="Arial" w:cs="Arial"/>
                <w:b/>
                <w:bCs/>
                <w:sz w:val="16"/>
                <w:szCs w:val="16"/>
              </w:rPr>
              <w:t>15,893</w:t>
            </w:r>
          </w:p>
        </w:tc>
        <w:tc>
          <w:tcPr>
            <w:tcW w:w="1200" w:type="dxa"/>
            <w:tcBorders>
              <w:top w:val="nil"/>
              <w:left w:val="nil"/>
              <w:bottom w:val="single" w:sz="4" w:space="0" w:color="auto"/>
              <w:right w:val="nil"/>
            </w:tcBorders>
            <w:shd w:val="clear" w:color="auto" w:fill="auto"/>
            <w:noWrap/>
            <w:vAlign w:val="bottom"/>
            <w:hideMark/>
          </w:tcPr>
          <w:p w:rsidR="00FF423A" w:rsidRPr="00346A27" w:rsidRDefault="00FF423A" w:rsidP="00FF423A">
            <w:pPr>
              <w:keepNext w:val="0"/>
              <w:spacing w:after="0"/>
              <w:jc w:val="right"/>
              <w:rPr>
                <w:rFonts w:ascii="Arial" w:hAnsi="Arial" w:cs="Arial"/>
                <w:b/>
                <w:bCs/>
                <w:sz w:val="16"/>
                <w:szCs w:val="16"/>
              </w:rPr>
            </w:pPr>
            <w:r w:rsidRPr="00346A27">
              <w:rPr>
                <w:rFonts w:ascii="Arial" w:hAnsi="Arial" w:cs="Arial"/>
                <w:b/>
                <w:bCs/>
                <w:sz w:val="16"/>
                <w:szCs w:val="16"/>
              </w:rPr>
              <w:t>4,944</w:t>
            </w:r>
          </w:p>
        </w:tc>
        <w:tc>
          <w:tcPr>
            <w:tcW w:w="1061" w:type="dxa"/>
            <w:tcBorders>
              <w:top w:val="nil"/>
              <w:left w:val="nil"/>
              <w:bottom w:val="single" w:sz="4" w:space="0" w:color="auto"/>
              <w:right w:val="nil"/>
            </w:tcBorders>
            <w:shd w:val="clear" w:color="auto" w:fill="auto"/>
            <w:noWrap/>
            <w:vAlign w:val="bottom"/>
            <w:hideMark/>
          </w:tcPr>
          <w:p w:rsidR="00FF423A" w:rsidRPr="00346A27" w:rsidRDefault="00FF423A" w:rsidP="00FF423A">
            <w:pPr>
              <w:keepNext w:val="0"/>
              <w:spacing w:after="0"/>
              <w:jc w:val="right"/>
              <w:rPr>
                <w:rFonts w:ascii="Arial" w:hAnsi="Arial" w:cs="Arial"/>
                <w:b/>
                <w:bCs/>
                <w:sz w:val="16"/>
                <w:szCs w:val="16"/>
              </w:rPr>
            </w:pPr>
            <w:r w:rsidRPr="00346A27">
              <w:rPr>
                <w:rFonts w:ascii="Arial" w:hAnsi="Arial" w:cs="Arial"/>
                <w:b/>
                <w:bCs/>
                <w:sz w:val="16"/>
                <w:szCs w:val="16"/>
              </w:rPr>
              <w:t>621</w:t>
            </w:r>
          </w:p>
        </w:tc>
        <w:tc>
          <w:tcPr>
            <w:tcW w:w="812" w:type="dxa"/>
            <w:tcBorders>
              <w:top w:val="nil"/>
              <w:left w:val="nil"/>
              <w:bottom w:val="single" w:sz="4" w:space="0" w:color="auto"/>
              <w:right w:val="nil"/>
            </w:tcBorders>
            <w:shd w:val="clear" w:color="auto" w:fill="auto"/>
            <w:noWrap/>
            <w:vAlign w:val="bottom"/>
            <w:hideMark/>
          </w:tcPr>
          <w:p w:rsidR="00FF423A" w:rsidRPr="00346A27" w:rsidRDefault="00FF423A" w:rsidP="00FF423A">
            <w:pPr>
              <w:keepNext w:val="0"/>
              <w:spacing w:after="0"/>
              <w:jc w:val="right"/>
              <w:rPr>
                <w:rFonts w:ascii="Arial" w:hAnsi="Arial" w:cs="Arial"/>
                <w:b/>
                <w:bCs/>
                <w:sz w:val="16"/>
                <w:szCs w:val="16"/>
              </w:rPr>
            </w:pPr>
            <w:r w:rsidRPr="00346A27">
              <w:rPr>
                <w:rFonts w:ascii="Arial" w:hAnsi="Arial" w:cs="Arial"/>
                <w:b/>
                <w:bCs/>
                <w:sz w:val="16"/>
                <w:szCs w:val="16"/>
              </w:rPr>
              <w:t>27,158</w:t>
            </w:r>
          </w:p>
        </w:tc>
      </w:tr>
    </w:tbl>
    <w:p w:rsidR="00003743" w:rsidRPr="00346A27" w:rsidRDefault="00003743" w:rsidP="00FF423A"/>
    <w:sectPr w:rsidR="00003743" w:rsidRPr="00346A27" w:rsidSect="00B14763">
      <w:headerReference w:type="even" r:id="rId23"/>
      <w:headerReference w:type="default" r:id="rId24"/>
      <w:pgSz w:w="11906" w:h="16838" w:code="9"/>
      <w:pgMar w:top="2665" w:right="2268" w:bottom="2126" w:left="2268" w:header="1899" w:footer="18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CD6" w:rsidRDefault="00036CD6" w:rsidP="007E7063">
      <w:r>
        <w:separator/>
      </w:r>
    </w:p>
  </w:endnote>
  <w:endnote w:type="continuationSeparator" w:id="0">
    <w:p w:rsidR="00036CD6" w:rsidRDefault="00036CD6" w:rsidP="007E7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CD6" w:rsidRPr="00DA3C63" w:rsidRDefault="00036CD6" w:rsidP="00B14763">
    <w:pPr>
      <w:pStyle w:val="Footer"/>
      <w:jc w:val="center"/>
      <w:rPr>
        <w:rFonts w:ascii="Arial" w:hAnsi="Arial" w:cs="Arial"/>
        <w:snapToGrid w:val="0"/>
        <w:sz w:val="18"/>
        <w:szCs w:val="18"/>
        <w:lang w:eastAsia="en-US"/>
      </w:rPr>
    </w:pPr>
    <w:r w:rsidRPr="00585882">
      <w:rPr>
        <w:rFonts w:ascii="Arial" w:hAnsi="Arial" w:cs="Arial"/>
        <w:snapToGrid w:val="0"/>
        <w:sz w:val="18"/>
        <w:szCs w:val="18"/>
        <w:lang w:eastAsia="en-US"/>
      </w:rPr>
      <w:fldChar w:fldCharType="begin"/>
    </w:r>
    <w:r w:rsidRPr="00585882">
      <w:rPr>
        <w:rFonts w:ascii="Arial" w:hAnsi="Arial" w:cs="Arial"/>
        <w:snapToGrid w:val="0"/>
        <w:sz w:val="18"/>
        <w:szCs w:val="18"/>
        <w:lang w:eastAsia="en-US"/>
      </w:rPr>
      <w:instrText xml:space="preserve"> PAGE </w:instrText>
    </w:r>
    <w:r w:rsidRPr="00585882">
      <w:rPr>
        <w:rFonts w:ascii="Arial" w:hAnsi="Arial" w:cs="Arial"/>
        <w:snapToGrid w:val="0"/>
        <w:sz w:val="18"/>
        <w:szCs w:val="18"/>
        <w:lang w:eastAsia="en-US"/>
      </w:rPr>
      <w:fldChar w:fldCharType="separate"/>
    </w:r>
    <w:r w:rsidR="00785D22">
      <w:rPr>
        <w:rFonts w:ascii="Arial" w:hAnsi="Arial" w:cs="Arial"/>
        <w:noProof/>
        <w:snapToGrid w:val="0"/>
        <w:sz w:val="18"/>
        <w:szCs w:val="18"/>
        <w:lang w:eastAsia="en-US"/>
      </w:rPr>
      <w:t>238</w:t>
    </w:r>
    <w:r w:rsidRPr="00585882">
      <w:rPr>
        <w:rFonts w:ascii="Arial" w:hAnsi="Arial" w:cs="Arial"/>
        <w:snapToGrid w:val="0"/>
        <w:sz w:val="18"/>
        <w:szCs w:val="18"/>
        <w:lang w:eastAsia="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CD6" w:rsidRPr="00DA3C63" w:rsidRDefault="00036CD6" w:rsidP="00B14763">
    <w:pPr>
      <w:pStyle w:val="Footer"/>
      <w:jc w:val="center"/>
      <w:rPr>
        <w:rFonts w:ascii="Arial" w:hAnsi="Arial" w:cs="Arial"/>
        <w:snapToGrid w:val="0"/>
        <w:sz w:val="18"/>
        <w:szCs w:val="18"/>
        <w:lang w:eastAsia="en-US"/>
      </w:rPr>
    </w:pPr>
    <w:r w:rsidRPr="00585882">
      <w:rPr>
        <w:rFonts w:ascii="Arial" w:hAnsi="Arial" w:cs="Arial"/>
        <w:snapToGrid w:val="0"/>
        <w:sz w:val="18"/>
        <w:szCs w:val="18"/>
        <w:lang w:eastAsia="en-US"/>
      </w:rPr>
      <w:fldChar w:fldCharType="begin"/>
    </w:r>
    <w:r w:rsidRPr="00585882">
      <w:rPr>
        <w:rFonts w:ascii="Arial" w:hAnsi="Arial" w:cs="Arial"/>
        <w:snapToGrid w:val="0"/>
        <w:sz w:val="18"/>
        <w:szCs w:val="18"/>
        <w:lang w:eastAsia="en-US"/>
      </w:rPr>
      <w:instrText xml:space="preserve"> PAGE </w:instrText>
    </w:r>
    <w:r w:rsidRPr="00585882">
      <w:rPr>
        <w:rFonts w:ascii="Arial" w:hAnsi="Arial" w:cs="Arial"/>
        <w:snapToGrid w:val="0"/>
        <w:sz w:val="18"/>
        <w:szCs w:val="18"/>
        <w:lang w:eastAsia="en-US"/>
      </w:rPr>
      <w:fldChar w:fldCharType="separate"/>
    </w:r>
    <w:r w:rsidR="00785D22">
      <w:rPr>
        <w:rFonts w:ascii="Arial" w:hAnsi="Arial" w:cs="Arial"/>
        <w:noProof/>
        <w:snapToGrid w:val="0"/>
        <w:sz w:val="18"/>
        <w:szCs w:val="18"/>
        <w:lang w:eastAsia="en-US"/>
      </w:rPr>
      <w:t>237</w:t>
    </w:r>
    <w:r w:rsidRPr="00585882">
      <w:rPr>
        <w:rFonts w:ascii="Arial" w:hAnsi="Arial" w:cs="Arial"/>
        <w:snapToGrid w:val="0"/>
        <w:sz w:val="18"/>
        <w:szCs w:val="18"/>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2FE" w:rsidRDefault="00E952F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CD6" w:rsidRPr="0066496B" w:rsidRDefault="00036CD6" w:rsidP="00B14763">
    <w:pPr>
      <w:pStyle w:val="Footer"/>
      <w:pBdr>
        <w:top w:val="single" w:sz="4" w:space="1" w:color="auto"/>
      </w:pBdr>
      <w:jc w:val="center"/>
      <w:rPr>
        <w:rFonts w:ascii="Arial" w:hAnsi="Arial" w:cs="Arial"/>
        <w:b/>
        <w:iCs/>
        <w:sz w:val="18"/>
        <w:szCs w:val="18"/>
      </w:rPr>
    </w:pPr>
    <w:r w:rsidRPr="00CA6FF8">
      <w:rPr>
        <w:rFonts w:ascii="Arial" w:hAnsi="Arial" w:cs="Arial"/>
        <w:snapToGrid w:val="0"/>
        <w:sz w:val="18"/>
        <w:szCs w:val="18"/>
        <w:lang w:eastAsia="en-US"/>
      </w:rPr>
      <w:fldChar w:fldCharType="begin"/>
    </w:r>
    <w:r w:rsidRPr="00CA6FF8">
      <w:rPr>
        <w:rFonts w:ascii="Arial" w:hAnsi="Arial" w:cs="Arial"/>
        <w:snapToGrid w:val="0"/>
        <w:sz w:val="18"/>
        <w:szCs w:val="18"/>
        <w:lang w:eastAsia="en-US"/>
      </w:rPr>
      <w:instrText xml:space="preserve"> PAGE </w:instrText>
    </w:r>
    <w:r w:rsidRPr="00CA6FF8">
      <w:rPr>
        <w:rFonts w:ascii="Arial" w:hAnsi="Arial" w:cs="Arial"/>
        <w:snapToGrid w:val="0"/>
        <w:sz w:val="18"/>
        <w:szCs w:val="18"/>
        <w:lang w:eastAsia="en-US"/>
      </w:rPr>
      <w:fldChar w:fldCharType="separate"/>
    </w:r>
    <w:r w:rsidR="00785D22">
      <w:rPr>
        <w:rFonts w:ascii="Arial" w:hAnsi="Arial" w:cs="Arial"/>
        <w:noProof/>
        <w:snapToGrid w:val="0"/>
        <w:sz w:val="18"/>
        <w:szCs w:val="18"/>
        <w:lang w:eastAsia="en-US"/>
      </w:rPr>
      <w:t>256</w:t>
    </w:r>
    <w:r w:rsidRPr="00CA6FF8">
      <w:rPr>
        <w:rFonts w:ascii="Arial" w:hAnsi="Arial" w:cs="Arial"/>
        <w:snapToGrid w:val="0"/>
        <w:sz w:val="18"/>
        <w:szCs w:val="18"/>
        <w:lang w:eastAsia="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CD6" w:rsidRPr="0066496B" w:rsidRDefault="00036CD6" w:rsidP="00B14763">
    <w:pPr>
      <w:pStyle w:val="Footer"/>
      <w:pBdr>
        <w:top w:val="single" w:sz="4" w:space="1" w:color="auto"/>
      </w:pBdr>
      <w:jc w:val="center"/>
      <w:rPr>
        <w:rFonts w:ascii="Arial" w:hAnsi="Arial" w:cs="Arial"/>
        <w:b/>
        <w:iCs/>
        <w:sz w:val="18"/>
        <w:szCs w:val="18"/>
      </w:rPr>
    </w:pPr>
    <w:r w:rsidRPr="00CA6FF8">
      <w:rPr>
        <w:rFonts w:ascii="Arial" w:hAnsi="Arial" w:cs="Arial"/>
        <w:snapToGrid w:val="0"/>
        <w:sz w:val="18"/>
        <w:szCs w:val="18"/>
        <w:lang w:eastAsia="en-US"/>
      </w:rPr>
      <w:fldChar w:fldCharType="begin"/>
    </w:r>
    <w:r w:rsidRPr="00CA6FF8">
      <w:rPr>
        <w:rFonts w:ascii="Arial" w:hAnsi="Arial" w:cs="Arial"/>
        <w:snapToGrid w:val="0"/>
        <w:sz w:val="18"/>
        <w:szCs w:val="18"/>
        <w:lang w:eastAsia="en-US"/>
      </w:rPr>
      <w:instrText xml:space="preserve"> PAGE </w:instrText>
    </w:r>
    <w:r w:rsidRPr="00CA6FF8">
      <w:rPr>
        <w:rFonts w:ascii="Arial" w:hAnsi="Arial" w:cs="Arial"/>
        <w:snapToGrid w:val="0"/>
        <w:sz w:val="18"/>
        <w:szCs w:val="18"/>
        <w:lang w:eastAsia="en-US"/>
      </w:rPr>
      <w:fldChar w:fldCharType="separate"/>
    </w:r>
    <w:r w:rsidR="00785D22">
      <w:rPr>
        <w:rFonts w:ascii="Arial" w:hAnsi="Arial" w:cs="Arial"/>
        <w:noProof/>
        <w:snapToGrid w:val="0"/>
        <w:sz w:val="18"/>
        <w:szCs w:val="18"/>
        <w:lang w:eastAsia="en-US"/>
      </w:rPr>
      <w:t>255</w:t>
    </w:r>
    <w:r w:rsidRPr="00CA6FF8">
      <w:rPr>
        <w:rFonts w:ascii="Arial" w:hAnsi="Arial" w:cs="Arial"/>
        <w:snapToGrid w:val="0"/>
        <w:sz w:val="18"/>
        <w:szCs w:val="18"/>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CD6" w:rsidRDefault="00036CD6" w:rsidP="007E7063">
      <w:r>
        <w:separator/>
      </w:r>
    </w:p>
  </w:footnote>
  <w:footnote w:type="continuationSeparator" w:id="0">
    <w:p w:rsidR="00036CD6" w:rsidRDefault="00036CD6" w:rsidP="007E7063">
      <w:r>
        <w:continuationSeparator/>
      </w:r>
    </w:p>
  </w:footnote>
  <w:footnote w:id="1">
    <w:p w:rsidR="00036CD6" w:rsidRPr="005060B7" w:rsidRDefault="00036CD6" w:rsidP="00536222">
      <w:pPr>
        <w:pStyle w:val="FootnoteText"/>
      </w:pPr>
      <w:r w:rsidRPr="00C206A6">
        <w:rPr>
          <w:rStyle w:val="FootnoteReference"/>
        </w:rPr>
        <w:footnoteRef/>
      </w:r>
      <w:r w:rsidRPr="00C206A6">
        <w:rPr>
          <w:vertAlign w:val="superscript"/>
        </w:rPr>
        <w:tab/>
      </w:r>
      <w:proofErr w:type="gramStart"/>
      <w:r w:rsidRPr="005060B7">
        <w:t>Radiation that can produce ionisation in matter,</w:t>
      </w:r>
      <w:r>
        <w:t xml:space="preserve"> for example,</w:t>
      </w:r>
      <w:r w:rsidRPr="005060B7">
        <w:t xml:space="preserve"> gamma </w:t>
      </w:r>
      <w:r w:rsidRPr="00536222">
        <w:t>rays</w:t>
      </w:r>
      <w:r w:rsidRPr="005060B7">
        <w:t xml:space="preserve"> and x-rays.</w:t>
      </w:r>
      <w:proofErr w:type="gramEnd"/>
      <w:r w:rsidRPr="005060B7">
        <w:t xml:space="preserve"> When these radiations interact with tissues in the body, they have sufficient energy to damage DNA.</w:t>
      </w:r>
    </w:p>
  </w:footnote>
  <w:footnote w:id="2">
    <w:p w:rsidR="00036CD6" w:rsidRPr="005060B7" w:rsidRDefault="00036CD6" w:rsidP="00536222">
      <w:pPr>
        <w:pStyle w:val="FootnoteText"/>
      </w:pPr>
      <w:r w:rsidRPr="00C206A6">
        <w:rPr>
          <w:rStyle w:val="FootnoteReference"/>
        </w:rPr>
        <w:footnoteRef/>
      </w:r>
      <w:r w:rsidRPr="005060B7">
        <w:tab/>
      </w:r>
      <w:proofErr w:type="gramStart"/>
      <w:r w:rsidRPr="005060B7">
        <w:t xml:space="preserve">Radiation that does not produce ionisation in matter, </w:t>
      </w:r>
      <w:r>
        <w:t>for example,</w:t>
      </w:r>
      <w:r w:rsidRPr="005060B7">
        <w:t xml:space="preserve"> ultra</w:t>
      </w:r>
      <w:r w:rsidRPr="00536222">
        <w:t>violet</w:t>
      </w:r>
      <w:r w:rsidRPr="005060B7">
        <w:t>, radio frequency radiation.</w:t>
      </w:r>
      <w:proofErr w:type="gramEnd"/>
    </w:p>
  </w:footnote>
  <w:footnote w:id="3">
    <w:p w:rsidR="00036CD6" w:rsidRDefault="00036CD6">
      <w:pPr>
        <w:pStyle w:val="FootnoteText"/>
      </w:pPr>
      <w:r>
        <w:rPr>
          <w:rStyle w:val="FootnoteReference"/>
        </w:rPr>
        <w:footnoteRef/>
      </w:r>
      <w:r>
        <w:t xml:space="preserve"> </w:t>
      </w:r>
      <w:r>
        <w:tab/>
      </w:r>
      <w:r w:rsidRPr="00216543">
        <w:t>Diagnostic Reference Levels</w:t>
      </w:r>
      <w:r w:rsidRPr="009D2EED">
        <w:t xml:space="preserve"> </w:t>
      </w:r>
      <w:r>
        <w:t xml:space="preserve">allow </w:t>
      </w:r>
      <w:r w:rsidRPr="009D2EED">
        <w:t>facilities to compare operating standards against their peers and international best practice.</w:t>
      </w:r>
    </w:p>
  </w:footnote>
  <w:footnote w:id="4">
    <w:p w:rsidR="00036CD6" w:rsidRDefault="00036CD6">
      <w:pPr>
        <w:pStyle w:val="FootnoteText"/>
      </w:pPr>
      <w:r>
        <w:rPr>
          <w:rStyle w:val="FootnoteReference"/>
        </w:rPr>
        <w:footnoteRef/>
      </w:r>
      <w:r>
        <w:t xml:space="preserve"> </w:t>
      </w:r>
      <w:r>
        <w:tab/>
        <w:t>This is a new deliverable for 2015-</w:t>
      </w:r>
      <w:proofErr w:type="gramStart"/>
      <w:r>
        <w:t>16,</w:t>
      </w:r>
      <w:proofErr w:type="gramEnd"/>
      <w:r>
        <w:t xml:space="preserve"> therefore there is no target for 2014-15.</w:t>
      </w:r>
    </w:p>
  </w:footnote>
  <w:footnote w:id="5">
    <w:p w:rsidR="00036CD6" w:rsidRDefault="00036CD6">
      <w:pPr>
        <w:pStyle w:val="FootnoteText"/>
      </w:pPr>
      <w:r>
        <w:rPr>
          <w:rStyle w:val="FootnoteReference"/>
        </w:rPr>
        <w:footnoteRef/>
      </w:r>
      <w:r>
        <w:t xml:space="preserve"> </w:t>
      </w:r>
      <w:r>
        <w:tab/>
        <w:t>This is a new Key Performance Indicator for 2015-</w:t>
      </w:r>
      <w:proofErr w:type="gramStart"/>
      <w:r>
        <w:t>16,</w:t>
      </w:r>
      <w:proofErr w:type="gramEnd"/>
      <w:r>
        <w:t xml:space="preserve"> therefore there is no target for 2014-15.</w:t>
      </w:r>
    </w:p>
  </w:footnote>
  <w:footnote w:id="6">
    <w:p w:rsidR="00036CD6" w:rsidRDefault="00036CD6" w:rsidP="00536222">
      <w:pPr>
        <w:pStyle w:val="FootnoteText"/>
      </w:pPr>
      <w:r>
        <w:rPr>
          <w:rStyle w:val="FootnoteReference"/>
        </w:rPr>
        <w:footnoteRef/>
      </w:r>
      <w:r>
        <w:t xml:space="preserve"> </w:t>
      </w:r>
      <w:r>
        <w:tab/>
      </w:r>
      <w:r>
        <w:rPr>
          <w:szCs w:val="16"/>
        </w:rPr>
        <w:t>From 2016-17, a user contribution to the operational cost will be required from providers. This may lead to a reduction in the number of participating providers</w:t>
      </w:r>
      <w:r>
        <w:t>.</w:t>
      </w:r>
    </w:p>
  </w:footnote>
  <w:footnote w:id="7">
    <w:p w:rsidR="00036CD6" w:rsidRDefault="00036CD6">
      <w:pPr>
        <w:pStyle w:val="FootnoteText"/>
      </w:pPr>
      <w:r>
        <w:rPr>
          <w:rStyle w:val="FootnoteReference"/>
        </w:rPr>
        <w:footnoteRef/>
      </w:r>
      <w:r>
        <w:t xml:space="preserve"> </w:t>
      </w:r>
      <w:r>
        <w:tab/>
        <w:t>This is a new Key Performance Indicator for 2015-</w:t>
      </w:r>
      <w:proofErr w:type="gramStart"/>
      <w:r>
        <w:t>16,</w:t>
      </w:r>
      <w:proofErr w:type="gramEnd"/>
      <w:r>
        <w:t xml:space="preserve"> therefore there is no target for 2014-15.</w:t>
      </w:r>
    </w:p>
  </w:footnote>
  <w:footnote w:id="8">
    <w:p w:rsidR="00036CD6" w:rsidRDefault="00036CD6">
      <w:pPr>
        <w:pStyle w:val="FootnoteText"/>
      </w:pPr>
      <w:r>
        <w:rPr>
          <w:rStyle w:val="FootnoteReference"/>
        </w:rPr>
        <w:footnoteRef/>
      </w:r>
      <w:r>
        <w:t xml:space="preserve"> </w:t>
      </w:r>
      <w:r>
        <w:tab/>
        <w:t>This is a new Key Performance Indicator for 2015-</w:t>
      </w:r>
      <w:proofErr w:type="gramStart"/>
      <w:r>
        <w:t>16,</w:t>
      </w:r>
      <w:proofErr w:type="gramEnd"/>
      <w:r>
        <w:t xml:space="preserve"> therefore there is no target for 2014-15.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2FE" w:rsidRDefault="00E952F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CD6" w:rsidRDefault="00036CD6" w:rsidP="00B14763">
    <w:pPr>
      <w:pStyle w:val="Header"/>
      <w:pBdr>
        <w:bottom w:val="single" w:sz="4" w:space="1" w:color="auto"/>
      </w:pBdr>
      <w:rPr>
        <w:rFonts w:ascii="Arial" w:hAnsi="Arial" w:cs="Arial"/>
        <w:sz w:val="18"/>
        <w:szCs w:val="18"/>
      </w:rPr>
    </w:pPr>
    <w:r>
      <w:rPr>
        <w:rFonts w:ascii="Arial" w:hAnsi="Arial" w:cs="Arial"/>
        <w:sz w:val="18"/>
        <w:szCs w:val="18"/>
      </w:rPr>
      <w:t xml:space="preserve">ARPANSA – </w:t>
    </w:r>
    <w:r w:rsidRPr="00833EC7">
      <w:rPr>
        <w:rFonts w:ascii="Arial" w:hAnsi="Arial" w:cs="Arial"/>
        <w:bCs/>
        <w:sz w:val="18"/>
        <w:szCs w:val="18"/>
      </w:rPr>
      <w:t>Entity</w:t>
    </w:r>
    <w:r>
      <w:rPr>
        <w:rFonts w:ascii="Arial" w:hAnsi="Arial" w:cs="Arial"/>
        <w:sz w:val="18"/>
        <w:szCs w:val="18"/>
      </w:rPr>
      <w:t xml:space="preserve"> Budget Statements – Budgeted Financial Statements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CD6" w:rsidRDefault="00036CD6" w:rsidP="00312949">
    <w:pPr>
      <w:framePr w:w="851" w:h="1701" w:hRule="exact" w:wrap="around" w:vAnchor="page" w:hAnchor="margin" w:x="7939" w:y="6918" w:anchorLock="1"/>
      <w:shd w:val="pct95" w:color="auto" w:fill="auto"/>
      <w:jc w:val="center"/>
      <w:textDirection w:val="btLr"/>
      <w:rPr>
        <w:rFonts w:ascii="Arial" w:hAnsi="Arial" w:cs="Arial"/>
        <w:sz w:val="8"/>
        <w:szCs w:val="8"/>
      </w:rPr>
    </w:pPr>
  </w:p>
  <w:p w:rsidR="00036CD6" w:rsidRPr="003402CC" w:rsidRDefault="00036CD6" w:rsidP="00312949">
    <w:pPr>
      <w:framePr w:w="851" w:h="1701" w:hRule="exact" w:wrap="around" w:vAnchor="page" w:hAnchor="margin" w:x="7939" w:y="6918" w:anchorLock="1"/>
      <w:shd w:val="pct95" w:color="auto" w:fill="auto"/>
      <w:jc w:val="center"/>
      <w:textDirection w:val="btLr"/>
      <w:rPr>
        <w:rFonts w:ascii="Arial" w:hAnsi="Arial" w:cs="Arial"/>
        <w:b/>
        <w:color w:val="FFFFFF" w:themeColor="background1"/>
        <w:sz w:val="24"/>
        <w:szCs w:val="24"/>
      </w:rPr>
    </w:pPr>
    <w:r>
      <w:rPr>
        <w:rFonts w:ascii="Arial" w:hAnsi="Arial" w:cs="Arial"/>
        <w:b/>
        <w:color w:val="FFFFFF" w:themeColor="background1"/>
        <w:sz w:val="24"/>
        <w:szCs w:val="24"/>
      </w:rPr>
      <w:t>ARPANSA</w:t>
    </w:r>
  </w:p>
  <w:p w:rsidR="00036CD6" w:rsidRDefault="00036CD6" w:rsidP="00B14763">
    <w:pPr>
      <w:pStyle w:val="Header"/>
      <w:pBdr>
        <w:bottom w:val="single" w:sz="4" w:space="1" w:color="auto"/>
      </w:pBdr>
      <w:jc w:val="right"/>
      <w:rPr>
        <w:rFonts w:ascii="Arial" w:hAnsi="Arial" w:cs="Arial"/>
        <w:sz w:val="18"/>
        <w:szCs w:val="18"/>
      </w:rPr>
    </w:pPr>
    <w:r>
      <w:rPr>
        <w:rFonts w:ascii="Arial" w:hAnsi="Arial" w:cs="Arial"/>
        <w:sz w:val="18"/>
        <w:szCs w:val="18"/>
      </w:rPr>
      <w:t xml:space="preserve">ARPANSA </w:t>
    </w:r>
    <w:r w:rsidRPr="004A1700">
      <w:rPr>
        <w:rFonts w:ascii="Arial" w:hAnsi="Arial" w:cs="Arial"/>
        <w:sz w:val="18"/>
        <w:szCs w:val="18"/>
      </w:rPr>
      <w:t>–</w:t>
    </w:r>
    <w:r>
      <w:rPr>
        <w:rFonts w:ascii="Arial" w:hAnsi="Arial" w:cs="Arial"/>
        <w:sz w:val="18"/>
        <w:szCs w:val="18"/>
      </w:rPr>
      <w:t xml:space="preserve"> </w:t>
    </w:r>
    <w:r w:rsidRPr="00833EC7">
      <w:rPr>
        <w:rFonts w:ascii="Arial" w:hAnsi="Arial" w:cs="Arial"/>
        <w:bCs/>
        <w:sz w:val="18"/>
        <w:szCs w:val="18"/>
      </w:rPr>
      <w:t>Entity</w:t>
    </w:r>
    <w:r>
      <w:rPr>
        <w:rFonts w:ascii="Arial" w:hAnsi="Arial" w:cs="Arial"/>
        <w:sz w:val="18"/>
        <w:szCs w:val="18"/>
      </w:rPr>
      <w:t xml:space="preserve"> Budget Statements – Budgeted Financial Statements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CD6" w:rsidRDefault="00036CD6" w:rsidP="00312949">
    <w:pPr>
      <w:framePr w:w="851" w:h="1701" w:hRule="exact" w:wrap="around" w:vAnchor="page" w:hAnchor="margin" w:x="7939" w:y="6918" w:anchorLock="1"/>
      <w:shd w:val="pct95" w:color="auto" w:fill="auto"/>
      <w:jc w:val="center"/>
      <w:textDirection w:val="btLr"/>
      <w:rPr>
        <w:rFonts w:ascii="Arial" w:hAnsi="Arial" w:cs="Arial"/>
        <w:sz w:val="8"/>
        <w:szCs w:val="8"/>
      </w:rPr>
    </w:pPr>
  </w:p>
  <w:p w:rsidR="00036CD6" w:rsidRPr="003402CC" w:rsidRDefault="00036CD6" w:rsidP="00312949">
    <w:pPr>
      <w:framePr w:w="851" w:h="1701" w:hRule="exact" w:wrap="around" w:vAnchor="page" w:hAnchor="margin" w:x="7939" w:y="6918" w:anchorLock="1"/>
      <w:shd w:val="pct95" w:color="auto" w:fill="auto"/>
      <w:jc w:val="center"/>
      <w:textDirection w:val="btLr"/>
      <w:rPr>
        <w:rFonts w:ascii="Arial" w:hAnsi="Arial" w:cs="Arial"/>
        <w:b/>
        <w:color w:val="FFFFFF" w:themeColor="background1"/>
        <w:sz w:val="24"/>
        <w:szCs w:val="24"/>
      </w:rPr>
    </w:pPr>
    <w:r>
      <w:rPr>
        <w:rFonts w:ascii="Arial" w:hAnsi="Arial" w:cs="Arial"/>
        <w:b/>
        <w:color w:val="FFFFFF" w:themeColor="background1"/>
        <w:sz w:val="24"/>
        <w:szCs w:val="24"/>
      </w:rPr>
      <w:t>ARPANSA</w:t>
    </w:r>
  </w:p>
  <w:p w:rsidR="00036CD6" w:rsidRPr="00B14763" w:rsidRDefault="00036CD6" w:rsidP="0037214E">
    <w:pPr>
      <w:pStyle w:val="Header"/>
      <w:jc w:val="center"/>
      <w:rPr>
        <w:rFonts w:ascii="Arial" w:hAnsi="Arial" w:cs="Arial"/>
        <w:b/>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CD6" w:rsidRPr="00370E9F" w:rsidRDefault="00036CD6" w:rsidP="00AE6F39">
    <w:pPr>
      <w:pStyle w:val="Header"/>
      <w:jc w:val="right"/>
      <w:rPr>
        <w:rFonts w:ascii="Arial" w:hAnsi="Arial" w:cs="Arial"/>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CD6" w:rsidRPr="00AE6F39" w:rsidRDefault="00036CD6" w:rsidP="00AE6F3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CD6" w:rsidRDefault="00036CD6" w:rsidP="00EA5CDC">
    <w:pPr>
      <w:framePr w:w="851" w:h="1701" w:hRule="exact" w:wrap="around" w:vAnchor="page" w:hAnchor="margin" w:x="7939" w:y="6918" w:anchorLock="1"/>
      <w:shd w:val="pct95" w:color="auto" w:fill="auto"/>
      <w:jc w:val="center"/>
      <w:textDirection w:val="btLr"/>
      <w:rPr>
        <w:rFonts w:ascii="Arial" w:hAnsi="Arial" w:cs="Arial"/>
        <w:sz w:val="8"/>
        <w:szCs w:val="8"/>
      </w:rPr>
    </w:pPr>
  </w:p>
  <w:p w:rsidR="00036CD6" w:rsidRPr="003402CC" w:rsidRDefault="00036CD6" w:rsidP="00EA5CDC">
    <w:pPr>
      <w:framePr w:w="851" w:h="1701" w:hRule="exact" w:wrap="around" w:vAnchor="page" w:hAnchor="margin" w:x="7939" w:y="6918" w:anchorLock="1"/>
      <w:shd w:val="pct95" w:color="auto" w:fill="auto"/>
      <w:jc w:val="center"/>
      <w:textDirection w:val="btLr"/>
      <w:rPr>
        <w:rFonts w:ascii="Arial" w:hAnsi="Arial" w:cs="Arial"/>
        <w:b/>
        <w:color w:val="FFFFFF" w:themeColor="background1"/>
        <w:sz w:val="22"/>
        <w:szCs w:val="24"/>
      </w:rPr>
    </w:pPr>
    <w:r>
      <w:rPr>
        <w:rFonts w:ascii="Arial" w:hAnsi="Arial" w:cs="Arial"/>
        <w:b/>
        <w:color w:val="FFFFFF" w:themeColor="background1"/>
        <w:sz w:val="22"/>
        <w:szCs w:val="24"/>
      </w:rPr>
      <w:t>ARPANSA</w:t>
    </w:r>
  </w:p>
  <w:p w:rsidR="00036CD6" w:rsidRDefault="00036CD6" w:rsidP="00B14763">
    <w:pPr>
      <w:pStyle w:val="Header"/>
      <w:rPr>
        <w:rFonts w:ascii="Arial" w:hAnsi="Arial" w:cs="Arial"/>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CD6" w:rsidRDefault="00036CD6" w:rsidP="00B14763">
    <w:pPr>
      <w:pStyle w:val="Header"/>
      <w:pBdr>
        <w:bottom w:val="single" w:sz="4" w:space="1" w:color="auto"/>
      </w:pBdr>
      <w:rPr>
        <w:rFonts w:ascii="Arial" w:hAnsi="Arial" w:cs="Arial"/>
        <w:sz w:val="18"/>
        <w:szCs w:val="18"/>
      </w:rPr>
    </w:pPr>
    <w:r>
      <w:rPr>
        <w:rFonts w:ascii="Arial" w:hAnsi="Arial" w:cs="Arial"/>
        <w:sz w:val="18"/>
        <w:szCs w:val="18"/>
      </w:rPr>
      <w:t xml:space="preserve">ARPANSA – </w:t>
    </w:r>
    <w:r w:rsidRPr="000422F4">
      <w:rPr>
        <w:rFonts w:ascii="Arial" w:hAnsi="Arial" w:cs="Arial"/>
        <w:bCs/>
        <w:sz w:val="18"/>
        <w:szCs w:val="18"/>
      </w:rPr>
      <w:t>Entity</w:t>
    </w:r>
    <w:r>
      <w:rPr>
        <w:rFonts w:ascii="Arial" w:hAnsi="Arial" w:cs="Arial"/>
        <w:sz w:val="18"/>
        <w:szCs w:val="18"/>
      </w:rPr>
      <w:t xml:space="preserve"> Budget Statements – </w:t>
    </w:r>
    <w:r w:rsidRPr="008F14AA">
      <w:rPr>
        <w:rFonts w:ascii="Arial" w:hAnsi="Arial" w:cs="Arial"/>
        <w:bCs/>
        <w:sz w:val="18"/>
        <w:szCs w:val="18"/>
      </w:rPr>
      <w:t>Entity</w:t>
    </w:r>
    <w:r>
      <w:rPr>
        <w:rFonts w:ascii="Arial" w:hAnsi="Arial" w:cs="Arial"/>
        <w:sz w:val="18"/>
        <w:szCs w:val="18"/>
      </w:rPr>
      <w:t xml:space="preserve"> Overview and Resources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CD6" w:rsidRDefault="00036CD6" w:rsidP="00EA5CDC">
    <w:pPr>
      <w:framePr w:w="851" w:h="1701" w:hRule="exact" w:wrap="around" w:vAnchor="page" w:hAnchor="margin" w:x="7939" w:y="6918" w:anchorLock="1"/>
      <w:shd w:val="pct95" w:color="auto" w:fill="auto"/>
      <w:jc w:val="center"/>
      <w:textDirection w:val="btLr"/>
      <w:rPr>
        <w:rFonts w:ascii="Arial" w:hAnsi="Arial" w:cs="Arial"/>
        <w:sz w:val="8"/>
        <w:szCs w:val="8"/>
      </w:rPr>
    </w:pPr>
  </w:p>
  <w:p w:rsidR="00036CD6" w:rsidRPr="003402CC" w:rsidRDefault="00036CD6" w:rsidP="00EA5CDC">
    <w:pPr>
      <w:framePr w:w="851" w:h="1701" w:hRule="exact" w:wrap="around" w:vAnchor="page" w:hAnchor="margin" w:x="7939" w:y="6918" w:anchorLock="1"/>
      <w:shd w:val="pct95" w:color="auto" w:fill="auto"/>
      <w:jc w:val="center"/>
      <w:textDirection w:val="btLr"/>
      <w:rPr>
        <w:rFonts w:ascii="Arial" w:hAnsi="Arial" w:cs="Arial"/>
        <w:b/>
        <w:color w:val="FFFFFF" w:themeColor="background1"/>
        <w:sz w:val="24"/>
        <w:szCs w:val="24"/>
      </w:rPr>
    </w:pPr>
    <w:r>
      <w:rPr>
        <w:rFonts w:ascii="Arial" w:hAnsi="Arial" w:cs="Arial"/>
        <w:b/>
        <w:color w:val="FFFFFF" w:themeColor="background1"/>
        <w:sz w:val="24"/>
        <w:szCs w:val="24"/>
      </w:rPr>
      <w:t>ARPANSA</w:t>
    </w:r>
  </w:p>
  <w:p w:rsidR="00036CD6" w:rsidRDefault="00036CD6" w:rsidP="00714BAE">
    <w:pPr>
      <w:pStyle w:val="Header"/>
      <w:pBdr>
        <w:bottom w:val="single" w:sz="4" w:space="1" w:color="auto"/>
      </w:pBdr>
      <w:jc w:val="right"/>
      <w:rPr>
        <w:rFonts w:ascii="Arial" w:hAnsi="Arial" w:cs="Arial"/>
        <w:sz w:val="18"/>
        <w:szCs w:val="18"/>
      </w:rPr>
    </w:pPr>
    <w:r>
      <w:rPr>
        <w:rFonts w:ascii="Arial" w:hAnsi="Arial" w:cs="Arial"/>
        <w:sz w:val="18"/>
        <w:szCs w:val="18"/>
      </w:rPr>
      <w:t xml:space="preserve">ARPANSA </w:t>
    </w:r>
    <w:r w:rsidRPr="004A1700">
      <w:rPr>
        <w:rFonts w:ascii="Arial" w:hAnsi="Arial" w:cs="Arial"/>
        <w:sz w:val="18"/>
        <w:szCs w:val="18"/>
      </w:rPr>
      <w:t>–</w:t>
    </w:r>
    <w:r>
      <w:rPr>
        <w:rFonts w:ascii="Arial" w:hAnsi="Arial" w:cs="Arial"/>
        <w:sz w:val="18"/>
        <w:szCs w:val="18"/>
      </w:rPr>
      <w:t xml:space="preserve"> </w:t>
    </w:r>
    <w:r w:rsidRPr="008F14AA">
      <w:rPr>
        <w:rFonts w:ascii="Arial" w:hAnsi="Arial" w:cs="Arial"/>
        <w:bCs/>
        <w:sz w:val="18"/>
        <w:szCs w:val="18"/>
      </w:rPr>
      <w:t>Entity</w:t>
    </w:r>
    <w:r>
      <w:rPr>
        <w:rFonts w:ascii="Arial" w:hAnsi="Arial" w:cs="Arial"/>
        <w:sz w:val="18"/>
        <w:szCs w:val="18"/>
      </w:rPr>
      <w:t xml:space="preserve"> Budget Statements – </w:t>
    </w:r>
    <w:r w:rsidRPr="00833EC7">
      <w:rPr>
        <w:rFonts w:ascii="Arial" w:hAnsi="Arial" w:cs="Arial"/>
        <w:bCs/>
        <w:sz w:val="18"/>
        <w:szCs w:val="18"/>
      </w:rPr>
      <w:t>Entity</w:t>
    </w:r>
    <w:r>
      <w:rPr>
        <w:rFonts w:ascii="Arial" w:hAnsi="Arial" w:cs="Arial"/>
        <w:sz w:val="18"/>
        <w:szCs w:val="18"/>
      </w:rPr>
      <w:t xml:space="preserve"> Overview and Resources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CD6" w:rsidRDefault="00036CD6" w:rsidP="00E528A9">
    <w:pPr>
      <w:pStyle w:val="Header"/>
      <w:pBdr>
        <w:bottom w:val="single" w:sz="4" w:space="1" w:color="auto"/>
      </w:pBdr>
      <w:rPr>
        <w:rFonts w:ascii="Arial" w:hAnsi="Arial" w:cs="Arial"/>
        <w:sz w:val="18"/>
        <w:szCs w:val="18"/>
      </w:rPr>
    </w:pPr>
    <w:r>
      <w:rPr>
        <w:rFonts w:ascii="Arial" w:hAnsi="Arial" w:cs="Arial"/>
        <w:sz w:val="18"/>
        <w:szCs w:val="18"/>
      </w:rPr>
      <w:t xml:space="preserve">ARPANSA – </w:t>
    </w:r>
    <w:r w:rsidRPr="00833EC7">
      <w:rPr>
        <w:rFonts w:ascii="Arial" w:hAnsi="Arial" w:cs="Arial"/>
        <w:bCs/>
        <w:sz w:val="18"/>
        <w:szCs w:val="18"/>
      </w:rPr>
      <w:t>Entity</w:t>
    </w:r>
    <w:r>
      <w:rPr>
        <w:rFonts w:ascii="Arial" w:hAnsi="Arial" w:cs="Arial"/>
        <w:sz w:val="18"/>
        <w:szCs w:val="18"/>
      </w:rPr>
      <w:t xml:space="preserve"> Budget Statements – Outcomes and Planned Performance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CD6" w:rsidRDefault="00036CD6" w:rsidP="00EA5CDC">
    <w:pPr>
      <w:framePr w:w="851" w:h="1701" w:hRule="exact" w:wrap="around" w:vAnchor="page" w:hAnchor="margin" w:x="7939" w:y="6918" w:anchorLock="1"/>
      <w:shd w:val="pct95" w:color="auto" w:fill="auto"/>
      <w:jc w:val="center"/>
      <w:textDirection w:val="btLr"/>
      <w:rPr>
        <w:rFonts w:ascii="Arial" w:hAnsi="Arial" w:cs="Arial"/>
        <w:sz w:val="8"/>
        <w:szCs w:val="8"/>
      </w:rPr>
    </w:pPr>
  </w:p>
  <w:p w:rsidR="00036CD6" w:rsidRPr="003402CC" w:rsidRDefault="00036CD6" w:rsidP="00EA5CDC">
    <w:pPr>
      <w:framePr w:w="851" w:h="1701" w:hRule="exact" w:wrap="around" w:vAnchor="page" w:hAnchor="margin" w:x="7939" w:y="6918" w:anchorLock="1"/>
      <w:shd w:val="pct95" w:color="auto" w:fill="auto"/>
      <w:jc w:val="center"/>
      <w:textDirection w:val="btLr"/>
      <w:rPr>
        <w:rFonts w:ascii="Arial" w:hAnsi="Arial" w:cs="Arial"/>
        <w:b/>
        <w:color w:val="FFFFFF" w:themeColor="background1"/>
        <w:sz w:val="24"/>
        <w:szCs w:val="24"/>
      </w:rPr>
    </w:pPr>
    <w:r>
      <w:rPr>
        <w:rFonts w:ascii="Arial" w:hAnsi="Arial" w:cs="Arial"/>
        <w:b/>
        <w:color w:val="FFFFFF" w:themeColor="background1"/>
        <w:sz w:val="24"/>
        <w:szCs w:val="24"/>
      </w:rPr>
      <w:t>ARPANSA</w:t>
    </w:r>
  </w:p>
  <w:p w:rsidR="00036CD6" w:rsidRDefault="00036CD6" w:rsidP="00E528A9">
    <w:pPr>
      <w:pStyle w:val="Header"/>
      <w:pBdr>
        <w:bottom w:val="single" w:sz="4" w:space="1" w:color="auto"/>
      </w:pBdr>
      <w:jc w:val="right"/>
      <w:rPr>
        <w:rFonts w:ascii="Arial" w:hAnsi="Arial" w:cs="Arial"/>
        <w:sz w:val="18"/>
        <w:szCs w:val="18"/>
      </w:rPr>
    </w:pPr>
    <w:r>
      <w:rPr>
        <w:rFonts w:ascii="Arial" w:hAnsi="Arial" w:cs="Arial"/>
        <w:sz w:val="18"/>
        <w:szCs w:val="18"/>
      </w:rPr>
      <w:t xml:space="preserve">ARPANSA </w:t>
    </w:r>
    <w:r w:rsidRPr="004A1700">
      <w:rPr>
        <w:rFonts w:ascii="Arial" w:hAnsi="Arial" w:cs="Arial"/>
        <w:sz w:val="18"/>
        <w:szCs w:val="18"/>
      </w:rPr>
      <w:t>–</w:t>
    </w:r>
    <w:r>
      <w:rPr>
        <w:rFonts w:ascii="Arial" w:hAnsi="Arial" w:cs="Arial"/>
        <w:sz w:val="18"/>
        <w:szCs w:val="18"/>
      </w:rPr>
      <w:t xml:space="preserve"> </w:t>
    </w:r>
    <w:r w:rsidRPr="00833EC7">
      <w:rPr>
        <w:rFonts w:ascii="Arial" w:hAnsi="Arial" w:cs="Arial"/>
        <w:bCs/>
        <w:sz w:val="18"/>
        <w:szCs w:val="18"/>
      </w:rPr>
      <w:t>Entity</w:t>
    </w:r>
    <w:r>
      <w:rPr>
        <w:rFonts w:ascii="Arial" w:hAnsi="Arial" w:cs="Arial"/>
        <w:sz w:val="18"/>
        <w:szCs w:val="18"/>
      </w:rPr>
      <w:t xml:space="preserve"> Budget Statements – Outcomes and Planned Performance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12EEC"/>
    <w:multiLevelType w:val="hybridMultilevel"/>
    <w:tmpl w:val="8F567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5670722"/>
    <w:multiLevelType w:val="hybridMultilevel"/>
    <w:tmpl w:val="FEB07306"/>
    <w:lvl w:ilvl="0" w:tplc="2116AFF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310711B6"/>
    <w:multiLevelType w:val="multilevel"/>
    <w:tmpl w:val="7AC0812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7D2D69C2"/>
    <w:multiLevelType w:val="hybridMultilevel"/>
    <w:tmpl w:val="A4E4422A"/>
    <w:lvl w:ilvl="0" w:tplc="BCDA6C92">
      <w:start w:val="1"/>
      <w:numFmt w:val="decimal"/>
      <w:lvlText w:val="%1"/>
      <w:lvlJc w:val="left"/>
      <w:pPr>
        <w:ind w:left="360" w:hanging="360"/>
      </w:pPr>
      <w:rPr>
        <w:rFonts w:hint="default"/>
        <w:vertAlign w:val="baseli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evenAndOddHeaders/>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063"/>
    <w:rsid w:val="00003743"/>
    <w:rsid w:val="0000769B"/>
    <w:rsid w:val="00007D50"/>
    <w:rsid w:val="00033D04"/>
    <w:rsid w:val="00036CD6"/>
    <w:rsid w:val="000422F4"/>
    <w:rsid w:val="00067456"/>
    <w:rsid w:val="000715A9"/>
    <w:rsid w:val="000717CC"/>
    <w:rsid w:val="000744D7"/>
    <w:rsid w:val="00080487"/>
    <w:rsid w:val="00085ADC"/>
    <w:rsid w:val="0008740C"/>
    <w:rsid w:val="0009265F"/>
    <w:rsid w:val="000A112C"/>
    <w:rsid w:val="000A278F"/>
    <w:rsid w:val="000A370A"/>
    <w:rsid w:val="000A56E1"/>
    <w:rsid w:val="000D3EEA"/>
    <w:rsid w:val="000D5A94"/>
    <w:rsid w:val="000E3AF5"/>
    <w:rsid w:val="000F3266"/>
    <w:rsid w:val="00101852"/>
    <w:rsid w:val="00105A2B"/>
    <w:rsid w:val="00111BDA"/>
    <w:rsid w:val="00173C4A"/>
    <w:rsid w:val="00183865"/>
    <w:rsid w:val="00191EC1"/>
    <w:rsid w:val="0019285F"/>
    <w:rsid w:val="00196449"/>
    <w:rsid w:val="001A765D"/>
    <w:rsid w:val="001B3443"/>
    <w:rsid w:val="001C5A7C"/>
    <w:rsid w:val="001F37AF"/>
    <w:rsid w:val="00202E07"/>
    <w:rsid w:val="00203537"/>
    <w:rsid w:val="00210512"/>
    <w:rsid w:val="00211EDA"/>
    <w:rsid w:val="00213116"/>
    <w:rsid w:val="0025149B"/>
    <w:rsid w:val="00296009"/>
    <w:rsid w:val="002A4876"/>
    <w:rsid w:val="002B0C32"/>
    <w:rsid w:val="002C72B8"/>
    <w:rsid w:val="002D15FD"/>
    <w:rsid w:val="0030786C"/>
    <w:rsid w:val="00311891"/>
    <w:rsid w:val="00312949"/>
    <w:rsid w:val="00317BFB"/>
    <w:rsid w:val="003214F7"/>
    <w:rsid w:val="00334AEE"/>
    <w:rsid w:val="00345BF6"/>
    <w:rsid w:val="00346A27"/>
    <w:rsid w:val="0036511D"/>
    <w:rsid w:val="0037214E"/>
    <w:rsid w:val="003743E6"/>
    <w:rsid w:val="003A1050"/>
    <w:rsid w:val="003C1B29"/>
    <w:rsid w:val="003C23ED"/>
    <w:rsid w:val="003C70A1"/>
    <w:rsid w:val="003D17F9"/>
    <w:rsid w:val="003D2CD0"/>
    <w:rsid w:val="00423271"/>
    <w:rsid w:val="00437120"/>
    <w:rsid w:val="0044092D"/>
    <w:rsid w:val="00456E84"/>
    <w:rsid w:val="004867E2"/>
    <w:rsid w:val="0048681C"/>
    <w:rsid w:val="004A7C98"/>
    <w:rsid w:val="004F1E29"/>
    <w:rsid w:val="00536222"/>
    <w:rsid w:val="0055560A"/>
    <w:rsid w:val="00560063"/>
    <w:rsid w:val="0056292F"/>
    <w:rsid w:val="00566B47"/>
    <w:rsid w:val="0057718F"/>
    <w:rsid w:val="005A0821"/>
    <w:rsid w:val="005C454E"/>
    <w:rsid w:val="005E1050"/>
    <w:rsid w:val="005E7C8F"/>
    <w:rsid w:val="005F25C1"/>
    <w:rsid w:val="005F56E9"/>
    <w:rsid w:val="00605F4A"/>
    <w:rsid w:val="00620CA1"/>
    <w:rsid w:val="0062303E"/>
    <w:rsid w:val="0063094C"/>
    <w:rsid w:val="0066402C"/>
    <w:rsid w:val="00677A7B"/>
    <w:rsid w:val="00696160"/>
    <w:rsid w:val="006B7BAE"/>
    <w:rsid w:val="0070164F"/>
    <w:rsid w:val="00714BAE"/>
    <w:rsid w:val="0074114D"/>
    <w:rsid w:val="0075108D"/>
    <w:rsid w:val="00753F82"/>
    <w:rsid w:val="007707AD"/>
    <w:rsid w:val="00785D22"/>
    <w:rsid w:val="0079382F"/>
    <w:rsid w:val="007A0AE6"/>
    <w:rsid w:val="007B17A0"/>
    <w:rsid w:val="007B30E4"/>
    <w:rsid w:val="007C2983"/>
    <w:rsid w:val="007D4D8E"/>
    <w:rsid w:val="007E7063"/>
    <w:rsid w:val="0080634F"/>
    <w:rsid w:val="00811F6A"/>
    <w:rsid w:val="008264EB"/>
    <w:rsid w:val="00835E39"/>
    <w:rsid w:val="00842260"/>
    <w:rsid w:val="008610A6"/>
    <w:rsid w:val="00865AD5"/>
    <w:rsid w:val="00866F2D"/>
    <w:rsid w:val="00873B12"/>
    <w:rsid w:val="00880822"/>
    <w:rsid w:val="00880DC3"/>
    <w:rsid w:val="00884053"/>
    <w:rsid w:val="008C298E"/>
    <w:rsid w:val="008C2DCC"/>
    <w:rsid w:val="008F14AA"/>
    <w:rsid w:val="00915E6B"/>
    <w:rsid w:val="00935DF0"/>
    <w:rsid w:val="009445F3"/>
    <w:rsid w:val="0096146C"/>
    <w:rsid w:val="00975111"/>
    <w:rsid w:val="00991D84"/>
    <w:rsid w:val="00994770"/>
    <w:rsid w:val="009B0105"/>
    <w:rsid w:val="009D2080"/>
    <w:rsid w:val="009F0DA2"/>
    <w:rsid w:val="00A06592"/>
    <w:rsid w:val="00A12FDE"/>
    <w:rsid w:val="00A14B8B"/>
    <w:rsid w:val="00A20E06"/>
    <w:rsid w:val="00A2230E"/>
    <w:rsid w:val="00A370D7"/>
    <w:rsid w:val="00A42EBC"/>
    <w:rsid w:val="00A4512D"/>
    <w:rsid w:val="00A53DD4"/>
    <w:rsid w:val="00A5686C"/>
    <w:rsid w:val="00A705AF"/>
    <w:rsid w:val="00A956B2"/>
    <w:rsid w:val="00A95996"/>
    <w:rsid w:val="00A965F1"/>
    <w:rsid w:val="00AB3E67"/>
    <w:rsid w:val="00AC117D"/>
    <w:rsid w:val="00AE6F39"/>
    <w:rsid w:val="00B04D77"/>
    <w:rsid w:val="00B13BDE"/>
    <w:rsid w:val="00B14763"/>
    <w:rsid w:val="00B42851"/>
    <w:rsid w:val="00B760BF"/>
    <w:rsid w:val="00B81E48"/>
    <w:rsid w:val="00B833E1"/>
    <w:rsid w:val="00BA1E30"/>
    <w:rsid w:val="00BC5106"/>
    <w:rsid w:val="00BF6435"/>
    <w:rsid w:val="00BF725A"/>
    <w:rsid w:val="00C2714B"/>
    <w:rsid w:val="00C50404"/>
    <w:rsid w:val="00C50F28"/>
    <w:rsid w:val="00C75D9E"/>
    <w:rsid w:val="00CA5528"/>
    <w:rsid w:val="00CB0D47"/>
    <w:rsid w:val="00CB5B1A"/>
    <w:rsid w:val="00CB774A"/>
    <w:rsid w:val="00CC0C4C"/>
    <w:rsid w:val="00CD26B8"/>
    <w:rsid w:val="00CE608A"/>
    <w:rsid w:val="00CF04F7"/>
    <w:rsid w:val="00CF4777"/>
    <w:rsid w:val="00CF7407"/>
    <w:rsid w:val="00D11573"/>
    <w:rsid w:val="00D33A22"/>
    <w:rsid w:val="00D4026F"/>
    <w:rsid w:val="00D44DF1"/>
    <w:rsid w:val="00D55864"/>
    <w:rsid w:val="00D8674C"/>
    <w:rsid w:val="00D944CC"/>
    <w:rsid w:val="00DB2BC4"/>
    <w:rsid w:val="00DB41F9"/>
    <w:rsid w:val="00DC58A3"/>
    <w:rsid w:val="00E025BE"/>
    <w:rsid w:val="00E528A9"/>
    <w:rsid w:val="00E70996"/>
    <w:rsid w:val="00E952FE"/>
    <w:rsid w:val="00EA5CDC"/>
    <w:rsid w:val="00EB0950"/>
    <w:rsid w:val="00EB1A2E"/>
    <w:rsid w:val="00EC0710"/>
    <w:rsid w:val="00EE7A20"/>
    <w:rsid w:val="00F17589"/>
    <w:rsid w:val="00F35CB8"/>
    <w:rsid w:val="00F65269"/>
    <w:rsid w:val="00F71625"/>
    <w:rsid w:val="00FA00F8"/>
    <w:rsid w:val="00FB464C"/>
    <w:rsid w:val="00FC0519"/>
    <w:rsid w:val="00FD155A"/>
    <w:rsid w:val="00FE7C57"/>
    <w:rsid w:val="00FF42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header" w:uiPriority="99"/>
    <w:lsdException w:name="caption" w:semiHidden="1" w:unhideWhenUsed="1" w:qFormat="1"/>
    <w:lsdException w:name="annotation reference" w:uiPriority="99"/>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6146C"/>
    <w:pPr>
      <w:keepNext/>
      <w:spacing w:after="120"/>
    </w:pPr>
    <w:rPr>
      <w:rFonts w:ascii="Book Antiqua" w:hAnsi="Book Antiqua"/>
    </w:rPr>
  </w:style>
  <w:style w:type="paragraph" w:styleId="Heading1">
    <w:name w:val="heading 1"/>
    <w:basedOn w:val="Normal"/>
    <w:next w:val="Normal"/>
    <w:rsid w:val="00A705AF"/>
    <w:pPr>
      <w:spacing w:before="240" w:after="60"/>
      <w:outlineLvl w:val="0"/>
    </w:pPr>
    <w:rPr>
      <w:rFonts w:ascii="Arial" w:hAnsi="Arial" w:cs="Arial"/>
      <w:b/>
      <w:bCs/>
      <w:kern w:val="28"/>
      <w:sz w:val="28"/>
      <w:szCs w:val="32"/>
    </w:rPr>
  </w:style>
  <w:style w:type="paragraph" w:styleId="Heading2">
    <w:name w:val="heading 2"/>
    <w:basedOn w:val="Normal"/>
    <w:next w:val="Normal"/>
    <w:rsid w:val="00A705AF"/>
    <w:pPr>
      <w:spacing w:before="240" w:after="60"/>
      <w:outlineLvl w:val="1"/>
    </w:pPr>
    <w:rPr>
      <w:rFonts w:ascii="Arial" w:hAnsi="Arial" w:cs="Arial"/>
      <w:b/>
      <w:bCs/>
      <w:i/>
      <w:iCs/>
      <w:szCs w:val="28"/>
    </w:rPr>
  </w:style>
  <w:style w:type="paragraph" w:styleId="Heading3">
    <w:name w:val="heading 3"/>
    <w:basedOn w:val="Normal"/>
    <w:next w:val="Normal"/>
    <w:rsid w:val="00E70996"/>
    <w:pPr>
      <w:spacing w:before="240" w:after="60"/>
      <w:outlineLvl w:val="2"/>
    </w:pPr>
    <w:rPr>
      <w:rFonts w:cs="Arial"/>
      <w:bCs/>
      <w:i/>
      <w:szCs w:val="26"/>
    </w:rPr>
  </w:style>
  <w:style w:type="paragraph" w:styleId="Heading4">
    <w:name w:val="heading 4"/>
    <w:basedOn w:val="Normal"/>
    <w:next w:val="Normal"/>
    <w:rsid w:val="00A705AF"/>
    <w:pPr>
      <w:spacing w:before="240" w:after="60"/>
      <w:outlineLvl w:val="3"/>
    </w:pPr>
    <w:rPr>
      <w:rFonts w:ascii="Arial" w:hAnsi="Arial"/>
      <w:bCs/>
      <w:sz w:val="28"/>
      <w:szCs w:val="28"/>
    </w:rPr>
  </w:style>
  <w:style w:type="paragraph" w:styleId="Heading5">
    <w:name w:val="heading 5"/>
    <w:basedOn w:val="Normal"/>
    <w:next w:val="Normal"/>
    <w:rsid w:val="00A705AF"/>
    <w:pPr>
      <w:spacing w:before="240" w:after="60"/>
      <w:outlineLvl w:val="4"/>
    </w:pPr>
    <w:rPr>
      <w:b/>
      <w:bCs/>
      <w:iCs/>
      <w:szCs w:val="26"/>
    </w:rPr>
  </w:style>
  <w:style w:type="paragraph" w:styleId="Heading6">
    <w:name w:val="heading 6"/>
    <w:basedOn w:val="Normal"/>
    <w:next w:val="Normal"/>
    <w:rsid w:val="00A705AF"/>
    <w:pPr>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ListParagraph">
    <w:name w:val="List Paragraph"/>
    <w:basedOn w:val="Normal"/>
    <w:link w:val="ListParagraphChar"/>
    <w:uiPriority w:val="34"/>
    <w:rsid w:val="00A4512D"/>
    <w:pPr>
      <w:ind w:left="720"/>
      <w:contextualSpacing/>
    </w:pPr>
  </w:style>
  <w:style w:type="paragraph" w:customStyle="1" w:styleId="OutcomeNumber">
    <w:name w:val="Outcome Number"/>
    <w:basedOn w:val="Heading1"/>
    <w:link w:val="OutcomeNumberChar"/>
    <w:rsid w:val="007E7063"/>
    <w:pPr>
      <w:keepLines/>
      <w:widowControl w:val="0"/>
      <w:spacing w:before="0" w:after="0"/>
    </w:pPr>
    <w:rPr>
      <w:rFonts w:cs="Times New Roman"/>
      <w:b w:val="0"/>
      <w:bCs w:val="0"/>
      <w:snapToGrid w:val="0"/>
      <w:kern w:val="0"/>
      <w:sz w:val="24"/>
      <w:szCs w:val="20"/>
    </w:rPr>
  </w:style>
  <w:style w:type="paragraph" w:customStyle="1" w:styleId="OutcomeName">
    <w:name w:val="Outcome Name"/>
    <w:basedOn w:val="Heading2"/>
    <w:link w:val="OutcomeNameChar"/>
    <w:rsid w:val="007E7063"/>
    <w:pPr>
      <w:widowControl w:val="0"/>
      <w:spacing w:before="60" w:after="360"/>
    </w:pPr>
    <w:rPr>
      <w:rFonts w:ascii="Helvetica" w:hAnsi="Helvetica" w:cs="Times New Roman"/>
      <w:b w:val="0"/>
      <w:bCs w:val="0"/>
      <w:i w:val="0"/>
      <w:iCs w:val="0"/>
      <w:smallCaps/>
      <w:snapToGrid w:val="0"/>
      <w:sz w:val="32"/>
      <w:szCs w:val="20"/>
    </w:rPr>
  </w:style>
  <w:style w:type="character" w:customStyle="1" w:styleId="OutcomeNumberChar">
    <w:name w:val="Outcome Number Char"/>
    <w:basedOn w:val="DefaultParagraphFont"/>
    <w:link w:val="OutcomeNumber"/>
    <w:rsid w:val="007E7063"/>
    <w:rPr>
      <w:rFonts w:ascii="Arial" w:hAnsi="Arial"/>
      <w:snapToGrid w:val="0"/>
      <w:sz w:val="24"/>
    </w:rPr>
  </w:style>
  <w:style w:type="paragraph" w:customStyle="1" w:styleId="OutcomeStatement">
    <w:name w:val="Outcome Statement"/>
    <w:basedOn w:val="Normal"/>
    <w:link w:val="OutcomeStatementChar"/>
    <w:qFormat/>
    <w:rsid w:val="007E7063"/>
    <w:pPr>
      <w:pBdr>
        <w:top w:val="single" w:sz="4" w:space="1" w:color="auto"/>
        <w:left w:val="single" w:sz="4" w:space="4" w:color="auto"/>
        <w:bottom w:val="single" w:sz="4" w:space="1" w:color="auto"/>
        <w:right w:val="single" w:sz="4" w:space="4" w:color="auto"/>
      </w:pBdr>
      <w:shd w:val="clear" w:color="auto" w:fill="D9D9D9"/>
      <w:spacing w:before="120"/>
      <w:jc w:val="center"/>
    </w:pPr>
    <w:rPr>
      <w:rFonts w:ascii="Arial" w:hAnsi="Arial"/>
      <w:b/>
      <w:sz w:val="18"/>
    </w:rPr>
  </w:style>
  <w:style w:type="character" w:customStyle="1" w:styleId="OutcomeNameChar">
    <w:name w:val="Outcome Name Char"/>
    <w:basedOn w:val="DefaultParagraphFont"/>
    <w:link w:val="OutcomeName"/>
    <w:rsid w:val="007E7063"/>
    <w:rPr>
      <w:rFonts w:ascii="Helvetica" w:hAnsi="Helvetica"/>
      <w:smallCaps/>
      <w:snapToGrid w:val="0"/>
      <w:sz w:val="32"/>
    </w:rPr>
  </w:style>
  <w:style w:type="paragraph" w:customStyle="1" w:styleId="OutcomeStrategy">
    <w:name w:val="Outcome Strategy"/>
    <w:basedOn w:val="Normal"/>
    <w:link w:val="OutcomeStrategyChar"/>
    <w:qFormat/>
    <w:rsid w:val="007E7063"/>
    <w:pPr>
      <w:spacing w:before="240"/>
      <w:outlineLvl w:val="1"/>
    </w:pPr>
    <w:rPr>
      <w:rFonts w:ascii="Arial" w:hAnsi="Arial" w:cs="Arial"/>
      <w:b/>
      <w:sz w:val="24"/>
      <w:szCs w:val="26"/>
    </w:rPr>
  </w:style>
  <w:style w:type="character" w:customStyle="1" w:styleId="OutcomeStatementChar">
    <w:name w:val="Outcome Statement Char"/>
    <w:basedOn w:val="DefaultParagraphFont"/>
    <w:link w:val="OutcomeStatement"/>
    <w:rsid w:val="007E7063"/>
    <w:rPr>
      <w:rFonts w:ascii="Arial" w:hAnsi="Arial"/>
      <w:b/>
      <w:sz w:val="18"/>
      <w:shd w:val="clear" w:color="auto" w:fill="D9D9D9"/>
    </w:rPr>
  </w:style>
  <w:style w:type="paragraph" w:customStyle="1" w:styleId="ProgramContributingtoOutcome">
    <w:name w:val="Program Contributing to Outcome"/>
    <w:basedOn w:val="Heading2"/>
    <w:link w:val="ProgramContributingtoOutcomeChar"/>
    <w:rsid w:val="007E7063"/>
    <w:pPr>
      <w:widowControl w:val="0"/>
      <w:spacing w:after="120"/>
    </w:pPr>
    <w:rPr>
      <w:rFonts w:cs="Times New Roman"/>
      <w:bCs w:val="0"/>
      <w:i w:val="0"/>
      <w:iCs w:val="0"/>
      <w:snapToGrid w:val="0"/>
      <w:szCs w:val="20"/>
    </w:rPr>
  </w:style>
  <w:style w:type="character" w:customStyle="1" w:styleId="OutcomeStrategyChar">
    <w:name w:val="Outcome Strategy Char"/>
    <w:link w:val="OutcomeStrategy"/>
    <w:rsid w:val="007E7063"/>
    <w:rPr>
      <w:rFonts w:ascii="Arial" w:hAnsi="Arial" w:cs="Arial"/>
      <w:b/>
      <w:sz w:val="24"/>
      <w:szCs w:val="26"/>
    </w:rPr>
  </w:style>
  <w:style w:type="paragraph" w:customStyle="1" w:styleId="ExpensesandResources">
    <w:name w:val="Expenses and Resources"/>
    <w:basedOn w:val="Normal"/>
    <w:link w:val="ExpensesandResourcesChar"/>
    <w:qFormat/>
    <w:rsid w:val="007E7063"/>
    <w:pPr>
      <w:spacing w:before="240"/>
      <w:outlineLvl w:val="1"/>
    </w:pPr>
    <w:rPr>
      <w:rFonts w:ascii="Arial" w:hAnsi="Arial" w:cs="Arial"/>
      <w:b/>
      <w:sz w:val="24"/>
      <w:szCs w:val="24"/>
    </w:rPr>
  </w:style>
  <w:style w:type="character" w:customStyle="1" w:styleId="ProgramContributingtoOutcomeChar">
    <w:name w:val="Program Contributing to Outcome Char"/>
    <w:basedOn w:val="DefaultParagraphFont"/>
    <w:link w:val="ProgramContributingtoOutcome"/>
    <w:rsid w:val="007E7063"/>
    <w:rPr>
      <w:rFonts w:ascii="Arial" w:hAnsi="Arial"/>
      <w:b/>
      <w:snapToGrid w:val="0"/>
      <w:sz w:val="24"/>
    </w:rPr>
  </w:style>
  <w:style w:type="paragraph" w:customStyle="1" w:styleId="TableHeading">
    <w:name w:val="Table Heading"/>
    <w:basedOn w:val="Normal"/>
    <w:link w:val="TableHeadingChar"/>
    <w:qFormat/>
    <w:rsid w:val="002B0C32"/>
    <w:pPr>
      <w:spacing w:before="120"/>
    </w:pPr>
    <w:rPr>
      <w:rFonts w:ascii="Arial" w:hAnsi="Arial" w:cs="Arial"/>
      <w:b/>
      <w:sz w:val="18"/>
      <w:szCs w:val="18"/>
    </w:rPr>
  </w:style>
  <w:style w:type="character" w:customStyle="1" w:styleId="ExpensesandResourcesChar">
    <w:name w:val="Expenses and Resources Char"/>
    <w:link w:val="ExpensesandResources"/>
    <w:rsid w:val="007E7063"/>
    <w:rPr>
      <w:rFonts w:ascii="Arial" w:hAnsi="Arial" w:cs="Arial"/>
      <w:b/>
      <w:sz w:val="24"/>
      <w:szCs w:val="24"/>
    </w:rPr>
  </w:style>
  <w:style w:type="character" w:customStyle="1" w:styleId="TableHeadingChar">
    <w:name w:val="Table Heading Char"/>
    <w:basedOn w:val="DefaultParagraphFont"/>
    <w:link w:val="TableHeading"/>
    <w:rsid w:val="002B0C32"/>
    <w:rPr>
      <w:rFonts w:ascii="Arial" w:hAnsi="Arial" w:cs="Arial"/>
      <w:b/>
      <w:sz w:val="18"/>
      <w:szCs w:val="18"/>
    </w:rPr>
  </w:style>
  <w:style w:type="paragraph" w:customStyle="1" w:styleId="ProgramName">
    <w:name w:val="Program Name"/>
    <w:basedOn w:val="Heading1"/>
    <w:link w:val="ProgramNameChar"/>
    <w:qFormat/>
    <w:rsid w:val="007E7063"/>
    <w:pPr>
      <w:widowControl w:val="0"/>
      <w:spacing w:after="120"/>
      <w:outlineLvl w:val="1"/>
    </w:pPr>
    <w:rPr>
      <w:rFonts w:cs="Times New Roman"/>
      <w:bCs w:val="0"/>
      <w:snapToGrid w:val="0"/>
      <w:kern w:val="0"/>
      <w:sz w:val="24"/>
      <w:szCs w:val="20"/>
    </w:rPr>
  </w:style>
  <w:style w:type="paragraph" w:customStyle="1" w:styleId="ProgramObjectives">
    <w:name w:val="Program Objectives"/>
    <w:basedOn w:val="Heading2"/>
    <w:link w:val="ProgramObjectivesChar"/>
    <w:qFormat/>
    <w:rsid w:val="007E7063"/>
    <w:pPr>
      <w:widowControl w:val="0"/>
      <w:spacing w:before="120" w:after="120"/>
      <w:outlineLvl w:val="2"/>
    </w:pPr>
    <w:rPr>
      <w:rFonts w:cs="Times New Roman"/>
      <w:bCs w:val="0"/>
      <w:i w:val="0"/>
      <w:iCs w:val="0"/>
      <w:snapToGrid w:val="0"/>
      <w:sz w:val="22"/>
      <w:szCs w:val="20"/>
    </w:rPr>
  </w:style>
  <w:style w:type="character" w:customStyle="1" w:styleId="ProgramNameChar">
    <w:name w:val="Program Name Char"/>
    <w:basedOn w:val="DefaultParagraphFont"/>
    <w:link w:val="ProgramName"/>
    <w:rsid w:val="007E7063"/>
    <w:rPr>
      <w:rFonts w:ascii="Arial" w:hAnsi="Arial"/>
      <w:b/>
      <w:snapToGrid w:val="0"/>
      <w:sz w:val="24"/>
    </w:rPr>
  </w:style>
  <w:style w:type="paragraph" w:customStyle="1" w:styleId="ProgramExpenses">
    <w:name w:val="Program Expenses"/>
    <w:basedOn w:val="Normal"/>
    <w:link w:val="ProgramExpensesChar"/>
    <w:qFormat/>
    <w:rsid w:val="007E7063"/>
    <w:pPr>
      <w:spacing w:before="120"/>
      <w:outlineLvl w:val="1"/>
    </w:pPr>
    <w:rPr>
      <w:rFonts w:ascii="Arial" w:hAnsi="Arial" w:cs="Arial"/>
      <w:b/>
      <w:sz w:val="22"/>
      <w:szCs w:val="22"/>
    </w:rPr>
  </w:style>
  <w:style w:type="character" w:customStyle="1" w:styleId="ProgramObjectivesChar">
    <w:name w:val="Program Objectives Char"/>
    <w:basedOn w:val="DefaultParagraphFont"/>
    <w:link w:val="ProgramObjectives"/>
    <w:rsid w:val="007E7063"/>
    <w:rPr>
      <w:rFonts w:ascii="Arial" w:hAnsi="Arial"/>
      <w:b/>
      <w:snapToGrid w:val="0"/>
      <w:sz w:val="22"/>
    </w:rPr>
  </w:style>
  <w:style w:type="character" w:customStyle="1" w:styleId="ProgramExpensesChar">
    <w:name w:val="Program Expenses Char"/>
    <w:link w:val="ProgramExpenses"/>
    <w:rsid w:val="007E7063"/>
    <w:rPr>
      <w:rFonts w:ascii="Arial" w:hAnsi="Arial" w:cs="Arial"/>
      <w:b/>
      <w:sz w:val="22"/>
      <w:szCs w:val="22"/>
    </w:rPr>
  </w:style>
  <w:style w:type="paragraph" w:customStyle="1" w:styleId="ProgramDeliverables">
    <w:name w:val="Program Deliverables"/>
    <w:basedOn w:val="Normal"/>
    <w:link w:val="ProgramDeliverablesChar"/>
    <w:qFormat/>
    <w:rsid w:val="007E7063"/>
    <w:pPr>
      <w:spacing w:before="120"/>
      <w:outlineLvl w:val="1"/>
    </w:pPr>
    <w:rPr>
      <w:rFonts w:ascii="Arial" w:hAnsi="Arial" w:cs="Arial"/>
      <w:b/>
      <w:sz w:val="24"/>
      <w:szCs w:val="22"/>
    </w:rPr>
  </w:style>
  <w:style w:type="character" w:customStyle="1" w:styleId="ProgramDeliverablesChar">
    <w:name w:val="Program Deliverables Char"/>
    <w:link w:val="ProgramDeliverables"/>
    <w:rsid w:val="007E7063"/>
    <w:rPr>
      <w:rFonts w:ascii="Arial" w:hAnsi="Arial" w:cs="Arial"/>
      <w:b/>
      <w:sz w:val="24"/>
      <w:szCs w:val="22"/>
    </w:rPr>
  </w:style>
  <w:style w:type="paragraph" w:customStyle="1" w:styleId="ProgramKPI">
    <w:name w:val="Program KPI"/>
    <w:basedOn w:val="Normal"/>
    <w:link w:val="ProgramKPIChar"/>
    <w:qFormat/>
    <w:rsid w:val="007E7063"/>
    <w:pPr>
      <w:spacing w:before="120"/>
      <w:outlineLvl w:val="2"/>
    </w:pPr>
    <w:rPr>
      <w:rFonts w:ascii="Arial" w:hAnsi="Arial" w:cs="Arial"/>
      <w:b/>
      <w:sz w:val="22"/>
      <w:szCs w:val="22"/>
    </w:rPr>
  </w:style>
  <w:style w:type="character" w:customStyle="1" w:styleId="ProgramKPIChar">
    <w:name w:val="Program KPI Char"/>
    <w:link w:val="ProgramKPI"/>
    <w:rsid w:val="007E7063"/>
    <w:rPr>
      <w:rFonts w:ascii="Arial" w:hAnsi="Arial" w:cs="Arial"/>
      <w:b/>
      <w:sz w:val="22"/>
      <w:szCs w:val="22"/>
    </w:rPr>
  </w:style>
  <w:style w:type="paragraph" w:styleId="Header">
    <w:name w:val="header"/>
    <w:basedOn w:val="Normal"/>
    <w:link w:val="HeaderChar"/>
    <w:uiPriority w:val="99"/>
    <w:rsid w:val="007E7063"/>
    <w:pPr>
      <w:tabs>
        <w:tab w:val="center" w:pos="4513"/>
        <w:tab w:val="right" w:pos="9026"/>
      </w:tabs>
    </w:pPr>
  </w:style>
  <w:style w:type="character" w:customStyle="1" w:styleId="HeaderChar">
    <w:name w:val="Header Char"/>
    <w:basedOn w:val="DefaultParagraphFont"/>
    <w:link w:val="Header"/>
    <w:uiPriority w:val="99"/>
    <w:rsid w:val="007E7063"/>
    <w:rPr>
      <w:rFonts w:ascii="Book Antiqua" w:hAnsi="Book Antiqua"/>
    </w:rPr>
  </w:style>
  <w:style w:type="paragraph" w:styleId="Footer">
    <w:name w:val="footer"/>
    <w:basedOn w:val="Normal"/>
    <w:link w:val="FooterChar"/>
    <w:rsid w:val="007E7063"/>
    <w:pPr>
      <w:tabs>
        <w:tab w:val="center" w:pos="4513"/>
        <w:tab w:val="right" w:pos="9026"/>
      </w:tabs>
    </w:pPr>
  </w:style>
  <w:style w:type="character" w:customStyle="1" w:styleId="FooterChar">
    <w:name w:val="Footer Char"/>
    <w:basedOn w:val="DefaultParagraphFont"/>
    <w:link w:val="Footer"/>
    <w:rsid w:val="007E7063"/>
    <w:rPr>
      <w:rFonts w:ascii="Book Antiqua" w:hAnsi="Book Antiqua"/>
    </w:rPr>
  </w:style>
  <w:style w:type="paragraph" w:styleId="BalloonText">
    <w:name w:val="Balloon Text"/>
    <w:basedOn w:val="Normal"/>
    <w:link w:val="BalloonTextChar"/>
    <w:rsid w:val="007E7063"/>
    <w:rPr>
      <w:rFonts w:ascii="Tahoma" w:hAnsi="Tahoma" w:cs="Tahoma"/>
      <w:sz w:val="16"/>
      <w:szCs w:val="16"/>
    </w:rPr>
  </w:style>
  <w:style w:type="character" w:customStyle="1" w:styleId="BalloonTextChar">
    <w:name w:val="Balloon Text Char"/>
    <w:basedOn w:val="DefaultParagraphFont"/>
    <w:link w:val="BalloonText"/>
    <w:rsid w:val="007E7063"/>
    <w:rPr>
      <w:rFonts w:ascii="Tahoma" w:hAnsi="Tahoma" w:cs="Tahoma"/>
      <w:sz w:val="16"/>
      <w:szCs w:val="16"/>
    </w:rPr>
  </w:style>
  <w:style w:type="paragraph" w:customStyle="1" w:styleId="PIHeading">
    <w:name w:val="PI Heading"/>
    <w:basedOn w:val="TableHeading"/>
    <w:link w:val="PIHeadingChar"/>
    <w:rsid w:val="007E7063"/>
    <w:rPr>
      <w:sz w:val="22"/>
      <w:szCs w:val="22"/>
    </w:rPr>
  </w:style>
  <w:style w:type="character" w:customStyle="1" w:styleId="PIHeadingChar">
    <w:name w:val="PI Heading Char"/>
    <w:basedOn w:val="TableHeadingChar"/>
    <w:link w:val="PIHeading"/>
    <w:rsid w:val="007E7063"/>
    <w:rPr>
      <w:rFonts w:ascii="Arial" w:hAnsi="Arial" w:cs="Arial"/>
      <w:b/>
      <w:sz w:val="22"/>
      <w:szCs w:val="22"/>
    </w:rPr>
  </w:style>
  <w:style w:type="paragraph" w:customStyle="1" w:styleId="SectionHeading">
    <w:name w:val="Section Heading"/>
    <w:basedOn w:val="Normal"/>
    <w:link w:val="SectionHeadingChar"/>
    <w:qFormat/>
    <w:rsid w:val="007E7063"/>
    <w:pPr>
      <w:spacing w:after="240"/>
      <w:outlineLvl w:val="0"/>
    </w:pPr>
    <w:rPr>
      <w:rFonts w:ascii="Arial" w:hAnsi="Arial" w:cs="Arial"/>
      <w:b/>
      <w:sz w:val="28"/>
      <w:szCs w:val="28"/>
    </w:rPr>
  </w:style>
  <w:style w:type="character" w:customStyle="1" w:styleId="SectionHeadingChar">
    <w:name w:val="Section Heading Char"/>
    <w:link w:val="SectionHeading"/>
    <w:rsid w:val="007E7063"/>
    <w:rPr>
      <w:rFonts w:ascii="Arial" w:hAnsi="Arial" w:cs="Arial"/>
      <w:b/>
      <w:sz w:val="28"/>
      <w:szCs w:val="28"/>
    </w:rPr>
  </w:style>
  <w:style w:type="paragraph" w:customStyle="1" w:styleId="SectionSubheading">
    <w:name w:val="Section Subheading"/>
    <w:basedOn w:val="Normal"/>
    <w:link w:val="SectionSubheadingChar"/>
    <w:autoRedefine/>
    <w:qFormat/>
    <w:rsid w:val="007E7063"/>
    <w:pPr>
      <w:spacing w:before="120"/>
      <w:outlineLvl w:val="1"/>
    </w:pPr>
    <w:rPr>
      <w:rFonts w:ascii="Arial" w:hAnsi="Arial" w:cs="Arial"/>
      <w:b/>
      <w:sz w:val="26"/>
      <w:szCs w:val="22"/>
    </w:rPr>
  </w:style>
  <w:style w:type="character" w:customStyle="1" w:styleId="SectionSubheadingChar">
    <w:name w:val="Section Subheading Char"/>
    <w:basedOn w:val="DefaultParagraphFont"/>
    <w:link w:val="SectionSubheading"/>
    <w:rsid w:val="007E7063"/>
    <w:rPr>
      <w:rFonts w:ascii="Arial" w:hAnsi="Arial" w:cs="Arial"/>
      <w:b/>
      <w:sz w:val="26"/>
      <w:szCs w:val="22"/>
    </w:rPr>
  </w:style>
  <w:style w:type="character" w:customStyle="1" w:styleId="ListParagraphChar">
    <w:name w:val="List Paragraph Char"/>
    <w:basedOn w:val="DefaultParagraphFont"/>
    <w:link w:val="ListParagraph"/>
    <w:uiPriority w:val="34"/>
    <w:rsid w:val="007E7063"/>
    <w:rPr>
      <w:sz w:val="24"/>
      <w:szCs w:val="24"/>
      <w:lang w:eastAsia="en-US"/>
    </w:rPr>
  </w:style>
  <w:style w:type="paragraph" w:styleId="FootnoteText">
    <w:name w:val="footnote text"/>
    <w:basedOn w:val="Normal"/>
    <w:link w:val="FootnoteTextChar"/>
    <w:qFormat/>
    <w:rsid w:val="00536222"/>
    <w:pPr>
      <w:tabs>
        <w:tab w:val="left" w:pos="284"/>
      </w:tabs>
      <w:spacing w:after="0"/>
      <w:ind w:left="284" w:hanging="284"/>
    </w:pPr>
    <w:rPr>
      <w:sz w:val="16"/>
    </w:rPr>
  </w:style>
  <w:style w:type="character" w:customStyle="1" w:styleId="FootnoteTextChar">
    <w:name w:val="Footnote Text Char"/>
    <w:basedOn w:val="DefaultParagraphFont"/>
    <w:link w:val="FootnoteText"/>
    <w:rsid w:val="00536222"/>
    <w:rPr>
      <w:rFonts w:ascii="Book Antiqua" w:hAnsi="Book Antiqua"/>
      <w:sz w:val="16"/>
    </w:rPr>
  </w:style>
  <w:style w:type="character" w:styleId="FootnoteReference">
    <w:name w:val="footnote reference"/>
    <w:aliases w:val="(NECG) Footnote Reference"/>
    <w:rsid w:val="007E7063"/>
    <w:rPr>
      <w:vertAlign w:val="superscript"/>
    </w:rPr>
  </w:style>
  <w:style w:type="character" w:styleId="CommentReference">
    <w:name w:val="annotation reference"/>
    <w:basedOn w:val="DefaultParagraphFont"/>
    <w:uiPriority w:val="99"/>
    <w:rsid w:val="007E7063"/>
    <w:rPr>
      <w:sz w:val="16"/>
      <w:szCs w:val="16"/>
    </w:rPr>
  </w:style>
  <w:style w:type="paragraph" w:styleId="CommentText">
    <w:name w:val="annotation text"/>
    <w:basedOn w:val="Normal"/>
    <w:link w:val="CommentTextChar"/>
    <w:uiPriority w:val="99"/>
    <w:rsid w:val="007E7063"/>
  </w:style>
  <w:style w:type="character" w:customStyle="1" w:styleId="CommentTextChar">
    <w:name w:val="Comment Text Char"/>
    <w:basedOn w:val="DefaultParagraphFont"/>
    <w:link w:val="CommentText"/>
    <w:uiPriority w:val="99"/>
    <w:rsid w:val="007E7063"/>
    <w:rPr>
      <w:rFonts w:ascii="Book Antiqua" w:hAnsi="Book Antiqua"/>
    </w:rPr>
  </w:style>
  <w:style w:type="paragraph" w:styleId="CommentSubject">
    <w:name w:val="annotation subject"/>
    <w:basedOn w:val="CommentText"/>
    <w:next w:val="CommentText"/>
    <w:link w:val="CommentSubjectChar"/>
    <w:rsid w:val="007E7063"/>
    <w:rPr>
      <w:b/>
      <w:bCs/>
    </w:rPr>
  </w:style>
  <w:style w:type="character" w:customStyle="1" w:styleId="CommentSubjectChar">
    <w:name w:val="Comment Subject Char"/>
    <w:basedOn w:val="CommentTextChar"/>
    <w:link w:val="CommentSubject"/>
    <w:rsid w:val="007E7063"/>
    <w:rPr>
      <w:rFonts w:ascii="Book Antiqua" w:hAnsi="Book Antiqua"/>
      <w:b/>
      <w:bCs/>
    </w:rPr>
  </w:style>
  <w:style w:type="paragraph" w:styleId="Revision">
    <w:name w:val="Revision"/>
    <w:hidden/>
    <w:uiPriority w:val="99"/>
    <w:semiHidden/>
    <w:rsid w:val="007E7063"/>
    <w:rPr>
      <w:sz w:val="24"/>
    </w:rPr>
  </w:style>
  <w:style w:type="paragraph" w:customStyle="1" w:styleId="AgencyTitle">
    <w:name w:val="Agency Title"/>
    <w:basedOn w:val="Normal"/>
    <w:link w:val="AgencyTitleChar"/>
    <w:qFormat/>
    <w:rsid w:val="007E7063"/>
    <w:pPr>
      <w:tabs>
        <w:tab w:val="left" w:pos="5830"/>
      </w:tabs>
      <w:ind w:right="-68"/>
      <w:jc w:val="center"/>
      <w:outlineLvl w:val="0"/>
    </w:pPr>
    <w:rPr>
      <w:rFonts w:ascii="Arial" w:hAnsi="Arial" w:cs="Arial"/>
      <w:b/>
      <w:bCs/>
      <w:smallCaps/>
      <w:sz w:val="52"/>
      <w:szCs w:val="56"/>
    </w:rPr>
  </w:style>
  <w:style w:type="character" w:customStyle="1" w:styleId="AgencyTitleChar">
    <w:name w:val="Agency Title Char"/>
    <w:basedOn w:val="DefaultParagraphFont"/>
    <w:link w:val="AgencyTitle"/>
    <w:rsid w:val="007E7063"/>
    <w:rPr>
      <w:rFonts w:ascii="Arial" w:hAnsi="Arial" w:cs="Arial"/>
      <w:b/>
      <w:bCs/>
      <w:smallCaps/>
      <w:sz w:val="52"/>
      <w:szCs w:val="56"/>
    </w:rPr>
  </w:style>
  <w:style w:type="paragraph" w:customStyle="1" w:styleId="AgencySubtitle">
    <w:name w:val="Agency Subtitle"/>
    <w:basedOn w:val="Normal"/>
    <w:link w:val="AgencySubtitleChar"/>
    <w:qFormat/>
    <w:rsid w:val="007E7063"/>
    <w:pPr>
      <w:tabs>
        <w:tab w:val="left" w:pos="5830"/>
      </w:tabs>
      <w:ind w:right="-68"/>
      <w:jc w:val="center"/>
    </w:pPr>
    <w:rPr>
      <w:rFonts w:ascii="Arial" w:hAnsi="Arial" w:cs="Arial"/>
      <w:b/>
      <w:bCs/>
      <w:sz w:val="44"/>
      <w:szCs w:val="44"/>
    </w:rPr>
  </w:style>
  <w:style w:type="character" w:customStyle="1" w:styleId="AgencySubtitleChar">
    <w:name w:val="Agency Subtitle Char"/>
    <w:basedOn w:val="DefaultParagraphFont"/>
    <w:link w:val="AgencySubtitle"/>
    <w:rsid w:val="007E7063"/>
    <w:rPr>
      <w:rFonts w:ascii="Arial" w:hAnsi="Arial" w:cs="Arial"/>
      <w:b/>
      <w:bCs/>
      <w:sz w:val="44"/>
      <w:szCs w:val="44"/>
    </w:rPr>
  </w:style>
  <w:style w:type="paragraph" w:customStyle="1" w:styleId="AgencyContents">
    <w:name w:val="Agency Contents"/>
    <w:basedOn w:val="AgencySubtitle"/>
    <w:link w:val="AgencyContentsChar"/>
    <w:qFormat/>
    <w:rsid w:val="007E7063"/>
    <w:pPr>
      <w:jc w:val="right"/>
    </w:pPr>
    <w:rPr>
      <w:rFonts w:ascii="Arial Bold" w:hAnsi="Arial Bold"/>
    </w:rPr>
  </w:style>
  <w:style w:type="character" w:customStyle="1" w:styleId="AgencyContentsChar">
    <w:name w:val="Agency Contents Char"/>
    <w:basedOn w:val="AgencySubtitleChar"/>
    <w:link w:val="AgencyContents"/>
    <w:rsid w:val="007E7063"/>
    <w:rPr>
      <w:rFonts w:ascii="Arial Bold" w:hAnsi="Arial Bold" w:cs="Arial"/>
      <w:b/>
      <w:bCs/>
      <w:sz w:val="44"/>
      <w:szCs w:val="44"/>
    </w:rPr>
  </w:style>
  <w:style w:type="paragraph" w:customStyle="1" w:styleId="ProgramObjectives1">
    <w:name w:val="Program Objectives 1"/>
    <w:basedOn w:val="ProgramObjectives"/>
    <w:link w:val="ProgramObjectives1Char"/>
    <w:rsid w:val="007E7063"/>
    <w:rPr>
      <w:snapToGrid/>
    </w:rPr>
  </w:style>
  <w:style w:type="character" w:customStyle="1" w:styleId="ProgramObjectives1Char">
    <w:name w:val="Program Objectives 1 Char"/>
    <w:basedOn w:val="ProgramObjectivesChar"/>
    <w:link w:val="ProgramObjectives1"/>
    <w:rsid w:val="007E7063"/>
    <w:rPr>
      <w:rFonts w:ascii="Arial" w:hAnsi="Arial"/>
      <w:b/>
      <w:snapToGrid/>
      <w:sz w:val="22"/>
    </w:rPr>
  </w:style>
  <w:style w:type="paragraph" w:customStyle="1" w:styleId="Sectionsubsubheading">
    <w:name w:val="Section sub sub heading"/>
    <w:basedOn w:val="SectionSubheading"/>
    <w:link w:val="SectionsubsubheadingChar"/>
    <w:autoRedefine/>
    <w:qFormat/>
    <w:rsid w:val="00620CA1"/>
    <w:pPr>
      <w:outlineLvl w:val="2"/>
    </w:pPr>
    <w:rPr>
      <w:sz w:val="22"/>
    </w:rPr>
  </w:style>
  <w:style w:type="character" w:customStyle="1" w:styleId="SectionsubsubheadingChar">
    <w:name w:val="Section sub sub heading Char"/>
    <w:basedOn w:val="SectionSubheadingChar"/>
    <w:link w:val="Sectionsubsubheading"/>
    <w:rsid w:val="00620CA1"/>
    <w:rPr>
      <w:rFonts w:ascii="Arial" w:hAnsi="Arial" w:cs="Arial"/>
      <w:b/>
      <w:sz w:val="22"/>
      <w:szCs w:val="22"/>
    </w:rPr>
  </w:style>
  <w:style w:type="paragraph" w:customStyle="1" w:styleId="DepartmentalResources">
    <w:name w:val="Departmental Resources"/>
    <w:basedOn w:val="TableHeading"/>
    <w:link w:val="DepartmentalResourcesChar"/>
    <w:qFormat/>
    <w:rsid w:val="00FB464C"/>
    <w:pPr>
      <w:spacing w:before="0"/>
    </w:pPr>
  </w:style>
  <w:style w:type="character" w:customStyle="1" w:styleId="DepartmentalResourcesChar">
    <w:name w:val="Departmental Resources Char"/>
    <w:basedOn w:val="TableHeadingChar"/>
    <w:link w:val="DepartmentalResources"/>
    <w:rsid w:val="00FB464C"/>
    <w:rPr>
      <w:rFonts w:ascii="Arial" w:hAnsi="Arial" w:cs="Arial"/>
      <w:b/>
      <w:sz w:val="18"/>
      <w:szCs w:val="18"/>
    </w:rPr>
  </w:style>
  <w:style w:type="paragraph" w:customStyle="1" w:styleId="ProgramObjectiveHeading">
    <w:name w:val="Program Objective Heading"/>
    <w:basedOn w:val="Normal"/>
    <w:link w:val="ProgramObjectiveHeadingChar"/>
    <w:qFormat/>
    <w:rsid w:val="00753F82"/>
    <w:rPr>
      <w:i/>
      <w:snapToGrid w:val="0"/>
    </w:rPr>
  </w:style>
  <w:style w:type="character" w:customStyle="1" w:styleId="ProgramObjectiveHeadingChar">
    <w:name w:val="Program Objective Heading Char"/>
    <w:basedOn w:val="DefaultParagraphFont"/>
    <w:link w:val="ProgramObjectiveHeading"/>
    <w:rsid w:val="00753F82"/>
    <w:rPr>
      <w:rFonts w:ascii="Book Antiqua" w:hAnsi="Book Antiqua"/>
      <w:i/>
      <w:snapToGrid w:val="0"/>
    </w:rPr>
  </w:style>
  <w:style w:type="paragraph" w:customStyle="1" w:styleId="TableText">
    <w:name w:val="Table Text"/>
    <w:basedOn w:val="Normal"/>
    <w:qFormat/>
    <w:rsid w:val="005C454E"/>
    <w:pPr>
      <w:spacing w:before="40" w:after="40"/>
    </w:pPr>
    <w:rPr>
      <w:sz w:val="18"/>
    </w:rPr>
  </w:style>
  <w:style w:type="paragraph" w:customStyle="1" w:styleId="TableFigures">
    <w:name w:val="Table Figures"/>
    <w:basedOn w:val="Normal"/>
    <w:qFormat/>
    <w:rsid w:val="005C454E"/>
    <w:pPr>
      <w:spacing w:before="40" w:after="40"/>
      <w:jc w:val="center"/>
    </w:pPr>
    <w:rPr>
      <w:sz w:val="18"/>
    </w:rPr>
  </w:style>
  <w:style w:type="paragraph" w:customStyle="1" w:styleId="TableRow1">
    <w:name w:val="Table Row 1"/>
    <w:basedOn w:val="Normal"/>
    <w:qFormat/>
    <w:rsid w:val="005C454E"/>
    <w:pPr>
      <w:spacing w:after="0"/>
      <w:jc w:val="center"/>
    </w:pPr>
    <w:rPr>
      <w:rFonts w:ascii="Arial" w:hAnsi="Arial"/>
      <w:b/>
      <w:bCs/>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header" w:uiPriority="99"/>
    <w:lsdException w:name="caption" w:semiHidden="1" w:unhideWhenUsed="1" w:qFormat="1"/>
    <w:lsdException w:name="annotation reference" w:uiPriority="99"/>
    <w:lsdException w:name="Normal (Web)"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6146C"/>
    <w:pPr>
      <w:keepNext/>
      <w:spacing w:after="120"/>
    </w:pPr>
    <w:rPr>
      <w:rFonts w:ascii="Book Antiqua" w:hAnsi="Book Antiqua"/>
    </w:rPr>
  </w:style>
  <w:style w:type="paragraph" w:styleId="Heading1">
    <w:name w:val="heading 1"/>
    <w:basedOn w:val="Normal"/>
    <w:next w:val="Normal"/>
    <w:rsid w:val="00A705AF"/>
    <w:pPr>
      <w:spacing w:before="240" w:after="60"/>
      <w:outlineLvl w:val="0"/>
    </w:pPr>
    <w:rPr>
      <w:rFonts w:ascii="Arial" w:hAnsi="Arial" w:cs="Arial"/>
      <w:b/>
      <w:bCs/>
      <w:kern w:val="28"/>
      <w:sz w:val="28"/>
      <w:szCs w:val="32"/>
    </w:rPr>
  </w:style>
  <w:style w:type="paragraph" w:styleId="Heading2">
    <w:name w:val="heading 2"/>
    <w:basedOn w:val="Normal"/>
    <w:next w:val="Normal"/>
    <w:rsid w:val="00A705AF"/>
    <w:pPr>
      <w:spacing w:before="240" w:after="60"/>
      <w:outlineLvl w:val="1"/>
    </w:pPr>
    <w:rPr>
      <w:rFonts w:ascii="Arial" w:hAnsi="Arial" w:cs="Arial"/>
      <w:b/>
      <w:bCs/>
      <w:i/>
      <w:iCs/>
      <w:szCs w:val="28"/>
    </w:rPr>
  </w:style>
  <w:style w:type="paragraph" w:styleId="Heading3">
    <w:name w:val="heading 3"/>
    <w:basedOn w:val="Normal"/>
    <w:next w:val="Normal"/>
    <w:rsid w:val="00E70996"/>
    <w:pPr>
      <w:spacing w:before="240" w:after="60"/>
      <w:outlineLvl w:val="2"/>
    </w:pPr>
    <w:rPr>
      <w:rFonts w:cs="Arial"/>
      <w:bCs/>
      <w:i/>
      <w:szCs w:val="26"/>
    </w:rPr>
  </w:style>
  <w:style w:type="paragraph" w:styleId="Heading4">
    <w:name w:val="heading 4"/>
    <w:basedOn w:val="Normal"/>
    <w:next w:val="Normal"/>
    <w:rsid w:val="00A705AF"/>
    <w:pPr>
      <w:spacing w:before="240" w:after="60"/>
      <w:outlineLvl w:val="3"/>
    </w:pPr>
    <w:rPr>
      <w:rFonts w:ascii="Arial" w:hAnsi="Arial"/>
      <w:bCs/>
      <w:sz w:val="28"/>
      <w:szCs w:val="28"/>
    </w:rPr>
  </w:style>
  <w:style w:type="paragraph" w:styleId="Heading5">
    <w:name w:val="heading 5"/>
    <w:basedOn w:val="Normal"/>
    <w:next w:val="Normal"/>
    <w:rsid w:val="00A705AF"/>
    <w:pPr>
      <w:spacing w:before="240" w:after="60"/>
      <w:outlineLvl w:val="4"/>
    </w:pPr>
    <w:rPr>
      <w:b/>
      <w:bCs/>
      <w:iCs/>
      <w:szCs w:val="26"/>
    </w:rPr>
  </w:style>
  <w:style w:type="paragraph" w:styleId="Heading6">
    <w:name w:val="heading 6"/>
    <w:basedOn w:val="Normal"/>
    <w:next w:val="Normal"/>
    <w:rsid w:val="00A705AF"/>
    <w:pPr>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ListParagraph">
    <w:name w:val="List Paragraph"/>
    <w:basedOn w:val="Normal"/>
    <w:link w:val="ListParagraphChar"/>
    <w:uiPriority w:val="34"/>
    <w:rsid w:val="00A4512D"/>
    <w:pPr>
      <w:ind w:left="720"/>
      <w:contextualSpacing/>
    </w:pPr>
  </w:style>
  <w:style w:type="paragraph" w:customStyle="1" w:styleId="OutcomeNumber">
    <w:name w:val="Outcome Number"/>
    <w:basedOn w:val="Heading1"/>
    <w:link w:val="OutcomeNumberChar"/>
    <w:rsid w:val="007E7063"/>
    <w:pPr>
      <w:keepLines/>
      <w:widowControl w:val="0"/>
      <w:spacing w:before="0" w:after="0"/>
    </w:pPr>
    <w:rPr>
      <w:rFonts w:cs="Times New Roman"/>
      <w:b w:val="0"/>
      <w:bCs w:val="0"/>
      <w:snapToGrid w:val="0"/>
      <w:kern w:val="0"/>
      <w:sz w:val="24"/>
      <w:szCs w:val="20"/>
    </w:rPr>
  </w:style>
  <w:style w:type="paragraph" w:customStyle="1" w:styleId="OutcomeName">
    <w:name w:val="Outcome Name"/>
    <w:basedOn w:val="Heading2"/>
    <w:link w:val="OutcomeNameChar"/>
    <w:rsid w:val="007E7063"/>
    <w:pPr>
      <w:widowControl w:val="0"/>
      <w:spacing w:before="60" w:after="360"/>
    </w:pPr>
    <w:rPr>
      <w:rFonts w:ascii="Helvetica" w:hAnsi="Helvetica" w:cs="Times New Roman"/>
      <w:b w:val="0"/>
      <w:bCs w:val="0"/>
      <w:i w:val="0"/>
      <w:iCs w:val="0"/>
      <w:smallCaps/>
      <w:snapToGrid w:val="0"/>
      <w:sz w:val="32"/>
      <w:szCs w:val="20"/>
    </w:rPr>
  </w:style>
  <w:style w:type="character" w:customStyle="1" w:styleId="OutcomeNumberChar">
    <w:name w:val="Outcome Number Char"/>
    <w:basedOn w:val="DefaultParagraphFont"/>
    <w:link w:val="OutcomeNumber"/>
    <w:rsid w:val="007E7063"/>
    <w:rPr>
      <w:rFonts w:ascii="Arial" w:hAnsi="Arial"/>
      <w:snapToGrid w:val="0"/>
      <w:sz w:val="24"/>
    </w:rPr>
  </w:style>
  <w:style w:type="paragraph" w:customStyle="1" w:styleId="OutcomeStatement">
    <w:name w:val="Outcome Statement"/>
    <w:basedOn w:val="Normal"/>
    <w:link w:val="OutcomeStatementChar"/>
    <w:qFormat/>
    <w:rsid w:val="007E7063"/>
    <w:pPr>
      <w:pBdr>
        <w:top w:val="single" w:sz="4" w:space="1" w:color="auto"/>
        <w:left w:val="single" w:sz="4" w:space="4" w:color="auto"/>
        <w:bottom w:val="single" w:sz="4" w:space="1" w:color="auto"/>
        <w:right w:val="single" w:sz="4" w:space="4" w:color="auto"/>
      </w:pBdr>
      <w:shd w:val="clear" w:color="auto" w:fill="D9D9D9"/>
      <w:spacing w:before="120"/>
      <w:jc w:val="center"/>
    </w:pPr>
    <w:rPr>
      <w:rFonts w:ascii="Arial" w:hAnsi="Arial"/>
      <w:b/>
      <w:sz w:val="18"/>
    </w:rPr>
  </w:style>
  <w:style w:type="character" w:customStyle="1" w:styleId="OutcomeNameChar">
    <w:name w:val="Outcome Name Char"/>
    <w:basedOn w:val="DefaultParagraphFont"/>
    <w:link w:val="OutcomeName"/>
    <w:rsid w:val="007E7063"/>
    <w:rPr>
      <w:rFonts w:ascii="Helvetica" w:hAnsi="Helvetica"/>
      <w:smallCaps/>
      <w:snapToGrid w:val="0"/>
      <w:sz w:val="32"/>
    </w:rPr>
  </w:style>
  <w:style w:type="paragraph" w:customStyle="1" w:styleId="OutcomeStrategy">
    <w:name w:val="Outcome Strategy"/>
    <w:basedOn w:val="Normal"/>
    <w:link w:val="OutcomeStrategyChar"/>
    <w:qFormat/>
    <w:rsid w:val="007E7063"/>
    <w:pPr>
      <w:spacing w:before="240"/>
      <w:outlineLvl w:val="1"/>
    </w:pPr>
    <w:rPr>
      <w:rFonts w:ascii="Arial" w:hAnsi="Arial" w:cs="Arial"/>
      <w:b/>
      <w:sz w:val="24"/>
      <w:szCs w:val="26"/>
    </w:rPr>
  </w:style>
  <w:style w:type="character" w:customStyle="1" w:styleId="OutcomeStatementChar">
    <w:name w:val="Outcome Statement Char"/>
    <w:basedOn w:val="DefaultParagraphFont"/>
    <w:link w:val="OutcomeStatement"/>
    <w:rsid w:val="007E7063"/>
    <w:rPr>
      <w:rFonts w:ascii="Arial" w:hAnsi="Arial"/>
      <w:b/>
      <w:sz w:val="18"/>
      <w:shd w:val="clear" w:color="auto" w:fill="D9D9D9"/>
    </w:rPr>
  </w:style>
  <w:style w:type="paragraph" w:customStyle="1" w:styleId="ProgramContributingtoOutcome">
    <w:name w:val="Program Contributing to Outcome"/>
    <w:basedOn w:val="Heading2"/>
    <w:link w:val="ProgramContributingtoOutcomeChar"/>
    <w:rsid w:val="007E7063"/>
    <w:pPr>
      <w:widowControl w:val="0"/>
      <w:spacing w:after="120"/>
    </w:pPr>
    <w:rPr>
      <w:rFonts w:cs="Times New Roman"/>
      <w:bCs w:val="0"/>
      <w:i w:val="0"/>
      <w:iCs w:val="0"/>
      <w:snapToGrid w:val="0"/>
      <w:szCs w:val="20"/>
    </w:rPr>
  </w:style>
  <w:style w:type="character" w:customStyle="1" w:styleId="OutcomeStrategyChar">
    <w:name w:val="Outcome Strategy Char"/>
    <w:link w:val="OutcomeStrategy"/>
    <w:rsid w:val="007E7063"/>
    <w:rPr>
      <w:rFonts w:ascii="Arial" w:hAnsi="Arial" w:cs="Arial"/>
      <w:b/>
      <w:sz w:val="24"/>
      <w:szCs w:val="26"/>
    </w:rPr>
  </w:style>
  <w:style w:type="paragraph" w:customStyle="1" w:styleId="ExpensesandResources">
    <w:name w:val="Expenses and Resources"/>
    <w:basedOn w:val="Normal"/>
    <w:link w:val="ExpensesandResourcesChar"/>
    <w:qFormat/>
    <w:rsid w:val="007E7063"/>
    <w:pPr>
      <w:spacing w:before="240"/>
      <w:outlineLvl w:val="1"/>
    </w:pPr>
    <w:rPr>
      <w:rFonts w:ascii="Arial" w:hAnsi="Arial" w:cs="Arial"/>
      <w:b/>
      <w:sz w:val="24"/>
      <w:szCs w:val="24"/>
    </w:rPr>
  </w:style>
  <w:style w:type="character" w:customStyle="1" w:styleId="ProgramContributingtoOutcomeChar">
    <w:name w:val="Program Contributing to Outcome Char"/>
    <w:basedOn w:val="DefaultParagraphFont"/>
    <w:link w:val="ProgramContributingtoOutcome"/>
    <w:rsid w:val="007E7063"/>
    <w:rPr>
      <w:rFonts w:ascii="Arial" w:hAnsi="Arial"/>
      <w:b/>
      <w:snapToGrid w:val="0"/>
      <w:sz w:val="24"/>
    </w:rPr>
  </w:style>
  <w:style w:type="paragraph" w:customStyle="1" w:styleId="TableHeading">
    <w:name w:val="Table Heading"/>
    <w:basedOn w:val="Normal"/>
    <w:link w:val="TableHeadingChar"/>
    <w:qFormat/>
    <w:rsid w:val="002B0C32"/>
    <w:pPr>
      <w:spacing w:before="120"/>
    </w:pPr>
    <w:rPr>
      <w:rFonts w:ascii="Arial" w:hAnsi="Arial" w:cs="Arial"/>
      <w:b/>
      <w:sz w:val="18"/>
      <w:szCs w:val="18"/>
    </w:rPr>
  </w:style>
  <w:style w:type="character" w:customStyle="1" w:styleId="ExpensesandResourcesChar">
    <w:name w:val="Expenses and Resources Char"/>
    <w:link w:val="ExpensesandResources"/>
    <w:rsid w:val="007E7063"/>
    <w:rPr>
      <w:rFonts w:ascii="Arial" w:hAnsi="Arial" w:cs="Arial"/>
      <w:b/>
      <w:sz w:val="24"/>
      <w:szCs w:val="24"/>
    </w:rPr>
  </w:style>
  <w:style w:type="character" w:customStyle="1" w:styleId="TableHeadingChar">
    <w:name w:val="Table Heading Char"/>
    <w:basedOn w:val="DefaultParagraphFont"/>
    <w:link w:val="TableHeading"/>
    <w:rsid w:val="002B0C32"/>
    <w:rPr>
      <w:rFonts w:ascii="Arial" w:hAnsi="Arial" w:cs="Arial"/>
      <w:b/>
      <w:sz w:val="18"/>
      <w:szCs w:val="18"/>
    </w:rPr>
  </w:style>
  <w:style w:type="paragraph" w:customStyle="1" w:styleId="ProgramName">
    <w:name w:val="Program Name"/>
    <w:basedOn w:val="Heading1"/>
    <w:link w:val="ProgramNameChar"/>
    <w:qFormat/>
    <w:rsid w:val="007E7063"/>
    <w:pPr>
      <w:widowControl w:val="0"/>
      <w:spacing w:after="120"/>
      <w:outlineLvl w:val="1"/>
    </w:pPr>
    <w:rPr>
      <w:rFonts w:cs="Times New Roman"/>
      <w:bCs w:val="0"/>
      <w:snapToGrid w:val="0"/>
      <w:kern w:val="0"/>
      <w:sz w:val="24"/>
      <w:szCs w:val="20"/>
    </w:rPr>
  </w:style>
  <w:style w:type="paragraph" w:customStyle="1" w:styleId="ProgramObjectives">
    <w:name w:val="Program Objectives"/>
    <w:basedOn w:val="Heading2"/>
    <w:link w:val="ProgramObjectivesChar"/>
    <w:qFormat/>
    <w:rsid w:val="007E7063"/>
    <w:pPr>
      <w:widowControl w:val="0"/>
      <w:spacing w:before="120" w:after="120"/>
      <w:outlineLvl w:val="2"/>
    </w:pPr>
    <w:rPr>
      <w:rFonts w:cs="Times New Roman"/>
      <w:bCs w:val="0"/>
      <w:i w:val="0"/>
      <w:iCs w:val="0"/>
      <w:snapToGrid w:val="0"/>
      <w:sz w:val="22"/>
      <w:szCs w:val="20"/>
    </w:rPr>
  </w:style>
  <w:style w:type="character" w:customStyle="1" w:styleId="ProgramNameChar">
    <w:name w:val="Program Name Char"/>
    <w:basedOn w:val="DefaultParagraphFont"/>
    <w:link w:val="ProgramName"/>
    <w:rsid w:val="007E7063"/>
    <w:rPr>
      <w:rFonts w:ascii="Arial" w:hAnsi="Arial"/>
      <w:b/>
      <w:snapToGrid w:val="0"/>
      <w:sz w:val="24"/>
    </w:rPr>
  </w:style>
  <w:style w:type="paragraph" w:customStyle="1" w:styleId="ProgramExpenses">
    <w:name w:val="Program Expenses"/>
    <w:basedOn w:val="Normal"/>
    <w:link w:val="ProgramExpensesChar"/>
    <w:qFormat/>
    <w:rsid w:val="007E7063"/>
    <w:pPr>
      <w:spacing w:before="120"/>
      <w:outlineLvl w:val="1"/>
    </w:pPr>
    <w:rPr>
      <w:rFonts w:ascii="Arial" w:hAnsi="Arial" w:cs="Arial"/>
      <w:b/>
      <w:sz w:val="22"/>
      <w:szCs w:val="22"/>
    </w:rPr>
  </w:style>
  <w:style w:type="character" w:customStyle="1" w:styleId="ProgramObjectivesChar">
    <w:name w:val="Program Objectives Char"/>
    <w:basedOn w:val="DefaultParagraphFont"/>
    <w:link w:val="ProgramObjectives"/>
    <w:rsid w:val="007E7063"/>
    <w:rPr>
      <w:rFonts w:ascii="Arial" w:hAnsi="Arial"/>
      <w:b/>
      <w:snapToGrid w:val="0"/>
      <w:sz w:val="22"/>
    </w:rPr>
  </w:style>
  <w:style w:type="character" w:customStyle="1" w:styleId="ProgramExpensesChar">
    <w:name w:val="Program Expenses Char"/>
    <w:link w:val="ProgramExpenses"/>
    <w:rsid w:val="007E7063"/>
    <w:rPr>
      <w:rFonts w:ascii="Arial" w:hAnsi="Arial" w:cs="Arial"/>
      <w:b/>
      <w:sz w:val="22"/>
      <w:szCs w:val="22"/>
    </w:rPr>
  </w:style>
  <w:style w:type="paragraph" w:customStyle="1" w:styleId="ProgramDeliverables">
    <w:name w:val="Program Deliverables"/>
    <w:basedOn w:val="Normal"/>
    <w:link w:val="ProgramDeliverablesChar"/>
    <w:qFormat/>
    <w:rsid w:val="007E7063"/>
    <w:pPr>
      <w:spacing w:before="120"/>
      <w:outlineLvl w:val="1"/>
    </w:pPr>
    <w:rPr>
      <w:rFonts w:ascii="Arial" w:hAnsi="Arial" w:cs="Arial"/>
      <w:b/>
      <w:sz w:val="24"/>
      <w:szCs w:val="22"/>
    </w:rPr>
  </w:style>
  <w:style w:type="character" w:customStyle="1" w:styleId="ProgramDeliverablesChar">
    <w:name w:val="Program Deliverables Char"/>
    <w:link w:val="ProgramDeliverables"/>
    <w:rsid w:val="007E7063"/>
    <w:rPr>
      <w:rFonts w:ascii="Arial" w:hAnsi="Arial" w:cs="Arial"/>
      <w:b/>
      <w:sz w:val="24"/>
      <w:szCs w:val="22"/>
    </w:rPr>
  </w:style>
  <w:style w:type="paragraph" w:customStyle="1" w:styleId="ProgramKPI">
    <w:name w:val="Program KPI"/>
    <w:basedOn w:val="Normal"/>
    <w:link w:val="ProgramKPIChar"/>
    <w:qFormat/>
    <w:rsid w:val="007E7063"/>
    <w:pPr>
      <w:spacing w:before="120"/>
      <w:outlineLvl w:val="2"/>
    </w:pPr>
    <w:rPr>
      <w:rFonts w:ascii="Arial" w:hAnsi="Arial" w:cs="Arial"/>
      <w:b/>
      <w:sz w:val="22"/>
      <w:szCs w:val="22"/>
    </w:rPr>
  </w:style>
  <w:style w:type="character" w:customStyle="1" w:styleId="ProgramKPIChar">
    <w:name w:val="Program KPI Char"/>
    <w:link w:val="ProgramKPI"/>
    <w:rsid w:val="007E7063"/>
    <w:rPr>
      <w:rFonts w:ascii="Arial" w:hAnsi="Arial" w:cs="Arial"/>
      <w:b/>
      <w:sz w:val="22"/>
      <w:szCs w:val="22"/>
    </w:rPr>
  </w:style>
  <w:style w:type="paragraph" w:styleId="Header">
    <w:name w:val="header"/>
    <w:basedOn w:val="Normal"/>
    <w:link w:val="HeaderChar"/>
    <w:uiPriority w:val="99"/>
    <w:rsid w:val="007E7063"/>
    <w:pPr>
      <w:tabs>
        <w:tab w:val="center" w:pos="4513"/>
        <w:tab w:val="right" w:pos="9026"/>
      </w:tabs>
    </w:pPr>
  </w:style>
  <w:style w:type="character" w:customStyle="1" w:styleId="HeaderChar">
    <w:name w:val="Header Char"/>
    <w:basedOn w:val="DefaultParagraphFont"/>
    <w:link w:val="Header"/>
    <w:uiPriority w:val="99"/>
    <w:rsid w:val="007E7063"/>
    <w:rPr>
      <w:rFonts w:ascii="Book Antiqua" w:hAnsi="Book Antiqua"/>
    </w:rPr>
  </w:style>
  <w:style w:type="paragraph" w:styleId="Footer">
    <w:name w:val="footer"/>
    <w:basedOn w:val="Normal"/>
    <w:link w:val="FooterChar"/>
    <w:rsid w:val="007E7063"/>
    <w:pPr>
      <w:tabs>
        <w:tab w:val="center" w:pos="4513"/>
        <w:tab w:val="right" w:pos="9026"/>
      </w:tabs>
    </w:pPr>
  </w:style>
  <w:style w:type="character" w:customStyle="1" w:styleId="FooterChar">
    <w:name w:val="Footer Char"/>
    <w:basedOn w:val="DefaultParagraphFont"/>
    <w:link w:val="Footer"/>
    <w:rsid w:val="007E7063"/>
    <w:rPr>
      <w:rFonts w:ascii="Book Antiqua" w:hAnsi="Book Antiqua"/>
    </w:rPr>
  </w:style>
  <w:style w:type="paragraph" w:styleId="BalloonText">
    <w:name w:val="Balloon Text"/>
    <w:basedOn w:val="Normal"/>
    <w:link w:val="BalloonTextChar"/>
    <w:rsid w:val="007E7063"/>
    <w:rPr>
      <w:rFonts w:ascii="Tahoma" w:hAnsi="Tahoma" w:cs="Tahoma"/>
      <w:sz w:val="16"/>
      <w:szCs w:val="16"/>
    </w:rPr>
  </w:style>
  <w:style w:type="character" w:customStyle="1" w:styleId="BalloonTextChar">
    <w:name w:val="Balloon Text Char"/>
    <w:basedOn w:val="DefaultParagraphFont"/>
    <w:link w:val="BalloonText"/>
    <w:rsid w:val="007E7063"/>
    <w:rPr>
      <w:rFonts w:ascii="Tahoma" w:hAnsi="Tahoma" w:cs="Tahoma"/>
      <w:sz w:val="16"/>
      <w:szCs w:val="16"/>
    </w:rPr>
  </w:style>
  <w:style w:type="paragraph" w:customStyle="1" w:styleId="PIHeading">
    <w:name w:val="PI Heading"/>
    <w:basedOn w:val="TableHeading"/>
    <w:link w:val="PIHeadingChar"/>
    <w:rsid w:val="007E7063"/>
    <w:rPr>
      <w:sz w:val="22"/>
      <w:szCs w:val="22"/>
    </w:rPr>
  </w:style>
  <w:style w:type="character" w:customStyle="1" w:styleId="PIHeadingChar">
    <w:name w:val="PI Heading Char"/>
    <w:basedOn w:val="TableHeadingChar"/>
    <w:link w:val="PIHeading"/>
    <w:rsid w:val="007E7063"/>
    <w:rPr>
      <w:rFonts w:ascii="Arial" w:hAnsi="Arial" w:cs="Arial"/>
      <w:b/>
      <w:sz w:val="22"/>
      <w:szCs w:val="22"/>
    </w:rPr>
  </w:style>
  <w:style w:type="paragraph" w:customStyle="1" w:styleId="SectionHeading">
    <w:name w:val="Section Heading"/>
    <w:basedOn w:val="Normal"/>
    <w:link w:val="SectionHeadingChar"/>
    <w:qFormat/>
    <w:rsid w:val="007E7063"/>
    <w:pPr>
      <w:spacing w:after="240"/>
      <w:outlineLvl w:val="0"/>
    </w:pPr>
    <w:rPr>
      <w:rFonts w:ascii="Arial" w:hAnsi="Arial" w:cs="Arial"/>
      <w:b/>
      <w:sz w:val="28"/>
      <w:szCs w:val="28"/>
    </w:rPr>
  </w:style>
  <w:style w:type="character" w:customStyle="1" w:styleId="SectionHeadingChar">
    <w:name w:val="Section Heading Char"/>
    <w:link w:val="SectionHeading"/>
    <w:rsid w:val="007E7063"/>
    <w:rPr>
      <w:rFonts w:ascii="Arial" w:hAnsi="Arial" w:cs="Arial"/>
      <w:b/>
      <w:sz w:val="28"/>
      <w:szCs w:val="28"/>
    </w:rPr>
  </w:style>
  <w:style w:type="paragraph" w:customStyle="1" w:styleId="SectionSubheading">
    <w:name w:val="Section Subheading"/>
    <w:basedOn w:val="Normal"/>
    <w:link w:val="SectionSubheadingChar"/>
    <w:autoRedefine/>
    <w:qFormat/>
    <w:rsid w:val="007E7063"/>
    <w:pPr>
      <w:spacing w:before="120"/>
      <w:outlineLvl w:val="1"/>
    </w:pPr>
    <w:rPr>
      <w:rFonts w:ascii="Arial" w:hAnsi="Arial" w:cs="Arial"/>
      <w:b/>
      <w:sz w:val="26"/>
      <w:szCs w:val="22"/>
    </w:rPr>
  </w:style>
  <w:style w:type="character" w:customStyle="1" w:styleId="SectionSubheadingChar">
    <w:name w:val="Section Subheading Char"/>
    <w:basedOn w:val="DefaultParagraphFont"/>
    <w:link w:val="SectionSubheading"/>
    <w:rsid w:val="007E7063"/>
    <w:rPr>
      <w:rFonts w:ascii="Arial" w:hAnsi="Arial" w:cs="Arial"/>
      <w:b/>
      <w:sz w:val="26"/>
      <w:szCs w:val="22"/>
    </w:rPr>
  </w:style>
  <w:style w:type="character" w:customStyle="1" w:styleId="ListParagraphChar">
    <w:name w:val="List Paragraph Char"/>
    <w:basedOn w:val="DefaultParagraphFont"/>
    <w:link w:val="ListParagraph"/>
    <w:uiPriority w:val="34"/>
    <w:rsid w:val="007E7063"/>
    <w:rPr>
      <w:sz w:val="24"/>
      <w:szCs w:val="24"/>
      <w:lang w:eastAsia="en-US"/>
    </w:rPr>
  </w:style>
  <w:style w:type="paragraph" w:styleId="FootnoteText">
    <w:name w:val="footnote text"/>
    <w:basedOn w:val="Normal"/>
    <w:link w:val="FootnoteTextChar"/>
    <w:qFormat/>
    <w:rsid w:val="00536222"/>
    <w:pPr>
      <w:tabs>
        <w:tab w:val="left" w:pos="284"/>
      </w:tabs>
      <w:spacing w:after="0"/>
      <w:ind w:left="284" w:hanging="284"/>
    </w:pPr>
    <w:rPr>
      <w:sz w:val="16"/>
    </w:rPr>
  </w:style>
  <w:style w:type="character" w:customStyle="1" w:styleId="FootnoteTextChar">
    <w:name w:val="Footnote Text Char"/>
    <w:basedOn w:val="DefaultParagraphFont"/>
    <w:link w:val="FootnoteText"/>
    <w:rsid w:val="00536222"/>
    <w:rPr>
      <w:rFonts w:ascii="Book Antiqua" w:hAnsi="Book Antiqua"/>
      <w:sz w:val="16"/>
    </w:rPr>
  </w:style>
  <w:style w:type="character" w:styleId="FootnoteReference">
    <w:name w:val="footnote reference"/>
    <w:aliases w:val="(NECG) Footnote Reference"/>
    <w:rsid w:val="007E7063"/>
    <w:rPr>
      <w:vertAlign w:val="superscript"/>
    </w:rPr>
  </w:style>
  <w:style w:type="character" w:styleId="CommentReference">
    <w:name w:val="annotation reference"/>
    <w:basedOn w:val="DefaultParagraphFont"/>
    <w:uiPriority w:val="99"/>
    <w:rsid w:val="007E7063"/>
    <w:rPr>
      <w:sz w:val="16"/>
      <w:szCs w:val="16"/>
    </w:rPr>
  </w:style>
  <w:style w:type="paragraph" w:styleId="CommentText">
    <w:name w:val="annotation text"/>
    <w:basedOn w:val="Normal"/>
    <w:link w:val="CommentTextChar"/>
    <w:uiPriority w:val="99"/>
    <w:rsid w:val="007E7063"/>
  </w:style>
  <w:style w:type="character" w:customStyle="1" w:styleId="CommentTextChar">
    <w:name w:val="Comment Text Char"/>
    <w:basedOn w:val="DefaultParagraphFont"/>
    <w:link w:val="CommentText"/>
    <w:uiPriority w:val="99"/>
    <w:rsid w:val="007E7063"/>
    <w:rPr>
      <w:rFonts w:ascii="Book Antiqua" w:hAnsi="Book Antiqua"/>
    </w:rPr>
  </w:style>
  <w:style w:type="paragraph" w:styleId="CommentSubject">
    <w:name w:val="annotation subject"/>
    <w:basedOn w:val="CommentText"/>
    <w:next w:val="CommentText"/>
    <w:link w:val="CommentSubjectChar"/>
    <w:rsid w:val="007E7063"/>
    <w:rPr>
      <w:b/>
      <w:bCs/>
    </w:rPr>
  </w:style>
  <w:style w:type="character" w:customStyle="1" w:styleId="CommentSubjectChar">
    <w:name w:val="Comment Subject Char"/>
    <w:basedOn w:val="CommentTextChar"/>
    <w:link w:val="CommentSubject"/>
    <w:rsid w:val="007E7063"/>
    <w:rPr>
      <w:rFonts w:ascii="Book Antiqua" w:hAnsi="Book Antiqua"/>
      <w:b/>
      <w:bCs/>
    </w:rPr>
  </w:style>
  <w:style w:type="paragraph" w:styleId="Revision">
    <w:name w:val="Revision"/>
    <w:hidden/>
    <w:uiPriority w:val="99"/>
    <w:semiHidden/>
    <w:rsid w:val="007E7063"/>
    <w:rPr>
      <w:sz w:val="24"/>
    </w:rPr>
  </w:style>
  <w:style w:type="paragraph" w:customStyle="1" w:styleId="AgencyTitle">
    <w:name w:val="Agency Title"/>
    <w:basedOn w:val="Normal"/>
    <w:link w:val="AgencyTitleChar"/>
    <w:qFormat/>
    <w:rsid w:val="007E7063"/>
    <w:pPr>
      <w:tabs>
        <w:tab w:val="left" w:pos="5830"/>
      </w:tabs>
      <w:ind w:right="-68"/>
      <w:jc w:val="center"/>
      <w:outlineLvl w:val="0"/>
    </w:pPr>
    <w:rPr>
      <w:rFonts w:ascii="Arial" w:hAnsi="Arial" w:cs="Arial"/>
      <w:b/>
      <w:bCs/>
      <w:smallCaps/>
      <w:sz w:val="52"/>
      <w:szCs w:val="56"/>
    </w:rPr>
  </w:style>
  <w:style w:type="character" w:customStyle="1" w:styleId="AgencyTitleChar">
    <w:name w:val="Agency Title Char"/>
    <w:basedOn w:val="DefaultParagraphFont"/>
    <w:link w:val="AgencyTitle"/>
    <w:rsid w:val="007E7063"/>
    <w:rPr>
      <w:rFonts w:ascii="Arial" w:hAnsi="Arial" w:cs="Arial"/>
      <w:b/>
      <w:bCs/>
      <w:smallCaps/>
      <w:sz w:val="52"/>
      <w:szCs w:val="56"/>
    </w:rPr>
  </w:style>
  <w:style w:type="paragraph" w:customStyle="1" w:styleId="AgencySubtitle">
    <w:name w:val="Agency Subtitle"/>
    <w:basedOn w:val="Normal"/>
    <w:link w:val="AgencySubtitleChar"/>
    <w:qFormat/>
    <w:rsid w:val="007E7063"/>
    <w:pPr>
      <w:tabs>
        <w:tab w:val="left" w:pos="5830"/>
      </w:tabs>
      <w:ind w:right="-68"/>
      <w:jc w:val="center"/>
    </w:pPr>
    <w:rPr>
      <w:rFonts w:ascii="Arial" w:hAnsi="Arial" w:cs="Arial"/>
      <w:b/>
      <w:bCs/>
      <w:sz w:val="44"/>
      <w:szCs w:val="44"/>
    </w:rPr>
  </w:style>
  <w:style w:type="character" w:customStyle="1" w:styleId="AgencySubtitleChar">
    <w:name w:val="Agency Subtitle Char"/>
    <w:basedOn w:val="DefaultParagraphFont"/>
    <w:link w:val="AgencySubtitle"/>
    <w:rsid w:val="007E7063"/>
    <w:rPr>
      <w:rFonts w:ascii="Arial" w:hAnsi="Arial" w:cs="Arial"/>
      <w:b/>
      <w:bCs/>
      <w:sz w:val="44"/>
      <w:szCs w:val="44"/>
    </w:rPr>
  </w:style>
  <w:style w:type="paragraph" w:customStyle="1" w:styleId="AgencyContents">
    <w:name w:val="Agency Contents"/>
    <w:basedOn w:val="AgencySubtitle"/>
    <w:link w:val="AgencyContentsChar"/>
    <w:qFormat/>
    <w:rsid w:val="007E7063"/>
    <w:pPr>
      <w:jc w:val="right"/>
    </w:pPr>
    <w:rPr>
      <w:rFonts w:ascii="Arial Bold" w:hAnsi="Arial Bold"/>
    </w:rPr>
  </w:style>
  <w:style w:type="character" w:customStyle="1" w:styleId="AgencyContentsChar">
    <w:name w:val="Agency Contents Char"/>
    <w:basedOn w:val="AgencySubtitleChar"/>
    <w:link w:val="AgencyContents"/>
    <w:rsid w:val="007E7063"/>
    <w:rPr>
      <w:rFonts w:ascii="Arial Bold" w:hAnsi="Arial Bold" w:cs="Arial"/>
      <w:b/>
      <w:bCs/>
      <w:sz w:val="44"/>
      <w:szCs w:val="44"/>
    </w:rPr>
  </w:style>
  <w:style w:type="paragraph" w:customStyle="1" w:styleId="ProgramObjectives1">
    <w:name w:val="Program Objectives 1"/>
    <w:basedOn w:val="ProgramObjectives"/>
    <w:link w:val="ProgramObjectives1Char"/>
    <w:rsid w:val="007E7063"/>
    <w:rPr>
      <w:snapToGrid/>
    </w:rPr>
  </w:style>
  <w:style w:type="character" w:customStyle="1" w:styleId="ProgramObjectives1Char">
    <w:name w:val="Program Objectives 1 Char"/>
    <w:basedOn w:val="ProgramObjectivesChar"/>
    <w:link w:val="ProgramObjectives1"/>
    <w:rsid w:val="007E7063"/>
    <w:rPr>
      <w:rFonts w:ascii="Arial" w:hAnsi="Arial"/>
      <w:b/>
      <w:snapToGrid/>
      <w:sz w:val="22"/>
    </w:rPr>
  </w:style>
  <w:style w:type="paragraph" w:customStyle="1" w:styleId="Sectionsubsubheading">
    <w:name w:val="Section sub sub heading"/>
    <w:basedOn w:val="SectionSubheading"/>
    <w:link w:val="SectionsubsubheadingChar"/>
    <w:autoRedefine/>
    <w:qFormat/>
    <w:rsid w:val="00620CA1"/>
    <w:pPr>
      <w:outlineLvl w:val="2"/>
    </w:pPr>
    <w:rPr>
      <w:sz w:val="22"/>
    </w:rPr>
  </w:style>
  <w:style w:type="character" w:customStyle="1" w:styleId="SectionsubsubheadingChar">
    <w:name w:val="Section sub sub heading Char"/>
    <w:basedOn w:val="SectionSubheadingChar"/>
    <w:link w:val="Sectionsubsubheading"/>
    <w:rsid w:val="00620CA1"/>
    <w:rPr>
      <w:rFonts w:ascii="Arial" w:hAnsi="Arial" w:cs="Arial"/>
      <w:b/>
      <w:sz w:val="22"/>
      <w:szCs w:val="22"/>
    </w:rPr>
  </w:style>
  <w:style w:type="paragraph" w:customStyle="1" w:styleId="DepartmentalResources">
    <w:name w:val="Departmental Resources"/>
    <w:basedOn w:val="TableHeading"/>
    <w:link w:val="DepartmentalResourcesChar"/>
    <w:qFormat/>
    <w:rsid w:val="00FB464C"/>
    <w:pPr>
      <w:spacing w:before="0"/>
    </w:pPr>
  </w:style>
  <w:style w:type="character" w:customStyle="1" w:styleId="DepartmentalResourcesChar">
    <w:name w:val="Departmental Resources Char"/>
    <w:basedOn w:val="TableHeadingChar"/>
    <w:link w:val="DepartmentalResources"/>
    <w:rsid w:val="00FB464C"/>
    <w:rPr>
      <w:rFonts w:ascii="Arial" w:hAnsi="Arial" w:cs="Arial"/>
      <w:b/>
      <w:sz w:val="18"/>
      <w:szCs w:val="18"/>
    </w:rPr>
  </w:style>
  <w:style w:type="paragraph" w:customStyle="1" w:styleId="ProgramObjectiveHeading">
    <w:name w:val="Program Objective Heading"/>
    <w:basedOn w:val="Normal"/>
    <w:link w:val="ProgramObjectiveHeadingChar"/>
    <w:qFormat/>
    <w:rsid w:val="00753F82"/>
    <w:rPr>
      <w:i/>
      <w:snapToGrid w:val="0"/>
    </w:rPr>
  </w:style>
  <w:style w:type="character" w:customStyle="1" w:styleId="ProgramObjectiveHeadingChar">
    <w:name w:val="Program Objective Heading Char"/>
    <w:basedOn w:val="DefaultParagraphFont"/>
    <w:link w:val="ProgramObjectiveHeading"/>
    <w:rsid w:val="00753F82"/>
    <w:rPr>
      <w:rFonts w:ascii="Book Antiqua" w:hAnsi="Book Antiqua"/>
      <w:i/>
      <w:snapToGrid w:val="0"/>
    </w:rPr>
  </w:style>
  <w:style w:type="paragraph" w:customStyle="1" w:styleId="TableText">
    <w:name w:val="Table Text"/>
    <w:basedOn w:val="Normal"/>
    <w:qFormat/>
    <w:rsid w:val="005C454E"/>
    <w:pPr>
      <w:spacing w:before="40" w:after="40"/>
    </w:pPr>
    <w:rPr>
      <w:sz w:val="18"/>
    </w:rPr>
  </w:style>
  <w:style w:type="paragraph" w:customStyle="1" w:styleId="TableFigures">
    <w:name w:val="Table Figures"/>
    <w:basedOn w:val="Normal"/>
    <w:qFormat/>
    <w:rsid w:val="005C454E"/>
    <w:pPr>
      <w:spacing w:before="40" w:after="40"/>
      <w:jc w:val="center"/>
    </w:pPr>
    <w:rPr>
      <w:sz w:val="18"/>
    </w:rPr>
  </w:style>
  <w:style w:type="paragraph" w:customStyle="1" w:styleId="TableRow1">
    <w:name w:val="Table Row 1"/>
    <w:basedOn w:val="Normal"/>
    <w:qFormat/>
    <w:rsid w:val="005C454E"/>
    <w:pPr>
      <w:spacing w:after="0"/>
      <w:jc w:val="center"/>
    </w:pPr>
    <w:rPr>
      <w:rFonts w:ascii="Arial" w:hAnsi="Arial"/>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8359">
      <w:bodyDiv w:val="1"/>
      <w:marLeft w:val="0"/>
      <w:marRight w:val="0"/>
      <w:marTop w:val="0"/>
      <w:marBottom w:val="0"/>
      <w:divBdr>
        <w:top w:val="none" w:sz="0" w:space="0" w:color="auto"/>
        <w:left w:val="none" w:sz="0" w:space="0" w:color="auto"/>
        <w:bottom w:val="none" w:sz="0" w:space="0" w:color="auto"/>
        <w:right w:val="none" w:sz="0" w:space="0" w:color="auto"/>
      </w:divBdr>
    </w:div>
    <w:div w:id="36898770">
      <w:bodyDiv w:val="1"/>
      <w:marLeft w:val="0"/>
      <w:marRight w:val="0"/>
      <w:marTop w:val="0"/>
      <w:marBottom w:val="0"/>
      <w:divBdr>
        <w:top w:val="none" w:sz="0" w:space="0" w:color="auto"/>
        <w:left w:val="none" w:sz="0" w:space="0" w:color="auto"/>
        <w:bottom w:val="none" w:sz="0" w:space="0" w:color="auto"/>
        <w:right w:val="none" w:sz="0" w:space="0" w:color="auto"/>
      </w:divBdr>
    </w:div>
    <w:div w:id="181288688">
      <w:bodyDiv w:val="1"/>
      <w:marLeft w:val="0"/>
      <w:marRight w:val="0"/>
      <w:marTop w:val="0"/>
      <w:marBottom w:val="0"/>
      <w:divBdr>
        <w:top w:val="none" w:sz="0" w:space="0" w:color="auto"/>
        <w:left w:val="none" w:sz="0" w:space="0" w:color="auto"/>
        <w:bottom w:val="none" w:sz="0" w:space="0" w:color="auto"/>
        <w:right w:val="none" w:sz="0" w:space="0" w:color="auto"/>
      </w:divBdr>
    </w:div>
    <w:div w:id="242418298">
      <w:bodyDiv w:val="1"/>
      <w:marLeft w:val="0"/>
      <w:marRight w:val="0"/>
      <w:marTop w:val="0"/>
      <w:marBottom w:val="0"/>
      <w:divBdr>
        <w:top w:val="none" w:sz="0" w:space="0" w:color="auto"/>
        <w:left w:val="none" w:sz="0" w:space="0" w:color="auto"/>
        <w:bottom w:val="none" w:sz="0" w:space="0" w:color="auto"/>
        <w:right w:val="none" w:sz="0" w:space="0" w:color="auto"/>
      </w:divBdr>
    </w:div>
    <w:div w:id="251010273">
      <w:bodyDiv w:val="1"/>
      <w:marLeft w:val="0"/>
      <w:marRight w:val="0"/>
      <w:marTop w:val="0"/>
      <w:marBottom w:val="0"/>
      <w:divBdr>
        <w:top w:val="none" w:sz="0" w:space="0" w:color="auto"/>
        <w:left w:val="none" w:sz="0" w:space="0" w:color="auto"/>
        <w:bottom w:val="none" w:sz="0" w:space="0" w:color="auto"/>
        <w:right w:val="none" w:sz="0" w:space="0" w:color="auto"/>
      </w:divBdr>
    </w:div>
    <w:div w:id="392461652">
      <w:bodyDiv w:val="1"/>
      <w:marLeft w:val="0"/>
      <w:marRight w:val="0"/>
      <w:marTop w:val="0"/>
      <w:marBottom w:val="0"/>
      <w:divBdr>
        <w:top w:val="none" w:sz="0" w:space="0" w:color="auto"/>
        <w:left w:val="none" w:sz="0" w:space="0" w:color="auto"/>
        <w:bottom w:val="none" w:sz="0" w:space="0" w:color="auto"/>
        <w:right w:val="none" w:sz="0" w:space="0" w:color="auto"/>
      </w:divBdr>
    </w:div>
    <w:div w:id="670567604">
      <w:bodyDiv w:val="1"/>
      <w:marLeft w:val="0"/>
      <w:marRight w:val="0"/>
      <w:marTop w:val="0"/>
      <w:marBottom w:val="0"/>
      <w:divBdr>
        <w:top w:val="none" w:sz="0" w:space="0" w:color="auto"/>
        <w:left w:val="none" w:sz="0" w:space="0" w:color="auto"/>
        <w:bottom w:val="none" w:sz="0" w:space="0" w:color="auto"/>
        <w:right w:val="none" w:sz="0" w:space="0" w:color="auto"/>
      </w:divBdr>
    </w:div>
    <w:div w:id="719940545">
      <w:bodyDiv w:val="1"/>
      <w:marLeft w:val="0"/>
      <w:marRight w:val="0"/>
      <w:marTop w:val="0"/>
      <w:marBottom w:val="0"/>
      <w:divBdr>
        <w:top w:val="none" w:sz="0" w:space="0" w:color="auto"/>
        <w:left w:val="none" w:sz="0" w:space="0" w:color="auto"/>
        <w:bottom w:val="none" w:sz="0" w:space="0" w:color="auto"/>
        <w:right w:val="none" w:sz="0" w:space="0" w:color="auto"/>
      </w:divBdr>
    </w:div>
    <w:div w:id="780224878">
      <w:bodyDiv w:val="1"/>
      <w:marLeft w:val="0"/>
      <w:marRight w:val="0"/>
      <w:marTop w:val="0"/>
      <w:marBottom w:val="0"/>
      <w:divBdr>
        <w:top w:val="none" w:sz="0" w:space="0" w:color="auto"/>
        <w:left w:val="none" w:sz="0" w:space="0" w:color="auto"/>
        <w:bottom w:val="none" w:sz="0" w:space="0" w:color="auto"/>
        <w:right w:val="none" w:sz="0" w:space="0" w:color="auto"/>
      </w:divBdr>
    </w:div>
    <w:div w:id="822698465">
      <w:bodyDiv w:val="1"/>
      <w:marLeft w:val="0"/>
      <w:marRight w:val="0"/>
      <w:marTop w:val="0"/>
      <w:marBottom w:val="0"/>
      <w:divBdr>
        <w:top w:val="none" w:sz="0" w:space="0" w:color="auto"/>
        <w:left w:val="none" w:sz="0" w:space="0" w:color="auto"/>
        <w:bottom w:val="none" w:sz="0" w:space="0" w:color="auto"/>
        <w:right w:val="none" w:sz="0" w:space="0" w:color="auto"/>
      </w:divBdr>
    </w:div>
    <w:div w:id="971447024">
      <w:bodyDiv w:val="1"/>
      <w:marLeft w:val="0"/>
      <w:marRight w:val="0"/>
      <w:marTop w:val="0"/>
      <w:marBottom w:val="0"/>
      <w:divBdr>
        <w:top w:val="none" w:sz="0" w:space="0" w:color="auto"/>
        <w:left w:val="none" w:sz="0" w:space="0" w:color="auto"/>
        <w:bottom w:val="none" w:sz="0" w:space="0" w:color="auto"/>
        <w:right w:val="none" w:sz="0" w:space="0" w:color="auto"/>
      </w:divBdr>
    </w:div>
    <w:div w:id="1051078379">
      <w:bodyDiv w:val="1"/>
      <w:marLeft w:val="0"/>
      <w:marRight w:val="0"/>
      <w:marTop w:val="0"/>
      <w:marBottom w:val="0"/>
      <w:divBdr>
        <w:top w:val="none" w:sz="0" w:space="0" w:color="auto"/>
        <w:left w:val="none" w:sz="0" w:space="0" w:color="auto"/>
        <w:bottom w:val="none" w:sz="0" w:space="0" w:color="auto"/>
        <w:right w:val="none" w:sz="0" w:space="0" w:color="auto"/>
      </w:divBdr>
    </w:div>
    <w:div w:id="1360661694">
      <w:bodyDiv w:val="1"/>
      <w:marLeft w:val="0"/>
      <w:marRight w:val="0"/>
      <w:marTop w:val="0"/>
      <w:marBottom w:val="0"/>
      <w:divBdr>
        <w:top w:val="none" w:sz="0" w:space="0" w:color="auto"/>
        <w:left w:val="none" w:sz="0" w:space="0" w:color="auto"/>
        <w:bottom w:val="none" w:sz="0" w:space="0" w:color="auto"/>
        <w:right w:val="none" w:sz="0" w:space="0" w:color="auto"/>
      </w:divBdr>
    </w:div>
    <w:div w:id="1542598571">
      <w:bodyDiv w:val="1"/>
      <w:marLeft w:val="0"/>
      <w:marRight w:val="0"/>
      <w:marTop w:val="0"/>
      <w:marBottom w:val="0"/>
      <w:divBdr>
        <w:top w:val="none" w:sz="0" w:space="0" w:color="auto"/>
        <w:left w:val="none" w:sz="0" w:space="0" w:color="auto"/>
        <w:bottom w:val="none" w:sz="0" w:space="0" w:color="auto"/>
        <w:right w:val="none" w:sz="0" w:space="0" w:color="auto"/>
      </w:divBdr>
    </w:div>
    <w:div w:id="1573008741">
      <w:bodyDiv w:val="1"/>
      <w:marLeft w:val="0"/>
      <w:marRight w:val="0"/>
      <w:marTop w:val="0"/>
      <w:marBottom w:val="0"/>
      <w:divBdr>
        <w:top w:val="none" w:sz="0" w:space="0" w:color="auto"/>
        <w:left w:val="none" w:sz="0" w:space="0" w:color="auto"/>
        <w:bottom w:val="none" w:sz="0" w:space="0" w:color="auto"/>
        <w:right w:val="none" w:sz="0" w:space="0" w:color="auto"/>
      </w:divBdr>
    </w:div>
    <w:div w:id="1779565006">
      <w:bodyDiv w:val="1"/>
      <w:marLeft w:val="0"/>
      <w:marRight w:val="0"/>
      <w:marTop w:val="0"/>
      <w:marBottom w:val="0"/>
      <w:divBdr>
        <w:top w:val="none" w:sz="0" w:space="0" w:color="auto"/>
        <w:left w:val="none" w:sz="0" w:space="0" w:color="auto"/>
        <w:bottom w:val="none" w:sz="0" w:space="0" w:color="auto"/>
        <w:right w:val="none" w:sz="0" w:space="0" w:color="auto"/>
      </w:divBdr>
    </w:div>
    <w:div w:id="1813865284">
      <w:bodyDiv w:val="1"/>
      <w:marLeft w:val="0"/>
      <w:marRight w:val="0"/>
      <w:marTop w:val="0"/>
      <w:marBottom w:val="0"/>
      <w:divBdr>
        <w:top w:val="none" w:sz="0" w:space="0" w:color="auto"/>
        <w:left w:val="none" w:sz="0" w:space="0" w:color="auto"/>
        <w:bottom w:val="none" w:sz="0" w:space="0" w:color="auto"/>
        <w:right w:val="none" w:sz="0" w:space="0" w:color="auto"/>
      </w:divBdr>
    </w:div>
    <w:div w:id="1861317389">
      <w:bodyDiv w:val="1"/>
      <w:marLeft w:val="0"/>
      <w:marRight w:val="0"/>
      <w:marTop w:val="0"/>
      <w:marBottom w:val="0"/>
      <w:divBdr>
        <w:top w:val="none" w:sz="0" w:space="0" w:color="auto"/>
        <w:left w:val="none" w:sz="0" w:space="0" w:color="auto"/>
        <w:bottom w:val="none" w:sz="0" w:space="0" w:color="auto"/>
        <w:right w:val="none" w:sz="0" w:space="0" w:color="auto"/>
      </w:divBdr>
    </w:div>
    <w:div w:id="1930381970">
      <w:bodyDiv w:val="1"/>
      <w:marLeft w:val="0"/>
      <w:marRight w:val="0"/>
      <w:marTop w:val="0"/>
      <w:marBottom w:val="0"/>
      <w:divBdr>
        <w:top w:val="none" w:sz="0" w:space="0" w:color="auto"/>
        <w:left w:val="none" w:sz="0" w:space="0" w:color="auto"/>
        <w:bottom w:val="none" w:sz="0" w:space="0" w:color="auto"/>
        <w:right w:val="none" w:sz="0" w:space="0" w:color="auto"/>
      </w:divBdr>
    </w:div>
    <w:div w:id="1957132587">
      <w:bodyDiv w:val="1"/>
      <w:marLeft w:val="0"/>
      <w:marRight w:val="0"/>
      <w:marTop w:val="0"/>
      <w:marBottom w:val="0"/>
      <w:divBdr>
        <w:top w:val="none" w:sz="0" w:space="0" w:color="auto"/>
        <w:left w:val="none" w:sz="0" w:space="0" w:color="auto"/>
        <w:bottom w:val="none" w:sz="0" w:space="0" w:color="auto"/>
        <w:right w:val="none" w:sz="0" w:space="0" w:color="auto"/>
      </w:divBdr>
    </w:div>
    <w:div w:id="211917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68731-7124-4704-BDDF-F9C4B917A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3455</Words>
  <Characters>21806</Characters>
  <Application>Microsoft Office Word</Application>
  <DocSecurity>4</DocSecurity>
  <Lines>181</Lines>
  <Paragraphs>50</Paragraphs>
  <ScaleCrop>false</ScaleCrop>
  <LinksUpToDate>false</LinksUpToDate>
  <CharactersWithSpaces>25211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2015-08-28T04:51:00Z</dcterms:created>
  <dcterms:modified xsi:type="dcterms:W3CDTF">2015-08-28T04:51:00Z</dcterms:modified>
</cp:coreProperties>
</file>